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0112" w14:textId="77777777" w:rsidR="008F095B" w:rsidRPr="006021DA" w:rsidRDefault="008F095B" w:rsidP="00835F25">
      <w:pPr>
        <w:autoSpaceDE w:val="0"/>
        <w:autoSpaceDN w:val="0"/>
        <w:adjustRightInd w:val="0"/>
        <w:contextualSpacing/>
        <w:jc w:val="center"/>
        <w:rPr>
          <w:rFonts w:ascii="Arial" w:hAnsi="Arial" w:cs="Arial"/>
          <w:b/>
          <w:bCs/>
        </w:rPr>
      </w:pPr>
      <w:r w:rsidRPr="006021DA">
        <w:rPr>
          <w:rFonts w:ascii="Arial" w:hAnsi="Arial" w:cs="Arial"/>
          <w:b/>
          <w:bCs/>
        </w:rPr>
        <w:t>INFORME DE SEGUIMIENTO A</w:t>
      </w:r>
      <w:r w:rsidR="00153719" w:rsidRPr="006021DA">
        <w:rPr>
          <w:rFonts w:ascii="Arial" w:hAnsi="Arial" w:cs="Arial"/>
          <w:b/>
          <w:bCs/>
        </w:rPr>
        <w:t xml:space="preserve">L PLAN DE DESEMPEÑO </w:t>
      </w:r>
      <w:r w:rsidRPr="006021DA">
        <w:rPr>
          <w:rFonts w:ascii="Arial" w:hAnsi="Arial" w:cs="Arial"/>
          <w:b/>
          <w:bCs/>
        </w:rPr>
        <w:t xml:space="preserve">EN LA ASIGNACIÓN ESPECIAL PARA LA ALIMENTACIÓN ESCOLAR </w:t>
      </w:r>
      <w:r w:rsidR="00153719" w:rsidRPr="006021DA">
        <w:rPr>
          <w:rFonts w:ascii="Arial" w:hAnsi="Arial" w:cs="Arial"/>
          <w:b/>
          <w:bCs/>
        </w:rPr>
        <w:t xml:space="preserve">DISTRITO DE </w:t>
      </w:r>
      <w:r w:rsidR="00ED2185">
        <w:rPr>
          <w:rFonts w:ascii="Arial" w:hAnsi="Arial" w:cs="Arial"/>
          <w:b/>
          <w:bCs/>
        </w:rPr>
        <w:t>CARTAGENA DE INDIAS</w:t>
      </w:r>
      <w:r w:rsidR="00153719" w:rsidRPr="006021DA">
        <w:rPr>
          <w:rFonts w:ascii="Arial" w:hAnsi="Arial" w:cs="Arial"/>
          <w:b/>
          <w:bCs/>
        </w:rPr>
        <w:t xml:space="preserve"> - </w:t>
      </w:r>
      <w:r w:rsidR="00ED2185">
        <w:rPr>
          <w:rFonts w:ascii="Arial" w:hAnsi="Arial" w:cs="Arial"/>
          <w:b/>
          <w:bCs/>
        </w:rPr>
        <w:t>BOLÍVAR</w:t>
      </w:r>
    </w:p>
    <w:p w14:paraId="7ACECBB4" w14:textId="77777777" w:rsidR="008F095B" w:rsidRPr="006021DA" w:rsidRDefault="008F095B" w:rsidP="00835F25">
      <w:pPr>
        <w:autoSpaceDE w:val="0"/>
        <w:autoSpaceDN w:val="0"/>
        <w:adjustRightInd w:val="0"/>
        <w:contextualSpacing/>
        <w:rPr>
          <w:rFonts w:ascii="Arial" w:hAnsi="Arial" w:cs="Arial"/>
          <w:b/>
        </w:rPr>
      </w:pPr>
    </w:p>
    <w:p w14:paraId="6A69B31F" w14:textId="77777777" w:rsidR="008F095B" w:rsidRDefault="008F095B" w:rsidP="00835F25">
      <w:pPr>
        <w:contextualSpacing/>
        <w:rPr>
          <w:rFonts w:ascii="Arial" w:hAnsi="Arial" w:cs="Arial"/>
          <w:sz w:val="22"/>
        </w:rPr>
      </w:pPr>
      <w:r w:rsidRPr="006021DA">
        <w:rPr>
          <w:rFonts w:ascii="Arial" w:hAnsi="Arial" w:cs="Arial"/>
          <w:b/>
          <w:sz w:val="22"/>
        </w:rPr>
        <w:t>Período Evaluado</w:t>
      </w:r>
      <w:r w:rsidRPr="006021DA">
        <w:rPr>
          <w:rFonts w:ascii="Arial" w:hAnsi="Arial" w:cs="Arial"/>
          <w:sz w:val="22"/>
        </w:rPr>
        <w:t xml:space="preserve">: </w:t>
      </w:r>
      <w:r w:rsidR="000641AA" w:rsidRPr="006021DA">
        <w:rPr>
          <w:rFonts w:ascii="Arial" w:hAnsi="Arial" w:cs="Arial"/>
          <w:sz w:val="22"/>
        </w:rPr>
        <w:t>01</w:t>
      </w:r>
      <w:r w:rsidRPr="006021DA">
        <w:rPr>
          <w:rFonts w:ascii="Arial" w:hAnsi="Arial" w:cs="Arial"/>
          <w:sz w:val="22"/>
        </w:rPr>
        <w:t xml:space="preserve"> de </w:t>
      </w:r>
      <w:r w:rsidR="00FF170D" w:rsidRPr="006021DA">
        <w:rPr>
          <w:rFonts w:ascii="Arial" w:hAnsi="Arial" w:cs="Arial"/>
          <w:sz w:val="22"/>
        </w:rPr>
        <w:t>enero</w:t>
      </w:r>
      <w:r w:rsidRPr="006021DA">
        <w:rPr>
          <w:rFonts w:ascii="Arial" w:hAnsi="Arial" w:cs="Arial"/>
          <w:sz w:val="22"/>
        </w:rPr>
        <w:t xml:space="preserve"> de </w:t>
      </w:r>
      <w:r w:rsidR="000641AA" w:rsidRPr="006021DA">
        <w:rPr>
          <w:rFonts w:ascii="Arial" w:hAnsi="Arial" w:cs="Arial"/>
          <w:sz w:val="22"/>
        </w:rPr>
        <w:t>20</w:t>
      </w:r>
      <w:r w:rsidR="00FF170D" w:rsidRPr="006021DA">
        <w:rPr>
          <w:rFonts w:ascii="Arial" w:hAnsi="Arial" w:cs="Arial"/>
          <w:sz w:val="22"/>
        </w:rPr>
        <w:t>2</w:t>
      </w:r>
      <w:r w:rsidR="00ED2185">
        <w:rPr>
          <w:rFonts w:ascii="Arial" w:hAnsi="Arial" w:cs="Arial"/>
          <w:sz w:val="22"/>
        </w:rPr>
        <w:t>1</w:t>
      </w:r>
      <w:r w:rsidRPr="006021DA">
        <w:rPr>
          <w:rFonts w:ascii="Arial" w:hAnsi="Arial" w:cs="Arial"/>
          <w:sz w:val="22"/>
        </w:rPr>
        <w:t xml:space="preserve"> </w:t>
      </w:r>
      <w:r w:rsidR="00FF170D" w:rsidRPr="006021DA">
        <w:rPr>
          <w:rFonts w:ascii="Arial" w:hAnsi="Arial" w:cs="Arial"/>
          <w:sz w:val="22"/>
        </w:rPr>
        <w:t>-</w:t>
      </w:r>
      <w:r w:rsidRPr="006021DA">
        <w:rPr>
          <w:rFonts w:ascii="Arial" w:hAnsi="Arial" w:cs="Arial"/>
          <w:sz w:val="22"/>
        </w:rPr>
        <w:t xml:space="preserve"> 3</w:t>
      </w:r>
      <w:r w:rsidR="000641AA" w:rsidRPr="006021DA">
        <w:rPr>
          <w:rFonts w:ascii="Arial" w:hAnsi="Arial" w:cs="Arial"/>
          <w:sz w:val="22"/>
        </w:rPr>
        <w:t>1</w:t>
      </w:r>
      <w:r w:rsidRPr="006021DA">
        <w:rPr>
          <w:rFonts w:ascii="Arial" w:hAnsi="Arial" w:cs="Arial"/>
          <w:sz w:val="22"/>
        </w:rPr>
        <w:t xml:space="preserve"> de </w:t>
      </w:r>
      <w:r w:rsidR="00ED2185">
        <w:rPr>
          <w:rFonts w:ascii="Arial" w:hAnsi="Arial" w:cs="Arial"/>
          <w:sz w:val="22"/>
        </w:rPr>
        <w:t>marzo</w:t>
      </w:r>
      <w:r w:rsidRPr="006021DA">
        <w:rPr>
          <w:rFonts w:ascii="Arial" w:hAnsi="Arial" w:cs="Arial"/>
          <w:sz w:val="22"/>
        </w:rPr>
        <w:t xml:space="preserve"> de 20</w:t>
      </w:r>
      <w:r w:rsidR="000641AA" w:rsidRPr="006021DA">
        <w:rPr>
          <w:rFonts w:ascii="Arial" w:hAnsi="Arial" w:cs="Arial"/>
          <w:sz w:val="22"/>
        </w:rPr>
        <w:t>2</w:t>
      </w:r>
      <w:r w:rsidR="00ED2185">
        <w:rPr>
          <w:rFonts w:ascii="Arial" w:hAnsi="Arial" w:cs="Arial"/>
          <w:sz w:val="22"/>
        </w:rPr>
        <w:t>2</w:t>
      </w:r>
      <w:r w:rsidRPr="006021DA">
        <w:rPr>
          <w:rFonts w:ascii="Arial" w:hAnsi="Arial" w:cs="Arial"/>
          <w:sz w:val="22"/>
        </w:rPr>
        <w:t>.</w:t>
      </w:r>
    </w:p>
    <w:p w14:paraId="74099A7A" w14:textId="77777777" w:rsidR="00507D15" w:rsidRPr="006021DA" w:rsidRDefault="00507D15" w:rsidP="00835F25">
      <w:pPr>
        <w:contextualSpacing/>
        <w:rPr>
          <w:rFonts w:ascii="Arial" w:hAnsi="Arial" w:cs="Arial"/>
          <w:sz w:val="22"/>
        </w:rPr>
      </w:pPr>
    </w:p>
    <w:p w14:paraId="2F7841F1" w14:textId="77777777" w:rsidR="008F095B" w:rsidRPr="006021DA" w:rsidRDefault="008F095B" w:rsidP="00835F25">
      <w:pPr>
        <w:pStyle w:val="Ttulo1"/>
        <w:numPr>
          <w:ilvl w:val="0"/>
          <w:numId w:val="8"/>
        </w:numPr>
        <w:spacing w:line="240" w:lineRule="auto"/>
        <w:contextualSpacing/>
        <w:rPr>
          <w:rFonts w:ascii="Arial" w:hAnsi="Arial" w:cs="Arial"/>
          <w:color w:val="auto"/>
        </w:rPr>
      </w:pPr>
      <w:bookmarkStart w:id="0" w:name="_Toc487631193"/>
      <w:r w:rsidRPr="006021DA">
        <w:rPr>
          <w:rFonts w:ascii="Arial" w:hAnsi="Arial" w:cs="Arial"/>
          <w:color w:val="auto"/>
        </w:rPr>
        <w:t>INTRODUCCIÓN</w:t>
      </w:r>
      <w:bookmarkEnd w:id="0"/>
      <w:r w:rsidR="00B50FB1" w:rsidRPr="006021DA">
        <w:rPr>
          <w:rFonts w:ascii="Arial" w:hAnsi="Arial" w:cs="Arial"/>
          <w:color w:val="auto"/>
        </w:rPr>
        <w:t>.</w:t>
      </w:r>
    </w:p>
    <w:p w14:paraId="33868BB3" w14:textId="77777777" w:rsidR="00EF6813" w:rsidRPr="006021DA" w:rsidRDefault="00EF6813" w:rsidP="00835F25">
      <w:pPr>
        <w:contextualSpacing/>
        <w:rPr>
          <w:rFonts w:ascii="Arial" w:hAnsi="Arial" w:cs="Arial"/>
          <w:lang w:val="es-CO" w:eastAsia="en-US"/>
        </w:rPr>
      </w:pPr>
    </w:p>
    <w:p w14:paraId="4BAA2100" w14:textId="77777777" w:rsidR="00EE5CCE" w:rsidRPr="00EE5CCE" w:rsidRDefault="00EE5CCE" w:rsidP="00835F25">
      <w:pPr>
        <w:contextualSpacing/>
        <w:jc w:val="both"/>
        <w:rPr>
          <w:rFonts w:ascii="Arial" w:hAnsi="Arial" w:cs="Arial"/>
          <w:sz w:val="22"/>
          <w:szCs w:val="22"/>
          <w:lang w:val="es-CO"/>
        </w:rPr>
      </w:pPr>
      <w:r w:rsidRPr="00EE5CCE">
        <w:rPr>
          <w:rFonts w:ascii="Arial" w:hAnsi="Arial" w:cs="Arial"/>
          <w:sz w:val="22"/>
          <w:szCs w:val="22"/>
          <w:lang w:val="es-CO"/>
        </w:rPr>
        <w:t>La Dirección General de Apoyo Fiscal en el marco de las funciones asignadas por los Decretos 028 de 2008, 791 de 2009 y 1068 de 2015 y la Resolución 794 de 2009 tomó nota del Informe Final de Auditoría de Cumplimiento al Programa de Alimentación Escolar – PAE de la vigencia 2016 entregado por la Contraloría Delegada Sectorial Social – CDSS de la Contraloría General de la República de julio de 2017, en el cual indica que el Distrito Turístico y Cultural de Cartagena de Indias presenta indicadores de riesgo crítico alto en el manejo de los recursos, los cuales se encuentran asociados a la ejecución de los recursos del Sistema General de Participaciones en la Asignación Especial para Alimentación Escolar.</w:t>
      </w:r>
    </w:p>
    <w:p w14:paraId="58C0E812" w14:textId="77777777" w:rsidR="00EE5CCE" w:rsidRPr="00EE5CCE" w:rsidRDefault="00EE5CCE" w:rsidP="00835F25">
      <w:pPr>
        <w:contextualSpacing/>
        <w:jc w:val="both"/>
        <w:rPr>
          <w:rFonts w:ascii="Arial" w:hAnsi="Arial" w:cs="Arial"/>
          <w:sz w:val="22"/>
          <w:szCs w:val="22"/>
          <w:lang w:val="es-CO"/>
        </w:rPr>
      </w:pPr>
    </w:p>
    <w:p w14:paraId="7B93EA07" w14:textId="77777777" w:rsidR="00EE5CCE" w:rsidRPr="00EE5CCE" w:rsidRDefault="00EE5CCE" w:rsidP="00835F25">
      <w:pPr>
        <w:contextualSpacing/>
        <w:jc w:val="both"/>
        <w:rPr>
          <w:rFonts w:ascii="Arial" w:hAnsi="Arial" w:cs="Arial"/>
          <w:sz w:val="22"/>
          <w:szCs w:val="22"/>
          <w:lang w:val="es-CO"/>
        </w:rPr>
      </w:pPr>
      <w:r w:rsidRPr="00EE5CCE">
        <w:rPr>
          <w:rFonts w:ascii="Arial" w:hAnsi="Arial" w:cs="Arial"/>
          <w:sz w:val="22"/>
          <w:szCs w:val="22"/>
          <w:lang w:val="es-CO"/>
        </w:rPr>
        <w:t>Es necesario precisar que el Programa de Alimentación Escolar – PAE es una política pública que integra múltiples actores y fuentes de financiación. De acuerdo con lo establecido en el numeral 2.1 de la Resolución No. 29452 de 2017</w:t>
      </w:r>
      <w:r w:rsidR="00342885">
        <w:rPr>
          <w:rStyle w:val="Refdenotaalpie"/>
          <w:rFonts w:ascii="Arial" w:hAnsi="Arial" w:cs="Arial"/>
          <w:sz w:val="22"/>
          <w:szCs w:val="22"/>
          <w:lang w:val="es-CO"/>
        </w:rPr>
        <w:footnoteReference w:id="1"/>
      </w:r>
      <w:r w:rsidRPr="00EE5CCE">
        <w:rPr>
          <w:rFonts w:ascii="Arial" w:hAnsi="Arial" w:cs="Arial"/>
          <w:sz w:val="22"/>
          <w:szCs w:val="22"/>
          <w:lang w:val="es-CO"/>
        </w:rPr>
        <w:t xml:space="preserve">, las fuentes de financiación del Programa de Alimentación Escolar son cinco: i) </w:t>
      </w:r>
      <w:r w:rsidR="00084667">
        <w:rPr>
          <w:rFonts w:ascii="Arial" w:hAnsi="Arial" w:cs="Arial"/>
          <w:sz w:val="22"/>
          <w:szCs w:val="22"/>
          <w:lang w:val="es-CO"/>
        </w:rPr>
        <w:t>l</w:t>
      </w:r>
      <w:r w:rsidRPr="00EE5CCE">
        <w:rPr>
          <w:rFonts w:ascii="Arial" w:hAnsi="Arial" w:cs="Arial"/>
          <w:sz w:val="22"/>
          <w:szCs w:val="22"/>
          <w:lang w:val="es-CO"/>
        </w:rPr>
        <w:t xml:space="preserve">os recursos del Sistema General de Participaciones – SGP (Asignación Especial para Alimentación Escolar y Educación – Calidad), ii) </w:t>
      </w:r>
      <w:r w:rsidR="00084667">
        <w:rPr>
          <w:rFonts w:ascii="Arial" w:hAnsi="Arial" w:cs="Arial"/>
          <w:sz w:val="22"/>
          <w:szCs w:val="22"/>
          <w:lang w:val="es-CO"/>
        </w:rPr>
        <w:t>r</w:t>
      </w:r>
      <w:r w:rsidRPr="00EE5CCE">
        <w:rPr>
          <w:rFonts w:ascii="Arial" w:hAnsi="Arial" w:cs="Arial"/>
          <w:sz w:val="22"/>
          <w:szCs w:val="22"/>
          <w:lang w:val="es-CO"/>
        </w:rPr>
        <w:t xml:space="preserve">egalías, iii) </w:t>
      </w:r>
      <w:r w:rsidR="00084667">
        <w:rPr>
          <w:rFonts w:ascii="Arial" w:hAnsi="Arial" w:cs="Arial"/>
          <w:sz w:val="22"/>
          <w:szCs w:val="22"/>
          <w:lang w:val="es-CO"/>
        </w:rPr>
        <w:t>r</w:t>
      </w:r>
      <w:r w:rsidRPr="00EE5CCE">
        <w:rPr>
          <w:rFonts w:ascii="Arial" w:hAnsi="Arial" w:cs="Arial"/>
          <w:sz w:val="22"/>
          <w:szCs w:val="22"/>
          <w:lang w:val="es-CO"/>
        </w:rPr>
        <w:t xml:space="preserve">ecursos propios de las entidades territoriales iv) </w:t>
      </w:r>
      <w:r w:rsidR="00084667">
        <w:rPr>
          <w:rFonts w:ascii="Arial" w:hAnsi="Arial" w:cs="Arial"/>
          <w:sz w:val="22"/>
          <w:szCs w:val="22"/>
          <w:lang w:val="es-CO"/>
        </w:rPr>
        <w:t>r</w:t>
      </w:r>
      <w:r w:rsidRPr="00EE5CCE">
        <w:rPr>
          <w:rFonts w:ascii="Arial" w:hAnsi="Arial" w:cs="Arial"/>
          <w:sz w:val="22"/>
          <w:szCs w:val="22"/>
          <w:lang w:val="es-CO"/>
        </w:rPr>
        <w:t>ecursos del Presupuesto General de la Nación distribuidos anualmente por el M</w:t>
      </w:r>
      <w:r w:rsidR="00084667">
        <w:rPr>
          <w:rFonts w:ascii="Arial" w:hAnsi="Arial" w:cs="Arial"/>
          <w:sz w:val="22"/>
          <w:szCs w:val="22"/>
          <w:lang w:val="es-CO"/>
        </w:rPr>
        <w:t>inisterio de Educación Nacional - MEN</w:t>
      </w:r>
      <w:r w:rsidRPr="00EE5CCE">
        <w:rPr>
          <w:rFonts w:ascii="Arial" w:hAnsi="Arial" w:cs="Arial"/>
          <w:sz w:val="22"/>
          <w:szCs w:val="22"/>
          <w:lang w:val="es-CO"/>
        </w:rPr>
        <w:t xml:space="preserve"> transferidos a las Entidades Territoriales Certificadas en Educación para cofinanciar el Programa y v) </w:t>
      </w:r>
      <w:r w:rsidR="00084667">
        <w:rPr>
          <w:rFonts w:ascii="Arial" w:hAnsi="Arial" w:cs="Arial"/>
          <w:sz w:val="22"/>
          <w:szCs w:val="22"/>
          <w:lang w:val="es-CO"/>
        </w:rPr>
        <w:t>o</w:t>
      </w:r>
      <w:r w:rsidRPr="00EE5CCE">
        <w:rPr>
          <w:rFonts w:ascii="Arial" w:hAnsi="Arial" w:cs="Arial"/>
          <w:sz w:val="22"/>
          <w:szCs w:val="22"/>
          <w:lang w:val="es-CO"/>
        </w:rPr>
        <w:t xml:space="preserve">tras fuentes de financiación por parte del sector privado, cooperativo o no gubernamental, del nivel </w:t>
      </w:r>
      <w:r w:rsidR="00084667">
        <w:rPr>
          <w:rFonts w:ascii="Arial" w:hAnsi="Arial" w:cs="Arial"/>
          <w:sz w:val="22"/>
          <w:szCs w:val="22"/>
          <w:lang w:val="es-CO"/>
        </w:rPr>
        <w:t>N</w:t>
      </w:r>
      <w:r w:rsidRPr="00EE5CCE">
        <w:rPr>
          <w:rFonts w:ascii="Arial" w:hAnsi="Arial" w:cs="Arial"/>
          <w:sz w:val="22"/>
          <w:szCs w:val="22"/>
          <w:lang w:val="es-CO"/>
        </w:rPr>
        <w:t>acional e internacional y cajas de compensación.</w:t>
      </w:r>
    </w:p>
    <w:p w14:paraId="74861988" w14:textId="77777777" w:rsidR="00EE5CCE" w:rsidRPr="00EE5CCE" w:rsidRDefault="00EE5CCE" w:rsidP="00835F25">
      <w:pPr>
        <w:contextualSpacing/>
        <w:jc w:val="both"/>
        <w:rPr>
          <w:rFonts w:ascii="Arial" w:hAnsi="Arial" w:cs="Arial"/>
          <w:sz w:val="22"/>
          <w:szCs w:val="22"/>
          <w:lang w:val="es-CO"/>
        </w:rPr>
      </w:pPr>
    </w:p>
    <w:p w14:paraId="578E7482" w14:textId="77777777" w:rsidR="00EE5CCE" w:rsidRPr="00EE5CCE" w:rsidRDefault="00EE5CCE" w:rsidP="00835F25">
      <w:pPr>
        <w:contextualSpacing/>
        <w:jc w:val="both"/>
        <w:rPr>
          <w:rFonts w:ascii="Arial" w:hAnsi="Arial" w:cs="Arial"/>
          <w:sz w:val="22"/>
          <w:szCs w:val="22"/>
          <w:lang w:val="es-CO"/>
        </w:rPr>
      </w:pPr>
      <w:r w:rsidRPr="00EE5CCE">
        <w:rPr>
          <w:rFonts w:ascii="Arial" w:hAnsi="Arial" w:cs="Arial"/>
          <w:sz w:val="22"/>
          <w:szCs w:val="22"/>
          <w:lang w:val="es-CO"/>
        </w:rPr>
        <w:t>Teniendo claro lo anterior, en el presente informe se analizan los recursos de la Asignación Especial para Alimentación Escolar del Sistema General de Participaciones, dadas las competencias ya mencionadas por esta Dirección. Ello sin perjuicio de mencionar las demás fuentes cuando estas se encuentren acompañando a la Asignación Especial para Alimentación Escolar y teniendo en cuenta el sistema de Bolsa Común del PAE.</w:t>
      </w:r>
    </w:p>
    <w:p w14:paraId="0F18940B" w14:textId="77777777" w:rsidR="00251243" w:rsidRDefault="00251243" w:rsidP="00835F25">
      <w:pPr>
        <w:contextualSpacing/>
        <w:jc w:val="both"/>
        <w:rPr>
          <w:rFonts w:ascii="Arial" w:hAnsi="Arial" w:cs="Arial"/>
          <w:sz w:val="22"/>
          <w:szCs w:val="22"/>
          <w:lang w:val="es-CO"/>
        </w:rPr>
      </w:pPr>
    </w:p>
    <w:p w14:paraId="3CF4244A" w14:textId="77777777" w:rsidR="00251243" w:rsidRPr="00251243" w:rsidRDefault="004E2993" w:rsidP="00835F25">
      <w:pPr>
        <w:contextualSpacing/>
        <w:jc w:val="both"/>
        <w:rPr>
          <w:rFonts w:ascii="Arial" w:hAnsi="Arial" w:cs="Arial"/>
          <w:sz w:val="22"/>
          <w:szCs w:val="22"/>
          <w:lang w:val="es-CO"/>
        </w:rPr>
      </w:pPr>
      <w:r>
        <w:rPr>
          <w:rFonts w:ascii="Arial" w:hAnsi="Arial" w:cs="Arial"/>
          <w:sz w:val="22"/>
          <w:szCs w:val="22"/>
          <w:lang w:val="es-CO"/>
        </w:rPr>
        <w:t>Así las cosas</w:t>
      </w:r>
      <w:r w:rsidR="00251243" w:rsidRPr="00251243">
        <w:rPr>
          <w:rFonts w:ascii="Arial" w:hAnsi="Arial" w:cs="Arial"/>
          <w:sz w:val="22"/>
          <w:szCs w:val="22"/>
          <w:lang w:val="es-CO"/>
        </w:rPr>
        <w:t xml:space="preserve">, esta Dirección procedió a realizar el Diagnóstico de Reconocimiento Institucional, el cual dio lugar a la Medida Preventiva de Plan de Desempeño al haberse configurado los Eventos de Riesgo: </w:t>
      </w:r>
      <w:r w:rsidR="00F7193A">
        <w:rPr>
          <w:rFonts w:ascii="Arial" w:hAnsi="Arial" w:cs="Arial"/>
          <w:sz w:val="22"/>
          <w:szCs w:val="22"/>
          <w:lang w:val="es-CO"/>
        </w:rPr>
        <w:t xml:space="preserve">9.1, 9.4, </w:t>
      </w:r>
      <w:r w:rsidR="00251243" w:rsidRPr="00251243">
        <w:rPr>
          <w:rFonts w:ascii="Arial" w:hAnsi="Arial" w:cs="Arial"/>
          <w:sz w:val="22"/>
          <w:szCs w:val="22"/>
          <w:lang w:val="es-CO"/>
        </w:rPr>
        <w:t>9.</w:t>
      </w:r>
      <w:r w:rsidR="00F7193A">
        <w:rPr>
          <w:rFonts w:ascii="Arial" w:hAnsi="Arial" w:cs="Arial"/>
          <w:sz w:val="22"/>
          <w:szCs w:val="22"/>
          <w:lang w:val="es-CO"/>
        </w:rPr>
        <w:t>7</w:t>
      </w:r>
      <w:r w:rsidR="00251243" w:rsidRPr="00251243">
        <w:rPr>
          <w:rFonts w:ascii="Arial" w:hAnsi="Arial" w:cs="Arial"/>
          <w:sz w:val="22"/>
          <w:szCs w:val="22"/>
          <w:lang w:val="es-CO"/>
        </w:rPr>
        <w:t>, 9.</w:t>
      </w:r>
      <w:r w:rsidR="00F7193A">
        <w:rPr>
          <w:rFonts w:ascii="Arial" w:hAnsi="Arial" w:cs="Arial"/>
          <w:sz w:val="22"/>
          <w:szCs w:val="22"/>
          <w:lang w:val="es-CO"/>
        </w:rPr>
        <w:t>10</w:t>
      </w:r>
      <w:r w:rsidR="00251243" w:rsidRPr="00251243">
        <w:rPr>
          <w:rFonts w:ascii="Arial" w:hAnsi="Arial" w:cs="Arial"/>
          <w:sz w:val="22"/>
          <w:szCs w:val="22"/>
          <w:lang w:val="es-CO"/>
        </w:rPr>
        <w:t>, 9.1</w:t>
      </w:r>
      <w:r w:rsidR="00F7193A">
        <w:rPr>
          <w:rFonts w:ascii="Arial" w:hAnsi="Arial" w:cs="Arial"/>
          <w:sz w:val="22"/>
          <w:szCs w:val="22"/>
          <w:lang w:val="es-CO"/>
        </w:rPr>
        <w:t>2</w:t>
      </w:r>
      <w:r w:rsidR="00251243" w:rsidRPr="00251243">
        <w:rPr>
          <w:rFonts w:ascii="Arial" w:hAnsi="Arial" w:cs="Arial"/>
          <w:sz w:val="22"/>
          <w:szCs w:val="22"/>
          <w:lang w:val="es-CO"/>
        </w:rPr>
        <w:t xml:space="preserve">, 9.17, y 9.18. Lo anterior, a través, de la Resolución No. </w:t>
      </w:r>
      <w:r w:rsidR="00F7193A">
        <w:rPr>
          <w:rFonts w:ascii="Arial" w:hAnsi="Arial" w:cs="Arial"/>
          <w:sz w:val="22"/>
          <w:szCs w:val="22"/>
          <w:lang w:val="es-CO"/>
        </w:rPr>
        <w:t>1413</w:t>
      </w:r>
      <w:r w:rsidR="00251243" w:rsidRPr="00251243">
        <w:rPr>
          <w:rFonts w:ascii="Arial" w:hAnsi="Arial" w:cs="Arial"/>
          <w:sz w:val="22"/>
          <w:szCs w:val="22"/>
          <w:lang w:val="es-CO"/>
        </w:rPr>
        <w:t xml:space="preserve"> del </w:t>
      </w:r>
      <w:r w:rsidR="00F7193A">
        <w:rPr>
          <w:rFonts w:ascii="Arial" w:hAnsi="Arial" w:cs="Arial"/>
          <w:sz w:val="22"/>
          <w:szCs w:val="22"/>
          <w:lang w:val="es-CO"/>
        </w:rPr>
        <w:t>22</w:t>
      </w:r>
      <w:r w:rsidR="00251243" w:rsidRPr="00251243">
        <w:rPr>
          <w:rFonts w:ascii="Arial" w:hAnsi="Arial" w:cs="Arial"/>
          <w:sz w:val="22"/>
          <w:szCs w:val="22"/>
          <w:lang w:val="es-CO"/>
        </w:rPr>
        <w:t xml:space="preserve"> de </w:t>
      </w:r>
      <w:r w:rsidR="00F7193A">
        <w:rPr>
          <w:rFonts w:ascii="Arial" w:hAnsi="Arial" w:cs="Arial"/>
          <w:sz w:val="22"/>
          <w:szCs w:val="22"/>
          <w:lang w:val="es-CO"/>
        </w:rPr>
        <w:t>junio</w:t>
      </w:r>
      <w:r w:rsidR="00251243" w:rsidRPr="00251243">
        <w:rPr>
          <w:rFonts w:ascii="Arial" w:hAnsi="Arial" w:cs="Arial"/>
          <w:sz w:val="22"/>
          <w:szCs w:val="22"/>
          <w:lang w:val="es-CO"/>
        </w:rPr>
        <w:t xml:space="preserve"> de </w:t>
      </w:r>
      <w:r w:rsidR="00F7193A">
        <w:rPr>
          <w:rFonts w:ascii="Arial" w:hAnsi="Arial" w:cs="Arial"/>
          <w:sz w:val="22"/>
          <w:szCs w:val="22"/>
          <w:lang w:val="es-CO"/>
        </w:rPr>
        <w:t>2021</w:t>
      </w:r>
      <w:r w:rsidR="00251243" w:rsidRPr="00251243">
        <w:rPr>
          <w:rFonts w:ascii="Arial" w:hAnsi="Arial" w:cs="Arial"/>
          <w:sz w:val="22"/>
          <w:szCs w:val="22"/>
          <w:lang w:val="es-CO"/>
        </w:rPr>
        <w:t xml:space="preserve">, la cual fue adoptada por el Distrito mediante </w:t>
      </w:r>
      <w:r w:rsidR="00F7193A">
        <w:rPr>
          <w:rFonts w:ascii="Arial" w:hAnsi="Arial" w:cs="Arial"/>
          <w:sz w:val="22"/>
          <w:szCs w:val="22"/>
          <w:lang w:val="es-CO"/>
        </w:rPr>
        <w:t>Resolución</w:t>
      </w:r>
      <w:r w:rsidR="00251243" w:rsidRPr="00251243">
        <w:rPr>
          <w:rFonts w:ascii="Arial" w:hAnsi="Arial" w:cs="Arial"/>
          <w:sz w:val="22"/>
          <w:szCs w:val="22"/>
          <w:lang w:val="es-CO"/>
        </w:rPr>
        <w:t xml:space="preserve"> No. </w:t>
      </w:r>
      <w:r w:rsidR="00F7193A">
        <w:rPr>
          <w:rFonts w:ascii="Arial" w:hAnsi="Arial" w:cs="Arial"/>
          <w:sz w:val="22"/>
          <w:szCs w:val="22"/>
          <w:lang w:val="es-CO"/>
        </w:rPr>
        <w:t>4389</w:t>
      </w:r>
      <w:r w:rsidR="00251243" w:rsidRPr="00251243">
        <w:rPr>
          <w:rFonts w:ascii="Arial" w:hAnsi="Arial" w:cs="Arial"/>
          <w:sz w:val="22"/>
          <w:szCs w:val="22"/>
          <w:lang w:val="es-CO"/>
        </w:rPr>
        <w:t xml:space="preserve"> del </w:t>
      </w:r>
      <w:r w:rsidR="00F7193A">
        <w:rPr>
          <w:rFonts w:ascii="Arial" w:hAnsi="Arial" w:cs="Arial"/>
          <w:sz w:val="22"/>
          <w:szCs w:val="22"/>
          <w:lang w:val="es-CO"/>
        </w:rPr>
        <w:t>05</w:t>
      </w:r>
      <w:r w:rsidR="00251243" w:rsidRPr="00251243">
        <w:rPr>
          <w:rFonts w:ascii="Arial" w:hAnsi="Arial" w:cs="Arial"/>
          <w:sz w:val="22"/>
          <w:szCs w:val="22"/>
          <w:lang w:val="es-CO"/>
        </w:rPr>
        <w:t xml:space="preserve"> de </w:t>
      </w:r>
      <w:r w:rsidR="00F7193A">
        <w:rPr>
          <w:rFonts w:ascii="Arial" w:hAnsi="Arial" w:cs="Arial"/>
          <w:sz w:val="22"/>
          <w:szCs w:val="22"/>
          <w:lang w:val="es-CO"/>
        </w:rPr>
        <w:t>agosto</w:t>
      </w:r>
      <w:r w:rsidR="00251243" w:rsidRPr="00251243">
        <w:rPr>
          <w:rFonts w:ascii="Arial" w:hAnsi="Arial" w:cs="Arial"/>
          <w:sz w:val="22"/>
          <w:szCs w:val="22"/>
          <w:lang w:val="es-CO"/>
        </w:rPr>
        <w:t xml:space="preserve"> de </w:t>
      </w:r>
      <w:r w:rsidR="00F7193A">
        <w:rPr>
          <w:rFonts w:ascii="Arial" w:hAnsi="Arial" w:cs="Arial"/>
          <w:sz w:val="22"/>
          <w:szCs w:val="22"/>
          <w:lang w:val="es-CO"/>
        </w:rPr>
        <w:t>2021</w:t>
      </w:r>
      <w:r w:rsidR="00251243" w:rsidRPr="00251243">
        <w:rPr>
          <w:rFonts w:ascii="Arial" w:hAnsi="Arial" w:cs="Arial"/>
          <w:sz w:val="22"/>
          <w:szCs w:val="22"/>
          <w:lang w:val="es-CO"/>
        </w:rPr>
        <w:t xml:space="preserve"> y finalmente fue aprobada por esta Dirección a través de la Resolución No. </w:t>
      </w:r>
      <w:r w:rsidR="00F7193A">
        <w:rPr>
          <w:rFonts w:ascii="Arial" w:hAnsi="Arial" w:cs="Arial"/>
          <w:sz w:val="22"/>
          <w:szCs w:val="22"/>
          <w:lang w:val="es-CO"/>
        </w:rPr>
        <w:t>2032</w:t>
      </w:r>
      <w:r w:rsidR="00251243" w:rsidRPr="00251243">
        <w:rPr>
          <w:rFonts w:ascii="Arial" w:hAnsi="Arial" w:cs="Arial"/>
          <w:sz w:val="22"/>
          <w:szCs w:val="22"/>
          <w:lang w:val="es-CO"/>
        </w:rPr>
        <w:t xml:space="preserve"> de </w:t>
      </w:r>
      <w:r w:rsidR="00F7193A">
        <w:rPr>
          <w:rFonts w:ascii="Arial" w:hAnsi="Arial" w:cs="Arial"/>
          <w:sz w:val="22"/>
          <w:szCs w:val="22"/>
          <w:lang w:val="es-CO"/>
        </w:rPr>
        <w:t>27</w:t>
      </w:r>
      <w:r w:rsidR="00251243" w:rsidRPr="00251243">
        <w:rPr>
          <w:rFonts w:ascii="Arial" w:hAnsi="Arial" w:cs="Arial"/>
          <w:sz w:val="22"/>
          <w:szCs w:val="22"/>
          <w:lang w:val="es-CO"/>
        </w:rPr>
        <w:t xml:space="preserve"> de </w:t>
      </w:r>
      <w:r w:rsidR="00F7193A">
        <w:rPr>
          <w:rFonts w:ascii="Arial" w:hAnsi="Arial" w:cs="Arial"/>
          <w:sz w:val="22"/>
          <w:szCs w:val="22"/>
          <w:lang w:val="es-CO"/>
        </w:rPr>
        <w:t>agosto</w:t>
      </w:r>
      <w:r w:rsidR="00251243" w:rsidRPr="00251243">
        <w:rPr>
          <w:rFonts w:ascii="Arial" w:hAnsi="Arial" w:cs="Arial"/>
          <w:sz w:val="22"/>
          <w:szCs w:val="22"/>
          <w:lang w:val="es-CO"/>
        </w:rPr>
        <w:t xml:space="preserve"> de </w:t>
      </w:r>
      <w:r w:rsidR="00F7193A">
        <w:rPr>
          <w:rFonts w:ascii="Arial" w:hAnsi="Arial" w:cs="Arial"/>
          <w:sz w:val="22"/>
          <w:szCs w:val="22"/>
          <w:lang w:val="es-CO"/>
        </w:rPr>
        <w:t>2021</w:t>
      </w:r>
      <w:r w:rsidR="00251243" w:rsidRPr="00251243">
        <w:rPr>
          <w:rFonts w:ascii="Arial" w:hAnsi="Arial" w:cs="Arial"/>
          <w:sz w:val="22"/>
          <w:szCs w:val="22"/>
          <w:lang w:val="es-CO"/>
        </w:rPr>
        <w:t>.</w:t>
      </w:r>
    </w:p>
    <w:p w14:paraId="7D2110DB" w14:textId="77777777" w:rsidR="00251243" w:rsidRPr="00251243" w:rsidRDefault="00251243" w:rsidP="00835F25">
      <w:pPr>
        <w:contextualSpacing/>
        <w:jc w:val="both"/>
        <w:rPr>
          <w:rFonts w:ascii="Arial" w:hAnsi="Arial" w:cs="Arial"/>
          <w:sz w:val="22"/>
          <w:szCs w:val="22"/>
          <w:lang w:val="es-CO"/>
        </w:rPr>
      </w:pPr>
    </w:p>
    <w:p w14:paraId="7890A9ED" w14:textId="77777777" w:rsidR="00251243" w:rsidRPr="00251243" w:rsidRDefault="00251243" w:rsidP="00835F25">
      <w:pPr>
        <w:contextualSpacing/>
        <w:jc w:val="both"/>
        <w:rPr>
          <w:rFonts w:ascii="Arial" w:hAnsi="Arial" w:cs="Arial"/>
          <w:sz w:val="22"/>
          <w:szCs w:val="22"/>
          <w:lang w:val="es-CO"/>
        </w:rPr>
      </w:pPr>
      <w:r w:rsidRPr="00342885">
        <w:rPr>
          <w:rFonts w:ascii="Arial" w:hAnsi="Arial" w:cs="Arial"/>
          <w:sz w:val="22"/>
          <w:szCs w:val="22"/>
          <w:lang w:val="es-CO"/>
        </w:rPr>
        <w:lastRenderedPageBreak/>
        <w:t>En desarrollo de lo anterior, mediante el oficio con radicado No. 2-2021-</w:t>
      </w:r>
      <w:r w:rsidR="004E2993">
        <w:rPr>
          <w:rFonts w:ascii="Arial" w:hAnsi="Arial" w:cs="Arial"/>
          <w:sz w:val="22"/>
          <w:szCs w:val="22"/>
          <w:lang w:val="es-CO"/>
        </w:rPr>
        <w:t>020661</w:t>
      </w:r>
      <w:r w:rsidRPr="00342885">
        <w:rPr>
          <w:rFonts w:ascii="Arial" w:hAnsi="Arial" w:cs="Arial"/>
          <w:sz w:val="22"/>
          <w:szCs w:val="22"/>
          <w:lang w:val="es-CO"/>
        </w:rPr>
        <w:t xml:space="preserve"> del </w:t>
      </w:r>
      <w:r w:rsidR="004E2993">
        <w:rPr>
          <w:rFonts w:ascii="Arial" w:hAnsi="Arial" w:cs="Arial"/>
          <w:sz w:val="22"/>
          <w:szCs w:val="22"/>
          <w:lang w:val="es-CO"/>
        </w:rPr>
        <w:t>17</w:t>
      </w:r>
      <w:r w:rsidRPr="00342885">
        <w:rPr>
          <w:rFonts w:ascii="Arial" w:hAnsi="Arial" w:cs="Arial"/>
          <w:sz w:val="22"/>
          <w:szCs w:val="22"/>
          <w:lang w:val="es-CO"/>
        </w:rPr>
        <w:t xml:space="preserve"> de </w:t>
      </w:r>
      <w:r w:rsidR="004E2993">
        <w:rPr>
          <w:rFonts w:ascii="Arial" w:hAnsi="Arial" w:cs="Arial"/>
          <w:sz w:val="22"/>
          <w:szCs w:val="22"/>
          <w:lang w:val="es-CO"/>
        </w:rPr>
        <w:t>mayo</w:t>
      </w:r>
      <w:r w:rsidRPr="00342885">
        <w:rPr>
          <w:rFonts w:ascii="Arial" w:hAnsi="Arial" w:cs="Arial"/>
          <w:sz w:val="22"/>
          <w:szCs w:val="22"/>
          <w:lang w:val="es-CO"/>
        </w:rPr>
        <w:t xml:space="preserve"> de 202</w:t>
      </w:r>
      <w:r w:rsidR="004E2993">
        <w:rPr>
          <w:rFonts w:ascii="Arial" w:hAnsi="Arial" w:cs="Arial"/>
          <w:sz w:val="22"/>
          <w:szCs w:val="22"/>
          <w:lang w:val="es-CO"/>
        </w:rPr>
        <w:t>2</w:t>
      </w:r>
      <w:r w:rsidRPr="00342885">
        <w:rPr>
          <w:rFonts w:ascii="Arial" w:hAnsi="Arial" w:cs="Arial"/>
          <w:sz w:val="22"/>
          <w:szCs w:val="22"/>
          <w:lang w:val="es-CO"/>
        </w:rPr>
        <w:t xml:space="preserve"> se solicitó información para el seguimiento del Plan de Desempeño a la Entidad Territorial</w:t>
      </w:r>
      <w:r w:rsidR="004E2993">
        <w:rPr>
          <w:rFonts w:ascii="Arial" w:hAnsi="Arial" w:cs="Arial"/>
          <w:sz w:val="22"/>
          <w:szCs w:val="22"/>
          <w:lang w:val="es-CO"/>
        </w:rPr>
        <w:t>;</w:t>
      </w:r>
      <w:r w:rsidRPr="00342885">
        <w:rPr>
          <w:rFonts w:ascii="Arial" w:hAnsi="Arial" w:cs="Arial"/>
          <w:sz w:val="22"/>
          <w:szCs w:val="22"/>
          <w:lang w:val="es-CO"/>
        </w:rPr>
        <w:t xml:space="preserve"> </w:t>
      </w:r>
      <w:r w:rsidR="00E13776">
        <w:rPr>
          <w:rFonts w:ascii="Arial" w:hAnsi="Arial" w:cs="Arial"/>
          <w:sz w:val="22"/>
          <w:szCs w:val="22"/>
          <w:lang w:val="es-CO"/>
        </w:rPr>
        <w:t xml:space="preserve">frente a lo cual, </w:t>
      </w:r>
      <w:r w:rsidRPr="00342885">
        <w:rPr>
          <w:rFonts w:ascii="Arial" w:hAnsi="Arial" w:cs="Arial"/>
          <w:sz w:val="22"/>
          <w:szCs w:val="22"/>
          <w:lang w:val="es-CO"/>
        </w:rPr>
        <w:t xml:space="preserve">el Distrito remitió la información mediante </w:t>
      </w:r>
      <w:r w:rsidR="004E2993">
        <w:rPr>
          <w:rFonts w:ascii="Arial" w:hAnsi="Arial" w:cs="Arial"/>
          <w:sz w:val="22"/>
          <w:szCs w:val="22"/>
          <w:lang w:val="es-CO"/>
        </w:rPr>
        <w:t>el</w:t>
      </w:r>
      <w:r w:rsidRPr="00342885">
        <w:rPr>
          <w:rFonts w:ascii="Arial" w:hAnsi="Arial" w:cs="Arial"/>
          <w:sz w:val="22"/>
          <w:szCs w:val="22"/>
          <w:lang w:val="es-CO"/>
        </w:rPr>
        <w:t xml:space="preserve"> oficio con radicado No. 1-2022-</w:t>
      </w:r>
      <w:r w:rsidR="007A734E">
        <w:rPr>
          <w:rFonts w:ascii="Arial" w:hAnsi="Arial" w:cs="Arial"/>
          <w:sz w:val="22"/>
          <w:szCs w:val="22"/>
          <w:lang w:val="es-CO"/>
        </w:rPr>
        <w:t>047862</w:t>
      </w:r>
      <w:r w:rsidRPr="00342885">
        <w:rPr>
          <w:rFonts w:ascii="Arial" w:hAnsi="Arial" w:cs="Arial"/>
          <w:sz w:val="22"/>
          <w:szCs w:val="22"/>
          <w:lang w:val="es-CO"/>
        </w:rPr>
        <w:t xml:space="preserve"> </w:t>
      </w:r>
      <w:r w:rsidR="004E2993">
        <w:rPr>
          <w:rFonts w:ascii="Arial" w:hAnsi="Arial" w:cs="Arial"/>
          <w:sz w:val="22"/>
          <w:szCs w:val="22"/>
          <w:lang w:val="es-CO"/>
        </w:rPr>
        <w:t>del 16 de junio de 2022.</w:t>
      </w:r>
      <w:r w:rsidR="00BF654B">
        <w:rPr>
          <w:rFonts w:ascii="Arial" w:hAnsi="Arial" w:cs="Arial"/>
          <w:sz w:val="22"/>
          <w:szCs w:val="22"/>
          <w:lang w:val="es-CO"/>
        </w:rPr>
        <w:t xml:space="preserve"> Así mismo, </w:t>
      </w:r>
      <w:r w:rsidR="00B1253E">
        <w:rPr>
          <w:rFonts w:ascii="Arial" w:hAnsi="Arial" w:cs="Arial"/>
          <w:sz w:val="22"/>
          <w:szCs w:val="22"/>
          <w:lang w:val="es-CO"/>
        </w:rPr>
        <w:t xml:space="preserve">esta Dirección </w:t>
      </w:r>
      <w:r w:rsidR="00BF654B">
        <w:rPr>
          <w:rFonts w:ascii="Arial" w:hAnsi="Arial" w:cs="Arial"/>
          <w:sz w:val="22"/>
          <w:szCs w:val="22"/>
          <w:lang w:val="es-CO"/>
        </w:rPr>
        <w:t>llevó a cabo visita</w:t>
      </w:r>
      <w:r w:rsidR="00EA6418">
        <w:rPr>
          <w:rFonts w:ascii="Arial" w:hAnsi="Arial" w:cs="Arial"/>
          <w:sz w:val="22"/>
          <w:szCs w:val="22"/>
          <w:lang w:val="es-CO"/>
        </w:rPr>
        <w:t xml:space="preserve"> de</w:t>
      </w:r>
      <w:r w:rsidR="004900A0">
        <w:rPr>
          <w:rFonts w:ascii="Arial" w:hAnsi="Arial" w:cs="Arial"/>
          <w:sz w:val="22"/>
          <w:szCs w:val="22"/>
          <w:lang w:val="es-CO"/>
        </w:rPr>
        <w:t xml:space="preserve"> </w:t>
      </w:r>
      <w:r w:rsidR="00B1253E">
        <w:rPr>
          <w:rFonts w:ascii="Arial" w:hAnsi="Arial" w:cs="Arial"/>
          <w:sz w:val="22"/>
          <w:szCs w:val="22"/>
          <w:lang w:val="es-CO"/>
        </w:rPr>
        <w:t>seguimiento</w:t>
      </w:r>
      <w:r w:rsidR="00EA6418">
        <w:rPr>
          <w:rFonts w:ascii="Arial" w:hAnsi="Arial" w:cs="Arial"/>
          <w:sz w:val="22"/>
          <w:szCs w:val="22"/>
          <w:lang w:val="es-CO"/>
        </w:rPr>
        <w:t xml:space="preserve"> d</w:t>
      </w:r>
      <w:r w:rsidR="00E01139">
        <w:rPr>
          <w:rFonts w:ascii="Arial" w:hAnsi="Arial" w:cs="Arial"/>
          <w:sz w:val="22"/>
          <w:szCs w:val="22"/>
          <w:lang w:val="es-CO"/>
        </w:rPr>
        <w:t>el 3 al 5 de agosto de 2022, en la cual se visit</w:t>
      </w:r>
      <w:r w:rsidR="007B454A">
        <w:rPr>
          <w:rFonts w:ascii="Arial" w:hAnsi="Arial" w:cs="Arial"/>
          <w:sz w:val="22"/>
          <w:szCs w:val="22"/>
          <w:lang w:val="es-CO"/>
        </w:rPr>
        <w:t>aron</w:t>
      </w:r>
      <w:r w:rsidR="00E01139">
        <w:rPr>
          <w:rFonts w:ascii="Arial" w:hAnsi="Arial" w:cs="Arial"/>
          <w:sz w:val="22"/>
          <w:szCs w:val="22"/>
          <w:lang w:val="es-CO"/>
        </w:rPr>
        <w:t xml:space="preserve"> </w:t>
      </w:r>
      <w:r w:rsidR="000856CC">
        <w:rPr>
          <w:rFonts w:ascii="Arial" w:hAnsi="Arial" w:cs="Arial"/>
          <w:sz w:val="22"/>
          <w:szCs w:val="22"/>
          <w:lang w:val="es-CO"/>
        </w:rPr>
        <w:t>diferentes planteles educativos, donde se pudo constatar la prestación del servicio a través de las modalidades: i) Ración Preparada en Sitio</w:t>
      </w:r>
      <w:r w:rsidR="00E13776">
        <w:rPr>
          <w:rFonts w:ascii="Arial" w:hAnsi="Arial" w:cs="Arial"/>
          <w:sz w:val="22"/>
          <w:szCs w:val="22"/>
          <w:lang w:val="es-CO"/>
        </w:rPr>
        <w:t xml:space="preserve"> - RPC</w:t>
      </w:r>
      <w:r w:rsidR="000856CC">
        <w:rPr>
          <w:rFonts w:ascii="Arial" w:hAnsi="Arial" w:cs="Arial"/>
          <w:sz w:val="22"/>
          <w:szCs w:val="22"/>
          <w:lang w:val="es-CO"/>
        </w:rPr>
        <w:t xml:space="preserve"> y ii) </w:t>
      </w:r>
      <w:r w:rsidR="00E13776">
        <w:rPr>
          <w:rFonts w:ascii="Arial" w:hAnsi="Arial" w:cs="Arial"/>
          <w:sz w:val="22"/>
          <w:szCs w:val="22"/>
          <w:lang w:val="es-CO"/>
        </w:rPr>
        <w:t>r</w:t>
      </w:r>
      <w:r w:rsidR="000856CC">
        <w:rPr>
          <w:rFonts w:ascii="Arial" w:hAnsi="Arial" w:cs="Arial"/>
          <w:sz w:val="22"/>
          <w:szCs w:val="22"/>
          <w:lang w:val="es-CO"/>
        </w:rPr>
        <w:t xml:space="preserve">ación </w:t>
      </w:r>
      <w:r w:rsidR="00E13776">
        <w:rPr>
          <w:rFonts w:ascii="Arial" w:hAnsi="Arial" w:cs="Arial"/>
          <w:sz w:val="22"/>
          <w:szCs w:val="22"/>
          <w:lang w:val="es-CO"/>
        </w:rPr>
        <w:t>i</w:t>
      </w:r>
      <w:r w:rsidR="000856CC">
        <w:rPr>
          <w:rFonts w:ascii="Arial" w:hAnsi="Arial" w:cs="Arial"/>
          <w:sz w:val="22"/>
          <w:szCs w:val="22"/>
          <w:lang w:val="es-CO"/>
        </w:rPr>
        <w:t>ndustrializada.</w:t>
      </w:r>
    </w:p>
    <w:p w14:paraId="60D3D96A" w14:textId="77777777" w:rsidR="007E4C03" w:rsidRPr="006021DA" w:rsidRDefault="007E4C03" w:rsidP="00835F25">
      <w:pPr>
        <w:contextualSpacing/>
        <w:jc w:val="both"/>
        <w:rPr>
          <w:rFonts w:ascii="Arial" w:eastAsia="Calibri" w:hAnsi="Arial" w:cs="Arial"/>
          <w:sz w:val="22"/>
          <w:szCs w:val="22"/>
          <w:lang w:val="es-CO" w:eastAsia="en-US"/>
        </w:rPr>
      </w:pPr>
    </w:p>
    <w:p w14:paraId="3A489C23" w14:textId="77777777" w:rsidR="007E4C03" w:rsidRPr="006021DA" w:rsidRDefault="007E4C03" w:rsidP="00835F25">
      <w:pPr>
        <w:spacing w:before="100" w:beforeAutospacing="1" w:after="100" w:afterAutospacing="1"/>
        <w:contextualSpacing/>
        <w:jc w:val="both"/>
        <w:textAlignment w:val="baseline"/>
        <w:rPr>
          <w:rFonts w:ascii="Arial" w:eastAsia="Calibri" w:hAnsi="Arial" w:cs="Arial"/>
          <w:sz w:val="22"/>
          <w:szCs w:val="22"/>
          <w:lang w:val="es-CO" w:eastAsia="en-US"/>
        </w:rPr>
      </w:pPr>
      <w:r w:rsidRPr="006021DA">
        <w:rPr>
          <w:rFonts w:ascii="Arial" w:eastAsia="Calibri" w:hAnsi="Arial" w:cs="Arial"/>
          <w:sz w:val="22"/>
          <w:szCs w:val="22"/>
          <w:lang w:val="es-CO" w:eastAsia="en-US"/>
        </w:rPr>
        <w:t>A continuación, se presentan los resultados de</w:t>
      </w:r>
      <w:r w:rsidR="00581236">
        <w:rPr>
          <w:rFonts w:ascii="Arial" w:eastAsia="Calibri" w:hAnsi="Arial" w:cs="Arial"/>
          <w:sz w:val="22"/>
          <w:szCs w:val="22"/>
          <w:lang w:val="es-CO" w:eastAsia="en-US"/>
        </w:rPr>
        <w:t>l primer informe de seguimiento de</w:t>
      </w:r>
      <w:r w:rsidRPr="006021DA">
        <w:rPr>
          <w:rFonts w:ascii="Arial" w:eastAsia="Calibri" w:hAnsi="Arial" w:cs="Arial"/>
          <w:sz w:val="22"/>
          <w:szCs w:val="22"/>
          <w:lang w:val="es-CO" w:eastAsia="en-US"/>
        </w:rPr>
        <w:t xml:space="preserve"> cada una de las acciones realizadas por la Entidad Territorial para el </w:t>
      </w:r>
      <w:r w:rsidR="004D2959" w:rsidRPr="006021DA">
        <w:rPr>
          <w:rFonts w:ascii="Arial" w:eastAsia="Calibri" w:hAnsi="Arial" w:cs="Arial"/>
          <w:sz w:val="22"/>
          <w:szCs w:val="22"/>
          <w:lang w:val="es-CO" w:eastAsia="en-US"/>
        </w:rPr>
        <w:t>seguimiento del Plan de Desempeño</w:t>
      </w:r>
      <w:r w:rsidRPr="006021DA">
        <w:rPr>
          <w:rFonts w:ascii="Arial" w:eastAsia="Calibri" w:hAnsi="Arial" w:cs="Arial"/>
          <w:sz w:val="22"/>
          <w:szCs w:val="22"/>
          <w:lang w:val="es-CO" w:eastAsia="en-US"/>
        </w:rPr>
        <w:t>.</w:t>
      </w:r>
      <w:r w:rsidR="00C04575">
        <w:rPr>
          <w:rFonts w:ascii="Arial" w:eastAsia="Calibri" w:hAnsi="Arial" w:cs="Arial"/>
          <w:sz w:val="22"/>
          <w:szCs w:val="22"/>
          <w:lang w:val="es-CO" w:eastAsia="en-US"/>
        </w:rPr>
        <w:t xml:space="preserve"> </w:t>
      </w:r>
      <w:r w:rsidR="00E13776">
        <w:rPr>
          <w:rFonts w:ascii="Arial" w:eastAsia="Calibri" w:hAnsi="Arial" w:cs="Arial"/>
          <w:sz w:val="22"/>
          <w:szCs w:val="22"/>
          <w:lang w:val="es-CO" w:eastAsia="en-US"/>
        </w:rPr>
        <w:t>En relación con lo anterior, se hace necesario resaltar que para el desarrollo d</w:t>
      </w:r>
      <w:r w:rsidR="00C04575">
        <w:rPr>
          <w:rFonts w:ascii="Arial" w:eastAsia="Calibri" w:hAnsi="Arial" w:cs="Arial"/>
          <w:sz w:val="22"/>
          <w:szCs w:val="22"/>
          <w:lang w:val="es-CO" w:eastAsia="en-US"/>
        </w:rPr>
        <w:t>el Diagn</w:t>
      </w:r>
      <w:r w:rsidR="00687DAC">
        <w:rPr>
          <w:rFonts w:ascii="Arial" w:eastAsia="Calibri" w:hAnsi="Arial" w:cs="Arial"/>
          <w:sz w:val="22"/>
          <w:szCs w:val="22"/>
          <w:lang w:val="es-CO" w:eastAsia="en-US"/>
        </w:rPr>
        <w:t>ó</w:t>
      </w:r>
      <w:r w:rsidR="00C04575">
        <w:rPr>
          <w:rFonts w:ascii="Arial" w:eastAsia="Calibri" w:hAnsi="Arial" w:cs="Arial"/>
          <w:sz w:val="22"/>
          <w:szCs w:val="22"/>
          <w:lang w:val="es-CO" w:eastAsia="en-US"/>
        </w:rPr>
        <w:t xml:space="preserve">stico </w:t>
      </w:r>
      <w:r w:rsidR="00E13776">
        <w:rPr>
          <w:rFonts w:ascii="Arial" w:eastAsia="Calibri" w:hAnsi="Arial" w:cs="Arial"/>
          <w:sz w:val="22"/>
          <w:szCs w:val="22"/>
          <w:lang w:val="es-CO" w:eastAsia="en-US"/>
        </w:rPr>
        <w:t>que dio origen a la Medida</w:t>
      </w:r>
      <w:r w:rsidR="00581236">
        <w:rPr>
          <w:rFonts w:ascii="Arial" w:eastAsia="Calibri" w:hAnsi="Arial" w:cs="Arial"/>
          <w:sz w:val="22"/>
          <w:szCs w:val="22"/>
          <w:lang w:val="es-CO" w:eastAsia="en-US"/>
        </w:rPr>
        <w:t xml:space="preserve"> </w:t>
      </w:r>
      <w:r w:rsidR="00C04575">
        <w:rPr>
          <w:rFonts w:ascii="Arial" w:eastAsia="Calibri" w:hAnsi="Arial" w:cs="Arial"/>
          <w:sz w:val="22"/>
          <w:szCs w:val="22"/>
          <w:lang w:val="es-CO" w:eastAsia="en-US"/>
        </w:rPr>
        <w:t xml:space="preserve">se </w:t>
      </w:r>
      <w:r w:rsidR="00E13776">
        <w:rPr>
          <w:rFonts w:ascii="Arial" w:eastAsia="Calibri" w:hAnsi="Arial" w:cs="Arial"/>
          <w:sz w:val="22"/>
          <w:szCs w:val="22"/>
          <w:lang w:val="es-CO" w:eastAsia="en-US"/>
        </w:rPr>
        <w:t xml:space="preserve">llevó a cabo la revisión de </w:t>
      </w:r>
      <w:r w:rsidR="00C04575">
        <w:rPr>
          <w:rFonts w:ascii="Arial" w:eastAsia="Calibri" w:hAnsi="Arial" w:cs="Arial"/>
          <w:sz w:val="22"/>
          <w:szCs w:val="22"/>
          <w:lang w:val="es-CO" w:eastAsia="en-US"/>
        </w:rPr>
        <w:t xml:space="preserve">información </w:t>
      </w:r>
      <w:r w:rsidR="00E13776">
        <w:rPr>
          <w:rFonts w:ascii="Arial" w:eastAsia="Calibri" w:hAnsi="Arial" w:cs="Arial"/>
          <w:sz w:val="22"/>
          <w:szCs w:val="22"/>
          <w:lang w:val="es-CO" w:eastAsia="en-US"/>
        </w:rPr>
        <w:t>con corte</w:t>
      </w:r>
      <w:r w:rsidR="00C04575">
        <w:rPr>
          <w:rFonts w:ascii="Arial" w:eastAsia="Calibri" w:hAnsi="Arial" w:cs="Arial"/>
          <w:sz w:val="22"/>
          <w:szCs w:val="22"/>
          <w:lang w:val="es-CO" w:eastAsia="en-US"/>
        </w:rPr>
        <w:t xml:space="preserve"> 31 de diciembre de 2020</w:t>
      </w:r>
      <w:r w:rsidRPr="006021DA">
        <w:rPr>
          <w:rFonts w:ascii="Arial" w:eastAsia="Calibri" w:hAnsi="Arial" w:cs="Arial"/>
          <w:sz w:val="22"/>
          <w:szCs w:val="22"/>
          <w:lang w:val="es-CO" w:eastAsia="en-US"/>
        </w:rPr>
        <w:t>.</w:t>
      </w:r>
    </w:p>
    <w:p w14:paraId="0E9AC262" w14:textId="77777777" w:rsidR="008F095B" w:rsidRPr="006021DA" w:rsidRDefault="008F095B" w:rsidP="00835F25">
      <w:pPr>
        <w:pStyle w:val="Ttulo1"/>
        <w:numPr>
          <w:ilvl w:val="0"/>
          <w:numId w:val="8"/>
        </w:numPr>
        <w:spacing w:line="240" w:lineRule="auto"/>
        <w:contextualSpacing/>
        <w:rPr>
          <w:rFonts w:ascii="Arial" w:hAnsi="Arial" w:cs="Arial"/>
          <w:color w:val="auto"/>
        </w:rPr>
      </w:pPr>
      <w:bookmarkStart w:id="1" w:name="_Toc487631194"/>
      <w:r w:rsidRPr="006021DA">
        <w:rPr>
          <w:rFonts w:ascii="Arial" w:hAnsi="Arial" w:cs="Arial"/>
          <w:color w:val="auto"/>
        </w:rPr>
        <w:t>CARACTERIZACIÓN</w:t>
      </w:r>
      <w:bookmarkEnd w:id="1"/>
      <w:r w:rsidR="00B50FB1" w:rsidRPr="006021DA">
        <w:rPr>
          <w:rFonts w:ascii="Arial" w:hAnsi="Arial" w:cs="Arial"/>
          <w:color w:val="auto"/>
        </w:rPr>
        <w:t>.</w:t>
      </w:r>
    </w:p>
    <w:p w14:paraId="621FF102" w14:textId="77777777" w:rsidR="00E13776" w:rsidRDefault="00E13776" w:rsidP="00835F25">
      <w:pPr>
        <w:pStyle w:val="Sinespaciado"/>
        <w:contextualSpacing/>
        <w:rPr>
          <w:rFonts w:ascii="Arial" w:hAnsi="Arial" w:cs="Arial"/>
          <w:lang w:val="es-ES_tradnl"/>
        </w:rPr>
      </w:pPr>
      <w:bookmarkStart w:id="2" w:name="_Toc487633305"/>
    </w:p>
    <w:p w14:paraId="7E6DB789" w14:textId="77777777" w:rsidR="00EE0320" w:rsidRPr="0060366A" w:rsidRDefault="00A32C02" w:rsidP="00835F25">
      <w:pPr>
        <w:pStyle w:val="Sinespaciado"/>
        <w:contextualSpacing/>
      </w:pPr>
      <w:r w:rsidRPr="006021DA">
        <w:rPr>
          <w:rFonts w:ascii="Arial" w:hAnsi="Arial" w:cs="Arial"/>
          <w:lang w:val="es-ES_tradnl"/>
        </w:rPr>
        <w:t xml:space="preserve">El </w:t>
      </w:r>
      <w:r w:rsidR="00EE5CCE" w:rsidRPr="00EE5CCE">
        <w:rPr>
          <w:rFonts w:ascii="Arial" w:hAnsi="Arial" w:cs="Arial"/>
          <w:lang w:val="es-ES_tradnl"/>
        </w:rPr>
        <w:t xml:space="preserve">Distrito Turístico y Cultural de Cartagena de Indias </w:t>
      </w:r>
      <w:r w:rsidR="00EE5CCE">
        <w:rPr>
          <w:rFonts w:ascii="Arial" w:hAnsi="Arial" w:cs="Arial"/>
          <w:lang w:val="es-ES_tradnl"/>
        </w:rPr>
        <w:t>tiene</w:t>
      </w:r>
      <w:r w:rsidR="00EE5CCE" w:rsidRPr="00EE5CCE">
        <w:rPr>
          <w:rFonts w:ascii="Arial" w:hAnsi="Arial" w:cs="Arial"/>
          <w:lang w:val="es-ES_tradnl"/>
        </w:rPr>
        <w:t xml:space="preserve"> </w:t>
      </w:r>
      <w:r w:rsidR="00581236">
        <w:rPr>
          <w:rFonts w:ascii="Arial" w:hAnsi="Arial" w:cs="Arial"/>
          <w:lang w:val="es-ES_tradnl"/>
        </w:rPr>
        <w:t>C</w:t>
      </w:r>
      <w:r w:rsidR="00EE5CCE" w:rsidRPr="00EE5CCE">
        <w:rPr>
          <w:rFonts w:ascii="Arial" w:hAnsi="Arial" w:cs="Arial"/>
          <w:lang w:val="es-ES_tradnl"/>
        </w:rPr>
        <w:t xml:space="preserve">ategoría </w:t>
      </w:r>
      <w:r w:rsidR="00581236">
        <w:rPr>
          <w:rFonts w:ascii="Arial" w:hAnsi="Arial" w:cs="Arial"/>
          <w:lang w:val="es-ES_tradnl"/>
        </w:rPr>
        <w:t>E</w:t>
      </w:r>
      <w:r w:rsidR="00581236" w:rsidRPr="00EE5CCE">
        <w:rPr>
          <w:rFonts w:ascii="Arial" w:hAnsi="Arial" w:cs="Arial"/>
          <w:lang w:val="es-ES_tradnl"/>
        </w:rPr>
        <w:t>special</w:t>
      </w:r>
      <w:r w:rsidR="00EE5CCE">
        <w:rPr>
          <w:rFonts w:ascii="Arial" w:hAnsi="Arial" w:cs="Arial"/>
          <w:lang w:val="es-ES_tradnl"/>
        </w:rPr>
        <w:t xml:space="preserve">, está </w:t>
      </w:r>
      <w:r w:rsidR="00EE5CCE" w:rsidRPr="00EE5CCE">
        <w:rPr>
          <w:rFonts w:ascii="Arial" w:hAnsi="Arial" w:cs="Arial"/>
          <w:lang w:val="es-ES_tradnl"/>
        </w:rPr>
        <w:t xml:space="preserve">ubicado al norte del Departamento de Bolívar, siendo la capital del Departamento. </w:t>
      </w:r>
      <w:r w:rsidR="00C3174A">
        <w:rPr>
          <w:rFonts w:ascii="Arial" w:hAnsi="Arial" w:cs="Arial"/>
          <w:lang w:val="es-ES_tradnl"/>
        </w:rPr>
        <w:t>L</w:t>
      </w:r>
      <w:r w:rsidR="00EE5CCE" w:rsidRPr="00EE5CCE">
        <w:rPr>
          <w:rFonts w:ascii="Arial" w:hAnsi="Arial" w:cs="Arial"/>
          <w:lang w:val="es-ES_tradnl"/>
        </w:rPr>
        <w:t xml:space="preserve">a información básica de esta Entidad Territorial </w:t>
      </w:r>
      <w:r w:rsidR="00C3174A" w:rsidRPr="00E50F2B">
        <w:rPr>
          <w:rFonts w:ascii="Arial" w:hAnsi="Arial" w:cs="Arial"/>
        </w:rPr>
        <w:t xml:space="preserve">y su ubicación geográfica </w:t>
      </w:r>
      <w:r w:rsidR="00C3174A" w:rsidRPr="003567CA">
        <w:rPr>
          <w:rFonts w:ascii="Arial" w:hAnsi="Arial" w:cs="Arial"/>
        </w:rPr>
        <w:t xml:space="preserve">se muestra en la </w:t>
      </w:r>
      <w:r w:rsidR="00C3174A" w:rsidRPr="006833ED">
        <w:rPr>
          <w:rFonts w:ascii="Arial" w:hAnsi="Arial" w:cs="Arial"/>
        </w:rPr>
        <w:t>Tabla 1</w:t>
      </w:r>
      <w:r w:rsidR="00C3174A" w:rsidRPr="006833ED">
        <w:t>.</w:t>
      </w:r>
    </w:p>
    <w:p w14:paraId="5226EC7E" w14:textId="77777777" w:rsidR="00A32C02" w:rsidRPr="006021DA" w:rsidRDefault="00A32C02" w:rsidP="00835F25">
      <w:pPr>
        <w:spacing w:before="100" w:beforeAutospacing="1" w:after="100" w:afterAutospacing="1"/>
        <w:contextualSpacing/>
        <w:jc w:val="both"/>
        <w:textAlignment w:val="baseline"/>
        <w:rPr>
          <w:rFonts w:ascii="Arial" w:eastAsia="Calibri" w:hAnsi="Arial" w:cs="Arial"/>
          <w:sz w:val="22"/>
          <w:szCs w:val="22"/>
          <w:lang w:val="es-CO" w:eastAsia="en-US"/>
        </w:rPr>
      </w:pPr>
    </w:p>
    <w:p w14:paraId="3A4B8301" w14:textId="77777777" w:rsidR="00A337D2" w:rsidRPr="007A3FF3" w:rsidRDefault="00C3174A" w:rsidP="00835F25">
      <w:pPr>
        <w:keepNext/>
        <w:contextualSpacing/>
        <w:jc w:val="center"/>
        <w:rPr>
          <w:rFonts w:ascii="Arial" w:eastAsia="Calibri" w:hAnsi="Arial" w:cs="Arial"/>
          <w:b/>
          <w:i/>
          <w:iCs/>
          <w:color w:val="1F497D" w:themeColor="text2"/>
          <w:sz w:val="20"/>
          <w:szCs w:val="22"/>
          <w:lang w:val="es-CO" w:eastAsia="en-US"/>
        </w:rPr>
      </w:pPr>
      <w:r>
        <w:rPr>
          <w:rFonts w:ascii="Arial" w:eastAsia="Calibri" w:hAnsi="Arial" w:cs="Arial"/>
          <w:b/>
          <w:i/>
          <w:iCs/>
          <w:color w:val="1F497D" w:themeColor="text2"/>
          <w:sz w:val="20"/>
          <w:szCs w:val="22"/>
          <w:lang w:val="es-CO" w:eastAsia="en-US"/>
        </w:rPr>
        <w:t>Tabla</w:t>
      </w:r>
      <w:r w:rsidRPr="007A3FF3">
        <w:rPr>
          <w:rFonts w:ascii="Arial" w:eastAsia="Calibri" w:hAnsi="Arial" w:cs="Arial"/>
          <w:b/>
          <w:i/>
          <w:iCs/>
          <w:color w:val="1F497D" w:themeColor="text2"/>
          <w:sz w:val="20"/>
          <w:szCs w:val="22"/>
          <w:lang w:val="es-CO" w:eastAsia="en-US"/>
        </w:rPr>
        <w:t xml:space="preserve"> </w:t>
      </w:r>
      <w:r w:rsidR="00980ED4" w:rsidRPr="00980ED4">
        <w:rPr>
          <w:rFonts w:ascii="Arial" w:hAnsi="Arial" w:cs="Arial"/>
          <w:b/>
          <w:bCs/>
          <w:color w:val="1F497D" w:themeColor="text2"/>
          <w:sz w:val="20"/>
          <w:szCs w:val="20"/>
        </w:rPr>
        <w:fldChar w:fldCharType="begin"/>
      </w:r>
      <w:r w:rsidR="00980ED4" w:rsidRPr="00980ED4">
        <w:rPr>
          <w:rFonts w:ascii="Arial" w:hAnsi="Arial" w:cs="Arial"/>
          <w:b/>
          <w:bCs/>
          <w:color w:val="1F497D" w:themeColor="text2"/>
          <w:sz w:val="20"/>
          <w:szCs w:val="20"/>
        </w:rPr>
        <w:instrText xml:space="preserve"> SEQ Ilustración \* ARABIC </w:instrText>
      </w:r>
      <w:r w:rsidR="00980ED4" w:rsidRPr="00980ED4">
        <w:rPr>
          <w:rFonts w:ascii="Arial" w:hAnsi="Arial" w:cs="Arial"/>
          <w:b/>
          <w:bCs/>
          <w:color w:val="1F497D" w:themeColor="text2"/>
          <w:sz w:val="20"/>
          <w:szCs w:val="20"/>
        </w:rPr>
        <w:fldChar w:fldCharType="separate"/>
      </w:r>
      <w:r w:rsidR="00980ED4" w:rsidRPr="00980ED4">
        <w:rPr>
          <w:rFonts w:ascii="Arial" w:hAnsi="Arial" w:cs="Arial"/>
          <w:b/>
          <w:bCs/>
          <w:noProof/>
          <w:color w:val="1F497D" w:themeColor="text2"/>
          <w:sz w:val="20"/>
          <w:szCs w:val="20"/>
        </w:rPr>
        <w:t>1</w:t>
      </w:r>
      <w:r w:rsidR="00980ED4" w:rsidRPr="00980ED4">
        <w:rPr>
          <w:rFonts w:ascii="Arial" w:hAnsi="Arial" w:cs="Arial"/>
          <w:b/>
          <w:bCs/>
          <w:color w:val="1F497D" w:themeColor="text2"/>
          <w:sz w:val="20"/>
          <w:szCs w:val="20"/>
        </w:rPr>
        <w:fldChar w:fldCharType="end"/>
      </w:r>
      <w:r w:rsidR="00A337D2" w:rsidRPr="007A3FF3">
        <w:rPr>
          <w:rFonts w:ascii="Arial" w:eastAsia="Calibri" w:hAnsi="Arial" w:cs="Arial"/>
          <w:b/>
          <w:i/>
          <w:iCs/>
          <w:color w:val="1F497D" w:themeColor="text2"/>
          <w:sz w:val="20"/>
          <w:szCs w:val="22"/>
          <w:lang w:val="es-CO" w:eastAsia="en-US"/>
        </w:rPr>
        <w:t xml:space="preserve"> Caracterización básica del </w:t>
      </w:r>
      <w:r w:rsidR="00CE4FD2" w:rsidRPr="007A3FF3">
        <w:rPr>
          <w:rFonts w:ascii="Arial" w:eastAsia="Calibri" w:hAnsi="Arial" w:cs="Arial"/>
          <w:b/>
          <w:i/>
          <w:iCs/>
          <w:color w:val="1F497D" w:themeColor="text2"/>
          <w:sz w:val="20"/>
          <w:szCs w:val="22"/>
          <w:lang w:val="es-CO" w:eastAsia="en-US"/>
        </w:rPr>
        <w:t xml:space="preserve">Distrito de </w:t>
      </w:r>
      <w:r w:rsidR="00C60727" w:rsidRPr="007A3FF3">
        <w:rPr>
          <w:rFonts w:ascii="Arial" w:eastAsia="Calibri" w:hAnsi="Arial" w:cs="Arial"/>
          <w:b/>
          <w:i/>
          <w:iCs/>
          <w:color w:val="1F497D" w:themeColor="text2"/>
          <w:sz w:val="20"/>
          <w:szCs w:val="22"/>
          <w:lang w:val="es-CO" w:eastAsia="en-US"/>
        </w:rPr>
        <w:t>Cartagena de Indias - Bolívar</w:t>
      </w:r>
      <w:r w:rsidR="00CE4FD2" w:rsidRPr="007A3FF3">
        <w:rPr>
          <w:rFonts w:ascii="Arial" w:eastAsia="Calibri" w:hAnsi="Arial" w:cs="Arial"/>
          <w:b/>
          <w:i/>
          <w:iCs/>
          <w:color w:val="1F497D" w:themeColor="text2"/>
          <w:sz w:val="20"/>
          <w:szCs w:val="22"/>
          <w:lang w:val="es-CO" w:eastAsia="en-US"/>
        </w:rPr>
        <w:t>.</w:t>
      </w:r>
    </w:p>
    <w:tbl>
      <w:tblPr>
        <w:tblW w:w="11260" w:type="dxa"/>
        <w:jc w:val="center"/>
        <w:tblCellMar>
          <w:left w:w="70" w:type="dxa"/>
          <w:right w:w="70" w:type="dxa"/>
        </w:tblCellMar>
        <w:tblLook w:val="04A0" w:firstRow="1" w:lastRow="0" w:firstColumn="1" w:lastColumn="0" w:noHBand="0" w:noVBand="1"/>
      </w:tblPr>
      <w:tblGrid>
        <w:gridCol w:w="4460"/>
        <w:gridCol w:w="476"/>
        <w:gridCol w:w="2800"/>
        <w:gridCol w:w="852"/>
        <w:gridCol w:w="692"/>
        <w:gridCol w:w="660"/>
        <w:gridCol w:w="660"/>
        <w:gridCol w:w="660"/>
      </w:tblGrid>
      <w:tr w:rsidR="00240656" w:rsidRPr="00240656" w14:paraId="55C52105" w14:textId="77777777" w:rsidTr="00687DAC">
        <w:trPr>
          <w:trHeight w:val="345"/>
          <w:jc w:val="center"/>
        </w:trPr>
        <w:tc>
          <w:tcPr>
            <w:tcW w:w="4460" w:type="dxa"/>
            <w:vMerge w:val="restart"/>
            <w:tcBorders>
              <w:top w:val="single" w:sz="4" w:space="0" w:color="4472C4"/>
              <w:left w:val="single" w:sz="4" w:space="0" w:color="4472C4"/>
              <w:bottom w:val="single" w:sz="4" w:space="0" w:color="4472C4"/>
              <w:right w:val="single" w:sz="4" w:space="0" w:color="4472C4"/>
            </w:tcBorders>
            <w:shd w:val="clear" w:color="000000" w:fill="D6DCE4"/>
            <w:vAlign w:val="center"/>
            <w:hideMark/>
          </w:tcPr>
          <w:p w14:paraId="7DED800C" w14:textId="77777777" w:rsidR="00240656" w:rsidRPr="00240656" w:rsidRDefault="005D73B6" w:rsidP="00835F25">
            <w:pPr>
              <w:contextualSpacing/>
              <w:jc w:val="center"/>
              <w:rPr>
                <w:rFonts w:ascii="Arial" w:eastAsia="Times New Roman" w:hAnsi="Arial" w:cs="Arial"/>
                <w:color w:val="000000"/>
                <w:sz w:val="16"/>
                <w:szCs w:val="16"/>
                <w:lang w:val="es-CO" w:eastAsia="es-CO"/>
              </w:rPr>
            </w:pPr>
            <w:r w:rsidRPr="002C26F8">
              <w:rPr>
                <w:noProof/>
                <w:lang w:val="es-CO" w:eastAsia="es-CO"/>
              </w:rPr>
              <w:drawing>
                <wp:inline distT="0" distB="0" distL="0" distR="0" wp14:anchorId="2BD331E0" wp14:editId="47CCF6E3">
                  <wp:extent cx="2736000" cy="2628000"/>
                  <wp:effectExtent l="0" t="0" r="7620" b="1270"/>
                  <wp:docPr id="13" name="Imagen 12">
                    <a:extLst xmlns:a="http://schemas.openxmlformats.org/drawingml/2006/main">
                      <a:ext uri="{FF2B5EF4-FFF2-40B4-BE49-F238E27FC236}">
                        <a16:creationId xmlns:a16="http://schemas.microsoft.com/office/drawing/2014/main" id="{D095E183-0176-414D-BE28-9F9FE6CA8E01}"/>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D095E183-0176-414D-BE28-9F9FE6CA8E0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000" cy="2628000"/>
                          </a:xfrm>
                          <a:prstGeom prst="rect">
                            <a:avLst/>
                          </a:prstGeom>
                          <a:noFill/>
                          <a:ln>
                            <a:noFill/>
                          </a:ln>
                        </pic:spPr>
                      </pic:pic>
                    </a:graphicData>
                  </a:graphic>
                </wp:inline>
              </w:drawing>
            </w:r>
          </w:p>
        </w:tc>
        <w:tc>
          <w:tcPr>
            <w:tcW w:w="476" w:type="dxa"/>
            <w:vMerge w:val="restart"/>
            <w:tcBorders>
              <w:top w:val="single" w:sz="4" w:space="0" w:color="4472C4"/>
              <w:left w:val="nil"/>
              <w:bottom w:val="nil"/>
              <w:right w:val="nil"/>
            </w:tcBorders>
            <w:shd w:val="clear" w:color="000000" w:fill="FFFFFF"/>
            <w:hideMark/>
          </w:tcPr>
          <w:p w14:paraId="1B563F87" w14:textId="77777777" w:rsidR="00240656" w:rsidRPr="00240656" w:rsidRDefault="00240656" w:rsidP="00835F25">
            <w:pPr>
              <w:contextualSpacing/>
              <w:rPr>
                <w:rFonts w:ascii="Arial" w:eastAsia="Times New Roman" w:hAnsi="Arial" w:cs="Arial"/>
                <w:color w:val="000000"/>
                <w:sz w:val="18"/>
                <w:szCs w:val="18"/>
                <w:lang w:val="es-CO" w:eastAsia="es-CO"/>
              </w:rPr>
            </w:pPr>
            <w:r w:rsidRPr="00240656">
              <w:rPr>
                <w:rFonts w:ascii="Arial" w:eastAsia="Times New Roman" w:hAnsi="Arial" w:cs="Arial"/>
                <w:color w:val="000000"/>
                <w:sz w:val="18"/>
                <w:szCs w:val="18"/>
                <w:lang w:val="es-CO" w:eastAsia="es-CO"/>
              </w:rPr>
              <w:t> </w:t>
            </w:r>
          </w:p>
        </w:tc>
        <w:tc>
          <w:tcPr>
            <w:tcW w:w="2800" w:type="dxa"/>
            <w:tcBorders>
              <w:top w:val="single" w:sz="4" w:space="0" w:color="4472C4"/>
              <w:left w:val="nil"/>
              <w:bottom w:val="nil"/>
              <w:right w:val="single" w:sz="4" w:space="0" w:color="4472C4"/>
            </w:tcBorders>
            <w:shd w:val="clear" w:color="000000" w:fill="FFFFFF"/>
            <w:vAlign w:val="center"/>
            <w:hideMark/>
          </w:tcPr>
          <w:p w14:paraId="56CFD890"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Alcalde 2020-2023:</w:t>
            </w:r>
          </w:p>
        </w:tc>
        <w:tc>
          <w:tcPr>
            <w:tcW w:w="3524" w:type="dxa"/>
            <w:gridSpan w:val="5"/>
            <w:tcBorders>
              <w:top w:val="single" w:sz="4" w:space="0" w:color="4472C4"/>
              <w:left w:val="nil"/>
              <w:bottom w:val="nil"/>
              <w:right w:val="single" w:sz="4" w:space="0" w:color="4472C4"/>
            </w:tcBorders>
            <w:shd w:val="clear" w:color="000000" w:fill="FFFFFF"/>
            <w:vAlign w:val="center"/>
            <w:hideMark/>
          </w:tcPr>
          <w:p w14:paraId="7EB3E0D4"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WILLIAM JORGE DAU CHAMATT</w:t>
            </w:r>
          </w:p>
        </w:tc>
      </w:tr>
      <w:tr w:rsidR="00240656" w:rsidRPr="00240656" w14:paraId="40899E54" w14:textId="77777777" w:rsidTr="00687DAC">
        <w:trPr>
          <w:trHeight w:val="345"/>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0690AE56"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nil"/>
              <w:bottom w:val="nil"/>
              <w:right w:val="nil"/>
            </w:tcBorders>
            <w:vAlign w:val="center"/>
            <w:hideMark/>
          </w:tcPr>
          <w:p w14:paraId="777CD3D5"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tcBorders>
              <w:top w:val="nil"/>
              <w:left w:val="nil"/>
              <w:bottom w:val="single" w:sz="4" w:space="0" w:color="4472C4"/>
              <w:right w:val="single" w:sz="4" w:space="0" w:color="4472C4"/>
            </w:tcBorders>
            <w:shd w:val="clear" w:color="000000" w:fill="FFFFFF"/>
            <w:vAlign w:val="center"/>
            <w:hideMark/>
          </w:tcPr>
          <w:p w14:paraId="0AD7943C"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Categoría Ley 617 de 2000:</w:t>
            </w:r>
          </w:p>
        </w:tc>
        <w:tc>
          <w:tcPr>
            <w:tcW w:w="3524" w:type="dxa"/>
            <w:gridSpan w:val="5"/>
            <w:tcBorders>
              <w:top w:val="nil"/>
              <w:left w:val="nil"/>
              <w:bottom w:val="single" w:sz="4" w:space="0" w:color="4472C4"/>
              <w:right w:val="single" w:sz="4" w:space="0" w:color="4472C4"/>
            </w:tcBorders>
            <w:shd w:val="clear" w:color="000000" w:fill="FFFFFF"/>
            <w:vAlign w:val="center"/>
            <w:hideMark/>
          </w:tcPr>
          <w:p w14:paraId="0B5E6D09"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ESP</w:t>
            </w:r>
          </w:p>
        </w:tc>
      </w:tr>
      <w:tr w:rsidR="00240656" w:rsidRPr="00240656" w14:paraId="36559F06" w14:textId="77777777" w:rsidTr="00687DAC">
        <w:trPr>
          <w:trHeight w:val="345"/>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7A8BCEDC"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val="restart"/>
            <w:tcBorders>
              <w:top w:val="single" w:sz="4" w:space="0" w:color="4472C4"/>
              <w:left w:val="single" w:sz="4" w:space="0" w:color="4472C4"/>
              <w:bottom w:val="nil"/>
              <w:right w:val="nil"/>
            </w:tcBorders>
            <w:shd w:val="clear" w:color="000000" w:fill="FFFFFF"/>
            <w:vAlign w:val="center"/>
            <w:hideMark/>
          </w:tcPr>
          <w:p w14:paraId="608BBFA9" w14:textId="77777777" w:rsidR="00240656" w:rsidRPr="00240656" w:rsidRDefault="004F16CC" w:rsidP="00835F25">
            <w:pPr>
              <w:contextualSpacing/>
              <w:rPr>
                <w:rFonts w:ascii="Arial" w:eastAsia="Times New Roman" w:hAnsi="Arial" w:cs="Arial"/>
                <w:color w:val="000000"/>
                <w:sz w:val="18"/>
                <w:szCs w:val="18"/>
                <w:lang w:val="es-CO" w:eastAsia="es-CO"/>
              </w:rPr>
            </w:pPr>
            <w:r>
              <w:rPr>
                <w:noProof/>
                <w:lang w:val="es-CO" w:eastAsia="es-CO"/>
              </w:rPr>
              <w:pict w14:anchorId="4156CD37">
                <v:group id="Grupo 1" o:spid="_x0000_s2050" style="position:absolute;margin-left:-3.75pt;margin-top:-33pt;width:28.35pt;height:209.45pt;z-index:251660800;mso-position-horizontal-relative:text;mso-position-vertical-relative:text;mso-width-relative:margin;mso-height-relative:margin" coordsize="3600,25073">
                  <v:group id="Grupo 7" o:spid="_x0000_s2052" style="position:absolute;width:3600;height:18862" coordsize="3600,22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2056" type="#_x0000_t75" style="position:absolute;width:3600;height:4409;visibility:visible;mso-wrap-style:square">
                      <v:imagedata r:id="rId13" o:title="" croptop="18589f" cropbottom="15900f" cropleft="19688f" cropright="28051f"/>
                    </v:shape>
                    <v:shape id="Imagen 16" o:spid="_x0000_s2055" type="#_x0000_t75" style="position:absolute;left:3;top:4936;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">
                      <v:imagedata r:id="rId14" o:title="" croptop="18193f" cropbottom="15899f" cropleft="19799f" cropright="28163f"/>
                    </v:shape>
                    <v:shape id="Imagen 17" o:spid="_x0000_s2054" type="#_x0000_t75" style="position:absolute;top:10641;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">
                      <v:imagedata r:id="rId15" o:title="" croptop="17402f" cropbottom="16493f" cropleft="19688f" cropright="27941f"/>
                    </v:shape>
                    <v:shape id="Imagen 18" o:spid="_x0000_s2053" type="#_x0000_t75" style="position:absolute;left:3;top:17760;width:3594;height:4409;visibility:visible;mso-wrap-style:square">
                      <v:imagedata r:id="rId16" o:title="" croptop="17205f" cropbottom="16888f" cropleft="19798f" cropright="28053f"/>
                    </v:shape>
                  </v:group>
                  <v:shape id="Imagen 21" o:spid="_x0000_s2051" type="#_x0000_t75" style="position:absolute;left:3;top:21321;width:3594;height:3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">
                    <v:imagedata r:id="rId17" o:title="" croptop="15425f" cropbottom="6802f" cropleft="18908f" cropright="22269f"/>
                  </v:shape>
                </v:group>
              </w:pict>
            </w:r>
            <w:r w:rsidR="00240656" w:rsidRPr="00240656">
              <w:rPr>
                <w:rFonts w:ascii="Arial" w:eastAsia="Times New Roman" w:hAnsi="Arial" w:cs="Arial"/>
                <w:color w:val="000000"/>
                <w:sz w:val="18"/>
                <w:szCs w:val="18"/>
                <w:lang w:val="es-CO" w:eastAsia="es-CO"/>
              </w:rPr>
              <w:t> </w:t>
            </w:r>
          </w:p>
        </w:tc>
        <w:tc>
          <w:tcPr>
            <w:tcW w:w="2800" w:type="dxa"/>
            <w:tcBorders>
              <w:top w:val="nil"/>
              <w:left w:val="nil"/>
              <w:bottom w:val="nil"/>
              <w:right w:val="single" w:sz="4" w:space="0" w:color="4472C4"/>
            </w:tcBorders>
            <w:shd w:val="clear" w:color="000000" w:fill="FFFFFF"/>
            <w:vAlign w:val="center"/>
            <w:hideMark/>
          </w:tcPr>
          <w:p w14:paraId="6C44AC67"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Extensión (km</w:t>
            </w:r>
            <w:r w:rsidRPr="00B3648E">
              <w:rPr>
                <w:rFonts w:ascii="Arial" w:eastAsia="Times New Roman" w:hAnsi="Arial" w:cs="Arial"/>
                <w:b/>
                <w:bCs/>
                <w:color w:val="000000"/>
                <w:sz w:val="16"/>
                <w:szCs w:val="16"/>
                <w:vertAlign w:val="superscript"/>
                <w:lang w:val="es-CO" w:eastAsia="es-CO"/>
              </w:rPr>
              <w:t>2</w:t>
            </w:r>
            <w:r w:rsidRPr="00240656">
              <w:rPr>
                <w:rFonts w:ascii="Arial" w:eastAsia="Times New Roman" w:hAnsi="Arial" w:cs="Arial"/>
                <w:b/>
                <w:bCs/>
                <w:color w:val="000000"/>
                <w:sz w:val="16"/>
                <w:szCs w:val="16"/>
                <w:lang w:val="es-CO" w:eastAsia="es-CO"/>
              </w:rPr>
              <w:t xml:space="preserve">): </w:t>
            </w:r>
          </w:p>
        </w:tc>
        <w:tc>
          <w:tcPr>
            <w:tcW w:w="3524" w:type="dxa"/>
            <w:gridSpan w:val="5"/>
            <w:tcBorders>
              <w:top w:val="nil"/>
              <w:left w:val="nil"/>
              <w:bottom w:val="nil"/>
              <w:right w:val="single" w:sz="4" w:space="0" w:color="4472C4"/>
            </w:tcBorders>
            <w:shd w:val="clear" w:color="000000" w:fill="FFFFFF"/>
            <w:vAlign w:val="center"/>
            <w:hideMark/>
          </w:tcPr>
          <w:p w14:paraId="2196EED8"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559</w:t>
            </w:r>
          </w:p>
        </w:tc>
      </w:tr>
      <w:tr w:rsidR="00240656" w:rsidRPr="00240656" w14:paraId="6DE5073A" w14:textId="77777777" w:rsidTr="00687DAC">
        <w:trPr>
          <w:trHeight w:val="345"/>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0DC278C2"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single" w:sz="4" w:space="0" w:color="4472C4"/>
              <w:bottom w:val="nil"/>
              <w:right w:val="nil"/>
            </w:tcBorders>
            <w:vAlign w:val="center"/>
            <w:hideMark/>
          </w:tcPr>
          <w:p w14:paraId="789F5A34"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tcBorders>
              <w:top w:val="nil"/>
              <w:left w:val="nil"/>
              <w:bottom w:val="single" w:sz="4" w:space="0" w:color="4472C4"/>
              <w:right w:val="single" w:sz="4" w:space="0" w:color="4472C4"/>
            </w:tcBorders>
            <w:shd w:val="clear" w:color="000000" w:fill="FFFFFF"/>
            <w:vAlign w:val="center"/>
            <w:hideMark/>
          </w:tcPr>
          <w:p w14:paraId="145471C8"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Número de resguardos indígenas:</w:t>
            </w:r>
          </w:p>
        </w:tc>
        <w:tc>
          <w:tcPr>
            <w:tcW w:w="3524" w:type="dxa"/>
            <w:gridSpan w:val="5"/>
            <w:tcBorders>
              <w:top w:val="nil"/>
              <w:left w:val="nil"/>
              <w:bottom w:val="single" w:sz="4" w:space="0" w:color="4472C4"/>
              <w:right w:val="single" w:sz="4" w:space="0" w:color="4472C4"/>
            </w:tcBorders>
            <w:shd w:val="clear" w:color="000000" w:fill="FFFFFF"/>
            <w:vAlign w:val="center"/>
            <w:hideMark/>
          </w:tcPr>
          <w:p w14:paraId="069DC6EC"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0</w:t>
            </w:r>
          </w:p>
        </w:tc>
      </w:tr>
      <w:tr w:rsidR="00240656" w:rsidRPr="00240656" w14:paraId="716E5083" w14:textId="77777777" w:rsidTr="00687DAC">
        <w:trPr>
          <w:trHeight w:val="30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06531E74"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val="restart"/>
            <w:tcBorders>
              <w:top w:val="single" w:sz="4" w:space="0" w:color="4472C4"/>
              <w:left w:val="single" w:sz="4" w:space="0" w:color="4472C4"/>
              <w:bottom w:val="nil"/>
              <w:right w:val="nil"/>
            </w:tcBorders>
            <w:shd w:val="clear" w:color="000000" w:fill="FFFFFF"/>
            <w:vAlign w:val="center"/>
            <w:hideMark/>
          </w:tcPr>
          <w:p w14:paraId="3DC40EA6" w14:textId="77777777" w:rsidR="00240656" w:rsidRPr="00240656" w:rsidRDefault="00240656" w:rsidP="00835F25">
            <w:pPr>
              <w:contextualSpacing/>
              <w:rPr>
                <w:rFonts w:ascii="Arial" w:eastAsia="Times New Roman" w:hAnsi="Arial" w:cs="Arial"/>
                <w:color w:val="000000"/>
                <w:sz w:val="18"/>
                <w:szCs w:val="18"/>
                <w:lang w:val="es-CO" w:eastAsia="es-CO"/>
              </w:rPr>
            </w:pPr>
            <w:r w:rsidRPr="00240656">
              <w:rPr>
                <w:rFonts w:ascii="Arial" w:eastAsia="Times New Roman" w:hAnsi="Arial" w:cs="Arial"/>
                <w:color w:val="000000"/>
                <w:sz w:val="18"/>
                <w:szCs w:val="18"/>
                <w:lang w:val="es-CO" w:eastAsia="es-CO"/>
              </w:rPr>
              <w:t> </w:t>
            </w:r>
          </w:p>
        </w:tc>
        <w:tc>
          <w:tcPr>
            <w:tcW w:w="2800" w:type="dxa"/>
            <w:tcBorders>
              <w:top w:val="nil"/>
              <w:left w:val="nil"/>
              <w:bottom w:val="nil"/>
              <w:right w:val="nil"/>
            </w:tcBorders>
            <w:shd w:val="clear" w:color="000000" w:fill="FFFFFF"/>
            <w:noWrap/>
            <w:vAlign w:val="bottom"/>
            <w:hideMark/>
          </w:tcPr>
          <w:p w14:paraId="2572CD39" w14:textId="77777777" w:rsidR="00240656" w:rsidRPr="00240656" w:rsidRDefault="00240656" w:rsidP="00835F25">
            <w:pPr>
              <w:contextualSpacing/>
              <w:rPr>
                <w:rFonts w:ascii="Calibri" w:eastAsia="Times New Roman" w:hAnsi="Calibri" w:cs="Calibri"/>
                <w:color w:val="000000"/>
                <w:sz w:val="22"/>
                <w:szCs w:val="22"/>
                <w:lang w:val="es-CO" w:eastAsia="es-CO"/>
              </w:rPr>
            </w:pPr>
          </w:p>
        </w:tc>
        <w:tc>
          <w:tcPr>
            <w:tcW w:w="852" w:type="dxa"/>
            <w:tcBorders>
              <w:top w:val="nil"/>
              <w:left w:val="single" w:sz="4" w:space="0" w:color="4472C4"/>
              <w:bottom w:val="dotted" w:sz="4" w:space="0" w:color="4472C4"/>
              <w:right w:val="dotted" w:sz="4" w:space="0" w:color="4472C4"/>
            </w:tcBorders>
            <w:shd w:val="clear" w:color="000000" w:fill="FFFFFF"/>
            <w:vAlign w:val="center"/>
            <w:hideMark/>
          </w:tcPr>
          <w:p w14:paraId="4037D228" w14:textId="77777777" w:rsidR="00240656" w:rsidRPr="00240656" w:rsidRDefault="00240656" w:rsidP="00835F25">
            <w:pPr>
              <w:contextualSpacing/>
              <w:jc w:val="center"/>
              <w:rPr>
                <w:rFonts w:ascii="Arial" w:eastAsia="Times New Roman" w:hAnsi="Arial" w:cs="Arial"/>
                <w:b/>
                <w:bCs/>
                <w:color w:val="7F7F7F"/>
                <w:sz w:val="16"/>
                <w:szCs w:val="16"/>
                <w:lang w:val="es-CO" w:eastAsia="es-CO"/>
              </w:rPr>
            </w:pPr>
            <w:r w:rsidRPr="00240656">
              <w:rPr>
                <w:rFonts w:ascii="Arial" w:eastAsia="Times New Roman" w:hAnsi="Arial" w:cs="Arial"/>
                <w:b/>
                <w:bCs/>
                <w:color w:val="7F7F7F"/>
                <w:sz w:val="16"/>
                <w:szCs w:val="16"/>
                <w:lang w:val="es-CO" w:eastAsia="es-CO"/>
              </w:rPr>
              <w:t>Total</w:t>
            </w:r>
          </w:p>
        </w:tc>
        <w:tc>
          <w:tcPr>
            <w:tcW w:w="1352" w:type="dxa"/>
            <w:gridSpan w:val="2"/>
            <w:tcBorders>
              <w:top w:val="single" w:sz="4" w:space="0" w:color="4472C4"/>
              <w:left w:val="nil"/>
              <w:bottom w:val="dotted" w:sz="4" w:space="0" w:color="4472C4"/>
              <w:right w:val="dotted" w:sz="4" w:space="0" w:color="4472C4"/>
            </w:tcBorders>
            <w:shd w:val="clear" w:color="000000" w:fill="FFFFFF"/>
            <w:vAlign w:val="center"/>
            <w:hideMark/>
          </w:tcPr>
          <w:p w14:paraId="38862931" w14:textId="77777777" w:rsidR="00240656" w:rsidRPr="00240656" w:rsidRDefault="00240656" w:rsidP="00835F25">
            <w:pPr>
              <w:contextualSpacing/>
              <w:jc w:val="center"/>
              <w:rPr>
                <w:rFonts w:ascii="Arial" w:eastAsia="Times New Roman" w:hAnsi="Arial" w:cs="Arial"/>
                <w:b/>
                <w:bCs/>
                <w:color w:val="7F7F7F"/>
                <w:sz w:val="16"/>
                <w:szCs w:val="16"/>
                <w:lang w:val="es-CO" w:eastAsia="es-CO"/>
              </w:rPr>
            </w:pPr>
            <w:r w:rsidRPr="00240656">
              <w:rPr>
                <w:rFonts w:ascii="Arial" w:eastAsia="Times New Roman" w:hAnsi="Arial" w:cs="Arial"/>
                <w:b/>
                <w:bCs/>
                <w:color w:val="7F7F7F"/>
                <w:sz w:val="16"/>
                <w:szCs w:val="16"/>
                <w:lang w:val="es-CO" w:eastAsia="es-CO"/>
              </w:rPr>
              <w:t>Urbana</w:t>
            </w:r>
          </w:p>
        </w:tc>
        <w:tc>
          <w:tcPr>
            <w:tcW w:w="1320" w:type="dxa"/>
            <w:gridSpan w:val="2"/>
            <w:tcBorders>
              <w:top w:val="single" w:sz="4" w:space="0" w:color="4472C4"/>
              <w:left w:val="nil"/>
              <w:bottom w:val="dotted" w:sz="4" w:space="0" w:color="4472C4"/>
              <w:right w:val="single" w:sz="4" w:space="0" w:color="4472C4"/>
            </w:tcBorders>
            <w:shd w:val="clear" w:color="000000" w:fill="FFFFFF"/>
            <w:vAlign w:val="center"/>
            <w:hideMark/>
          </w:tcPr>
          <w:p w14:paraId="0DE6FC6B" w14:textId="77777777" w:rsidR="00240656" w:rsidRPr="00240656" w:rsidRDefault="00240656" w:rsidP="00835F25">
            <w:pPr>
              <w:contextualSpacing/>
              <w:jc w:val="center"/>
              <w:rPr>
                <w:rFonts w:ascii="Arial" w:eastAsia="Times New Roman" w:hAnsi="Arial" w:cs="Arial"/>
                <w:b/>
                <w:bCs/>
                <w:color w:val="7F7F7F"/>
                <w:sz w:val="16"/>
                <w:szCs w:val="16"/>
                <w:lang w:val="es-CO" w:eastAsia="es-CO"/>
              </w:rPr>
            </w:pPr>
            <w:r w:rsidRPr="00240656">
              <w:rPr>
                <w:rFonts w:ascii="Arial" w:eastAsia="Times New Roman" w:hAnsi="Arial" w:cs="Arial"/>
                <w:b/>
                <w:bCs/>
                <w:color w:val="7F7F7F"/>
                <w:sz w:val="16"/>
                <w:szCs w:val="16"/>
                <w:lang w:val="es-CO" w:eastAsia="es-CO"/>
              </w:rPr>
              <w:t>Rural</w:t>
            </w:r>
          </w:p>
        </w:tc>
      </w:tr>
      <w:tr w:rsidR="00240656" w:rsidRPr="00240656" w14:paraId="6280D774" w14:textId="77777777" w:rsidTr="00687DAC">
        <w:trPr>
          <w:trHeight w:val="30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3013A1E9"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single" w:sz="4" w:space="0" w:color="4472C4"/>
              <w:bottom w:val="nil"/>
              <w:right w:val="nil"/>
            </w:tcBorders>
            <w:vAlign w:val="center"/>
            <w:hideMark/>
          </w:tcPr>
          <w:p w14:paraId="7C3725E8"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tcBorders>
              <w:top w:val="nil"/>
              <w:left w:val="nil"/>
              <w:bottom w:val="nil"/>
              <w:right w:val="single" w:sz="4" w:space="0" w:color="4472C4"/>
            </w:tcBorders>
            <w:shd w:val="clear" w:color="000000" w:fill="FFFFFF"/>
            <w:vAlign w:val="center"/>
            <w:hideMark/>
          </w:tcPr>
          <w:p w14:paraId="6AB6334F"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Población 2022:</w:t>
            </w:r>
          </w:p>
        </w:tc>
        <w:tc>
          <w:tcPr>
            <w:tcW w:w="852" w:type="dxa"/>
            <w:tcBorders>
              <w:top w:val="nil"/>
              <w:left w:val="nil"/>
              <w:bottom w:val="dotted" w:sz="4" w:space="0" w:color="4472C4"/>
              <w:right w:val="dotted" w:sz="4" w:space="0" w:color="4472C4"/>
            </w:tcBorders>
            <w:shd w:val="clear" w:color="000000" w:fill="FFFFFF"/>
            <w:vAlign w:val="center"/>
            <w:hideMark/>
          </w:tcPr>
          <w:p w14:paraId="6ADB4B9E"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1.055.035</w:t>
            </w:r>
          </w:p>
        </w:tc>
        <w:tc>
          <w:tcPr>
            <w:tcW w:w="1352" w:type="dxa"/>
            <w:gridSpan w:val="2"/>
            <w:tcBorders>
              <w:top w:val="dotted" w:sz="4" w:space="0" w:color="4472C4"/>
              <w:left w:val="nil"/>
              <w:bottom w:val="dotted" w:sz="4" w:space="0" w:color="4472C4"/>
              <w:right w:val="dotted" w:sz="4" w:space="0" w:color="4472C4"/>
            </w:tcBorders>
            <w:shd w:val="clear" w:color="000000" w:fill="FFFFFF"/>
            <w:vAlign w:val="center"/>
            <w:hideMark/>
          </w:tcPr>
          <w:p w14:paraId="79F0D824"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935.362</w:t>
            </w:r>
          </w:p>
        </w:tc>
        <w:tc>
          <w:tcPr>
            <w:tcW w:w="1320" w:type="dxa"/>
            <w:gridSpan w:val="2"/>
            <w:tcBorders>
              <w:top w:val="dotted" w:sz="4" w:space="0" w:color="4472C4"/>
              <w:left w:val="nil"/>
              <w:bottom w:val="dotted" w:sz="4" w:space="0" w:color="4472C4"/>
              <w:right w:val="single" w:sz="4" w:space="0" w:color="4472C4"/>
            </w:tcBorders>
            <w:shd w:val="clear" w:color="000000" w:fill="FFFFFF"/>
            <w:vAlign w:val="center"/>
            <w:hideMark/>
          </w:tcPr>
          <w:p w14:paraId="27A0E513"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119.673</w:t>
            </w:r>
          </w:p>
        </w:tc>
      </w:tr>
      <w:tr w:rsidR="00240656" w:rsidRPr="00240656" w14:paraId="5D8F7752" w14:textId="77777777" w:rsidTr="00687DAC">
        <w:trPr>
          <w:trHeight w:val="30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03D656E9"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single" w:sz="4" w:space="0" w:color="4472C4"/>
              <w:bottom w:val="nil"/>
              <w:right w:val="nil"/>
            </w:tcBorders>
            <w:vAlign w:val="center"/>
            <w:hideMark/>
          </w:tcPr>
          <w:p w14:paraId="50D0CCFC"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tcBorders>
              <w:top w:val="nil"/>
              <w:left w:val="nil"/>
              <w:bottom w:val="nil"/>
              <w:right w:val="single" w:sz="4" w:space="0" w:color="4472C4"/>
            </w:tcBorders>
            <w:shd w:val="clear" w:color="000000" w:fill="FFFFFF"/>
            <w:vAlign w:val="center"/>
            <w:hideMark/>
          </w:tcPr>
          <w:p w14:paraId="7554BD0E"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Población 5-17 años 2022:</w:t>
            </w:r>
          </w:p>
        </w:tc>
        <w:tc>
          <w:tcPr>
            <w:tcW w:w="3524" w:type="dxa"/>
            <w:gridSpan w:val="5"/>
            <w:tcBorders>
              <w:top w:val="nil"/>
              <w:left w:val="nil"/>
              <w:bottom w:val="single" w:sz="4" w:space="0" w:color="4472C4"/>
              <w:right w:val="single" w:sz="4" w:space="0" w:color="4472C4"/>
            </w:tcBorders>
            <w:shd w:val="clear" w:color="000000" w:fill="FFFFFF"/>
            <w:vAlign w:val="center"/>
            <w:hideMark/>
          </w:tcPr>
          <w:p w14:paraId="4EE5B64D"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219.834</w:t>
            </w:r>
          </w:p>
        </w:tc>
      </w:tr>
      <w:tr w:rsidR="00240656" w:rsidRPr="00240656" w14:paraId="51FF4BAA" w14:textId="77777777" w:rsidTr="00687DAC">
        <w:trPr>
          <w:trHeight w:val="30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63E16C57"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val="restart"/>
            <w:tcBorders>
              <w:top w:val="single" w:sz="4" w:space="0" w:color="4472C4"/>
              <w:left w:val="nil"/>
              <w:bottom w:val="nil"/>
              <w:right w:val="nil"/>
            </w:tcBorders>
            <w:shd w:val="clear" w:color="000000" w:fill="FFFFFF"/>
            <w:hideMark/>
          </w:tcPr>
          <w:p w14:paraId="5A06207E" w14:textId="77777777" w:rsidR="00240656" w:rsidRPr="00240656" w:rsidRDefault="00240656" w:rsidP="00835F25">
            <w:pPr>
              <w:contextualSpacing/>
              <w:rPr>
                <w:rFonts w:ascii="Arial" w:eastAsia="Times New Roman" w:hAnsi="Arial" w:cs="Arial"/>
                <w:color w:val="000000"/>
                <w:sz w:val="18"/>
                <w:szCs w:val="18"/>
                <w:lang w:val="es-CO" w:eastAsia="es-CO"/>
              </w:rPr>
            </w:pPr>
            <w:r w:rsidRPr="00240656">
              <w:rPr>
                <w:rFonts w:ascii="Arial" w:eastAsia="Times New Roman" w:hAnsi="Arial" w:cs="Arial"/>
                <w:color w:val="000000"/>
                <w:sz w:val="18"/>
                <w:szCs w:val="18"/>
                <w:lang w:val="es-CO" w:eastAsia="es-CO"/>
              </w:rPr>
              <w:t> </w:t>
            </w:r>
          </w:p>
        </w:tc>
        <w:tc>
          <w:tcPr>
            <w:tcW w:w="2800" w:type="dxa"/>
            <w:tcBorders>
              <w:top w:val="single" w:sz="4" w:space="0" w:color="4472C4"/>
              <w:left w:val="nil"/>
              <w:bottom w:val="nil"/>
              <w:right w:val="single" w:sz="4" w:space="0" w:color="4472C4"/>
            </w:tcBorders>
            <w:shd w:val="clear" w:color="000000" w:fill="FFFFFF"/>
            <w:vAlign w:val="center"/>
            <w:hideMark/>
          </w:tcPr>
          <w:p w14:paraId="38196847"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AESGPAE 2022 (pesos):</w:t>
            </w:r>
          </w:p>
        </w:tc>
        <w:tc>
          <w:tcPr>
            <w:tcW w:w="3524" w:type="dxa"/>
            <w:gridSpan w:val="5"/>
            <w:tcBorders>
              <w:top w:val="single" w:sz="4" w:space="0" w:color="4472C4"/>
              <w:left w:val="nil"/>
              <w:bottom w:val="nil"/>
              <w:right w:val="single" w:sz="4" w:space="0" w:color="4472C4"/>
            </w:tcBorders>
            <w:shd w:val="clear" w:color="000000" w:fill="FFFFFF"/>
            <w:vAlign w:val="center"/>
            <w:hideMark/>
          </w:tcPr>
          <w:p w14:paraId="41C231DA"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$3.827.318.578</w:t>
            </w:r>
          </w:p>
        </w:tc>
      </w:tr>
      <w:tr w:rsidR="00240656" w:rsidRPr="00240656" w14:paraId="3F0D19A4" w14:textId="77777777" w:rsidTr="00687DAC">
        <w:trPr>
          <w:trHeight w:val="45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4A069FEF"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nil"/>
              <w:bottom w:val="nil"/>
              <w:right w:val="nil"/>
            </w:tcBorders>
            <w:vAlign w:val="center"/>
            <w:hideMark/>
          </w:tcPr>
          <w:p w14:paraId="7B32723B"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tcBorders>
              <w:top w:val="nil"/>
              <w:left w:val="nil"/>
              <w:bottom w:val="nil"/>
              <w:right w:val="single" w:sz="4" w:space="0" w:color="4472C4"/>
            </w:tcBorders>
            <w:shd w:val="clear" w:color="000000" w:fill="FFFFFF"/>
            <w:vAlign w:val="center"/>
            <w:hideMark/>
          </w:tcPr>
          <w:p w14:paraId="59553C8A"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Inversión AESGPAE 2022 (pesos):</w:t>
            </w:r>
          </w:p>
        </w:tc>
        <w:tc>
          <w:tcPr>
            <w:tcW w:w="852" w:type="dxa"/>
            <w:tcBorders>
              <w:top w:val="nil"/>
              <w:left w:val="nil"/>
              <w:bottom w:val="nil"/>
              <w:right w:val="nil"/>
            </w:tcBorders>
            <w:shd w:val="clear" w:color="000000" w:fill="FFFFFF"/>
            <w:vAlign w:val="center"/>
            <w:hideMark/>
          </w:tcPr>
          <w:p w14:paraId="360064C2"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 </w:t>
            </w:r>
          </w:p>
        </w:tc>
        <w:tc>
          <w:tcPr>
            <w:tcW w:w="692" w:type="dxa"/>
            <w:tcBorders>
              <w:top w:val="nil"/>
              <w:left w:val="nil"/>
              <w:bottom w:val="nil"/>
              <w:right w:val="nil"/>
            </w:tcBorders>
            <w:shd w:val="clear" w:color="000000" w:fill="FFFFFF"/>
            <w:vAlign w:val="center"/>
            <w:hideMark/>
          </w:tcPr>
          <w:p w14:paraId="48262C29"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 </w:t>
            </w:r>
          </w:p>
        </w:tc>
        <w:tc>
          <w:tcPr>
            <w:tcW w:w="660" w:type="dxa"/>
            <w:tcBorders>
              <w:top w:val="nil"/>
              <w:left w:val="nil"/>
              <w:bottom w:val="nil"/>
              <w:right w:val="nil"/>
            </w:tcBorders>
            <w:shd w:val="clear" w:color="000000" w:fill="FFFFFF"/>
            <w:vAlign w:val="center"/>
            <w:hideMark/>
          </w:tcPr>
          <w:p w14:paraId="7B78F7E2" w14:textId="77777777" w:rsidR="00240656" w:rsidRPr="00240656" w:rsidRDefault="00BA3EA1" w:rsidP="00835F25">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w:t>
            </w:r>
          </w:p>
        </w:tc>
        <w:tc>
          <w:tcPr>
            <w:tcW w:w="660" w:type="dxa"/>
            <w:tcBorders>
              <w:top w:val="nil"/>
              <w:left w:val="nil"/>
              <w:bottom w:val="nil"/>
              <w:right w:val="nil"/>
            </w:tcBorders>
            <w:shd w:val="clear" w:color="000000" w:fill="FFFFFF"/>
            <w:vAlign w:val="center"/>
            <w:hideMark/>
          </w:tcPr>
          <w:p w14:paraId="6ACA94E1"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 </w:t>
            </w:r>
          </w:p>
        </w:tc>
        <w:tc>
          <w:tcPr>
            <w:tcW w:w="660" w:type="dxa"/>
            <w:tcBorders>
              <w:top w:val="nil"/>
              <w:left w:val="nil"/>
              <w:bottom w:val="nil"/>
              <w:right w:val="single" w:sz="4" w:space="0" w:color="4472C4"/>
            </w:tcBorders>
            <w:shd w:val="clear" w:color="000000" w:fill="FFFFFF"/>
            <w:vAlign w:val="center"/>
            <w:hideMark/>
          </w:tcPr>
          <w:p w14:paraId="78BE7EA3"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 </w:t>
            </w:r>
          </w:p>
        </w:tc>
      </w:tr>
      <w:tr w:rsidR="00240656" w:rsidRPr="00240656" w14:paraId="25D4E666" w14:textId="77777777" w:rsidTr="00687DAC">
        <w:trPr>
          <w:trHeight w:val="45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749D8E1A"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nil"/>
              <w:bottom w:val="nil"/>
              <w:right w:val="nil"/>
            </w:tcBorders>
            <w:vAlign w:val="center"/>
            <w:hideMark/>
          </w:tcPr>
          <w:p w14:paraId="5B61805E"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tcBorders>
              <w:top w:val="nil"/>
              <w:left w:val="nil"/>
              <w:bottom w:val="single" w:sz="4" w:space="0" w:color="4472C4"/>
              <w:right w:val="single" w:sz="4" w:space="0" w:color="4472C4"/>
            </w:tcBorders>
            <w:shd w:val="clear" w:color="000000" w:fill="FFFFFF"/>
            <w:vAlign w:val="center"/>
            <w:hideMark/>
          </w:tcPr>
          <w:p w14:paraId="468678FB"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Inversión PAE otras fuentes 2022 (pesos):</w:t>
            </w:r>
          </w:p>
        </w:tc>
        <w:tc>
          <w:tcPr>
            <w:tcW w:w="3524" w:type="dxa"/>
            <w:gridSpan w:val="5"/>
            <w:tcBorders>
              <w:top w:val="nil"/>
              <w:left w:val="nil"/>
              <w:bottom w:val="single" w:sz="4" w:space="0" w:color="4472C4"/>
              <w:right w:val="single" w:sz="4" w:space="0" w:color="4472C4"/>
            </w:tcBorders>
            <w:shd w:val="clear" w:color="000000" w:fill="FFFFFF"/>
            <w:vAlign w:val="center"/>
            <w:hideMark/>
          </w:tcPr>
          <w:p w14:paraId="2FDBFF10" w14:textId="77777777" w:rsidR="00240656" w:rsidRPr="00240656" w:rsidRDefault="00CE6EBD" w:rsidP="00835F25">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$5.714.574.393</w:t>
            </w:r>
          </w:p>
        </w:tc>
      </w:tr>
      <w:tr w:rsidR="00687DAC" w:rsidRPr="00240656" w14:paraId="67C45C3F" w14:textId="77777777" w:rsidTr="00687DAC">
        <w:trPr>
          <w:trHeight w:val="45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7397ABDF"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val="restart"/>
            <w:tcBorders>
              <w:top w:val="single" w:sz="4" w:space="0" w:color="4472C4"/>
              <w:left w:val="single" w:sz="4" w:space="0" w:color="4472C4"/>
              <w:bottom w:val="single" w:sz="4" w:space="0" w:color="4472C4"/>
              <w:right w:val="nil"/>
            </w:tcBorders>
            <w:shd w:val="clear" w:color="000000" w:fill="FFFFFF"/>
            <w:hideMark/>
          </w:tcPr>
          <w:p w14:paraId="1CA97B88" w14:textId="77777777" w:rsidR="00240656" w:rsidRPr="00240656" w:rsidRDefault="00240656" w:rsidP="00835F25">
            <w:pPr>
              <w:contextualSpacing/>
              <w:rPr>
                <w:rFonts w:ascii="Arial" w:eastAsia="Times New Roman" w:hAnsi="Arial" w:cs="Arial"/>
                <w:color w:val="000000"/>
                <w:sz w:val="18"/>
                <w:szCs w:val="18"/>
                <w:lang w:val="es-CO" w:eastAsia="es-CO"/>
              </w:rPr>
            </w:pPr>
            <w:r w:rsidRPr="00240656">
              <w:rPr>
                <w:rFonts w:ascii="Arial" w:eastAsia="Times New Roman" w:hAnsi="Arial" w:cs="Arial"/>
                <w:color w:val="000000"/>
                <w:sz w:val="18"/>
                <w:szCs w:val="18"/>
                <w:lang w:val="es-CO" w:eastAsia="es-CO"/>
              </w:rPr>
              <w:t> </w:t>
            </w:r>
          </w:p>
        </w:tc>
        <w:tc>
          <w:tcPr>
            <w:tcW w:w="2800" w:type="dxa"/>
            <w:vMerge w:val="restart"/>
            <w:tcBorders>
              <w:top w:val="nil"/>
              <w:left w:val="nil"/>
              <w:bottom w:val="nil"/>
              <w:right w:val="single" w:sz="4" w:space="0" w:color="4472C4"/>
            </w:tcBorders>
            <w:shd w:val="clear" w:color="000000" w:fill="FFFFFF"/>
            <w:vAlign w:val="bottom"/>
            <w:hideMark/>
          </w:tcPr>
          <w:p w14:paraId="2CF4CB14"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Número de establecimientos educativos oficiales 2022:</w:t>
            </w:r>
          </w:p>
        </w:tc>
        <w:tc>
          <w:tcPr>
            <w:tcW w:w="852" w:type="dxa"/>
            <w:tcBorders>
              <w:top w:val="nil"/>
              <w:left w:val="nil"/>
              <w:bottom w:val="dotted" w:sz="4" w:space="0" w:color="4472C4"/>
              <w:right w:val="dotted" w:sz="4" w:space="0" w:color="4472C4"/>
            </w:tcBorders>
            <w:shd w:val="clear" w:color="000000" w:fill="FFFFFF"/>
            <w:vAlign w:val="center"/>
            <w:hideMark/>
          </w:tcPr>
          <w:p w14:paraId="461F7A5C" w14:textId="77777777" w:rsidR="00240656" w:rsidRPr="00240656" w:rsidRDefault="00240656" w:rsidP="00835F25">
            <w:pPr>
              <w:contextualSpacing/>
              <w:jc w:val="center"/>
              <w:rPr>
                <w:rFonts w:ascii="Arial" w:eastAsia="Times New Roman" w:hAnsi="Arial" w:cs="Arial"/>
                <w:b/>
                <w:bCs/>
                <w:color w:val="7F7F7F"/>
                <w:sz w:val="16"/>
                <w:szCs w:val="16"/>
                <w:lang w:val="es-CO" w:eastAsia="es-CO"/>
              </w:rPr>
            </w:pPr>
            <w:r w:rsidRPr="00240656">
              <w:rPr>
                <w:rFonts w:ascii="Arial" w:eastAsia="Times New Roman" w:hAnsi="Arial" w:cs="Arial"/>
                <w:b/>
                <w:bCs/>
                <w:color w:val="7F7F7F"/>
                <w:sz w:val="16"/>
                <w:szCs w:val="16"/>
                <w:lang w:val="es-CO" w:eastAsia="es-CO"/>
              </w:rPr>
              <w:t>Total</w:t>
            </w:r>
          </w:p>
        </w:tc>
        <w:tc>
          <w:tcPr>
            <w:tcW w:w="692" w:type="dxa"/>
            <w:tcBorders>
              <w:top w:val="nil"/>
              <w:left w:val="nil"/>
              <w:bottom w:val="dotted" w:sz="4" w:space="0" w:color="4472C4"/>
              <w:right w:val="dotted" w:sz="4" w:space="0" w:color="4472C4"/>
            </w:tcBorders>
            <w:shd w:val="clear" w:color="000000" w:fill="FFFFFF"/>
            <w:vAlign w:val="center"/>
            <w:hideMark/>
          </w:tcPr>
          <w:p w14:paraId="40A5E8D3" w14:textId="77777777" w:rsidR="00240656" w:rsidRPr="00240656" w:rsidRDefault="00240656" w:rsidP="00835F25">
            <w:pPr>
              <w:contextualSpacing/>
              <w:jc w:val="center"/>
              <w:rPr>
                <w:rFonts w:ascii="Arial" w:eastAsia="Times New Roman" w:hAnsi="Arial" w:cs="Arial"/>
                <w:b/>
                <w:bCs/>
                <w:color w:val="7F7F7F"/>
                <w:sz w:val="16"/>
                <w:szCs w:val="16"/>
                <w:lang w:val="es-CO" w:eastAsia="es-CO"/>
              </w:rPr>
            </w:pPr>
            <w:r w:rsidRPr="00240656">
              <w:rPr>
                <w:rFonts w:ascii="Arial" w:eastAsia="Times New Roman" w:hAnsi="Arial" w:cs="Arial"/>
                <w:b/>
                <w:bCs/>
                <w:color w:val="7F7F7F"/>
                <w:sz w:val="16"/>
                <w:szCs w:val="16"/>
                <w:lang w:val="es-CO" w:eastAsia="es-CO"/>
              </w:rPr>
              <w:t>Urbana</w:t>
            </w:r>
          </w:p>
        </w:tc>
        <w:tc>
          <w:tcPr>
            <w:tcW w:w="660" w:type="dxa"/>
            <w:tcBorders>
              <w:top w:val="nil"/>
              <w:left w:val="nil"/>
              <w:bottom w:val="dotted" w:sz="4" w:space="0" w:color="4472C4"/>
              <w:right w:val="dotted" w:sz="4" w:space="0" w:color="4472C4"/>
            </w:tcBorders>
            <w:shd w:val="clear" w:color="000000" w:fill="FFFFFF"/>
            <w:vAlign w:val="center"/>
            <w:hideMark/>
          </w:tcPr>
          <w:p w14:paraId="37E1B27B" w14:textId="77777777" w:rsidR="00240656" w:rsidRPr="00240656" w:rsidRDefault="00240656" w:rsidP="00835F25">
            <w:pPr>
              <w:contextualSpacing/>
              <w:jc w:val="center"/>
              <w:rPr>
                <w:rFonts w:ascii="Arial" w:eastAsia="Times New Roman" w:hAnsi="Arial" w:cs="Arial"/>
                <w:b/>
                <w:bCs/>
                <w:color w:val="7F7F7F"/>
                <w:sz w:val="16"/>
                <w:szCs w:val="16"/>
                <w:lang w:val="es-CO" w:eastAsia="es-CO"/>
              </w:rPr>
            </w:pPr>
            <w:r w:rsidRPr="00240656">
              <w:rPr>
                <w:rFonts w:ascii="Arial" w:eastAsia="Times New Roman" w:hAnsi="Arial" w:cs="Arial"/>
                <w:b/>
                <w:bCs/>
                <w:color w:val="7F7F7F"/>
                <w:sz w:val="16"/>
                <w:szCs w:val="16"/>
                <w:lang w:val="es-CO" w:eastAsia="es-CO"/>
              </w:rPr>
              <w:t>Rural</w:t>
            </w:r>
          </w:p>
        </w:tc>
        <w:tc>
          <w:tcPr>
            <w:tcW w:w="1320" w:type="dxa"/>
            <w:gridSpan w:val="2"/>
            <w:tcBorders>
              <w:top w:val="single" w:sz="4" w:space="0" w:color="4472C4"/>
              <w:left w:val="nil"/>
              <w:bottom w:val="dotted" w:sz="4" w:space="0" w:color="4472C4"/>
              <w:right w:val="single" w:sz="4" w:space="0" w:color="4472C4"/>
            </w:tcBorders>
            <w:shd w:val="clear" w:color="000000" w:fill="FFFFFF"/>
            <w:vAlign w:val="center"/>
            <w:hideMark/>
          </w:tcPr>
          <w:p w14:paraId="6888EBA1" w14:textId="77777777" w:rsidR="00240656" w:rsidRPr="00240656" w:rsidRDefault="00240656" w:rsidP="00835F25">
            <w:pPr>
              <w:contextualSpacing/>
              <w:jc w:val="center"/>
              <w:rPr>
                <w:rFonts w:ascii="Arial" w:eastAsia="Times New Roman" w:hAnsi="Arial" w:cs="Arial"/>
                <w:b/>
                <w:bCs/>
                <w:color w:val="7F7F7F"/>
                <w:sz w:val="16"/>
                <w:szCs w:val="16"/>
                <w:lang w:val="es-CO" w:eastAsia="es-CO"/>
              </w:rPr>
            </w:pPr>
            <w:r w:rsidRPr="00240656">
              <w:rPr>
                <w:rFonts w:ascii="Arial" w:eastAsia="Times New Roman" w:hAnsi="Arial" w:cs="Arial"/>
                <w:b/>
                <w:bCs/>
                <w:color w:val="7F7F7F"/>
                <w:sz w:val="16"/>
                <w:szCs w:val="16"/>
                <w:lang w:val="es-CO" w:eastAsia="es-CO"/>
              </w:rPr>
              <w:t>Urbana / rural</w:t>
            </w:r>
          </w:p>
        </w:tc>
      </w:tr>
      <w:tr w:rsidR="00240656" w:rsidRPr="00240656" w14:paraId="4C40D471" w14:textId="77777777" w:rsidTr="00687DAC">
        <w:trPr>
          <w:trHeight w:val="30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7313D824"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single" w:sz="4" w:space="0" w:color="4472C4"/>
              <w:bottom w:val="single" w:sz="4" w:space="0" w:color="4472C4"/>
              <w:right w:val="nil"/>
            </w:tcBorders>
            <w:vAlign w:val="center"/>
            <w:hideMark/>
          </w:tcPr>
          <w:p w14:paraId="5B57D590"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vMerge/>
            <w:tcBorders>
              <w:top w:val="nil"/>
              <w:left w:val="nil"/>
              <w:bottom w:val="nil"/>
              <w:right w:val="single" w:sz="4" w:space="0" w:color="4472C4"/>
            </w:tcBorders>
            <w:vAlign w:val="center"/>
            <w:hideMark/>
          </w:tcPr>
          <w:p w14:paraId="53A8D226" w14:textId="77777777" w:rsidR="00240656" w:rsidRPr="00240656" w:rsidRDefault="00240656" w:rsidP="00835F25">
            <w:pPr>
              <w:contextualSpacing/>
              <w:rPr>
                <w:rFonts w:ascii="Arial" w:eastAsia="Times New Roman" w:hAnsi="Arial" w:cs="Arial"/>
                <w:b/>
                <w:bCs/>
                <w:color w:val="000000"/>
                <w:sz w:val="16"/>
                <w:szCs w:val="16"/>
                <w:lang w:val="es-CO" w:eastAsia="es-CO"/>
              </w:rPr>
            </w:pPr>
          </w:p>
        </w:tc>
        <w:tc>
          <w:tcPr>
            <w:tcW w:w="852" w:type="dxa"/>
            <w:tcBorders>
              <w:top w:val="nil"/>
              <w:left w:val="nil"/>
              <w:bottom w:val="dotted" w:sz="4" w:space="0" w:color="4472C4"/>
              <w:right w:val="dotted" w:sz="4" w:space="0" w:color="4472C4"/>
            </w:tcBorders>
            <w:shd w:val="clear" w:color="000000" w:fill="FFFFFF"/>
            <w:vAlign w:val="center"/>
            <w:hideMark/>
          </w:tcPr>
          <w:p w14:paraId="0E92D7AC"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10</w:t>
            </w:r>
            <w:r w:rsidR="00CB6F9E">
              <w:rPr>
                <w:rFonts w:ascii="Arial" w:eastAsia="Times New Roman" w:hAnsi="Arial" w:cs="Arial"/>
                <w:color w:val="000000"/>
                <w:sz w:val="16"/>
                <w:szCs w:val="16"/>
                <w:lang w:val="es-CO" w:eastAsia="es-CO"/>
              </w:rPr>
              <w:t>2</w:t>
            </w:r>
          </w:p>
        </w:tc>
        <w:tc>
          <w:tcPr>
            <w:tcW w:w="692" w:type="dxa"/>
            <w:tcBorders>
              <w:top w:val="nil"/>
              <w:left w:val="nil"/>
              <w:bottom w:val="dotted" w:sz="4" w:space="0" w:color="4472C4"/>
              <w:right w:val="dotted" w:sz="4" w:space="0" w:color="4472C4"/>
            </w:tcBorders>
            <w:shd w:val="clear" w:color="000000" w:fill="FFFFFF"/>
            <w:vAlign w:val="center"/>
            <w:hideMark/>
          </w:tcPr>
          <w:p w14:paraId="3268891F"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8</w:t>
            </w:r>
            <w:r w:rsidR="00CB6F9E">
              <w:rPr>
                <w:rFonts w:ascii="Arial" w:eastAsia="Times New Roman" w:hAnsi="Arial" w:cs="Arial"/>
                <w:color w:val="000000"/>
                <w:sz w:val="16"/>
                <w:szCs w:val="16"/>
                <w:lang w:val="es-CO" w:eastAsia="es-CO"/>
              </w:rPr>
              <w:t>1</w:t>
            </w:r>
          </w:p>
        </w:tc>
        <w:tc>
          <w:tcPr>
            <w:tcW w:w="660" w:type="dxa"/>
            <w:tcBorders>
              <w:top w:val="nil"/>
              <w:left w:val="nil"/>
              <w:bottom w:val="dotted" w:sz="4" w:space="0" w:color="4472C4"/>
              <w:right w:val="dotted" w:sz="4" w:space="0" w:color="4472C4"/>
            </w:tcBorders>
            <w:shd w:val="clear" w:color="000000" w:fill="FFFFFF"/>
            <w:vAlign w:val="center"/>
            <w:hideMark/>
          </w:tcPr>
          <w:p w14:paraId="6F614778"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21</w:t>
            </w:r>
          </w:p>
        </w:tc>
        <w:tc>
          <w:tcPr>
            <w:tcW w:w="1320" w:type="dxa"/>
            <w:gridSpan w:val="2"/>
            <w:tcBorders>
              <w:top w:val="nil"/>
              <w:left w:val="nil"/>
              <w:bottom w:val="dotted" w:sz="4" w:space="0" w:color="4472C4"/>
              <w:right w:val="single" w:sz="4" w:space="0" w:color="4472C4"/>
            </w:tcBorders>
            <w:shd w:val="clear" w:color="000000" w:fill="FFFFFF"/>
            <w:vAlign w:val="center"/>
            <w:hideMark/>
          </w:tcPr>
          <w:p w14:paraId="01FFC54D"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0</w:t>
            </w:r>
          </w:p>
        </w:tc>
      </w:tr>
      <w:tr w:rsidR="00240656" w:rsidRPr="00240656" w14:paraId="7AE2E1FD" w14:textId="77777777" w:rsidTr="001E69C3">
        <w:trPr>
          <w:trHeight w:val="300"/>
          <w:jc w:val="center"/>
        </w:trPr>
        <w:tc>
          <w:tcPr>
            <w:tcW w:w="4460" w:type="dxa"/>
            <w:vMerge/>
            <w:tcBorders>
              <w:top w:val="single" w:sz="4" w:space="0" w:color="4472C4"/>
              <w:left w:val="single" w:sz="4" w:space="0" w:color="4472C4"/>
              <w:bottom w:val="single" w:sz="4" w:space="0" w:color="4472C4"/>
              <w:right w:val="single" w:sz="4" w:space="0" w:color="4472C4"/>
            </w:tcBorders>
            <w:vAlign w:val="center"/>
            <w:hideMark/>
          </w:tcPr>
          <w:p w14:paraId="6E22D91A" w14:textId="77777777" w:rsidR="00240656" w:rsidRPr="00240656" w:rsidRDefault="00240656" w:rsidP="00835F25">
            <w:pPr>
              <w:contextualSpacing/>
              <w:rPr>
                <w:rFonts w:ascii="Arial" w:eastAsia="Times New Roman" w:hAnsi="Arial" w:cs="Arial"/>
                <w:color w:val="000000"/>
                <w:sz w:val="16"/>
                <w:szCs w:val="16"/>
                <w:lang w:val="es-CO" w:eastAsia="es-CO"/>
              </w:rPr>
            </w:pPr>
          </w:p>
        </w:tc>
        <w:tc>
          <w:tcPr>
            <w:tcW w:w="476" w:type="dxa"/>
            <w:vMerge/>
            <w:tcBorders>
              <w:top w:val="single" w:sz="4" w:space="0" w:color="4472C4"/>
              <w:left w:val="single" w:sz="4" w:space="0" w:color="4472C4"/>
              <w:bottom w:val="single" w:sz="4" w:space="0" w:color="4472C4"/>
              <w:right w:val="nil"/>
            </w:tcBorders>
            <w:vAlign w:val="center"/>
            <w:hideMark/>
          </w:tcPr>
          <w:p w14:paraId="49EFBA6C" w14:textId="77777777" w:rsidR="00240656" w:rsidRPr="00240656" w:rsidRDefault="00240656" w:rsidP="00835F25">
            <w:pPr>
              <w:contextualSpacing/>
              <w:rPr>
                <w:rFonts w:ascii="Arial" w:eastAsia="Times New Roman" w:hAnsi="Arial" w:cs="Arial"/>
                <w:color w:val="000000"/>
                <w:sz w:val="18"/>
                <w:szCs w:val="18"/>
                <w:lang w:val="es-CO" w:eastAsia="es-CO"/>
              </w:rPr>
            </w:pPr>
          </w:p>
        </w:tc>
        <w:tc>
          <w:tcPr>
            <w:tcW w:w="2800" w:type="dxa"/>
            <w:tcBorders>
              <w:top w:val="nil"/>
              <w:left w:val="nil"/>
              <w:bottom w:val="single" w:sz="4" w:space="0" w:color="4472C4"/>
              <w:right w:val="single" w:sz="4" w:space="0" w:color="4472C4"/>
            </w:tcBorders>
            <w:shd w:val="clear" w:color="000000" w:fill="FFFFFF"/>
            <w:vAlign w:val="center"/>
            <w:hideMark/>
          </w:tcPr>
          <w:p w14:paraId="0CCFA45E" w14:textId="77777777" w:rsidR="00240656" w:rsidRPr="00240656" w:rsidRDefault="00240656" w:rsidP="00835F25">
            <w:pPr>
              <w:contextualSpacing/>
              <w:rPr>
                <w:rFonts w:ascii="Arial" w:eastAsia="Times New Roman" w:hAnsi="Arial" w:cs="Arial"/>
                <w:b/>
                <w:bCs/>
                <w:color w:val="000000"/>
                <w:sz w:val="16"/>
                <w:szCs w:val="16"/>
                <w:lang w:val="es-CO" w:eastAsia="es-CO"/>
              </w:rPr>
            </w:pPr>
            <w:r w:rsidRPr="00240656">
              <w:rPr>
                <w:rFonts w:ascii="Arial" w:eastAsia="Times New Roman" w:hAnsi="Arial" w:cs="Arial"/>
                <w:b/>
                <w:bCs/>
                <w:color w:val="000000"/>
                <w:sz w:val="16"/>
                <w:szCs w:val="16"/>
                <w:lang w:val="es-CO" w:eastAsia="es-CO"/>
              </w:rPr>
              <w:t>Número de sedes 2022:</w:t>
            </w:r>
          </w:p>
        </w:tc>
        <w:tc>
          <w:tcPr>
            <w:tcW w:w="852" w:type="dxa"/>
            <w:tcBorders>
              <w:top w:val="nil"/>
              <w:left w:val="nil"/>
              <w:bottom w:val="single" w:sz="4" w:space="0" w:color="4472C4"/>
              <w:right w:val="dotted" w:sz="4" w:space="0" w:color="4472C4"/>
            </w:tcBorders>
            <w:shd w:val="clear" w:color="000000" w:fill="FFFFFF"/>
            <w:vAlign w:val="center"/>
            <w:hideMark/>
          </w:tcPr>
          <w:p w14:paraId="14E1698A"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20</w:t>
            </w:r>
            <w:r w:rsidR="00C11A29">
              <w:rPr>
                <w:rFonts w:ascii="Arial" w:eastAsia="Times New Roman" w:hAnsi="Arial" w:cs="Arial"/>
                <w:color w:val="000000"/>
                <w:sz w:val="16"/>
                <w:szCs w:val="16"/>
                <w:lang w:val="es-CO" w:eastAsia="es-CO"/>
              </w:rPr>
              <w:t>2</w:t>
            </w:r>
          </w:p>
        </w:tc>
        <w:tc>
          <w:tcPr>
            <w:tcW w:w="692" w:type="dxa"/>
            <w:tcBorders>
              <w:top w:val="nil"/>
              <w:left w:val="nil"/>
              <w:bottom w:val="single" w:sz="4" w:space="0" w:color="4472C4"/>
              <w:right w:val="nil"/>
            </w:tcBorders>
            <w:shd w:val="clear" w:color="000000" w:fill="FFFFFF"/>
            <w:noWrap/>
            <w:vAlign w:val="center"/>
            <w:hideMark/>
          </w:tcPr>
          <w:p w14:paraId="269AA03C" w14:textId="77777777" w:rsidR="00240656" w:rsidRPr="00240656" w:rsidRDefault="00240656" w:rsidP="00835F25">
            <w:pPr>
              <w:contextualSpacing/>
              <w:jc w:val="center"/>
              <w:rPr>
                <w:rFonts w:ascii="Arial" w:eastAsia="Times New Roman" w:hAnsi="Arial" w:cs="Arial"/>
                <w:sz w:val="16"/>
                <w:szCs w:val="16"/>
                <w:lang w:val="es-CO" w:eastAsia="es-CO"/>
              </w:rPr>
            </w:pPr>
            <w:r w:rsidRPr="00240656">
              <w:rPr>
                <w:rFonts w:ascii="Arial" w:eastAsia="Times New Roman" w:hAnsi="Arial" w:cs="Arial"/>
                <w:sz w:val="16"/>
                <w:szCs w:val="16"/>
                <w:lang w:val="es-CO" w:eastAsia="es-CO"/>
              </w:rPr>
              <w:t>16</w:t>
            </w:r>
            <w:r w:rsidR="00C11A29">
              <w:rPr>
                <w:rFonts w:ascii="Arial" w:eastAsia="Times New Roman" w:hAnsi="Arial" w:cs="Arial"/>
                <w:sz w:val="16"/>
                <w:szCs w:val="16"/>
                <w:lang w:val="es-CO" w:eastAsia="es-CO"/>
              </w:rPr>
              <w:t>6</w:t>
            </w:r>
          </w:p>
        </w:tc>
        <w:tc>
          <w:tcPr>
            <w:tcW w:w="660" w:type="dxa"/>
            <w:tcBorders>
              <w:top w:val="nil"/>
              <w:left w:val="dotted" w:sz="4" w:space="0" w:color="4472C4"/>
              <w:bottom w:val="single" w:sz="4" w:space="0" w:color="4472C4"/>
              <w:right w:val="dotted" w:sz="4" w:space="0" w:color="4472C4"/>
            </w:tcBorders>
            <w:shd w:val="clear" w:color="000000" w:fill="FFFFFF"/>
            <w:noWrap/>
            <w:vAlign w:val="center"/>
            <w:hideMark/>
          </w:tcPr>
          <w:p w14:paraId="1501F41E" w14:textId="77777777" w:rsidR="00240656" w:rsidRPr="00240656" w:rsidRDefault="00240656" w:rsidP="00835F25">
            <w:pPr>
              <w:contextualSpacing/>
              <w:jc w:val="center"/>
              <w:rPr>
                <w:rFonts w:ascii="Arial" w:eastAsia="Times New Roman" w:hAnsi="Arial" w:cs="Arial"/>
                <w:color w:val="000000"/>
                <w:sz w:val="16"/>
                <w:szCs w:val="16"/>
                <w:lang w:val="es-CO" w:eastAsia="es-CO"/>
              </w:rPr>
            </w:pPr>
            <w:r w:rsidRPr="00240656">
              <w:rPr>
                <w:rFonts w:ascii="Arial" w:eastAsia="Times New Roman" w:hAnsi="Arial" w:cs="Arial"/>
                <w:color w:val="000000"/>
                <w:sz w:val="16"/>
                <w:szCs w:val="16"/>
                <w:lang w:val="es-CO" w:eastAsia="es-CO"/>
              </w:rPr>
              <w:t>36</w:t>
            </w:r>
          </w:p>
        </w:tc>
        <w:tc>
          <w:tcPr>
            <w:tcW w:w="1320" w:type="dxa"/>
            <w:gridSpan w:val="2"/>
            <w:tcBorders>
              <w:top w:val="dotted" w:sz="4" w:space="0" w:color="4472C4"/>
              <w:left w:val="nil"/>
              <w:bottom w:val="single" w:sz="4" w:space="0" w:color="4472C4"/>
              <w:right w:val="single" w:sz="4" w:space="0" w:color="4472C4"/>
            </w:tcBorders>
            <w:shd w:val="clear" w:color="000000" w:fill="D9D9D9"/>
            <w:noWrap/>
            <w:vAlign w:val="bottom"/>
            <w:hideMark/>
          </w:tcPr>
          <w:p w14:paraId="06FEDFF8" w14:textId="77777777" w:rsidR="00240656" w:rsidRPr="00240656" w:rsidRDefault="00240656" w:rsidP="00835F25">
            <w:pPr>
              <w:contextualSpacing/>
              <w:jc w:val="center"/>
              <w:rPr>
                <w:rFonts w:ascii="Calibri" w:eastAsia="Times New Roman" w:hAnsi="Calibri" w:cs="Calibri"/>
                <w:color w:val="000000"/>
                <w:sz w:val="22"/>
                <w:szCs w:val="22"/>
                <w:lang w:val="es-CO" w:eastAsia="es-CO"/>
              </w:rPr>
            </w:pPr>
            <w:r w:rsidRPr="00240656">
              <w:rPr>
                <w:rFonts w:ascii="Calibri" w:eastAsia="Times New Roman" w:hAnsi="Calibri" w:cs="Calibri"/>
                <w:color w:val="000000"/>
                <w:sz w:val="22"/>
                <w:szCs w:val="22"/>
                <w:lang w:val="es-CO" w:eastAsia="es-CO"/>
              </w:rPr>
              <w:t> </w:t>
            </w:r>
          </w:p>
        </w:tc>
      </w:tr>
    </w:tbl>
    <w:p w14:paraId="6D04B040" w14:textId="77777777" w:rsidR="00A337D2" w:rsidRPr="006021DA" w:rsidRDefault="00A337D2" w:rsidP="00835F25">
      <w:pPr>
        <w:pStyle w:val="Sinespaciado"/>
        <w:keepNext/>
        <w:contextualSpacing/>
        <w:jc w:val="center"/>
        <w:rPr>
          <w:rFonts w:ascii="Arial" w:hAnsi="Arial" w:cs="Arial"/>
          <w:sz w:val="16"/>
          <w:szCs w:val="20"/>
        </w:rPr>
      </w:pPr>
      <w:r w:rsidRPr="006021DA">
        <w:rPr>
          <w:rFonts w:ascii="Arial" w:hAnsi="Arial" w:cs="Arial"/>
          <w:sz w:val="16"/>
          <w:szCs w:val="20"/>
        </w:rPr>
        <w:t>Fuente: DANE, IGAC, SICODIS, MEN.</w:t>
      </w:r>
    </w:p>
    <w:p w14:paraId="67EA8581" w14:textId="77777777" w:rsidR="008F095B" w:rsidRPr="006021DA" w:rsidRDefault="008F095B" w:rsidP="00835F25">
      <w:pPr>
        <w:contextualSpacing/>
        <w:jc w:val="both"/>
        <w:rPr>
          <w:rFonts w:ascii="Arial" w:hAnsi="Arial" w:cs="Arial"/>
          <w:sz w:val="22"/>
        </w:rPr>
      </w:pPr>
    </w:p>
    <w:bookmarkEnd w:id="2"/>
    <w:p w14:paraId="2B108240" w14:textId="77777777" w:rsidR="00FE7B83" w:rsidRPr="00FE7B83" w:rsidRDefault="00794118" w:rsidP="00835F25">
      <w:pPr>
        <w:pStyle w:val="Sinespaciado"/>
        <w:contextualSpacing/>
        <w:rPr>
          <w:rFonts w:ascii="Arial" w:eastAsia="MS Mincho" w:hAnsi="Arial" w:cs="Arial"/>
          <w:lang w:eastAsia="es-ES"/>
        </w:rPr>
      </w:pPr>
      <w:r>
        <w:rPr>
          <w:rFonts w:ascii="Arial" w:eastAsia="MS Mincho" w:hAnsi="Arial" w:cs="Arial"/>
          <w:lang w:eastAsia="es-ES"/>
        </w:rPr>
        <w:t>Por otra parte, e</w:t>
      </w:r>
      <w:r w:rsidR="00FE7B83" w:rsidRPr="00FE7B83">
        <w:rPr>
          <w:rFonts w:ascii="Arial" w:eastAsia="MS Mincho" w:hAnsi="Arial" w:cs="Arial"/>
          <w:lang w:eastAsia="es-ES"/>
        </w:rPr>
        <w:t xml:space="preserve">l </w:t>
      </w:r>
      <w:r w:rsidR="00687DAC">
        <w:rPr>
          <w:rFonts w:ascii="Arial" w:eastAsia="MS Mincho" w:hAnsi="Arial" w:cs="Arial"/>
          <w:lang w:eastAsia="es-ES"/>
        </w:rPr>
        <w:t>89</w:t>
      </w:r>
      <w:r w:rsidR="00FE7B83" w:rsidRPr="00FE7B83">
        <w:rPr>
          <w:rFonts w:ascii="Arial" w:eastAsia="MS Mincho" w:hAnsi="Arial" w:cs="Arial"/>
          <w:lang w:eastAsia="es-ES"/>
        </w:rPr>
        <w:t xml:space="preserve"> % de la población del Distrito de Cartagena de Indias habita en la zona urbana, mientras que el </w:t>
      </w:r>
      <w:r w:rsidR="00687DAC">
        <w:rPr>
          <w:rFonts w:ascii="Arial" w:eastAsia="MS Mincho" w:hAnsi="Arial" w:cs="Arial"/>
          <w:lang w:eastAsia="es-ES"/>
        </w:rPr>
        <w:t>11</w:t>
      </w:r>
      <w:r w:rsidR="00FE7B83" w:rsidRPr="00FE7B83">
        <w:rPr>
          <w:rFonts w:ascii="Arial" w:eastAsia="MS Mincho" w:hAnsi="Arial" w:cs="Arial"/>
          <w:lang w:eastAsia="es-ES"/>
        </w:rPr>
        <w:t xml:space="preserve"> % restante se establece en la zona rural. Con una distribución de 48,4 % hombres y 51,6 % mujeres, la población en edad escolar de </w:t>
      </w:r>
      <w:r>
        <w:rPr>
          <w:rFonts w:ascii="Arial" w:eastAsia="MS Mincho" w:hAnsi="Arial" w:cs="Arial"/>
          <w:lang w:eastAsia="es-ES"/>
        </w:rPr>
        <w:t>cinco (</w:t>
      </w:r>
      <w:r w:rsidR="00FE7B83" w:rsidRPr="00FE7B83">
        <w:rPr>
          <w:rFonts w:ascii="Arial" w:eastAsia="MS Mincho" w:hAnsi="Arial" w:cs="Arial"/>
          <w:lang w:eastAsia="es-ES"/>
        </w:rPr>
        <w:t>5</w:t>
      </w:r>
      <w:r>
        <w:rPr>
          <w:rFonts w:ascii="Arial" w:eastAsia="MS Mincho" w:hAnsi="Arial" w:cs="Arial"/>
          <w:lang w:eastAsia="es-ES"/>
        </w:rPr>
        <w:t>)</w:t>
      </w:r>
      <w:r w:rsidR="00FE7B83" w:rsidRPr="00FE7B83">
        <w:rPr>
          <w:rFonts w:ascii="Arial" w:eastAsia="MS Mincho" w:hAnsi="Arial" w:cs="Arial"/>
          <w:lang w:eastAsia="es-ES"/>
        </w:rPr>
        <w:t xml:space="preserve"> a </w:t>
      </w:r>
      <w:r>
        <w:rPr>
          <w:rFonts w:ascii="Arial" w:eastAsia="MS Mincho" w:hAnsi="Arial" w:cs="Arial"/>
          <w:lang w:eastAsia="es-ES"/>
        </w:rPr>
        <w:t>diecisiete (</w:t>
      </w:r>
      <w:r w:rsidR="00FE7B83" w:rsidRPr="00FE7B83">
        <w:rPr>
          <w:rFonts w:ascii="Arial" w:eastAsia="MS Mincho" w:hAnsi="Arial" w:cs="Arial"/>
          <w:lang w:eastAsia="es-ES"/>
        </w:rPr>
        <w:t>17</w:t>
      </w:r>
      <w:r>
        <w:rPr>
          <w:rFonts w:ascii="Arial" w:eastAsia="MS Mincho" w:hAnsi="Arial" w:cs="Arial"/>
          <w:lang w:eastAsia="es-ES"/>
        </w:rPr>
        <w:t>)</w:t>
      </w:r>
      <w:r w:rsidR="00FE7B83" w:rsidRPr="00FE7B83">
        <w:rPr>
          <w:rFonts w:ascii="Arial" w:eastAsia="MS Mincho" w:hAnsi="Arial" w:cs="Arial"/>
          <w:lang w:eastAsia="es-ES"/>
        </w:rPr>
        <w:t xml:space="preserve"> años representa el 2</w:t>
      </w:r>
      <w:r w:rsidR="007F3C98">
        <w:rPr>
          <w:rFonts w:ascii="Arial" w:eastAsia="MS Mincho" w:hAnsi="Arial" w:cs="Arial"/>
          <w:lang w:eastAsia="es-ES"/>
        </w:rPr>
        <w:t>1</w:t>
      </w:r>
      <w:r w:rsidR="00FE7B83" w:rsidRPr="00FE7B83">
        <w:rPr>
          <w:rFonts w:ascii="Arial" w:eastAsia="MS Mincho" w:hAnsi="Arial" w:cs="Arial"/>
          <w:lang w:eastAsia="es-ES"/>
        </w:rPr>
        <w:t xml:space="preserve"> % del total de la población</w:t>
      </w:r>
      <w:r>
        <w:rPr>
          <w:rFonts w:ascii="Arial" w:eastAsia="MS Mincho" w:hAnsi="Arial" w:cs="Arial"/>
          <w:lang w:eastAsia="es-ES"/>
        </w:rPr>
        <w:t>;</w:t>
      </w:r>
      <w:r w:rsidR="00FE7B83" w:rsidRPr="00FE7B83">
        <w:rPr>
          <w:rFonts w:ascii="Arial" w:eastAsia="MS Mincho" w:hAnsi="Arial" w:cs="Arial"/>
          <w:lang w:eastAsia="es-ES"/>
        </w:rPr>
        <w:t xml:space="preserve"> sin embargo, la población matriculada en </w:t>
      </w:r>
      <w:r w:rsidR="00FE7B83" w:rsidRPr="00FE7B83">
        <w:rPr>
          <w:rFonts w:ascii="Arial" w:eastAsia="MS Mincho" w:hAnsi="Arial" w:cs="Arial"/>
          <w:lang w:eastAsia="es-ES"/>
        </w:rPr>
        <w:lastRenderedPageBreak/>
        <w:t>establecimientos educativos oficiales oscila alrededor del 1</w:t>
      </w:r>
      <w:r w:rsidR="00960D1F">
        <w:rPr>
          <w:rFonts w:ascii="Arial" w:eastAsia="MS Mincho" w:hAnsi="Arial" w:cs="Arial"/>
          <w:lang w:eastAsia="es-ES"/>
        </w:rPr>
        <w:t>5</w:t>
      </w:r>
      <w:r w:rsidR="00FE7B83" w:rsidRPr="00FE7B83">
        <w:rPr>
          <w:rFonts w:ascii="Arial" w:eastAsia="MS Mincho" w:hAnsi="Arial" w:cs="Arial"/>
          <w:lang w:eastAsia="es-ES"/>
        </w:rPr>
        <w:t>,</w:t>
      </w:r>
      <w:r w:rsidR="00960D1F">
        <w:rPr>
          <w:rFonts w:ascii="Arial" w:eastAsia="MS Mincho" w:hAnsi="Arial" w:cs="Arial"/>
          <w:lang w:eastAsia="es-ES"/>
        </w:rPr>
        <w:t>6</w:t>
      </w:r>
      <w:r w:rsidR="00FE7B83" w:rsidRPr="00FE7B83">
        <w:rPr>
          <w:rFonts w:ascii="Arial" w:eastAsia="MS Mincho" w:hAnsi="Arial" w:cs="Arial"/>
          <w:lang w:eastAsia="es-ES"/>
        </w:rPr>
        <w:t xml:space="preserve"> % (1</w:t>
      </w:r>
      <w:r w:rsidR="00960D1F">
        <w:rPr>
          <w:rFonts w:ascii="Arial" w:eastAsia="MS Mincho" w:hAnsi="Arial" w:cs="Arial"/>
          <w:lang w:eastAsia="es-ES"/>
        </w:rPr>
        <w:t>65</w:t>
      </w:r>
      <w:r w:rsidR="00FE7B83" w:rsidRPr="00FE7B83">
        <w:rPr>
          <w:rFonts w:ascii="Arial" w:eastAsia="MS Mincho" w:hAnsi="Arial" w:cs="Arial"/>
          <w:lang w:eastAsia="es-ES"/>
        </w:rPr>
        <w:t>.</w:t>
      </w:r>
      <w:r w:rsidR="00960D1F">
        <w:rPr>
          <w:rFonts w:ascii="Arial" w:eastAsia="MS Mincho" w:hAnsi="Arial" w:cs="Arial"/>
          <w:lang w:eastAsia="es-ES"/>
        </w:rPr>
        <w:t>204</w:t>
      </w:r>
      <w:r w:rsidR="00FE7B83" w:rsidRPr="00FE7B83">
        <w:rPr>
          <w:rFonts w:ascii="Arial" w:eastAsia="MS Mincho" w:hAnsi="Arial" w:cs="Arial"/>
          <w:lang w:eastAsia="es-ES"/>
        </w:rPr>
        <w:t xml:space="preserve"> para 20</w:t>
      </w:r>
      <w:r w:rsidR="00960D1F">
        <w:rPr>
          <w:rFonts w:ascii="Arial" w:eastAsia="MS Mincho" w:hAnsi="Arial" w:cs="Arial"/>
          <w:lang w:eastAsia="es-ES"/>
        </w:rPr>
        <w:t>21</w:t>
      </w:r>
      <w:r w:rsidR="00FE7B83" w:rsidRPr="00FE7B83">
        <w:rPr>
          <w:rFonts w:ascii="Arial" w:eastAsia="MS Mincho" w:hAnsi="Arial" w:cs="Arial"/>
          <w:lang w:eastAsia="es-ES"/>
        </w:rPr>
        <w:t xml:space="preserve"> según el Ministerio de Educación Nacional).</w:t>
      </w:r>
    </w:p>
    <w:p w14:paraId="3361A9AB" w14:textId="77777777" w:rsidR="00FE7B83" w:rsidRPr="00FE7B83" w:rsidRDefault="00FE7B83" w:rsidP="00835F25">
      <w:pPr>
        <w:pStyle w:val="Sinespaciado"/>
        <w:contextualSpacing/>
        <w:rPr>
          <w:rFonts w:ascii="Arial" w:eastAsia="MS Mincho" w:hAnsi="Arial" w:cs="Arial"/>
          <w:lang w:eastAsia="es-ES"/>
        </w:rPr>
      </w:pPr>
    </w:p>
    <w:p w14:paraId="44B6C57C" w14:textId="77777777" w:rsidR="00FE7B83" w:rsidRPr="00FE7B83" w:rsidRDefault="00FE7B83" w:rsidP="00835F25">
      <w:pPr>
        <w:pStyle w:val="Sinespaciado"/>
        <w:contextualSpacing/>
        <w:rPr>
          <w:rFonts w:ascii="Arial" w:eastAsia="MS Mincho" w:hAnsi="Arial" w:cs="Arial"/>
          <w:lang w:eastAsia="es-ES"/>
        </w:rPr>
      </w:pPr>
      <w:r w:rsidRPr="00FE7B83">
        <w:rPr>
          <w:rFonts w:ascii="Arial" w:eastAsia="MS Mincho" w:hAnsi="Arial" w:cs="Arial"/>
          <w:lang w:eastAsia="es-ES"/>
        </w:rPr>
        <w:t>El Plan de Desarrollo 2020-2023 “</w:t>
      </w:r>
      <w:r w:rsidRPr="00C3174A">
        <w:rPr>
          <w:rFonts w:ascii="Arial" w:eastAsia="MS Mincho" w:hAnsi="Arial" w:cs="Arial"/>
          <w:i/>
          <w:iCs/>
          <w:lang w:eastAsia="es-ES"/>
        </w:rPr>
        <w:t>Salvemos Juntos a Cartagena ¡Por una Cartagena libre y resiliente!</w:t>
      </w:r>
      <w:r w:rsidRPr="00FE7B83">
        <w:rPr>
          <w:rFonts w:ascii="Arial" w:eastAsia="MS Mincho" w:hAnsi="Arial" w:cs="Arial"/>
          <w:lang w:eastAsia="es-ES"/>
        </w:rPr>
        <w:t xml:space="preserve">”, adoptado mediante Acuerdo 016 del 30 de mayo de 2020, se estructuró </w:t>
      </w:r>
      <w:r w:rsidR="00794118">
        <w:rPr>
          <w:rFonts w:ascii="Arial" w:eastAsia="MS Mincho" w:hAnsi="Arial" w:cs="Arial"/>
          <w:lang w:eastAsia="es-ES"/>
        </w:rPr>
        <w:t>partiendo</w:t>
      </w:r>
      <w:r w:rsidRPr="00FE7B83">
        <w:rPr>
          <w:rFonts w:ascii="Arial" w:eastAsia="MS Mincho" w:hAnsi="Arial" w:cs="Arial"/>
          <w:lang w:eastAsia="es-ES"/>
        </w:rPr>
        <w:t xml:space="preserve"> de cuatro </w:t>
      </w:r>
      <w:r w:rsidR="00794118">
        <w:rPr>
          <w:rFonts w:ascii="Arial" w:eastAsia="MS Mincho" w:hAnsi="Arial" w:cs="Arial"/>
          <w:lang w:eastAsia="es-ES"/>
        </w:rPr>
        <w:t xml:space="preserve">(4) </w:t>
      </w:r>
      <w:r w:rsidRPr="00FE7B83">
        <w:rPr>
          <w:rFonts w:ascii="Arial" w:eastAsia="MS Mincho" w:hAnsi="Arial" w:cs="Arial"/>
          <w:lang w:eastAsia="es-ES"/>
        </w:rPr>
        <w:t xml:space="preserve">pilares y </w:t>
      </w:r>
      <w:r w:rsidR="00794118">
        <w:rPr>
          <w:rFonts w:ascii="Arial" w:eastAsia="MS Mincho" w:hAnsi="Arial" w:cs="Arial"/>
          <w:lang w:eastAsia="es-ES"/>
        </w:rPr>
        <w:t>ocho (</w:t>
      </w:r>
      <w:r w:rsidRPr="00FE7B83">
        <w:rPr>
          <w:rFonts w:ascii="Arial" w:eastAsia="MS Mincho" w:hAnsi="Arial" w:cs="Arial"/>
          <w:lang w:eastAsia="es-ES"/>
        </w:rPr>
        <w:t>8</w:t>
      </w:r>
      <w:r w:rsidR="00794118">
        <w:rPr>
          <w:rFonts w:ascii="Arial" w:eastAsia="MS Mincho" w:hAnsi="Arial" w:cs="Arial"/>
          <w:lang w:eastAsia="es-ES"/>
        </w:rPr>
        <w:t>)</w:t>
      </w:r>
      <w:r w:rsidRPr="00FE7B83">
        <w:rPr>
          <w:rFonts w:ascii="Arial" w:eastAsia="MS Mincho" w:hAnsi="Arial" w:cs="Arial"/>
          <w:lang w:eastAsia="es-ES"/>
        </w:rPr>
        <w:t xml:space="preserve"> líneas estratégicas, que van encaminados a la recuperación del territorio y uno </w:t>
      </w:r>
      <w:r w:rsidR="00794118">
        <w:rPr>
          <w:rFonts w:ascii="Arial" w:eastAsia="MS Mincho" w:hAnsi="Arial" w:cs="Arial"/>
          <w:lang w:eastAsia="es-ES"/>
        </w:rPr>
        <w:t xml:space="preserve">(1) </w:t>
      </w:r>
      <w:r w:rsidRPr="00FE7B83">
        <w:rPr>
          <w:rFonts w:ascii="Arial" w:eastAsia="MS Mincho" w:hAnsi="Arial" w:cs="Arial"/>
          <w:lang w:eastAsia="es-ES"/>
        </w:rPr>
        <w:t xml:space="preserve">transversal que garantiza la atención de los derechos de la población, los cuales son: 1. Cartagena Resiliente; 2. Cartagena Incluyente; </w:t>
      </w:r>
      <w:r w:rsidR="00C3174A">
        <w:rPr>
          <w:rFonts w:ascii="Arial" w:eastAsia="MS Mincho" w:hAnsi="Arial" w:cs="Arial"/>
          <w:lang w:eastAsia="es-ES"/>
        </w:rPr>
        <w:t xml:space="preserve">3. </w:t>
      </w:r>
      <w:r w:rsidRPr="00FE7B83">
        <w:rPr>
          <w:rFonts w:ascii="Arial" w:eastAsia="MS Mincho" w:hAnsi="Arial" w:cs="Arial"/>
          <w:lang w:eastAsia="es-ES"/>
        </w:rPr>
        <w:t xml:space="preserve">Cartagena Contingente; </w:t>
      </w:r>
      <w:r w:rsidR="00C3174A">
        <w:rPr>
          <w:rFonts w:ascii="Arial" w:eastAsia="MS Mincho" w:hAnsi="Arial" w:cs="Arial"/>
          <w:lang w:eastAsia="es-ES"/>
        </w:rPr>
        <w:t xml:space="preserve">4. </w:t>
      </w:r>
      <w:r w:rsidRPr="00FE7B83">
        <w:rPr>
          <w:rFonts w:ascii="Arial" w:eastAsia="MS Mincho" w:hAnsi="Arial" w:cs="Arial"/>
          <w:lang w:eastAsia="es-ES"/>
        </w:rPr>
        <w:t>Cartagena Transparente y 5. Cartagena con atención y garantía a la población diferencial.</w:t>
      </w:r>
    </w:p>
    <w:p w14:paraId="32C30103" w14:textId="77777777" w:rsidR="00FE7B83" w:rsidRPr="00FE7B83" w:rsidRDefault="00FE7B83" w:rsidP="00835F25">
      <w:pPr>
        <w:pStyle w:val="Sinespaciado"/>
        <w:contextualSpacing/>
        <w:rPr>
          <w:rFonts w:ascii="Arial" w:eastAsia="MS Mincho" w:hAnsi="Arial" w:cs="Arial"/>
          <w:lang w:eastAsia="es-ES"/>
        </w:rPr>
      </w:pPr>
    </w:p>
    <w:p w14:paraId="7E0A9731" w14:textId="77777777" w:rsidR="00FE7B83" w:rsidRDefault="00FE7B83" w:rsidP="00835F25">
      <w:pPr>
        <w:pStyle w:val="Sinespaciado"/>
        <w:contextualSpacing/>
        <w:rPr>
          <w:rFonts w:ascii="Arial" w:eastAsia="MS Mincho" w:hAnsi="Arial" w:cs="Arial"/>
          <w:lang w:eastAsia="es-ES"/>
        </w:rPr>
      </w:pPr>
      <w:r w:rsidRPr="00FE7B83">
        <w:rPr>
          <w:rFonts w:ascii="Arial" w:eastAsia="MS Mincho" w:hAnsi="Arial" w:cs="Arial"/>
          <w:lang w:eastAsia="es-ES"/>
        </w:rPr>
        <w:t xml:space="preserve">Dentro del segundo </w:t>
      </w:r>
      <w:r w:rsidR="00794118">
        <w:rPr>
          <w:rFonts w:ascii="Arial" w:eastAsia="MS Mincho" w:hAnsi="Arial" w:cs="Arial"/>
          <w:lang w:eastAsia="es-ES"/>
        </w:rPr>
        <w:t>P</w:t>
      </w:r>
      <w:r w:rsidRPr="00FE7B83">
        <w:rPr>
          <w:rFonts w:ascii="Arial" w:eastAsia="MS Mincho" w:hAnsi="Arial" w:cs="Arial"/>
          <w:lang w:eastAsia="es-ES"/>
        </w:rPr>
        <w:t xml:space="preserve">ilar: Cartagena Incluyente se encuentra la </w:t>
      </w:r>
      <w:r w:rsidR="00794118">
        <w:rPr>
          <w:rFonts w:ascii="Arial" w:eastAsia="MS Mincho" w:hAnsi="Arial" w:cs="Arial"/>
          <w:lang w:eastAsia="es-ES"/>
        </w:rPr>
        <w:t>L</w:t>
      </w:r>
      <w:r w:rsidRPr="00FE7B83">
        <w:rPr>
          <w:rFonts w:ascii="Arial" w:eastAsia="MS Mincho" w:hAnsi="Arial" w:cs="Arial"/>
          <w:lang w:eastAsia="es-ES"/>
        </w:rPr>
        <w:t xml:space="preserve">ínea Educación: Cultura de la Formación, en la cual se encuentra el </w:t>
      </w:r>
      <w:r w:rsidR="00794118">
        <w:rPr>
          <w:rFonts w:ascii="Arial" w:eastAsia="MS Mincho" w:hAnsi="Arial" w:cs="Arial"/>
          <w:lang w:eastAsia="es-ES"/>
        </w:rPr>
        <w:t>P</w:t>
      </w:r>
      <w:r w:rsidRPr="00FE7B83">
        <w:rPr>
          <w:rFonts w:ascii="Arial" w:eastAsia="MS Mincho" w:hAnsi="Arial" w:cs="Arial"/>
          <w:lang w:eastAsia="es-ES"/>
        </w:rPr>
        <w:t>rograma Acogida “</w:t>
      </w:r>
      <w:r w:rsidRPr="00C3174A">
        <w:rPr>
          <w:rFonts w:ascii="Arial" w:eastAsia="MS Mincho" w:hAnsi="Arial" w:cs="Arial"/>
          <w:i/>
          <w:iCs/>
          <w:lang w:eastAsia="es-ES"/>
        </w:rPr>
        <w:t>Atención a poblaciones y estrategias de acceso y permanencia</w:t>
      </w:r>
      <w:r w:rsidRPr="00FE7B83">
        <w:rPr>
          <w:rFonts w:ascii="Arial" w:eastAsia="MS Mincho" w:hAnsi="Arial" w:cs="Arial"/>
          <w:lang w:eastAsia="es-ES"/>
        </w:rPr>
        <w:t>”, cuyo indicador de producto tiene el “</w:t>
      </w:r>
      <w:r w:rsidRPr="00C3174A">
        <w:rPr>
          <w:rFonts w:ascii="Arial" w:eastAsia="MS Mincho" w:hAnsi="Arial" w:cs="Arial"/>
          <w:i/>
          <w:iCs/>
          <w:lang w:eastAsia="es-ES"/>
        </w:rPr>
        <w:t>No. de estudiantes de Instituciones Educativas Oficiales focalizados con estrategias para el acceso y la permanencia</w:t>
      </w:r>
      <w:r w:rsidRPr="00FE7B83">
        <w:rPr>
          <w:rFonts w:ascii="Arial" w:eastAsia="MS Mincho" w:hAnsi="Arial" w:cs="Arial"/>
          <w:lang w:eastAsia="es-ES"/>
        </w:rPr>
        <w:t xml:space="preserve">”, cuya meta es la atender anualmente a 100.000 estudiantes de </w:t>
      </w:r>
      <w:r w:rsidR="00794118">
        <w:rPr>
          <w:rFonts w:ascii="Arial" w:eastAsia="MS Mincho" w:hAnsi="Arial" w:cs="Arial"/>
          <w:lang w:eastAsia="es-ES"/>
        </w:rPr>
        <w:t>i</w:t>
      </w:r>
      <w:r w:rsidRPr="00FE7B83">
        <w:rPr>
          <w:rFonts w:ascii="Arial" w:eastAsia="MS Mincho" w:hAnsi="Arial" w:cs="Arial"/>
          <w:lang w:eastAsia="es-ES"/>
        </w:rPr>
        <w:t xml:space="preserve">nstituciones </w:t>
      </w:r>
      <w:r w:rsidR="00794118">
        <w:rPr>
          <w:rFonts w:ascii="Arial" w:eastAsia="MS Mincho" w:hAnsi="Arial" w:cs="Arial"/>
          <w:lang w:eastAsia="es-ES"/>
        </w:rPr>
        <w:t>e</w:t>
      </w:r>
      <w:r w:rsidRPr="00FE7B83">
        <w:rPr>
          <w:rFonts w:ascii="Arial" w:eastAsia="MS Mincho" w:hAnsi="Arial" w:cs="Arial"/>
          <w:lang w:eastAsia="es-ES"/>
        </w:rPr>
        <w:t xml:space="preserve">ducativas </w:t>
      </w:r>
      <w:r w:rsidR="00794118">
        <w:rPr>
          <w:rFonts w:ascii="Arial" w:eastAsia="MS Mincho" w:hAnsi="Arial" w:cs="Arial"/>
          <w:lang w:eastAsia="es-ES"/>
        </w:rPr>
        <w:t>o</w:t>
      </w:r>
      <w:r w:rsidRPr="00FE7B83">
        <w:rPr>
          <w:rFonts w:ascii="Arial" w:eastAsia="MS Mincho" w:hAnsi="Arial" w:cs="Arial"/>
          <w:lang w:eastAsia="es-ES"/>
        </w:rPr>
        <w:t>ficiales focalizados con estrategias para el acceso y la permanencia.</w:t>
      </w:r>
    </w:p>
    <w:p w14:paraId="77574176" w14:textId="77777777" w:rsidR="004405B1" w:rsidRPr="00B3648E" w:rsidRDefault="004405B1" w:rsidP="00835F25">
      <w:pPr>
        <w:contextualSpacing/>
        <w:rPr>
          <w:rFonts w:ascii="Arial" w:hAnsi="Arial" w:cs="Arial"/>
          <w:sz w:val="22"/>
          <w:lang w:val="es-CO"/>
        </w:rPr>
      </w:pPr>
    </w:p>
    <w:p w14:paraId="69774613" w14:textId="77777777" w:rsidR="004405B1" w:rsidRPr="00E0338B" w:rsidRDefault="004405B1" w:rsidP="00835F25">
      <w:pPr>
        <w:contextualSpacing/>
        <w:jc w:val="both"/>
        <w:rPr>
          <w:rFonts w:ascii="Arial" w:eastAsia="Calibri" w:hAnsi="Arial" w:cs="Arial"/>
          <w:b/>
          <w:bCs/>
          <w:sz w:val="22"/>
          <w:szCs w:val="22"/>
          <w:lang w:val="es-CO" w:eastAsia="en-US"/>
        </w:rPr>
      </w:pPr>
      <w:r w:rsidRPr="00E0338B">
        <w:rPr>
          <w:rFonts w:ascii="Arial" w:eastAsia="Calibri" w:hAnsi="Arial" w:cs="Arial"/>
          <w:b/>
          <w:bCs/>
          <w:sz w:val="22"/>
          <w:szCs w:val="22"/>
          <w:lang w:val="es-CO" w:eastAsia="en-US"/>
        </w:rPr>
        <w:t>Matrícula:</w:t>
      </w:r>
    </w:p>
    <w:p w14:paraId="1FC82AA2" w14:textId="77777777" w:rsidR="004405B1" w:rsidRPr="00E0338B" w:rsidRDefault="004405B1" w:rsidP="00835F25">
      <w:pPr>
        <w:contextualSpacing/>
        <w:jc w:val="both"/>
        <w:rPr>
          <w:rFonts w:ascii="Arial" w:eastAsia="Calibri" w:hAnsi="Arial" w:cs="Arial"/>
          <w:b/>
          <w:bCs/>
          <w:sz w:val="22"/>
          <w:szCs w:val="22"/>
          <w:lang w:val="es-CO" w:eastAsia="en-US"/>
        </w:rPr>
      </w:pPr>
    </w:p>
    <w:p w14:paraId="5D18599F" w14:textId="77777777" w:rsidR="004405B1" w:rsidRPr="006021DA" w:rsidRDefault="004405B1" w:rsidP="00835F25">
      <w:pPr>
        <w:contextualSpacing/>
        <w:jc w:val="both"/>
        <w:rPr>
          <w:rFonts w:ascii="Arial" w:eastAsia="Calibri" w:hAnsi="Arial" w:cs="Arial"/>
          <w:sz w:val="22"/>
          <w:szCs w:val="22"/>
          <w:lang w:val="es-CO" w:eastAsia="en-US"/>
        </w:rPr>
      </w:pPr>
      <w:r w:rsidRPr="00E0338B">
        <w:rPr>
          <w:rFonts w:ascii="Arial" w:eastAsia="Calibri" w:hAnsi="Arial" w:cs="Arial"/>
          <w:sz w:val="22"/>
          <w:szCs w:val="22"/>
          <w:lang w:val="es-CO" w:eastAsia="en-US"/>
        </w:rPr>
        <w:t>Con respecto a las instituciones educativas del Distrito con información a 202</w:t>
      </w:r>
      <w:r w:rsidR="001F2C51">
        <w:rPr>
          <w:rFonts w:ascii="Arial" w:eastAsia="Calibri" w:hAnsi="Arial" w:cs="Arial"/>
          <w:sz w:val="22"/>
          <w:szCs w:val="22"/>
          <w:lang w:val="es-CO" w:eastAsia="en-US"/>
        </w:rPr>
        <w:t>2</w:t>
      </w:r>
      <w:r w:rsidRPr="00E0338B">
        <w:rPr>
          <w:rFonts w:ascii="Arial" w:eastAsia="Calibri" w:hAnsi="Arial" w:cs="Arial"/>
          <w:sz w:val="22"/>
          <w:szCs w:val="22"/>
          <w:lang w:val="es-CO" w:eastAsia="en-US"/>
        </w:rPr>
        <w:t xml:space="preserve"> se establece que la Entidad Territorial tiene en su jurisdicción </w:t>
      </w:r>
      <w:r w:rsidR="00C83552">
        <w:rPr>
          <w:rFonts w:ascii="Arial" w:eastAsia="Calibri" w:hAnsi="Arial" w:cs="Arial"/>
          <w:sz w:val="22"/>
          <w:szCs w:val="22"/>
          <w:lang w:val="es-CO" w:eastAsia="en-US"/>
        </w:rPr>
        <w:t>ciento dos</w:t>
      </w:r>
      <w:r w:rsidRPr="00E0338B">
        <w:rPr>
          <w:rFonts w:ascii="Arial" w:eastAsia="Calibri" w:hAnsi="Arial" w:cs="Arial"/>
          <w:sz w:val="22"/>
          <w:szCs w:val="22"/>
          <w:lang w:val="es-CO" w:eastAsia="en-US"/>
        </w:rPr>
        <w:t xml:space="preserve"> (</w:t>
      </w:r>
      <w:r w:rsidR="00C83552">
        <w:rPr>
          <w:rFonts w:ascii="Arial" w:eastAsia="Calibri" w:hAnsi="Arial" w:cs="Arial"/>
          <w:sz w:val="22"/>
          <w:szCs w:val="22"/>
          <w:lang w:val="es-CO" w:eastAsia="en-US"/>
        </w:rPr>
        <w:t>102</w:t>
      </w:r>
      <w:r w:rsidRPr="00E0338B">
        <w:rPr>
          <w:rFonts w:ascii="Arial" w:eastAsia="Calibri" w:hAnsi="Arial" w:cs="Arial"/>
          <w:sz w:val="22"/>
          <w:szCs w:val="22"/>
          <w:lang w:val="es-CO" w:eastAsia="en-US"/>
        </w:rPr>
        <w:t xml:space="preserve">) </w:t>
      </w:r>
      <w:r w:rsidR="00C83552">
        <w:rPr>
          <w:rFonts w:ascii="Arial" w:eastAsia="Calibri" w:hAnsi="Arial" w:cs="Arial"/>
          <w:sz w:val="22"/>
          <w:szCs w:val="22"/>
          <w:lang w:val="es-CO" w:eastAsia="en-US"/>
        </w:rPr>
        <w:t>establecimientos educativos</w:t>
      </w:r>
      <w:r w:rsidRPr="00E0338B">
        <w:rPr>
          <w:rFonts w:ascii="Arial" w:eastAsia="Calibri" w:hAnsi="Arial" w:cs="Arial"/>
          <w:sz w:val="22"/>
          <w:szCs w:val="22"/>
          <w:lang w:val="es-CO" w:eastAsia="en-US"/>
        </w:rPr>
        <w:t xml:space="preserve"> de carácter oficial organizadas en </w:t>
      </w:r>
      <w:r w:rsidR="00C83552">
        <w:rPr>
          <w:rFonts w:ascii="Arial" w:eastAsia="Calibri" w:hAnsi="Arial" w:cs="Arial"/>
          <w:sz w:val="22"/>
          <w:szCs w:val="22"/>
          <w:lang w:val="es-CO" w:eastAsia="en-US"/>
        </w:rPr>
        <w:t>doscientos dos</w:t>
      </w:r>
      <w:r w:rsidRPr="00E0338B">
        <w:rPr>
          <w:rFonts w:ascii="Arial" w:eastAsia="Calibri" w:hAnsi="Arial" w:cs="Arial"/>
          <w:sz w:val="22"/>
          <w:szCs w:val="22"/>
          <w:lang w:val="es-CO" w:eastAsia="en-US"/>
        </w:rPr>
        <w:t xml:space="preserve"> (</w:t>
      </w:r>
      <w:r w:rsidR="00C83552">
        <w:rPr>
          <w:rFonts w:ascii="Arial" w:eastAsia="Calibri" w:hAnsi="Arial" w:cs="Arial"/>
          <w:sz w:val="22"/>
          <w:szCs w:val="22"/>
          <w:lang w:val="es-CO" w:eastAsia="en-US"/>
        </w:rPr>
        <w:t>202</w:t>
      </w:r>
      <w:r w:rsidRPr="00E0338B">
        <w:rPr>
          <w:rFonts w:ascii="Arial" w:eastAsia="Calibri" w:hAnsi="Arial" w:cs="Arial"/>
          <w:sz w:val="22"/>
          <w:szCs w:val="22"/>
          <w:lang w:val="es-CO" w:eastAsia="en-US"/>
        </w:rPr>
        <w:t>) sedes</w:t>
      </w:r>
      <w:r w:rsidR="00794118">
        <w:rPr>
          <w:rFonts w:ascii="Arial" w:eastAsia="Calibri" w:hAnsi="Arial" w:cs="Arial"/>
          <w:sz w:val="22"/>
          <w:szCs w:val="22"/>
          <w:lang w:val="es-CO" w:eastAsia="en-US"/>
        </w:rPr>
        <w:t>,</w:t>
      </w:r>
      <w:r w:rsidRPr="00E0338B">
        <w:rPr>
          <w:rFonts w:ascii="Arial" w:eastAsia="Calibri" w:hAnsi="Arial" w:cs="Arial"/>
          <w:sz w:val="22"/>
          <w:szCs w:val="22"/>
          <w:lang w:val="es-CO" w:eastAsia="en-US"/>
        </w:rPr>
        <w:t xml:space="preserve"> tal como se evidencia en la Tabla No. 1</w:t>
      </w:r>
      <w:r w:rsidR="00794118">
        <w:rPr>
          <w:rFonts w:ascii="Arial" w:eastAsia="Calibri" w:hAnsi="Arial" w:cs="Arial"/>
          <w:sz w:val="22"/>
          <w:szCs w:val="22"/>
          <w:lang w:val="es-CO" w:eastAsia="en-US"/>
        </w:rPr>
        <w:t>,</w:t>
      </w:r>
      <w:r w:rsidRPr="00E0338B">
        <w:rPr>
          <w:rFonts w:ascii="Arial" w:eastAsia="Calibri" w:hAnsi="Arial" w:cs="Arial"/>
          <w:sz w:val="22"/>
          <w:szCs w:val="22"/>
          <w:lang w:val="es-CO" w:eastAsia="en-US"/>
        </w:rPr>
        <w:t xml:space="preserve"> para atender </w:t>
      </w:r>
      <w:r w:rsidR="00C83552">
        <w:rPr>
          <w:rFonts w:ascii="Arial" w:eastAsia="Calibri" w:hAnsi="Arial" w:cs="Arial"/>
          <w:sz w:val="22"/>
          <w:szCs w:val="22"/>
          <w:lang w:val="es-CO" w:eastAsia="en-US"/>
        </w:rPr>
        <w:t>159.444</w:t>
      </w:r>
      <w:r w:rsidRPr="00E0338B">
        <w:rPr>
          <w:rFonts w:ascii="Arial" w:eastAsia="Calibri" w:hAnsi="Arial" w:cs="Arial"/>
          <w:sz w:val="22"/>
          <w:szCs w:val="22"/>
          <w:lang w:val="es-CO" w:eastAsia="en-US"/>
        </w:rPr>
        <w:t xml:space="preserve"> estudiantes de los cuales el </w:t>
      </w:r>
      <w:r w:rsidR="00331176">
        <w:rPr>
          <w:rFonts w:ascii="Arial" w:eastAsia="Calibri" w:hAnsi="Arial" w:cs="Arial"/>
          <w:sz w:val="22"/>
          <w:szCs w:val="22"/>
          <w:lang w:val="es-CO" w:eastAsia="en-US"/>
        </w:rPr>
        <w:t>21</w:t>
      </w:r>
      <w:r w:rsidRPr="00E0338B">
        <w:rPr>
          <w:rFonts w:ascii="Arial" w:eastAsia="Calibri" w:hAnsi="Arial" w:cs="Arial"/>
          <w:sz w:val="22"/>
          <w:szCs w:val="22"/>
          <w:lang w:val="es-CO" w:eastAsia="en-US"/>
        </w:rPr>
        <w:t xml:space="preserve"> % corresponde al área rural y el </w:t>
      </w:r>
      <w:r w:rsidR="00331176">
        <w:rPr>
          <w:rFonts w:ascii="Arial" w:eastAsia="Calibri" w:hAnsi="Arial" w:cs="Arial"/>
          <w:sz w:val="22"/>
          <w:szCs w:val="22"/>
          <w:lang w:val="es-CO" w:eastAsia="en-US"/>
        </w:rPr>
        <w:t>79</w:t>
      </w:r>
      <w:r w:rsidRPr="00E0338B">
        <w:rPr>
          <w:rFonts w:ascii="Arial" w:eastAsia="Calibri" w:hAnsi="Arial" w:cs="Arial"/>
          <w:sz w:val="22"/>
          <w:szCs w:val="22"/>
          <w:lang w:val="es-CO" w:eastAsia="en-US"/>
        </w:rPr>
        <w:t xml:space="preserve"> % al área </w:t>
      </w:r>
      <w:r w:rsidR="00BA7BDA">
        <w:rPr>
          <w:rFonts w:ascii="Arial" w:eastAsia="Calibri" w:hAnsi="Arial" w:cs="Arial"/>
          <w:sz w:val="22"/>
          <w:szCs w:val="22"/>
          <w:lang w:val="es-CO" w:eastAsia="en-US"/>
        </w:rPr>
        <w:t>urbana</w:t>
      </w:r>
      <w:r w:rsidRPr="00E0338B">
        <w:rPr>
          <w:rFonts w:ascii="Arial" w:eastAsia="Calibri" w:hAnsi="Arial" w:cs="Arial"/>
          <w:sz w:val="22"/>
          <w:szCs w:val="22"/>
          <w:lang w:val="es-CO" w:eastAsia="en-US"/>
        </w:rPr>
        <w:t>.</w:t>
      </w:r>
    </w:p>
    <w:p w14:paraId="0A3321A0" w14:textId="77777777" w:rsidR="004405B1" w:rsidRPr="006021DA" w:rsidRDefault="004405B1" w:rsidP="00835F25">
      <w:pPr>
        <w:contextualSpacing/>
        <w:jc w:val="both"/>
        <w:rPr>
          <w:rFonts w:ascii="Arial" w:eastAsia="Calibri" w:hAnsi="Arial" w:cs="Arial"/>
          <w:sz w:val="22"/>
          <w:szCs w:val="22"/>
          <w:lang w:val="es-CO" w:eastAsia="en-US"/>
        </w:rPr>
      </w:pPr>
    </w:p>
    <w:p w14:paraId="669DAA13" w14:textId="77777777" w:rsidR="004405B1" w:rsidRPr="005037BD" w:rsidRDefault="004405B1" w:rsidP="00835F25">
      <w:pPr>
        <w:contextualSpacing/>
        <w:jc w:val="center"/>
        <w:textAlignment w:val="baseline"/>
        <w:rPr>
          <w:rFonts w:ascii="Arial" w:eastAsia="Calibri" w:hAnsi="Arial" w:cs="Arial"/>
          <w:b/>
          <w:color w:val="1F497D" w:themeColor="text2"/>
          <w:sz w:val="20"/>
          <w:szCs w:val="22"/>
          <w:lang w:val="es-CO" w:eastAsia="en-US"/>
        </w:rPr>
      </w:pPr>
      <w:r w:rsidRPr="005037BD">
        <w:rPr>
          <w:rFonts w:ascii="Arial" w:eastAsia="Calibri" w:hAnsi="Arial" w:cs="Arial"/>
          <w:b/>
          <w:color w:val="1F497D" w:themeColor="text2"/>
          <w:sz w:val="20"/>
          <w:szCs w:val="22"/>
          <w:lang w:val="es-CO" w:eastAsia="en-US"/>
        </w:rPr>
        <w:t xml:space="preserve">Tabla No. </w:t>
      </w:r>
      <w:r w:rsidR="00980ED4" w:rsidRPr="00980ED4">
        <w:rPr>
          <w:rFonts w:ascii="Arial" w:hAnsi="Arial" w:cs="Arial"/>
          <w:b/>
          <w:bCs/>
          <w:color w:val="1F497D" w:themeColor="text2"/>
          <w:sz w:val="20"/>
          <w:szCs w:val="20"/>
        </w:rPr>
        <w:fldChar w:fldCharType="begin"/>
      </w:r>
      <w:r w:rsidR="00980ED4" w:rsidRPr="00980ED4">
        <w:rPr>
          <w:rFonts w:ascii="Arial" w:hAnsi="Arial" w:cs="Arial"/>
          <w:b/>
          <w:bCs/>
          <w:color w:val="1F497D" w:themeColor="text2"/>
          <w:sz w:val="20"/>
          <w:szCs w:val="20"/>
        </w:rPr>
        <w:instrText xml:space="preserve"> SEQ Ilustración \* ARABIC </w:instrText>
      </w:r>
      <w:r w:rsidR="00980ED4" w:rsidRPr="00980ED4">
        <w:rPr>
          <w:rFonts w:ascii="Arial" w:hAnsi="Arial" w:cs="Arial"/>
          <w:b/>
          <w:bCs/>
          <w:color w:val="1F497D" w:themeColor="text2"/>
          <w:sz w:val="20"/>
          <w:szCs w:val="20"/>
        </w:rPr>
        <w:fldChar w:fldCharType="separate"/>
      </w:r>
      <w:r w:rsidR="00980ED4">
        <w:rPr>
          <w:rFonts w:ascii="Arial" w:hAnsi="Arial" w:cs="Arial"/>
          <w:b/>
          <w:bCs/>
          <w:noProof/>
          <w:color w:val="1F497D" w:themeColor="text2"/>
          <w:sz w:val="20"/>
          <w:szCs w:val="20"/>
        </w:rPr>
        <w:t>2</w:t>
      </w:r>
      <w:r w:rsidR="00980ED4" w:rsidRPr="00980ED4">
        <w:rPr>
          <w:rFonts w:ascii="Arial" w:hAnsi="Arial" w:cs="Arial"/>
          <w:b/>
          <w:bCs/>
          <w:color w:val="1F497D" w:themeColor="text2"/>
          <w:sz w:val="20"/>
          <w:szCs w:val="20"/>
        </w:rPr>
        <w:fldChar w:fldCharType="end"/>
      </w:r>
    </w:p>
    <w:p w14:paraId="49928886" w14:textId="77777777" w:rsidR="004405B1" w:rsidRPr="005037BD" w:rsidRDefault="004405B1" w:rsidP="00835F25">
      <w:pPr>
        <w:contextualSpacing/>
        <w:jc w:val="center"/>
        <w:textAlignment w:val="baseline"/>
        <w:rPr>
          <w:rFonts w:ascii="Arial" w:eastAsia="Calibri" w:hAnsi="Arial" w:cs="Arial"/>
          <w:b/>
          <w:color w:val="1F497D" w:themeColor="text2"/>
          <w:sz w:val="20"/>
          <w:szCs w:val="22"/>
          <w:lang w:val="es-CO" w:eastAsia="en-US"/>
        </w:rPr>
      </w:pPr>
      <w:r w:rsidRPr="005037BD">
        <w:rPr>
          <w:rFonts w:ascii="Arial" w:eastAsia="Calibri" w:hAnsi="Arial" w:cs="Arial"/>
          <w:b/>
          <w:color w:val="1F497D" w:themeColor="text2"/>
          <w:sz w:val="20"/>
          <w:szCs w:val="22"/>
          <w:lang w:val="es-CO" w:eastAsia="en-US"/>
        </w:rPr>
        <w:t>Matrícula reportada en SIMAT del Distrito de Cartagena de Indias - Bolívar.</w:t>
      </w:r>
    </w:p>
    <w:tbl>
      <w:tblPr>
        <w:tblW w:w="9634" w:type="dxa"/>
        <w:jc w:val="center"/>
        <w:tblLayout w:type="fixed"/>
        <w:tblCellMar>
          <w:left w:w="70" w:type="dxa"/>
          <w:right w:w="70" w:type="dxa"/>
        </w:tblCellMar>
        <w:tblLook w:val="04A0" w:firstRow="1" w:lastRow="0" w:firstColumn="1" w:lastColumn="0" w:noHBand="0" w:noVBand="1"/>
      </w:tblPr>
      <w:tblGrid>
        <w:gridCol w:w="520"/>
        <w:gridCol w:w="4578"/>
        <w:gridCol w:w="993"/>
        <w:gridCol w:w="1275"/>
        <w:gridCol w:w="1276"/>
        <w:gridCol w:w="992"/>
      </w:tblGrid>
      <w:tr w:rsidR="004405B1" w:rsidRPr="006021DA" w14:paraId="4261AF30" w14:textId="77777777" w:rsidTr="001D388B">
        <w:trPr>
          <w:trHeight w:val="20"/>
          <w:tblHeader/>
          <w:jc w:val="center"/>
        </w:trPr>
        <w:tc>
          <w:tcPr>
            <w:tcW w:w="9634" w:type="dxa"/>
            <w:gridSpan w:val="6"/>
            <w:tcBorders>
              <w:top w:val="single" w:sz="4" w:space="0" w:color="auto"/>
              <w:left w:val="single" w:sz="4" w:space="0" w:color="auto"/>
              <w:bottom w:val="single" w:sz="4" w:space="0" w:color="auto"/>
              <w:right w:val="single" w:sz="4" w:space="0" w:color="000000"/>
            </w:tcBorders>
            <w:shd w:val="clear" w:color="auto" w:fill="666699"/>
          </w:tcPr>
          <w:p w14:paraId="158C4C8E" w14:textId="77777777" w:rsidR="004405B1" w:rsidRPr="006021DA" w:rsidRDefault="004405B1"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color w:val="FFFFFF" w:themeColor="background1"/>
                <w:sz w:val="16"/>
                <w:szCs w:val="16"/>
                <w:lang w:eastAsia="es-CO"/>
              </w:rPr>
              <w:t>MATRÍCULA SIMAT DEL DISTRITO 202</w:t>
            </w:r>
            <w:r w:rsidR="003142D3">
              <w:rPr>
                <w:rFonts w:ascii="Arial" w:eastAsia="Times New Roman" w:hAnsi="Arial" w:cs="Arial"/>
                <w:b/>
                <w:bCs/>
                <w:color w:val="FFFFFF" w:themeColor="background1"/>
                <w:sz w:val="16"/>
                <w:szCs w:val="16"/>
                <w:lang w:eastAsia="es-CO"/>
              </w:rPr>
              <w:t>1</w:t>
            </w:r>
            <w:r w:rsidRPr="006021DA">
              <w:rPr>
                <w:rFonts w:ascii="Arial" w:eastAsia="Times New Roman" w:hAnsi="Arial" w:cs="Arial"/>
                <w:b/>
                <w:bCs/>
                <w:color w:val="FFFFFF" w:themeColor="background1"/>
                <w:sz w:val="16"/>
                <w:szCs w:val="16"/>
                <w:lang w:eastAsia="es-CO"/>
              </w:rPr>
              <w:t xml:space="preserve"> </w:t>
            </w:r>
            <w:r w:rsidR="0080298D">
              <w:rPr>
                <w:rFonts w:ascii="Arial" w:eastAsia="Times New Roman" w:hAnsi="Arial" w:cs="Arial"/>
                <w:b/>
                <w:bCs/>
                <w:color w:val="FFFFFF" w:themeColor="background1"/>
                <w:sz w:val="16"/>
                <w:szCs w:val="16"/>
                <w:lang w:eastAsia="es-CO"/>
              </w:rPr>
              <w:t>–</w:t>
            </w:r>
            <w:r w:rsidR="00DF4C7B">
              <w:rPr>
                <w:rFonts w:ascii="Arial" w:eastAsia="Times New Roman" w:hAnsi="Arial" w:cs="Arial"/>
                <w:b/>
                <w:bCs/>
                <w:color w:val="FFFFFF" w:themeColor="background1"/>
                <w:sz w:val="16"/>
                <w:szCs w:val="16"/>
                <w:lang w:eastAsia="es-CO"/>
              </w:rPr>
              <w:t xml:space="preserve"> </w:t>
            </w:r>
            <w:r w:rsidR="0080298D">
              <w:rPr>
                <w:rFonts w:ascii="Arial" w:eastAsia="Times New Roman" w:hAnsi="Arial" w:cs="Arial"/>
                <w:b/>
                <w:bCs/>
                <w:color w:val="FFFFFF" w:themeColor="background1"/>
                <w:sz w:val="16"/>
                <w:szCs w:val="16"/>
                <w:lang w:eastAsia="es-CO"/>
              </w:rPr>
              <w:t xml:space="preserve">31 de </w:t>
            </w:r>
            <w:r w:rsidR="00DF4C7B">
              <w:rPr>
                <w:rFonts w:ascii="Arial" w:eastAsia="Times New Roman" w:hAnsi="Arial" w:cs="Arial"/>
                <w:b/>
                <w:bCs/>
                <w:color w:val="FFFFFF" w:themeColor="background1"/>
                <w:sz w:val="16"/>
                <w:szCs w:val="16"/>
                <w:lang w:eastAsia="es-CO"/>
              </w:rPr>
              <w:t>marzo</w:t>
            </w:r>
            <w:r w:rsidRPr="006021DA">
              <w:rPr>
                <w:rFonts w:ascii="Arial" w:eastAsia="Times New Roman" w:hAnsi="Arial" w:cs="Arial"/>
                <w:b/>
                <w:bCs/>
                <w:color w:val="FFFFFF" w:themeColor="background1"/>
                <w:sz w:val="16"/>
                <w:szCs w:val="16"/>
                <w:lang w:eastAsia="es-CO"/>
              </w:rPr>
              <w:t xml:space="preserve"> 202</w:t>
            </w:r>
            <w:r w:rsidR="003142D3">
              <w:rPr>
                <w:rFonts w:ascii="Arial" w:eastAsia="Times New Roman" w:hAnsi="Arial" w:cs="Arial"/>
                <w:b/>
                <w:bCs/>
                <w:color w:val="FFFFFF" w:themeColor="background1"/>
                <w:sz w:val="16"/>
                <w:szCs w:val="16"/>
                <w:lang w:eastAsia="es-CO"/>
              </w:rPr>
              <w:t>2</w:t>
            </w:r>
          </w:p>
        </w:tc>
      </w:tr>
      <w:tr w:rsidR="004405B1" w:rsidRPr="006021DA" w14:paraId="6B4702F5" w14:textId="77777777" w:rsidTr="001D388B">
        <w:trPr>
          <w:trHeight w:val="20"/>
          <w:tblHeader/>
          <w:jc w:val="center"/>
        </w:trPr>
        <w:tc>
          <w:tcPr>
            <w:tcW w:w="520" w:type="dxa"/>
            <w:tcBorders>
              <w:top w:val="nil"/>
              <w:left w:val="single" w:sz="4" w:space="0" w:color="auto"/>
              <w:bottom w:val="single" w:sz="4" w:space="0" w:color="auto"/>
              <w:right w:val="single" w:sz="4" w:space="0" w:color="auto"/>
            </w:tcBorders>
            <w:shd w:val="clear" w:color="auto" w:fill="CCCCFF"/>
          </w:tcPr>
          <w:p w14:paraId="388AA8D8" w14:textId="77777777" w:rsidR="004405B1" w:rsidRPr="006021DA" w:rsidRDefault="004405B1" w:rsidP="00835F25">
            <w:pPr>
              <w:contextualSpacing/>
              <w:jc w:val="center"/>
              <w:rPr>
                <w:rFonts w:ascii="Arial" w:eastAsia="Times New Roman" w:hAnsi="Arial" w:cs="Arial"/>
                <w:b/>
                <w:bCs/>
                <w:sz w:val="16"/>
                <w:szCs w:val="16"/>
                <w:lang w:eastAsia="es-CO"/>
              </w:rPr>
            </w:pPr>
          </w:p>
        </w:tc>
        <w:tc>
          <w:tcPr>
            <w:tcW w:w="4578" w:type="dxa"/>
            <w:tcBorders>
              <w:top w:val="nil"/>
              <w:left w:val="single" w:sz="4" w:space="0" w:color="auto"/>
              <w:bottom w:val="single" w:sz="4" w:space="0" w:color="auto"/>
              <w:right w:val="single" w:sz="4" w:space="0" w:color="auto"/>
            </w:tcBorders>
            <w:shd w:val="clear" w:color="auto" w:fill="CCCCFF"/>
            <w:vAlign w:val="center"/>
            <w:hideMark/>
          </w:tcPr>
          <w:p w14:paraId="3A7C293B" w14:textId="77777777" w:rsidR="004405B1" w:rsidRPr="006021DA" w:rsidRDefault="004405B1"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ESTABLECIMIENTO EDUCATIVO</w:t>
            </w:r>
          </w:p>
        </w:tc>
        <w:tc>
          <w:tcPr>
            <w:tcW w:w="993" w:type="dxa"/>
            <w:tcBorders>
              <w:top w:val="nil"/>
              <w:left w:val="nil"/>
              <w:bottom w:val="single" w:sz="4" w:space="0" w:color="auto"/>
              <w:right w:val="single" w:sz="4" w:space="0" w:color="auto"/>
            </w:tcBorders>
            <w:shd w:val="clear" w:color="auto" w:fill="CCCCFF"/>
            <w:vAlign w:val="center"/>
            <w:hideMark/>
          </w:tcPr>
          <w:p w14:paraId="48469034" w14:textId="77777777" w:rsidR="004405B1" w:rsidRPr="006021DA" w:rsidRDefault="004405B1"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xml:space="preserve">SEDES REPORTADAS </w:t>
            </w:r>
          </w:p>
        </w:tc>
        <w:tc>
          <w:tcPr>
            <w:tcW w:w="1275" w:type="dxa"/>
            <w:tcBorders>
              <w:top w:val="nil"/>
              <w:left w:val="nil"/>
              <w:bottom w:val="single" w:sz="4" w:space="0" w:color="auto"/>
              <w:right w:val="single" w:sz="4" w:space="0" w:color="auto"/>
            </w:tcBorders>
            <w:shd w:val="clear" w:color="auto" w:fill="CCCCFF"/>
            <w:vAlign w:val="center"/>
          </w:tcPr>
          <w:p w14:paraId="5616F793" w14:textId="77777777" w:rsidR="004405B1" w:rsidRPr="006021DA" w:rsidRDefault="004405B1"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MATRÍCULA REPORTADA 202</w:t>
            </w:r>
            <w:r w:rsidR="003142D3">
              <w:rPr>
                <w:rFonts w:ascii="Arial" w:eastAsia="Times New Roman" w:hAnsi="Arial" w:cs="Arial"/>
                <w:b/>
                <w:bCs/>
                <w:sz w:val="16"/>
                <w:szCs w:val="16"/>
                <w:lang w:val="es-CO" w:eastAsia="es-CO"/>
              </w:rPr>
              <w:t>1</w:t>
            </w:r>
          </w:p>
        </w:tc>
        <w:tc>
          <w:tcPr>
            <w:tcW w:w="1276" w:type="dxa"/>
            <w:tcBorders>
              <w:top w:val="nil"/>
              <w:left w:val="single" w:sz="4" w:space="0" w:color="auto"/>
              <w:bottom w:val="single" w:sz="4" w:space="0" w:color="auto"/>
              <w:right w:val="single" w:sz="4" w:space="0" w:color="auto"/>
            </w:tcBorders>
            <w:shd w:val="clear" w:color="auto" w:fill="CCCCFF"/>
            <w:vAlign w:val="center"/>
            <w:hideMark/>
          </w:tcPr>
          <w:p w14:paraId="4A24B6B1" w14:textId="77777777" w:rsidR="004405B1" w:rsidRPr="006021DA" w:rsidRDefault="004405B1"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MATRÍCULA REPORTADA 202</w:t>
            </w:r>
            <w:r w:rsidR="003142D3">
              <w:rPr>
                <w:rFonts w:ascii="Arial" w:eastAsia="Times New Roman" w:hAnsi="Arial" w:cs="Arial"/>
                <w:b/>
                <w:bCs/>
                <w:sz w:val="16"/>
                <w:szCs w:val="16"/>
                <w:lang w:val="es-CO" w:eastAsia="es-CO"/>
              </w:rPr>
              <w:t>2</w:t>
            </w:r>
          </w:p>
        </w:tc>
        <w:tc>
          <w:tcPr>
            <w:tcW w:w="992" w:type="dxa"/>
            <w:tcBorders>
              <w:top w:val="nil"/>
              <w:left w:val="nil"/>
              <w:bottom w:val="single" w:sz="4" w:space="0" w:color="auto"/>
              <w:right w:val="single" w:sz="4" w:space="0" w:color="auto"/>
            </w:tcBorders>
            <w:shd w:val="clear" w:color="auto" w:fill="CCCCFF"/>
            <w:vAlign w:val="center"/>
            <w:hideMark/>
          </w:tcPr>
          <w:p w14:paraId="7D817A8A" w14:textId="77777777" w:rsidR="004405B1" w:rsidRPr="006021DA" w:rsidRDefault="004405B1"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ZONA</w:t>
            </w:r>
          </w:p>
        </w:tc>
      </w:tr>
      <w:tr w:rsidR="00C2076A" w:rsidRPr="00BE312C" w14:paraId="092AC665"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1E49508A"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w:t>
            </w:r>
          </w:p>
        </w:tc>
        <w:tc>
          <w:tcPr>
            <w:tcW w:w="4578" w:type="dxa"/>
            <w:tcBorders>
              <w:top w:val="nil"/>
              <w:left w:val="single" w:sz="4" w:space="0" w:color="auto"/>
              <w:bottom w:val="single" w:sz="4" w:space="0" w:color="auto"/>
              <w:right w:val="single" w:sz="4" w:space="0" w:color="auto"/>
            </w:tcBorders>
            <w:noWrap/>
          </w:tcPr>
          <w:p w14:paraId="7DA38862" w14:textId="77777777" w:rsidR="00C2076A" w:rsidRPr="0016165F" w:rsidRDefault="00794118" w:rsidP="00835F25">
            <w:pPr>
              <w:contextualSpacing/>
              <w:rPr>
                <w:rFonts w:ascii="Arial" w:eastAsia="Times New Roman" w:hAnsi="Arial" w:cs="Arial"/>
                <w:sz w:val="16"/>
                <w:szCs w:val="16"/>
                <w:lang w:val="es-CO" w:eastAsia="es-CO"/>
              </w:rPr>
            </w:pPr>
            <w:r>
              <w:rPr>
                <w:rFonts w:ascii="Arial" w:hAnsi="Arial" w:cs="Arial"/>
                <w:sz w:val="16"/>
                <w:szCs w:val="16"/>
              </w:rPr>
              <w:t>CENTRO EDUC.</w:t>
            </w:r>
            <w:r w:rsidRPr="0016165F">
              <w:rPr>
                <w:rFonts w:ascii="Arial" w:hAnsi="Arial" w:cs="Arial"/>
                <w:sz w:val="16"/>
                <w:szCs w:val="16"/>
              </w:rPr>
              <w:t xml:space="preserve"> COLOMBIA GUSTAVO PULECIO </w:t>
            </w:r>
          </w:p>
        </w:tc>
        <w:tc>
          <w:tcPr>
            <w:tcW w:w="993" w:type="dxa"/>
            <w:tcBorders>
              <w:top w:val="nil"/>
              <w:left w:val="nil"/>
              <w:bottom w:val="single" w:sz="4" w:space="0" w:color="auto"/>
              <w:right w:val="single" w:sz="4" w:space="0" w:color="auto"/>
            </w:tcBorders>
            <w:noWrap/>
          </w:tcPr>
          <w:p w14:paraId="05B41808"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690AAB44"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897</w:t>
            </w:r>
          </w:p>
        </w:tc>
        <w:tc>
          <w:tcPr>
            <w:tcW w:w="1276" w:type="dxa"/>
            <w:tcBorders>
              <w:top w:val="nil"/>
              <w:left w:val="single" w:sz="4" w:space="0" w:color="auto"/>
              <w:bottom w:val="single" w:sz="4" w:space="0" w:color="auto"/>
              <w:right w:val="single" w:sz="4" w:space="0" w:color="auto"/>
            </w:tcBorders>
            <w:noWrap/>
          </w:tcPr>
          <w:p w14:paraId="5959510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874</w:t>
            </w:r>
          </w:p>
        </w:tc>
        <w:tc>
          <w:tcPr>
            <w:tcW w:w="992" w:type="dxa"/>
            <w:tcBorders>
              <w:top w:val="nil"/>
              <w:left w:val="nil"/>
              <w:bottom w:val="single" w:sz="4" w:space="0" w:color="auto"/>
              <w:right w:val="single" w:sz="4" w:space="0" w:color="auto"/>
            </w:tcBorders>
            <w:noWrap/>
          </w:tcPr>
          <w:p w14:paraId="5286670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75051416"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4909BE2C"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4578" w:type="dxa"/>
            <w:tcBorders>
              <w:top w:val="nil"/>
              <w:left w:val="single" w:sz="4" w:space="0" w:color="auto"/>
              <w:bottom w:val="single" w:sz="4" w:space="0" w:color="auto"/>
              <w:right w:val="single" w:sz="4" w:space="0" w:color="auto"/>
            </w:tcBorders>
            <w:noWrap/>
          </w:tcPr>
          <w:p w14:paraId="15D181A4"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COLEGIO JESÚS MAESTRO SUEÑOS Y OPORTUNIDADES</w:t>
            </w:r>
          </w:p>
        </w:tc>
        <w:tc>
          <w:tcPr>
            <w:tcW w:w="993" w:type="dxa"/>
            <w:tcBorders>
              <w:top w:val="nil"/>
              <w:left w:val="nil"/>
              <w:bottom w:val="single" w:sz="4" w:space="0" w:color="auto"/>
              <w:right w:val="single" w:sz="4" w:space="0" w:color="auto"/>
            </w:tcBorders>
            <w:noWrap/>
          </w:tcPr>
          <w:p w14:paraId="21673A62"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10379839"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1.298</w:t>
            </w:r>
          </w:p>
        </w:tc>
        <w:tc>
          <w:tcPr>
            <w:tcW w:w="1276" w:type="dxa"/>
            <w:tcBorders>
              <w:top w:val="nil"/>
              <w:left w:val="single" w:sz="4" w:space="0" w:color="auto"/>
              <w:bottom w:val="single" w:sz="4" w:space="0" w:color="auto"/>
              <w:right w:val="single" w:sz="4" w:space="0" w:color="auto"/>
            </w:tcBorders>
            <w:noWrap/>
          </w:tcPr>
          <w:p w14:paraId="3FD7754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1.310</w:t>
            </w:r>
          </w:p>
        </w:tc>
        <w:tc>
          <w:tcPr>
            <w:tcW w:w="992" w:type="dxa"/>
            <w:tcBorders>
              <w:top w:val="nil"/>
              <w:left w:val="nil"/>
              <w:bottom w:val="single" w:sz="4" w:space="0" w:color="auto"/>
              <w:right w:val="single" w:sz="4" w:space="0" w:color="auto"/>
            </w:tcBorders>
            <w:noWrap/>
          </w:tcPr>
          <w:p w14:paraId="47BB3C4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8765BEB"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5EE08015"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w:t>
            </w:r>
          </w:p>
        </w:tc>
        <w:tc>
          <w:tcPr>
            <w:tcW w:w="4578" w:type="dxa"/>
            <w:tcBorders>
              <w:top w:val="nil"/>
              <w:left w:val="single" w:sz="4" w:space="0" w:color="auto"/>
              <w:bottom w:val="single" w:sz="4" w:space="0" w:color="auto"/>
              <w:right w:val="single" w:sz="4" w:space="0" w:color="auto"/>
            </w:tcBorders>
            <w:noWrap/>
          </w:tcPr>
          <w:p w14:paraId="659E9BA4"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COLEGIO NAVAL DE CRESPO</w:t>
            </w:r>
          </w:p>
        </w:tc>
        <w:tc>
          <w:tcPr>
            <w:tcW w:w="993" w:type="dxa"/>
            <w:tcBorders>
              <w:top w:val="nil"/>
              <w:left w:val="nil"/>
              <w:bottom w:val="single" w:sz="4" w:space="0" w:color="auto"/>
              <w:right w:val="single" w:sz="4" w:space="0" w:color="auto"/>
            </w:tcBorders>
            <w:noWrap/>
          </w:tcPr>
          <w:p w14:paraId="10C5BFA4"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0D55C0F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340</w:t>
            </w:r>
          </w:p>
        </w:tc>
        <w:tc>
          <w:tcPr>
            <w:tcW w:w="1276" w:type="dxa"/>
            <w:tcBorders>
              <w:top w:val="nil"/>
              <w:left w:val="single" w:sz="4" w:space="0" w:color="auto"/>
              <w:bottom w:val="single" w:sz="4" w:space="0" w:color="auto"/>
              <w:right w:val="single" w:sz="4" w:space="0" w:color="auto"/>
            </w:tcBorders>
            <w:noWrap/>
          </w:tcPr>
          <w:p w14:paraId="2DD9452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327</w:t>
            </w:r>
          </w:p>
        </w:tc>
        <w:tc>
          <w:tcPr>
            <w:tcW w:w="992" w:type="dxa"/>
            <w:tcBorders>
              <w:top w:val="nil"/>
              <w:left w:val="nil"/>
              <w:bottom w:val="single" w:sz="4" w:space="0" w:color="auto"/>
              <w:right w:val="single" w:sz="4" w:space="0" w:color="auto"/>
            </w:tcBorders>
            <w:noWrap/>
          </w:tcPr>
          <w:p w14:paraId="033FFA6A"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424CC1A"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7FB1350A"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4578" w:type="dxa"/>
            <w:tcBorders>
              <w:top w:val="nil"/>
              <w:left w:val="single" w:sz="4" w:space="0" w:color="auto"/>
              <w:bottom w:val="single" w:sz="4" w:space="0" w:color="auto"/>
              <w:right w:val="single" w:sz="4" w:space="0" w:color="auto"/>
            </w:tcBorders>
            <w:noWrap/>
          </w:tcPr>
          <w:p w14:paraId="4C4CBC57"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COLEGIO NAVAL DE MANZANILLO</w:t>
            </w:r>
          </w:p>
        </w:tc>
        <w:tc>
          <w:tcPr>
            <w:tcW w:w="993" w:type="dxa"/>
            <w:tcBorders>
              <w:top w:val="nil"/>
              <w:left w:val="nil"/>
              <w:bottom w:val="single" w:sz="4" w:space="0" w:color="auto"/>
              <w:right w:val="single" w:sz="4" w:space="0" w:color="auto"/>
            </w:tcBorders>
            <w:noWrap/>
          </w:tcPr>
          <w:p w14:paraId="36E22B4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1DA20155"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86</w:t>
            </w:r>
          </w:p>
        </w:tc>
        <w:tc>
          <w:tcPr>
            <w:tcW w:w="1276" w:type="dxa"/>
            <w:tcBorders>
              <w:top w:val="nil"/>
              <w:left w:val="single" w:sz="4" w:space="0" w:color="auto"/>
              <w:bottom w:val="single" w:sz="4" w:space="0" w:color="auto"/>
              <w:right w:val="single" w:sz="4" w:space="0" w:color="auto"/>
            </w:tcBorders>
            <w:noWrap/>
          </w:tcPr>
          <w:p w14:paraId="6B19CD8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54</w:t>
            </w:r>
          </w:p>
        </w:tc>
        <w:tc>
          <w:tcPr>
            <w:tcW w:w="992" w:type="dxa"/>
            <w:tcBorders>
              <w:top w:val="nil"/>
              <w:left w:val="nil"/>
              <w:bottom w:val="single" w:sz="4" w:space="0" w:color="auto"/>
              <w:right w:val="single" w:sz="4" w:space="0" w:color="auto"/>
            </w:tcBorders>
            <w:noWrap/>
          </w:tcPr>
          <w:p w14:paraId="57EDAD7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2D863B23"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22B6F6C9"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4578" w:type="dxa"/>
            <w:tcBorders>
              <w:top w:val="nil"/>
              <w:left w:val="single" w:sz="4" w:space="0" w:color="auto"/>
              <w:bottom w:val="single" w:sz="4" w:space="0" w:color="auto"/>
              <w:right w:val="single" w:sz="4" w:space="0" w:color="auto"/>
            </w:tcBorders>
            <w:noWrap/>
          </w:tcPr>
          <w:p w14:paraId="602641BA"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COLEGIO NAVAL DEL SOCORRO</w:t>
            </w:r>
          </w:p>
        </w:tc>
        <w:tc>
          <w:tcPr>
            <w:tcW w:w="993" w:type="dxa"/>
            <w:tcBorders>
              <w:top w:val="nil"/>
              <w:left w:val="nil"/>
              <w:bottom w:val="single" w:sz="4" w:space="0" w:color="auto"/>
              <w:right w:val="single" w:sz="4" w:space="0" w:color="auto"/>
            </w:tcBorders>
            <w:noWrap/>
          </w:tcPr>
          <w:p w14:paraId="36B46C11"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42A2867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96</w:t>
            </w:r>
          </w:p>
        </w:tc>
        <w:tc>
          <w:tcPr>
            <w:tcW w:w="1276" w:type="dxa"/>
            <w:tcBorders>
              <w:top w:val="nil"/>
              <w:left w:val="single" w:sz="4" w:space="0" w:color="auto"/>
              <w:bottom w:val="single" w:sz="4" w:space="0" w:color="auto"/>
              <w:right w:val="single" w:sz="4" w:space="0" w:color="auto"/>
            </w:tcBorders>
            <w:noWrap/>
          </w:tcPr>
          <w:p w14:paraId="700C74B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83</w:t>
            </w:r>
          </w:p>
        </w:tc>
        <w:tc>
          <w:tcPr>
            <w:tcW w:w="992" w:type="dxa"/>
            <w:tcBorders>
              <w:top w:val="nil"/>
              <w:left w:val="nil"/>
              <w:bottom w:val="single" w:sz="4" w:space="0" w:color="auto"/>
              <w:right w:val="single" w:sz="4" w:space="0" w:color="auto"/>
            </w:tcBorders>
            <w:noWrap/>
          </w:tcPr>
          <w:p w14:paraId="28E67E4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759E58C"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1197780C"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w:t>
            </w:r>
          </w:p>
        </w:tc>
        <w:tc>
          <w:tcPr>
            <w:tcW w:w="4578" w:type="dxa"/>
            <w:tcBorders>
              <w:top w:val="nil"/>
              <w:left w:val="single" w:sz="4" w:space="0" w:color="auto"/>
              <w:bottom w:val="single" w:sz="4" w:space="0" w:color="auto"/>
              <w:right w:val="single" w:sz="4" w:space="0" w:color="auto"/>
            </w:tcBorders>
            <w:noWrap/>
          </w:tcPr>
          <w:p w14:paraId="7AE51F06"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COLEGIO NUESTRA SEÑORA DE FÁTIMA DE LA POLIC</w:t>
            </w:r>
            <w:r>
              <w:rPr>
                <w:rFonts w:ascii="Arial" w:hAnsi="Arial" w:cs="Arial"/>
                <w:sz w:val="16"/>
                <w:szCs w:val="16"/>
              </w:rPr>
              <w:t>Í</w:t>
            </w:r>
            <w:r w:rsidRPr="0016165F">
              <w:rPr>
                <w:rFonts w:ascii="Arial" w:hAnsi="Arial" w:cs="Arial"/>
                <w:sz w:val="16"/>
                <w:szCs w:val="16"/>
              </w:rPr>
              <w:t xml:space="preserve">A </w:t>
            </w:r>
          </w:p>
        </w:tc>
        <w:tc>
          <w:tcPr>
            <w:tcW w:w="993" w:type="dxa"/>
            <w:tcBorders>
              <w:top w:val="nil"/>
              <w:left w:val="nil"/>
              <w:bottom w:val="single" w:sz="4" w:space="0" w:color="auto"/>
              <w:right w:val="single" w:sz="4" w:space="0" w:color="auto"/>
            </w:tcBorders>
            <w:noWrap/>
          </w:tcPr>
          <w:p w14:paraId="42E4320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475EF78D"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434</w:t>
            </w:r>
          </w:p>
        </w:tc>
        <w:tc>
          <w:tcPr>
            <w:tcW w:w="1276" w:type="dxa"/>
            <w:tcBorders>
              <w:top w:val="nil"/>
              <w:left w:val="single" w:sz="4" w:space="0" w:color="auto"/>
              <w:bottom w:val="single" w:sz="4" w:space="0" w:color="auto"/>
              <w:right w:val="single" w:sz="4" w:space="0" w:color="auto"/>
            </w:tcBorders>
            <w:noWrap/>
          </w:tcPr>
          <w:p w14:paraId="214BB5F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323</w:t>
            </w:r>
          </w:p>
        </w:tc>
        <w:tc>
          <w:tcPr>
            <w:tcW w:w="992" w:type="dxa"/>
            <w:tcBorders>
              <w:top w:val="nil"/>
              <w:left w:val="nil"/>
              <w:bottom w:val="single" w:sz="4" w:space="0" w:color="auto"/>
              <w:right w:val="single" w:sz="4" w:space="0" w:color="auto"/>
            </w:tcBorders>
            <w:noWrap/>
          </w:tcPr>
          <w:p w14:paraId="7091759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C459CC0"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6EC7F9B5"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w:t>
            </w:r>
          </w:p>
        </w:tc>
        <w:tc>
          <w:tcPr>
            <w:tcW w:w="4578" w:type="dxa"/>
            <w:tcBorders>
              <w:top w:val="nil"/>
              <w:left w:val="single" w:sz="4" w:space="0" w:color="auto"/>
              <w:bottom w:val="single" w:sz="4" w:space="0" w:color="auto"/>
              <w:right w:val="single" w:sz="4" w:space="0" w:color="auto"/>
            </w:tcBorders>
            <w:noWrap/>
          </w:tcPr>
          <w:p w14:paraId="08C38A65"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COLEGIO NUESTRA SEÑORA DE LA CONSOLATA</w:t>
            </w:r>
          </w:p>
        </w:tc>
        <w:tc>
          <w:tcPr>
            <w:tcW w:w="993" w:type="dxa"/>
            <w:tcBorders>
              <w:top w:val="nil"/>
              <w:left w:val="nil"/>
              <w:bottom w:val="single" w:sz="4" w:space="0" w:color="auto"/>
              <w:right w:val="single" w:sz="4" w:space="0" w:color="auto"/>
            </w:tcBorders>
            <w:noWrap/>
          </w:tcPr>
          <w:p w14:paraId="50A0FF0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4B65CF65"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1.927</w:t>
            </w:r>
          </w:p>
        </w:tc>
        <w:tc>
          <w:tcPr>
            <w:tcW w:w="1276" w:type="dxa"/>
            <w:tcBorders>
              <w:top w:val="nil"/>
              <w:left w:val="single" w:sz="4" w:space="0" w:color="auto"/>
              <w:bottom w:val="single" w:sz="4" w:space="0" w:color="auto"/>
              <w:right w:val="single" w:sz="4" w:space="0" w:color="auto"/>
            </w:tcBorders>
            <w:noWrap/>
          </w:tcPr>
          <w:p w14:paraId="1BD2339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1.942</w:t>
            </w:r>
          </w:p>
        </w:tc>
        <w:tc>
          <w:tcPr>
            <w:tcW w:w="992" w:type="dxa"/>
            <w:tcBorders>
              <w:top w:val="nil"/>
              <w:left w:val="nil"/>
              <w:bottom w:val="single" w:sz="4" w:space="0" w:color="auto"/>
              <w:right w:val="single" w:sz="4" w:space="0" w:color="auto"/>
            </w:tcBorders>
            <w:noWrap/>
          </w:tcPr>
          <w:p w14:paraId="6A117F1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92D6BC2"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559B5434"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w:t>
            </w:r>
          </w:p>
        </w:tc>
        <w:tc>
          <w:tcPr>
            <w:tcW w:w="4578" w:type="dxa"/>
            <w:tcBorders>
              <w:top w:val="nil"/>
              <w:left w:val="single" w:sz="4" w:space="0" w:color="auto"/>
              <w:bottom w:val="single" w:sz="4" w:space="0" w:color="auto"/>
              <w:right w:val="single" w:sz="4" w:space="0" w:color="auto"/>
            </w:tcBorders>
            <w:noWrap/>
          </w:tcPr>
          <w:p w14:paraId="42FA42A8"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ESCUELA NORMAL SUPERIOR DE CARTAGENA</w:t>
            </w:r>
          </w:p>
        </w:tc>
        <w:tc>
          <w:tcPr>
            <w:tcW w:w="993" w:type="dxa"/>
            <w:tcBorders>
              <w:top w:val="nil"/>
              <w:left w:val="nil"/>
              <w:bottom w:val="single" w:sz="4" w:space="0" w:color="auto"/>
              <w:right w:val="single" w:sz="4" w:space="0" w:color="auto"/>
            </w:tcBorders>
            <w:noWrap/>
          </w:tcPr>
          <w:p w14:paraId="15DBF2DD"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3200B4D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1.630</w:t>
            </w:r>
          </w:p>
        </w:tc>
        <w:tc>
          <w:tcPr>
            <w:tcW w:w="1276" w:type="dxa"/>
            <w:tcBorders>
              <w:top w:val="nil"/>
              <w:left w:val="single" w:sz="4" w:space="0" w:color="auto"/>
              <w:bottom w:val="single" w:sz="4" w:space="0" w:color="auto"/>
              <w:right w:val="single" w:sz="4" w:space="0" w:color="auto"/>
            </w:tcBorders>
            <w:noWrap/>
          </w:tcPr>
          <w:p w14:paraId="6027856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2.028</w:t>
            </w:r>
          </w:p>
        </w:tc>
        <w:tc>
          <w:tcPr>
            <w:tcW w:w="992" w:type="dxa"/>
            <w:tcBorders>
              <w:top w:val="nil"/>
              <w:left w:val="nil"/>
              <w:bottom w:val="single" w:sz="4" w:space="0" w:color="auto"/>
              <w:right w:val="single" w:sz="4" w:space="0" w:color="auto"/>
            </w:tcBorders>
            <w:noWrap/>
          </w:tcPr>
          <w:p w14:paraId="6735E20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8C018FD"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7E8BA7F2"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w:t>
            </w:r>
          </w:p>
        </w:tc>
        <w:tc>
          <w:tcPr>
            <w:tcW w:w="4578" w:type="dxa"/>
            <w:tcBorders>
              <w:top w:val="nil"/>
              <w:left w:val="single" w:sz="4" w:space="0" w:color="auto"/>
              <w:bottom w:val="single" w:sz="4" w:space="0" w:color="auto"/>
              <w:right w:val="single" w:sz="4" w:space="0" w:color="auto"/>
            </w:tcBorders>
            <w:noWrap/>
          </w:tcPr>
          <w:p w14:paraId="4EB6F124" w14:textId="77777777" w:rsidR="00C2076A" w:rsidRPr="0016165F" w:rsidRDefault="00794118" w:rsidP="00835F25">
            <w:pPr>
              <w:contextualSpacing/>
              <w:rPr>
                <w:rFonts w:ascii="Arial" w:eastAsia="Times New Roman" w:hAnsi="Arial" w:cs="Arial"/>
                <w:sz w:val="16"/>
                <w:szCs w:val="16"/>
                <w:lang w:val="es-CO" w:eastAsia="es-CO"/>
              </w:rPr>
            </w:pPr>
            <w:r w:rsidRPr="0016165F">
              <w:rPr>
                <w:rFonts w:ascii="Arial" w:hAnsi="Arial" w:cs="Arial"/>
                <w:sz w:val="16"/>
                <w:szCs w:val="16"/>
              </w:rPr>
              <w:t>ESCUELAS PROFESIONALES SALESIANAS</w:t>
            </w:r>
          </w:p>
        </w:tc>
        <w:tc>
          <w:tcPr>
            <w:tcW w:w="993" w:type="dxa"/>
            <w:tcBorders>
              <w:top w:val="nil"/>
              <w:left w:val="nil"/>
              <w:bottom w:val="single" w:sz="4" w:space="0" w:color="auto"/>
              <w:right w:val="single" w:sz="4" w:space="0" w:color="auto"/>
            </w:tcBorders>
            <w:noWrap/>
          </w:tcPr>
          <w:p w14:paraId="5B4DC03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50D45C38"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810</w:t>
            </w:r>
          </w:p>
        </w:tc>
        <w:tc>
          <w:tcPr>
            <w:tcW w:w="1276" w:type="dxa"/>
            <w:tcBorders>
              <w:top w:val="nil"/>
              <w:left w:val="single" w:sz="4" w:space="0" w:color="auto"/>
              <w:bottom w:val="single" w:sz="4" w:space="0" w:color="auto"/>
              <w:right w:val="single" w:sz="4" w:space="0" w:color="auto"/>
            </w:tcBorders>
            <w:noWrap/>
          </w:tcPr>
          <w:p w14:paraId="7DE2A07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780</w:t>
            </w:r>
          </w:p>
        </w:tc>
        <w:tc>
          <w:tcPr>
            <w:tcW w:w="992" w:type="dxa"/>
            <w:tcBorders>
              <w:top w:val="nil"/>
              <w:left w:val="nil"/>
              <w:bottom w:val="single" w:sz="4" w:space="0" w:color="auto"/>
              <w:right w:val="single" w:sz="4" w:space="0" w:color="auto"/>
            </w:tcBorders>
            <w:noWrap/>
          </w:tcPr>
          <w:p w14:paraId="7A31EF8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9CBD533"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2C8B8C3C"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c>
          <w:tcPr>
            <w:tcW w:w="4578" w:type="dxa"/>
            <w:tcBorders>
              <w:top w:val="nil"/>
              <w:left w:val="single" w:sz="4" w:space="0" w:color="auto"/>
              <w:bottom w:val="single" w:sz="4" w:space="0" w:color="auto"/>
              <w:right w:val="single" w:sz="4" w:space="0" w:color="auto"/>
            </w:tcBorders>
            <w:noWrap/>
          </w:tcPr>
          <w:p w14:paraId="008FA9F9"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14 DE FEBRERO</w:t>
            </w:r>
          </w:p>
        </w:tc>
        <w:tc>
          <w:tcPr>
            <w:tcW w:w="993" w:type="dxa"/>
            <w:tcBorders>
              <w:top w:val="nil"/>
              <w:left w:val="nil"/>
              <w:bottom w:val="single" w:sz="4" w:space="0" w:color="auto"/>
              <w:right w:val="single" w:sz="4" w:space="0" w:color="auto"/>
            </w:tcBorders>
            <w:noWrap/>
          </w:tcPr>
          <w:p w14:paraId="22787692"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026992F7"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1.090</w:t>
            </w:r>
          </w:p>
        </w:tc>
        <w:tc>
          <w:tcPr>
            <w:tcW w:w="1276" w:type="dxa"/>
            <w:tcBorders>
              <w:top w:val="nil"/>
              <w:left w:val="single" w:sz="4" w:space="0" w:color="auto"/>
              <w:bottom w:val="single" w:sz="4" w:space="0" w:color="auto"/>
              <w:right w:val="single" w:sz="4" w:space="0" w:color="auto"/>
            </w:tcBorders>
            <w:noWrap/>
          </w:tcPr>
          <w:p w14:paraId="2737B72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1.116</w:t>
            </w:r>
          </w:p>
        </w:tc>
        <w:tc>
          <w:tcPr>
            <w:tcW w:w="992" w:type="dxa"/>
            <w:tcBorders>
              <w:top w:val="nil"/>
              <w:left w:val="nil"/>
              <w:bottom w:val="single" w:sz="4" w:space="0" w:color="auto"/>
              <w:right w:val="single" w:sz="4" w:space="0" w:color="auto"/>
            </w:tcBorders>
            <w:noWrap/>
          </w:tcPr>
          <w:p w14:paraId="1F79415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13800B0"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6BBEBEA8"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w:t>
            </w:r>
          </w:p>
        </w:tc>
        <w:tc>
          <w:tcPr>
            <w:tcW w:w="4578" w:type="dxa"/>
            <w:tcBorders>
              <w:top w:val="nil"/>
              <w:left w:val="single" w:sz="4" w:space="0" w:color="auto"/>
              <w:bottom w:val="single" w:sz="4" w:space="0" w:color="auto"/>
              <w:right w:val="single" w:sz="4" w:space="0" w:color="auto"/>
            </w:tcBorders>
            <w:noWrap/>
          </w:tcPr>
          <w:p w14:paraId="0FA53346"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20 DE JULIO</w:t>
            </w:r>
          </w:p>
        </w:tc>
        <w:tc>
          <w:tcPr>
            <w:tcW w:w="993" w:type="dxa"/>
            <w:tcBorders>
              <w:top w:val="nil"/>
              <w:left w:val="nil"/>
              <w:bottom w:val="single" w:sz="4" w:space="0" w:color="auto"/>
              <w:right w:val="single" w:sz="4" w:space="0" w:color="auto"/>
            </w:tcBorders>
            <w:noWrap/>
          </w:tcPr>
          <w:p w14:paraId="4FACC671"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3245B7DD"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1.324</w:t>
            </w:r>
          </w:p>
        </w:tc>
        <w:tc>
          <w:tcPr>
            <w:tcW w:w="1276" w:type="dxa"/>
            <w:tcBorders>
              <w:top w:val="nil"/>
              <w:left w:val="single" w:sz="4" w:space="0" w:color="auto"/>
              <w:bottom w:val="single" w:sz="4" w:space="0" w:color="auto"/>
              <w:right w:val="single" w:sz="4" w:space="0" w:color="auto"/>
            </w:tcBorders>
            <w:noWrap/>
          </w:tcPr>
          <w:p w14:paraId="37AB78D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1.393</w:t>
            </w:r>
          </w:p>
        </w:tc>
        <w:tc>
          <w:tcPr>
            <w:tcW w:w="992" w:type="dxa"/>
            <w:tcBorders>
              <w:top w:val="nil"/>
              <w:left w:val="nil"/>
              <w:bottom w:val="single" w:sz="4" w:space="0" w:color="auto"/>
              <w:right w:val="single" w:sz="4" w:space="0" w:color="auto"/>
            </w:tcBorders>
            <w:noWrap/>
          </w:tcPr>
          <w:p w14:paraId="4846DA7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F69DFD7"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3C7F4AA3"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12</w:t>
            </w:r>
          </w:p>
        </w:tc>
        <w:tc>
          <w:tcPr>
            <w:tcW w:w="4578" w:type="dxa"/>
            <w:tcBorders>
              <w:top w:val="nil"/>
              <w:left w:val="single" w:sz="4" w:space="0" w:color="auto"/>
              <w:bottom w:val="single" w:sz="4" w:space="0" w:color="auto"/>
              <w:right w:val="single" w:sz="4" w:space="0" w:color="auto"/>
            </w:tcBorders>
            <w:noWrap/>
          </w:tcPr>
          <w:p w14:paraId="7A5F1BDD"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ALBERTO ELÍAS FERN</w:t>
            </w:r>
            <w:r>
              <w:rPr>
                <w:rFonts w:ascii="Arial" w:hAnsi="Arial" w:cs="Arial"/>
                <w:sz w:val="16"/>
                <w:szCs w:val="16"/>
              </w:rPr>
              <w:t>Á</w:t>
            </w:r>
            <w:r w:rsidRPr="002A47B8">
              <w:rPr>
                <w:rFonts w:ascii="Arial" w:hAnsi="Arial" w:cs="Arial"/>
                <w:sz w:val="16"/>
                <w:szCs w:val="16"/>
              </w:rPr>
              <w:t>NDEZ BAENA.</w:t>
            </w:r>
          </w:p>
        </w:tc>
        <w:tc>
          <w:tcPr>
            <w:tcW w:w="993" w:type="dxa"/>
            <w:tcBorders>
              <w:top w:val="nil"/>
              <w:left w:val="nil"/>
              <w:bottom w:val="single" w:sz="4" w:space="0" w:color="auto"/>
              <w:right w:val="single" w:sz="4" w:space="0" w:color="auto"/>
            </w:tcBorders>
            <w:noWrap/>
          </w:tcPr>
          <w:p w14:paraId="2DBCE685"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42E45242"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695</w:t>
            </w:r>
          </w:p>
        </w:tc>
        <w:tc>
          <w:tcPr>
            <w:tcW w:w="1276" w:type="dxa"/>
            <w:tcBorders>
              <w:top w:val="nil"/>
              <w:left w:val="single" w:sz="4" w:space="0" w:color="auto"/>
              <w:bottom w:val="single" w:sz="4" w:space="0" w:color="auto"/>
              <w:right w:val="single" w:sz="4" w:space="0" w:color="auto"/>
            </w:tcBorders>
            <w:noWrap/>
          </w:tcPr>
          <w:p w14:paraId="4C3494E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737</w:t>
            </w:r>
          </w:p>
        </w:tc>
        <w:tc>
          <w:tcPr>
            <w:tcW w:w="992" w:type="dxa"/>
            <w:tcBorders>
              <w:top w:val="nil"/>
              <w:left w:val="nil"/>
              <w:bottom w:val="single" w:sz="4" w:space="0" w:color="auto"/>
              <w:right w:val="single" w:sz="4" w:space="0" w:color="auto"/>
            </w:tcBorders>
            <w:noWrap/>
          </w:tcPr>
          <w:p w14:paraId="184237F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6B0D520" w14:textId="77777777" w:rsidTr="001D388B">
        <w:trPr>
          <w:trHeight w:val="20"/>
          <w:jc w:val="center"/>
        </w:trPr>
        <w:tc>
          <w:tcPr>
            <w:tcW w:w="520" w:type="dxa"/>
            <w:tcBorders>
              <w:top w:val="nil"/>
              <w:left w:val="single" w:sz="4" w:space="0" w:color="auto"/>
              <w:bottom w:val="single" w:sz="4" w:space="0" w:color="auto"/>
              <w:right w:val="single" w:sz="4" w:space="0" w:color="auto"/>
            </w:tcBorders>
            <w:hideMark/>
          </w:tcPr>
          <w:p w14:paraId="5BBCFE2A"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13</w:t>
            </w:r>
          </w:p>
        </w:tc>
        <w:tc>
          <w:tcPr>
            <w:tcW w:w="4578" w:type="dxa"/>
            <w:tcBorders>
              <w:top w:val="nil"/>
              <w:left w:val="single" w:sz="4" w:space="0" w:color="auto"/>
              <w:bottom w:val="single" w:sz="4" w:space="0" w:color="auto"/>
              <w:right w:val="single" w:sz="4" w:space="0" w:color="auto"/>
            </w:tcBorders>
            <w:noWrap/>
          </w:tcPr>
          <w:p w14:paraId="7C6F80E6"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AMBIENTALISTA DE CARTAGENA DE INDIAS</w:t>
            </w:r>
          </w:p>
        </w:tc>
        <w:tc>
          <w:tcPr>
            <w:tcW w:w="993" w:type="dxa"/>
            <w:tcBorders>
              <w:top w:val="nil"/>
              <w:left w:val="nil"/>
              <w:bottom w:val="single" w:sz="4" w:space="0" w:color="auto"/>
              <w:right w:val="single" w:sz="4" w:space="0" w:color="auto"/>
            </w:tcBorders>
            <w:noWrap/>
          </w:tcPr>
          <w:p w14:paraId="5CB0EA1E"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0A1276C4"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2.423</w:t>
            </w:r>
          </w:p>
        </w:tc>
        <w:tc>
          <w:tcPr>
            <w:tcW w:w="1276" w:type="dxa"/>
            <w:tcBorders>
              <w:top w:val="nil"/>
              <w:left w:val="single" w:sz="4" w:space="0" w:color="auto"/>
              <w:bottom w:val="single" w:sz="4" w:space="0" w:color="auto"/>
              <w:right w:val="single" w:sz="4" w:space="0" w:color="auto"/>
            </w:tcBorders>
            <w:noWrap/>
          </w:tcPr>
          <w:p w14:paraId="0162E5F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2.677</w:t>
            </w:r>
          </w:p>
        </w:tc>
        <w:tc>
          <w:tcPr>
            <w:tcW w:w="992" w:type="dxa"/>
            <w:tcBorders>
              <w:top w:val="nil"/>
              <w:left w:val="nil"/>
              <w:bottom w:val="single" w:sz="4" w:space="0" w:color="auto"/>
              <w:right w:val="single" w:sz="4" w:space="0" w:color="auto"/>
            </w:tcBorders>
            <w:noWrap/>
          </w:tcPr>
          <w:p w14:paraId="4A1D076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9EEC949"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8ED1D77"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14</w:t>
            </w:r>
          </w:p>
        </w:tc>
        <w:tc>
          <w:tcPr>
            <w:tcW w:w="4578" w:type="dxa"/>
            <w:tcBorders>
              <w:top w:val="nil"/>
              <w:left w:val="single" w:sz="4" w:space="0" w:color="auto"/>
              <w:bottom w:val="single" w:sz="4" w:space="0" w:color="auto"/>
              <w:right w:val="single" w:sz="4" w:space="0" w:color="auto"/>
            </w:tcBorders>
            <w:noWrap/>
          </w:tcPr>
          <w:p w14:paraId="1B904D34"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ANA MARÍA VÉLEZ DE TRUJILLO</w:t>
            </w:r>
          </w:p>
        </w:tc>
        <w:tc>
          <w:tcPr>
            <w:tcW w:w="993" w:type="dxa"/>
            <w:tcBorders>
              <w:top w:val="nil"/>
              <w:left w:val="nil"/>
              <w:bottom w:val="single" w:sz="4" w:space="0" w:color="auto"/>
              <w:right w:val="single" w:sz="4" w:space="0" w:color="auto"/>
            </w:tcBorders>
            <w:noWrap/>
          </w:tcPr>
          <w:p w14:paraId="09EE77B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14:paraId="1C74822D"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1.602</w:t>
            </w:r>
          </w:p>
        </w:tc>
        <w:tc>
          <w:tcPr>
            <w:tcW w:w="1276" w:type="dxa"/>
            <w:tcBorders>
              <w:top w:val="nil"/>
              <w:left w:val="single" w:sz="4" w:space="0" w:color="auto"/>
              <w:bottom w:val="single" w:sz="4" w:space="0" w:color="auto"/>
              <w:right w:val="single" w:sz="4" w:space="0" w:color="auto"/>
            </w:tcBorders>
            <w:noWrap/>
          </w:tcPr>
          <w:p w14:paraId="3CB2BD2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1.688</w:t>
            </w:r>
          </w:p>
        </w:tc>
        <w:tc>
          <w:tcPr>
            <w:tcW w:w="992" w:type="dxa"/>
            <w:tcBorders>
              <w:top w:val="nil"/>
              <w:left w:val="nil"/>
              <w:bottom w:val="single" w:sz="4" w:space="0" w:color="auto"/>
              <w:right w:val="single" w:sz="4" w:space="0" w:color="auto"/>
            </w:tcBorders>
            <w:noWrap/>
          </w:tcPr>
          <w:p w14:paraId="300E917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7E080485"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8ACCD90"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15</w:t>
            </w:r>
          </w:p>
        </w:tc>
        <w:tc>
          <w:tcPr>
            <w:tcW w:w="4578" w:type="dxa"/>
            <w:tcBorders>
              <w:top w:val="nil"/>
              <w:left w:val="single" w:sz="4" w:space="0" w:color="auto"/>
              <w:bottom w:val="single" w:sz="4" w:space="0" w:color="auto"/>
              <w:right w:val="single" w:sz="4" w:space="0" w:color="auto"/>
            </w:tcBorders>
            <w:noWrap/>
          </w:tcPr>
          <w:p w14:paraId="3856D13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ANTONIA SANTOS</w:t>
            </w:r>
          </w:p>
        </w:tc>
        <w:tc>
          <w:tcPr>
            <w:tcW w:w="993" w:type="dxa"/>
            <w:tcBorders>
              <w:top w:val="nil"/>
              <w:left w:val="nil"/>
              <w:bottom w:val="single" w:sz="4" w:space="0" w:color="auto"/>
              <w:right w:val="single" w:sz="4" w:space="0" w:color="auto"/>
            </w:tcBorders>
            <w:noWrap/>
          </w:tcPr>
          <w:p w14:paraId="75A45AB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14:paraId="3D39A388"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2.021</w:t>
            </w:r>
          </w:p>
        </w:tc>
        <w:tc>
          <w:tcPr>
            <w:tcW w:w="1276" w:type="dxa"/>
            <w:tcBorders>
              <w:top w:val="nil"/>
              <w:left w:val="single" w:sz="4" w:space="0" w:color="auto"/>
              <w:bottom w:val="single" w:sz="4" w:space="0" w:color="auto"/>
              <w:right w:val="single" w:sz="4" w:space="0" w:color="auto"/>
            </w:tcBorders>
            <w:noWrap/>
          </w:tcPr>
          <w:p w14:paraId="67436BF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2.305</w:t>
            </w:r>
          </w:p>
        </w:tc>
        <w:tc>
          <w:tcPr>
            <w:tcW w:w="992" w:type="dxa"/>
            <w:tcBorders>
              <w:top w:val="nil"/>
              <w:left w:val="nil"/>
              <w:bottom w:val="single" w:sz="4" w:space="0" w:color="auto"/>
              <w:right w:val="single" w:sz="4" w:space="0" w:color="auto"/>
            </w:tcBorders>
            <w:noWrap/>
          </w:tcPr>
          <w:p w14:paraId="2091376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0B86D82"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4A25DCD"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16</w:t>
            </w:r>
          </w:p>
        </w:tc>
        <w:tc>
          <w:tcPr>
            <w:tcW w:w="4578" w:type="dxa"/>
            <w:tcBorders>
              <w:top w:val="nil"/>
              <w:left w:val="single" w:sz="4" w:space="0" w:color="auto"/>
              <w:bottom w:val="single" w:sz="4" w:space="0" w:color="auto"/>
              <w:right w:val="single" w:sz="4" w:space="0" w:color="auto"/>
            </w:tcBorders>
            <w:noWrap/>
          </w:tcPr>
          <w:p w14:paraId="33F5422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ANTONIO NARIÑO</w:t>
            </w:r>
          </w:p>
        </w:tc>
        <w:tc>
          <w:tcPr>
            <w:tcW w:w="993" w:type="dxa"/>
            <w:tcBorders>
              <w:top w:val="nil"/>
              <w:left w:val="nil"/>
              <w:bottom w:val="single" w:sz="4" w:space="0" w:color="auto"/>
              <w:right w:val="single" w:sz="4" w:space="0" w:color="auto"/>
            </w:tcBorders>
            <w:noWrap/>
          </w:tcPr>
          <w:p w14:paraId="62F7093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3A28536D"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1.266</w:t>
            </w:r>
          </w:p>
        </w:tc>
        <w:tc>
          <w:tcPr>
            <w:tcW w:w="1276" w:type="dxa"/>
            <w:tcBorders>
              <w:top w:val="nil"/>
              <w:left w:val="single" w:sz="4" w:space="0" w:color="auto"/>
              <w:bottom w:val="single" w:sz="4" w:space="0" w:color="auto"/>
              <w:right w:val="single" w:sz="4" w:space="0" w:color="auto"/>
            </w:tcBorders>
            <w:noWrap/>
          </w:tcPr>
          <w:p w14:paraId="3815400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1.293</w:t>
            </w:r>
          </w:p>
        </w:tc>
        <w:tc>
          <w:tcPr>
            <w:tcW w:w="992" w:type="dxa"/>
            <w:tcBorders>
              <w:top w:val="nil"/>
              <w:left w:val="nil"/>
              <w:bottom w:val="single" w:sz="4" w:space="0" w:color="auto"/>
              <w:right w:val="single" w:sz="4" w:space="0" w:color="auto"/>
            </w:tcBorders>
            <w:noWrap/>
          </w:tcPr>
          <w:p w14:paraId="22465F0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B14EEBF"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E4DBF29"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17</w:t>
            </w:r>
          </w:p>
        </w:tc>
        <w:tc>
          <w:tcPr>
            <w:tcW w:w="4578" w:type="dxa"/>
            <w:tcBorders>
              <w:top w:val="nil"/>
              <w:left w:val="single" w:sz="4" w:space="0" w:color="auto"/>
              <w:bottom w:val="single" w:sz="4" w:space="0" w:color="auto"/>
              <w:right w:val="single" w:sz="4" w:space="0" w:color="auto"/>
            </w:tcBorders>
            <w:noWrap/>
          </w:tcPr>
          <w:p w14:paraId="47AB64CE"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ARROYO DE PIEDRA</w:t>
            </w:r>
          </w:p>
        </w:tc>
        <w:tc>
          <w:tcPr>
            <w:tcW w:w="993" w:type="dxa"/>
            <w:tcBorders>
              <w:top w:val="nil"/>
              <w:left w:val="nil"/>
              <w:bottom w:val="single" w:sz="4" w:space="0" w:color="auto"/>
              <w:right w:val="single" w:sz="4" w:space="0" w:color="auto"/>
            </w:tcBorders>
            <w:noWrap/>
          </w:tcPr>
          <w:p w14:paraId="15472122"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14:paraId="64CED73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1.081</w:t>
            </w:r>
          </w:p>
        </w:tc>
        <w:tc>
          <w:tcPr>
            <w:tcW w:w="1276" w:type="dxa"/>
            <w:tcBorders>
              <w:top w:val="nil"/>
              <w:left w:val="single" w:sz="4" w:space="0" w:color="auto"/>
              <w:bottom w:val="single" w:sz="4" w:space="0" w:color="auto"/>
              <w:right w:val="single" w:sz="4" w:space="0" w:color="auto"/>
            </w:tcBorders>
            <w:noWrap/>
          </w:tcPr>
          <w:p w14:paraId="6E2325D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1.146</w:t>
            </w:r>
          </w:p>
        </w:tc>
        <w:tc>
          <w:tcPr>
            <w:tcW w:w="992" w:type="dxa"/>
            <w:tcBorders>
              <w:top w:val="nil"/>
              <w:left w:val="nil"/>
              <w:bottom w:val="single" w:sz="4" w:space="0" w:color="auto"/>
              <w:right w:val="single" w:sz="4" w:space="0" w:color="auto"/>
            </w:tcBorders>
            <w:noWrap/>
          </w:tcPr>
          <w:p w14:paraId="55702A5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00282B44"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7D17F67E"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w:t>
            </w:r>
          </w:p>
        </w:tc>
        <w:tc>
          <w:tcPr>
            <w:tcW w:w="4578" w:type="dxa"/>
            <w:tcBorders>
              <w:top w:val="nil"/>
              <w:left w:val="single" w:sz="4" w:space="0" w:color="auto"/>
              <w:bottom w:val="single" w:sz="4" w:space="0" w:color="auto"/>
              <w:right w:val="single" w:sz="4" w:space="0" w:color="auto"/>
            </w:tcBorders>
            <w:noWrap/>
          </w:tcPr>
          <w:p w14:paraId="1B58293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BERTHA GEDEÓN DE BALADI</w:t>
            </w:r>
          </w:p>
        </w:tc>
        <w:tc>
          <w:tcPr>
            <w:tcW w:w="993" w:type="dxa"/>
            <w:tcBorders>
              <w:top w:val="nil"/>
              <w:left w:val="nil"/>
              <w:bottom w:val="single" w:sz="4" w:space="0" w:color="auto"/>
              <w:right w:val="single" w:sz="4" w:space="0" w:color="auto"/>
            </w:tcBorders>
            <w:noWrap/>
          </w:tcPr>
          <w:p w14:paraId="203152E2"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1F457B4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1.785</w:t>
            </w:r>
          </w:p>
        </w:tc>
        <w:tc>
          <w:tcPr>
            <w:tcW w:w="1276" w:type="dxa"/>
            <w:tcBorders>
              <w:top w:val="nil"/>
              <w:left w:val="single" w:sz="4" w:space="0" w:color="auto"/>
              <w:bottom w:val="single" w:sz="4" w:space="0" w:color="auto"/>
              <w:right w:val="single" w:sz="4" w:space="0" w:color="auto"/>
            </w:tcBorders>
            <w:noWrap/>
          </w:tcPr>
          <w:p w14:paraId="4796F7B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1.724</w:t>
            </w:r>
          </w:p>
        </w:tc>
        <w:tc>
          <w:tcPr>
            <w:tcW w:w="992" w:type="dxa"/>
            <w:tcBorders>
              <w:top w:val="nil"/>
              <w:left w:val="nil"/>
              <w:bottom w:val="single" w:sz="4" w:space="0" w:color="auto"/>
              <w:right w:val="single" w:sz="4" w:space="0" w:color="auto"/>
            </w:tcBorders>
            <w:noWrap/>
          </w:tcPr>
          <w:p w14:paraId="05AAAFD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EA358E0"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0107B9D"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w:t>
            </w:r>
          </w:p>
        </w:tc>
        <w:tc>
          <w:tcPr>
            <w:tcW w:w="4578" w:type="dxa"/>
            <w:tcBorders>
              <w:top w:val="nil"/>
              <w:left w:val="single" w:sz="4" w:space="0" w:color="auto"/>
              <w:bottom w:val="single" w:sz="4" w:space="0" w:color="auto"/>
              <w:right w:val="single" w:sz="4" w:space="0" w:color="auto"/>
            </w:tcBorders>
            <w:noWrap/>
          </w:tcPr>
          <w:p w14:paraId="3362FA72"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CAMILO TORRES DEL POZÓN</w:t>
            </w:r>
          </w:p>
        </w:tc>
        <w:tc>
          <w:tcPr>
            <w:tcW w:w="993" w:type="dxa"/>
            <w:tcBorders>
              <w:top w:val="nil"/>
              <w:left w:val="nil"/>
              <w:bottom w:val="single" w:sz="4" w:space="0" w:color="auto"/>
              <w:right w:val="single" w:sz="4" w:space="0" w:color="auto"/>
            </w:tcBorders>
            <w:noWrap/>
          </w:tcPr>
          <w:p w14:paraId="772EC96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58F1FE3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1.915</w:t>
            </w:r>
          </w:p>
        </w:tc>
        <w:tc>
          <w:tcPr>
            <w:tcW w:w="1276" w:type="dxa"/>
            <w:tcBorders>
              <w:top w:val="nil"/>
              <w:left w:val="single" w:sz="4" w:space="0" w:color="auto"/>
              <w:bottom w:val="single" w:sz="4" w:space="0" w:color="auto"/>
              <w:right w:val="single" w:sz="4" w:space="0" w:color="auto"/>
            </w:tcBorders>
            <w:noWrap/>
          </w:tcPr>
          <w:p w14:paraId="56B15C1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2.084</w:t>
            </w:r>
          </w:p>
        </w:tc>
        <w:tc>
          <w:tcPr>
            <w:tcW w:w="992" w:type="dxa"/>
            <w:tcBorders>
              <w:top w:val="nil"/>
              <w:left w:val="nil"/>
              <w:bottom w:val="single" w:sz="4" w:space="0" w:color="auto"/>
              <w:right w:val="single" w:sz="4" w:space="0" w:color="auto"/>
            </w:tcBorders>
            <w:noWrap/>
          </w:tcPr>
          <w:p w14:paraId="6D25CFD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746413C"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B956743"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w:t>
            </w:r>
          </w:p>
        </w:tc>
        <w:tc>
          <w:tcPr>
            <w:tcW w:w="4578" w:type="dxa"/>
            <w:tcBorders>
              <w:top w:val="nil"/>
              <w:left w:val="single" w:sz="4" w:space="0" w:color="auto"/>
              <w:bottom w:val="single" w:sz="4" w:space="0" w:color="auto"/>
              <w:right w:val="single" w:sz="4" w:space="0" w:color="auto"/>
            </w:tcBorders>
            <w:noWrap/>
          </w:tcPr>
          <w:p w14:paraId="6DA73FAB"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CAS</w:t>
            </w:r>
            <w:r>
              <w:rPr>
                <w:rFonts w:ascii="Arial" w:hAnsi="Arial" w:cs="Arial"/>
                <w:sz w:val="16"/>
                <w:szCs w:val="16"/>
              </w:rPr>
              <w:t>A</w:t>
            </w:r>
            <w:r w:rsidRPr="002A47B8">
              <w:rPr>
                <w:rFonts w:ascii="Arial" w:hAnsi="Arial" w:cs="Arial"/>
                <w:sz w:val="16"/>
                <w:szCs w:val="16"/>
              </w:rPr>
              <w:t xml:space="preserve"> MANUELA BELTRÁN</w:t>
            </w:r>
          </w:p>
        </w:tc>
        <w:tc>
          <w:tcPr>
            <w:tcW w:w="993" w:type="dxa"/>
            <w:tcBorders>
              <w:top w:val="nil"/>
              <w:left w:val="nil"/>
              <w:bottom w:val="single" w:sz="4" w:space="0" w:color="auto"/>
              <w:right w:val="single" w:sz="4" w:space="0" w:color="auto"/>
            </w:tcBorders>
            <w:noWrap/>
          </w:tcPr>
          <w:p w14:paraId="44426427"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42090EB3"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276</w:t>
            </w:r>
          </w:p>
        </w:tc>
        <w:tc>
          <w:tcPr>
            <w:tcW w:w="1276" w:type="dxa"/>
            <w:tcBorders>
              <w:top w:val="nil"/>
              <w:left w:val="single" w:sz="4" w:space="0" w:color="auto"/>
              <w:bottom w:val="single" w:sz="4" w:space="0" w:color="auto"/>
              <w:right w:val="single" w:sz="4" w:space="0" w:color="auto"/>
            </w:tcBorders>
            <w:noWrap/>
          </w:tcPr>
          <w:p w14:paraId="7085BD6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291</w:t>
            </w:r>
          </w:p>
        </w:tc>
        <w:tc>
          <w:tcPr>
            <w:tcW w:w="992" w:type="dxa"/>
            <w:tcBorders>
              <w:top w:val="nil"/>
              <w:left w:val="nil"/>
              <w:bottom w:val="single" w:sz="4" w:space="0" w:color="auto"/>
              <w:right w:val="single" w:sz="4" w:space="0" w:color="auto"/>
            </w:tcBorders>
            <w:noWrap/>
          </w:tcPr>
          <w:p w14:paraId="55BFB9C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56DB39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D417B02"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21</w:t>
            </w:r>
          </w:p>
        </w:tc>
        <w:tc>
          <w:tcPr>
            <w:tcW w:w="4578" w:type="dxa"/>
            <w:tcBorders>
              <w:top w:val="nil"/>
              <w:left w:val="single" w:sz="4" w:space="0" w:color="auto"/>
              <w:bottom w:val="single" w:sz="4" w:space="0" w:color="auto"/>
              <w:right w:val="single" w:sz="4" w:space="0" w:color="auto"/>
            </w:tcBorders>
            <w:noWrap/>
          </w:tcPr>
          <w:p w14:paraId="7418B7E4"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CIUDAD DE TUNJA</w:t>
            </w:r>
          </w:p>
        </w:tc>
        <w:tc>
          <w:tcPr>
            <w:tcW w:w="993" w:type="dxa"/>
            <w:tcBorders>
              <w:top w:val="nil"/>
              <w:left w:val="nil"/>
              <w:bottom w:val="single" w:sz="4" w:space="0" w:color="auto"/>
              <w:right w:val="single" w:sz="4" w:space="0" w:color="auto"/>
            </w:tcBorders>
            <w:noWrap/>
          </w:tcPr>
          <w:p w14:paraId="7353A08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6A437C2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1.635</w:t>
            </w:r>
          </w:p>
        </w:tc>
        <w:tc>
          <w:tcPr>
            <w:tcW w:w="1276" w:type="dxa"/>
            <w:tcBorders>
              <w:top w:val="nil"/>
              <w:left w:val="single" w:sz="4" w:space="0" w:color="auto"/>
              <w:bottom w:val="single" w:sz="4" w:space="0" w:color="auto"/>
              <w:right w:val="single" w:sz="4" w:space="0" w:color="auto"/>
            </w:tcBorders>
            <w:noWrap/>
          </w:tcPr>
          <w:p w14:paraId="39FF5EF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1.797</w:t>
            </w:r>
          </w:p>
        </w:tc>
        <w:tc>
          <w:tcPr>
            <w:tcW w:w="992" w:type="dxa"/>
            <w:tcBorders>
              <w:top w:val="nil"/>
              <w:left w:val="nil"/>
              <w:bottom w:val="single" w:sz="4" w:space="0" w:color="auto"/>
              <w:right w:val="single" w:sz="4" w:space="0" w:color="auto"/>
            </w:tcBorders>
            <w:noWrap/>
          </w:tcPr>
          <w:p w14:paraId="14EA8E9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E27F8D6"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C8F752E"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lastRenderedPageBreak/>
              <w:t>22</w:t>
            </w:r>
          </w:p>
        </w:tc>
        <w:tc>
          <w:tcPr>
            <w:tcW w:w="4578" w:type="dxa"/>
            <w:tcBorders>
              <w:top w:val="nil"/>
              <w:left w:val="single" w:sz="4" w:space="0" w:color="auto"/>
              <w:bottom w:val="single" w:sz="4" w:space="0" w:color="auto"/>
              <w:right w:val="single" w:sz="4" w:space="0" w:color="auto"/>
            </w:tcBorders>
            <w:noWrap/>
          </w:tcPr>
          <w:p w14:paraId="068F50F0"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CIUDADELA 2000</w:t>
            </w:r>
          </w:p>
        </w:tc>
        <w:tc>
          <w:tcPr>
            <w:tcW w:w="993" w:type="dxa"/>
            <w:tcBorders>
              <w:top w:val="nil"/>
              <w:left w:val="nil"/>
              <w:bottom w:val="single" w:sz="4" w:space="0" w:color="auto"/>
              <w:right w:val="single" w:sz="4" w:space="0" w:color="auto"/>
            </w:tcBorders>
            <w:noWrap/>
          </w:tcPr>
          <w:p w14:paraId="4320B7E4"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593B8237"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1.900</w:t>
            </w:r>
          </w:p>
        </w:tc>
        <w:tc>
          <w:tcPr>
            <w:tcW w:w="1276" w:type="dxa"/>
            <w:tcBorders>
              <w:top w:val="nil"/>
              <w:left w:val="single" w:sz="4" w:space="0" w:color="auto"/>
              <w:bottom w:val="single" w:sz="4" w:space="0" w:color="auto"/>
              <w:right w:val="single" w:sz="4" w:space="0" w:color="auto"/>
            </w:tcBorders>
            <w:noWrap/>
          </w:tcPr>
          <w:p w14:paraId="5AFF506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1.915</w:t>
            </w:r>
          </w:p>
        </w:tc>
        <w:tc>
          <w:tcPr>
            <w:tcW w:w="992" w:type="dxa"/>
            <w:tcBorders>
              <w:top w:val="nil"/>
              <w:left w:val="nil"/>
              <w:bottom w:val="single" w:sz="4" w:space="0" w:color="auto"/>
              <w:right w:val="single" w:sz="4" w:space="0" w:color="auto"/>
            </w:tcBorders>
            <w:noWrap/>
          </w:tcPr>
          <w:p w14:paraId="0FBC196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2E01B63"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E81F0DA"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w:t>
            </w:r>
          </w:p>
        </w:tc>
        <w:tc>
          <w:tcPr>
            <w:tcW w:w="4578" w:type="dxa"/>
            <w:tcBorders>
              <w:top w:val="nil"/>
              <w:left w:val="single" w:sz="4" w:space="0" w:color="auto"/>
              <w:bottom w:val="single" w:sz="4" w:space="0" w:color="auto"/>
              <w:right w:val="single" w:sz="4" w:space="0" w:color="auto"/>
            </w:tcBorders>
            <w:noWrap/>
          </w:tcPr>
          <w:p w14:paraId="7A019D21"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CLEMENTE MANUEL ZABALA</w:t>
            </w:r>
          </w:p>
        </w:tc>
        <w:tc>
          <w:tcPr>
            <w:tcW w:w="993" w:type="dxa"/>
            <w:tcBorders>
              <w:top w:val="nil"/>
              <w:left w:val="nil"/>
              <w:bottom w:val="single" w:sz="4" w:space="0" w:color="auto"/>
              <w:right w:val="single" w:sz="4" w:space="0" w:color="auto"/>
            </w:tcBorders>
            <w:noWrap/>
          </w:tcPr>
          <w:p w14:paraId="2AF5F533"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38CC62E5"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1.794</w:t>
            </w:r>
          </w:p>
        </w:tc>
        <w:tc>
          <w:tcPr>
            <w:tcW w:w="1276" w:type="dxa"/>
            <w:tcBorders>
              <w:top w:val="nil"/>
              <w:left w:val="single" w:sz="4" w:space="0" w:color="auto"/>
              <w:bottom w:val="single" w:sz="4" w:space="0" w:color="auto"/>
              <w:right w:val="single" w:sz="4" w:space="0" w:color="auto"/>
            </w:tcBorders>
            <w:noWrap/>
          </w:tcPr>
          <w:p w14:paraId="13FABBF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1.881</w:t>
            </w:r>
          </w:p>
        </w:tc>
        <w:tc>
          <w:tcPr>
            <w:tcW w:w="992" w:type="dxa"/>
            <w:tcBorders>
              <w:top w:val="nil"/>
              <w:left w:val="nil"/>
              <w:bottom w:val="single" w:sz="4" w:space="0" w:color="auto"/>
              <w:right w:val="single" w:sz="4" w:space="0" w:color="auto"/>
            </w:tcBorders>
            <w:noWrap/>
          </w:tcPr>
          <w:p w14:paraId="1509C53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70483ED"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A876C38"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24</w:t>
            </w:r>
          </w:p>
        </w:tc>
        <w:tc>
          <w:tcPr>
            <w:tcW w:w="4578" w:type="dxa"/>
            <w:tcBorders>
              <w:top w:val="nil"/>
              <w:left w:val="single" w:sz="4" w:space="0" w:color="auto"/>
              <w:bottom w:val="single" w:sz="4" w:space="0" w:color="auto"/>
              <w:right w:val="single" w:sz="4" w:space="0" w:color="auto"/>
            </w:tcBorders>
            <w:noWrap/>
          </w:tcPr>
          <w:p w14:paraId="184F9695"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CORAZÓN DE MARÍA</w:t>
            </w:r>
          </w:p>
        </w:tc>
        <w:tc>
          <w:tcPr>
            <w:tcW w:w="993" w:type="dxa"/>
            <w:tcBorders>
              <w:top w:val="nil"/>
              <w:left w:val="nil"/>
              <w:bottom w:val="single" w:sz="4" w:space="0" w:color="auto"/>
              <w:right w:val="single" w:sz="4" w:space="0" w:color="auto"/>
            </w:tcBorders>
            <w:noWrap/>
          </w:tcPr>
          <w:p w14:paraId="40509DB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vAlign w:val="center"/>
          </w:tcPr>
          <w:p w14:paraId="6FBFF35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1.593</w:t>
            </w:r>
          </w:p>
        </w:tc>
        <w:tc>
          <w:tcPr>
            <w:tcW w:w="1276" w:type="dxa"/>
            <w:tcBorders>
              <w:top w:val="nil"/>
              <w:left w:val="single" w:sz="4" w:space="0" w:color="auto"/>
              <w:bottom w:val="single" w:sz="4" w:space="0" w:color="auto"/>
              <w:right w:val="single" w:sz="4" w:space="0" w:color="auto"/>
            </w:tcBorders>
            <w:noWrap/>
          </w:tcPr>
          <w:p w14:paraId="31E7135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1.737</w:t>
            </w:r>
          </w:p>
        </w:tc>
        <w:tc>
          <w:tcPr>
            <w:tcW w:w="992" w:type="dxa"/>
            <w:tcBorders>
              <w:top w:val="nil"/>
              <w:left w:val="nil"/>
              <w:bottom w:val="single" w:sz="4" w:space="0" w:color="auto"/>
              <w:right w:val="single" w:sz="4" w:space="0" w:color="auto"/>
            </w:tcBorders>
            <w:noWrap/>
          </w:tcPr>
          <w:p w14:paraId="08DED0F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B8581A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3460B44"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25</w:t>
            </w:r>
          </w:p>
        </w:tc>
        <w:tc>
          <w:tcPr>
            <w:tcW w:w="4578" w:type="dxa"/>
            <w:tcBorders>
              <w:top w:val="nil"/>
              <w:left w:val="single" w:sz="4" w:space="0" w:color="auto"/>
              <w:bottom w:val="single" w:sz="4" w:space="0" w:color="auto"/>
              <w:right w:val="single" w:sz="4" w:space="0" w:color="auto"/>
            </w:tcBorders>
            <w:noWrap/>
          </w:tcPr>
          <w:p w14:paraId="212B065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ARARCA</w:t>
            </w:r>
          </w:p>
        </w:tc>
        <w:tc>
          <w:tcPr>
            <w:tcW w:w="993" w:type="dxa"/>
            <w:tcBorders>
              <w:top w:val="nil"/>
              <w:left w:val="nil"/>
              <w:bottom w:val="single" w:sz="4" w:space="0" w:color="auto"/>
              <w:right w:val="single" w:sz="4" w:space="0" w:color="auto"/>
            </w:tcBorders>
            <w:noWrap/>
          </w:tcPr>
          <w:p w14:paraId="0A9E50BC"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768BE0B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335</w:t>
            </w:r>
          </w:p>
        </w:tc>
        <w:tc>
          <w:tcPr>
            <w:tcW w:w="1276" w:type="dxa"/>
            <w:tcBorders>
              <w:top w:val="nil"/>
              <w:left w:val="single" w:sz="4" w:space="0" w:color="auto"/>
              <w:bottom w:val="single" w:sz="4" w:space="0" w:color="auto"/>
              <w:right w:val="single" w:sz="4" w:space="0" w:color="auto"/>
            </w:tcBorders>
            <w:noWrap/>
          </w:tcPr>
          <w:p w14:paraId="6F388A9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348</w:t>
            </w:r>
          </w:p>
        </w:tc>
        <w:tc>
          <w:tcPr>
            <w:tcW w:w="992" w:type="dxa"/>
            <w:tcBorders>
              <w:top w:val="nil"/>
              <w:left w:val="nil"/>
              <w:bottom w:val="single" w:sz="4" w:space="0" w:color="auto"/>
              <w:right w:val="single" w:sz="4" w:space="0" w:color="auto"/>
            </w:tcBorders>
            <w:noWrap/>
          </w:tcPr>
          <w:p w14:paraId="6729D96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544D458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BCBE9F0"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26</w:t>
            </w:r>
          </w:p>
        </w:tc>
        <w:tc>
          <w:tcPr>
            <w:tcW w:w="4578" w:type="dxa"/>
            <w:tcBorders>
              <w:top w:val="nil"/>
              <w:left w:val="single" w:sz="4" w:space="0" w:color="auto"/>
              <w:bottom w:val="single" w:sz="4" w:space="0" w:color="auto"/>
              <w:right w:val="single" w:sz="4" w:space="0" w:color="auto"/>
            </w:tcBorders>
            <w:noWrap/>
          </w:tcPr>
          <w:p w14:paraId="38DA8935"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BAYUNCA</w:t>
            </w:r>
          </w:p>
        </w:tc>
        <w:tc>
          <w:tcPr>
            <w:tcW w:w="993" w:type="dxa"/>
            <w:tcBorders>
              <w:top w:val="nil"/>
              <w:left w:val="nil"/>
              <w:bottom w:val="single" w:sz="4" w:space="0" w:color="auto"/>
              <w:right w:val="single" w:sz="4" w:space="0" w:color="auto"/>
            </w:tcBorders>
            <w:noWrap/>
          </w:tcPr>
          <w:p w14:paraId="32CE9B1C"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5</w:t>
            </w:r>
          </w:p>
        </w:tc>
        <w:tc>
          <w:tcPr>
            <w:tcW w:w="1275" w:type="dxa"/>
            <w:tcBorders>
              <w:top w:val="nil"/>
              <w:left w:val="nil"/>
              <w:bottom w:val="single" w:sz="4" w:space="0" w:color="auto"/>
              <w:right w:val="single" w:sz="4" w:space="0" w:color="auto"/>
            </w:tcBorders>
            <w:vAlign w:val="center"/>
          </w:tcPr>
          <w:p w14:paraId="3B21476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3.285</w:t>
            </w:r>
          </w:p>
        </w:tc>
        <w:tc>
          <w:tcPr>
            <w:tcW w:w="1276" w:type="dxa"/>
            <w:tcBorders>
              <w:top w:val="nil"/>
              <w:left w:val="single" w:sz="4" w:space="0" w:color="auto"/>
              <w:bottom w:val="single" w:sz="4" w:space="0" w:color="auto"/>
              <w:right w:val="single" w:sz="4" w:space="0" w:color="auto"/>
            </w:tcBorders>
            <w:noWrap/>
          </w:tcPr>
          <w:p w14:paraId="06BC35A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3.724</w:t>
            </w:r>
          </w:p>
        </w:tc>
        <w:tc>
          <w:tcPr>
            <w:tcW w:w="992" w:type="dxa"/>
            <w:tcBorders>
              <w:top w:val="nil"/>
              <w:left w:val="nil"/>
              <w:bottom w:val="single" w:sz="4" w:space="0" w:color="auto"/>
              <w:right w:val="single" w:sz="4" w:space="0" w:color="auto"/>
            </w:tcBorders>
            <w:noWrap/>
          </w:tcPr>
          <w:p w14:paraId="7D62D9D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4D19E0C4"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371669F"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27</w:t>
            </w:r>
          </w:p>
        </w:tc>
        <w:tc>
          <w:tcPr>
            <w:tcW w:w="4578" w:type="dxa"/>
            <w:tcBorders>
              <w:top w:val="nil"/>
              <w:left w:val="single" w:sz="4" w:space="0" w:color="auto"/>
              <w:bottom w:val="single" w:sz="4" w:space="0" w:color="auto"/>
              <w:right w:val="single" w:sz="4" w:space="0" w:color="auto"/>
            </w:tcBorders>
            <w:noWrap/>
          </w:tcPr>
          <w:p w14:paraId="207AB10A"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FREDONIA</w:t>
            </w:r>
          </w:p>
        </w:tc>
        <w:tc>
          <w:tcPr>
            <w:tcW w:w="993" w:type="dxa"/>
            <w:tcBorders>
              <w:top w:val="nil"/>
              <w:left w:val="nil"/>
              <w:bottom w:val="single" w:sz="4" w:space="0" w:color="auto"/>
              <w:right w:val="single" w:sz="4" w:space="0" w:color="auto"/>
            </w:tcBorders>
            <w:noWrap/>
          </w:tcPr>
          <w:p w14:paraId="1DE686D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2FD03835"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1.541</w:t>
            </w:r>
          </w:p>
        </w:tc>
        <w:tc>
          <w:tcPr>
            <w:tcW w:w="1276" w:type="dxa"/>
            <w:tcBorders>
              <w:top w:val="nil"/>
              <w:left w:val="single" w:sz="4" w:space="0" w:color="auto"/>
              <w:bottom w:val="single" w:sz="4" w:space="0" w:color="auto"/>
              <w:right w:val="single" w:sz="4" w:space="0" w:color="auto"/>
            </w:tcBorders>
            <w:noWrap/>
          </w:tcPr>
          <w:p w14:paraId="6209090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1.590</w:t>
            </w:r>
          </w:p>
        </w:tc>
        <w:tc>
          <w:tcPr>
            <w:tcW w:w="992" w:type="dxa"/>
            <w:tcBorders>
              <w:top w:val="nil"/>
              <w:left w:val="nil"/>
              <w:bottom w:val="single" w:sz="4" w:space="0" w:color="auto"/>
              <w:right w:val="single" w:sz="4" w:space="0" w:color="auto"/>
            </w:tcBorders>
            <w:noWrap/>
          </w:tcPr>
          <w:p w14:paraId="0FABCE6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2BBA95D5"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74D0A481"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28</w:t>
            </w:r>
          </w:p>
        </w:tc>
        <w:tc>
          <w:tcPr>
            <w:tcW w:w="4578" w:type="dxa"/>
            <w:tcBorders>
              <w:top w:val="nil"/>
              <w:left w:val="single" w:sz="4" w:space="0" w:color="auto"/>
              <w:bottom w:val="single" w:sz="4" w:space="0" w:color="auto"/>
              <w:right w:val="single" w:sz="4" w:space="0" w:color="auto"/>
            </w:tcBorders>
            <w:noWrap/>
          </w:tcPr>
          <w:p w14:paraId="0343D8E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ISLA FUERTE</w:t>
            </w:r>
          </w:p>
        </w:tc>
        <w:tc>
          <w:tcPr>
            <w:tcW w:w="993" w:type="dxa"/>
            <w:tcBorders>
              <w:top w:val="nil"/>
              <w:left w:val="nil"/>
              <w:bottom w:val="single" w:sz="4" w:space="0" w:color="auto"/>
              <w:right w:val="single" w:sz="4" w:space="0" w:color="auto"/>
            </w:tcBorders>
            <w:noWrap/>
          </w:tcPr>
          <w:p w14:paraId="5CE41ED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36809FB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358</w:t>
            </w:r>
          </w:p>
        </w:tc>
        <w:tc>
          <w:tcPr>
            <w:tcW w:w="1276" w:type="dxa"/>
            <w:tcBorders>
              <w:top w:val="nil"/>
              <w:left w:val="single" w:sz="4" w:space="0" w:color="auto"/>
              <w:bottom w:val="single" w:sz="4" w:space="0" w:color="auto"/>
              <w:right w:val="single" w:sz="4" w:space="0" w:color="auto"/>
            </w:tcBorders>
            <w:noWrap/>
          </w:tcPr>
          <w:p w14:paraId="7F7BE60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388</w:t>
            </w:r>
          </w:p>
        </w:tc>
        <w:tc>
          <w:tcPr>
            <w:tcW w:w="992" w:type="dxa"/>
            <w:tcBorders>
              <w:top w:val="nil"/>
              <w:left w:val="nil"/>
              <w:bottom w:val="single" w:sz="4" w:space="0" w:color="auto"/>
              <w:right w:val="single" w:sz="4" w:space="0" w:color="auto"/>
            </w:tcBorders>
            <w:noWrap/>
          </w:tcPr>
          <w:p w14:paraId="4F347D5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792E749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012CA92"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29</w:t>
            </w:r>
          </w:p>
        </w:tc>
        <w:tc>
          <w:tcPr>
            <w:tcW w:w="4578" w:type="dxa"/>
            <w:tcBorders>
              <w:top w:val="nil"/>
              <w:left w:val="single" w:sz="4" w:space="0" w:color="auto"/>
              <w:bottom w:val="single" w:sz="4" w:space="0" w:color="auto"/>
              <w:right w:val="single" w:sz="4" w:space="0" w:color="auto"/>
            </w:tcBorders>
            <w:noWrap/>
          </w:tcPr>
          <w:p w14:paraId="5BF213BC"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LA BOQUILLA</w:t>
            </w:r>
          </w:p>
        </w:tc>
        <w:tc>
          <w:tcPr>
            <w:tcW w:w="993" w:type="dxa"/>
            <w:tcBorders>
              <w:top w:val="nil"/>
              <w:left w:val="nil"/>
              <w:bottom w:val="single" w:sz="4" w:space="0" w:color="auto"/>
              <w:right w:val="single" w:sz="4" w:space="0" w:color="auto"/>
            </w:tcBorders>
            <w:noWrap/>
          </w:tcPr>
          <w:p w14:paraId="70EC052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14:paraId="298FDFE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2.224</w:t>
            </w:r>
          </w:p>
        </w:tc>
        <w:tc>
          <w:tcPr>
            <w:tcW w:w="1276" w:type="dxa"/>
            <w:tcBorders>
              <w:top w:val="nil"/>
              <w:left w:val="single" w:sz="4" w:space="0" w:color="auto"/>
              <w:bottom w:val="single" w:sz="4" w:space="0" w:color="auto"/>
              <w:right w:val="single" w:sz="4" w:space="0" w:color="auto"/>
            </w:tcBorders>
            <w:noWrap/>
          </w:tcPr>
          <w:p w14:paraId="0F8C5B5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2.248</w:t>
            </w:r>
          </w:p>
        </w:tc>
        <w:tc>
          <w:tcPr>
            <w:tcW w:w="992" w:type="dxa"/>
            <w:tcBorders>
              <w:top w:val="nil"/>
              <w:left w:val="nil"/>
              <w:bottom w:val="single" w:sz="4" w:space="0" w:color="auto"/>
              <w:right w:val="single" w:sz="4" w:space="0" w:color="auto"/>
            </w:tcBorders>
            <w:noWrap/>
          </w:tcPr>
          <w:p w14:paraId="1698A63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6DA6EF9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63C6795"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30</w:t>
            </w:r>
          </w:p>
        </w:tc>
        <w:tc>
          <w:tcPr>
            <w:tcW w:w="4578" w:type="dxa"/>
            <w:tcBorders>
              <w:top w:val="nil"/>
              <w:left w:val="single" w:sz="4" w:space="0" w:color="auto"/>
              <w:bottom w:val="single" w:sz="4" w:space="0" w:color="auto"/>
              <w:right w:val="single" w:sz="4" w:space="0" w:color="auto"/>
            </w:tcBorders>
            <w:noWrap/>
          </w:tcPr>
          <w:p w14:paraId="565E699D"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LETICIA</w:t>
            </w:r>
          </w:p>
        </w:tc>
        <w:tc>
          <w:tcPr>
            <w:tcW w:w="993" w:type="dxa"/>
            <w:tcBorders>
              <w:top w:val="nil"/>
              <w:left w:val="nil"/>
              <w:bottom w:val="single" w:sz="4" w:space="0" w:color="auto"/>
              <w:right w:val="single" w:sz="4" w:space="0" w:color="auto"/>
            </w:tcBorders>
            <w:noWrap/>
          </w:tcPr>
          <w:p w14:paraId="7F06857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383C54B2"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198</w:t>
            </w:r>
          </w:p>
        </w:tc>
        <w:tc>
          <w:tcPr>
            <w:tcW w:w="1276" w:type="dxa"/>
            <w:tcBorders>
              <w:top w:val="nil"/>
              <w:left w:val="single" w:sz="4" w:space="0" w:color="auto"/>
              <w:bottom w:val="single" w:sz="4" w:space="0" w:color="auto"/>
              <w:right w:val="single" w:sz="4" w:space="0" w:color="auto"/>
            </w:tcBorders>
            <w:noWrap/>
          </w:tcPr>
          <w:p w14:paraId="7D89F85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194</w:t>
            </w:r>
          </w:p>
        </w:tc>
        <w:tc>
          <w:tcPr>
            <w:tcW w:w="992" w:type="dxa"/>
            <w:tcBorders>
              <w:top w:val="nil"/>
              <w:left w:val="nil"/>
              <w:bottom w:val="single" w:sz="4" w:space="0" w:color="auto"/>
              <w:right w:val="single" w:sz="4" w:space="0" w:color="auto"/>
            </w:tcBorders>
            <w:noWrap/>
          </w:tcPr>
          <w:p w14:paraId="310A27D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2912486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843670D"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31</w:t>
            </w:r>
          </w:p>
        </w:tc>
        <w:tc>
          <w:tcPr>
            <w:tcW w:w="4578" w:type="dxa"/>
            <w:tcBorders>
              <w:top w:val="nil"/>
              <w:left w:val="single" w:sz="4" w:space="0" w:color="auto"/>
              <w:bottom w:val="single" w:sz="4" w:space="0" w:color="auto"/>
              <w:right w:val="single" w:sz="4" w:space="0" w:color="auto"/>
            </w:tcBorders>
            <w:noWrap/>
          </w:tcPr>
          <w:p w14:paraId="0CD531DF"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PONTEZUELA</w:t>
            </w:r>
          </w:p>
        </w:tc>
        <w:tc>
          <w:tcPr>
            <w:tcW w:w="993" w:type="dxa"/>
            <w:tcBorders>
              <w:top w:val="nil"/>
              <w:left w:val="nil"/>
              <w:bottom w:val="single" w:sz="4" w:space="0" w:color="auto"/>
              <w:right w:val="single" w:sz="4" w:space="0" w:color="auto"/>
            </w:tcBorders>
            <w:noWrap/>
          </w:tcPr>
          <w:p w14:paraId="69E6EAD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5ACB0D3F"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655</w:t>
            </w:r>
          </w:p>
        </w:tc>
        <w:tc>
          <w:tcPr>
            <w:tcW w:w="1276" w:type="dxa"/>
            <w:tcBorders>
              <w:top w:val="nil"/>
              <w:left w:val="single" w:sz="4" w:space="0" w:color="auto"/>
              <w:bottom w:val="single" w:sz="4" w:space="0" w:color="auto"/>
              <w:right w:val="single" w:sz="4" w:space="0" w:color="auto"/>
            </w:tcBorders>
            <w:noWrap/>
          </w:tcPr>
          <w:p w14:paraId="3AC8020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877</w:t>
            </w:r>
          </w:p>
        </w:tc>
        <w:tc>
          <w:tcPr>
            <w:tcW w:w="992" w:type="dxa"/>
            <w:tcBorders>
              <w:top w:val="nil"/>
              <w:left w:val="nil"/>
              <w:bottom w:val="single" w:sz="4" w:space="0" w:color="auto"/>
              <w:right w:val="single" w:sz="4" w:space="0" w:color="auto"/>
            </w:tcBorders>
            <w:noWrap/>
          </w:tcPr>
          <w:p w14:paraId="2601AB3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264A0B5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D716992"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32</w:t>
            </w:r>
          </w:p>
        </w:tc>
        <w:tc>
          <w:tcPr>
            <w:tcW w:w="4578" w:type="dxa"/>
            <w:tcBorders>
              <w:top w:val="nil"/>
              <w:left w:val="single" w:sz="4" w:space="0" w:color="auto"/>
              <w:bottom w:val="single" w:sz="4" w:space="0" w:color="auto"/>
              <w:right w:val="single" w:sz="4" w:space="0" w:color="auto"/>
            </w:tcBorders>
            <w:noWrap/>
          </w:tcPr>
          <w:p w14:paraId="42EBD610"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SANTA ANA</w:t>
            </w:r>
          </w:p>
        </w:tc>
        <w:tc>
          <w:tcPr>
            <w:tcW w:w="993" w:type="dxa"/>
            <w:tcBorders>
              <w:top w:val="nil"/>
              <w:left w:val="nil"/>
              <w:bottom w:val="single" w:sz="4" w:space="0" w:color="auto"/>
              <w:right w:val="single" w:sz="4" w:space="0" w:color="auto"/>
            </w:tcBorders>
            <w:noWrap/>
          </w:tcPr>
          <w:p w14:paraId="6C7FFD59"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052741D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1.053</w:t>
            </w:r>
          </w:p>
        </w:tc>
        <w:tc>
          <w:tcPr>
            <w:tcW w:w="1276" w:type="dxa"/>
            <w:tcBorders>
              <w:top w:val="nil"/>
              <w:left w:val="single" w:sz="4" w:space="0" w:color="auto"/>
              <w:bottom w:val="single" w:sz="4" w:space="0" w:color="auto"/>
              <w:right w:val="single" w:sz="4" w:space="0" w:color="auto"/>
            </w:tcBorders>
            <w:noWrap/>
          </w:tcPr>
          <w:p w14:paraId="4E16589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1.266</w:t>
            </w:r>
          </w:p>
        </w:tc>
        <w:tc>
          <w:tcPr>
            <w:tcW w:w="992" w:type="dxa"/>
            <w:tcBorders>
              <w:top w:val="nil"/>
              <w:left w:val="nil"/>
              <w:bottom w:val="single" w:sz="4" w:space="0" w:color="auto"/>
              <w:right w:val="single" w:sz="4" w:space="0" w:color="auto"/>
            </w:tcBorders>
            <w:noWrap/>
          </w:tcPr>
          <w:p w14:paraId="4A5126C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62EEB431"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1A20165"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33</w:t>
            </w:r>
          </w:p>
        </w:tc>
        <w:tc>
          <w:tcPr>
            <w:tcW w:w="4578" w:type="dxa"/>
            <w:tcBorders>
              <w:top w:val="nil"/>
              <w:left w:val="single" w:sz="4" w:space="0" w:color="auto"/>
              <w:bottom w:val="single" w:sz="4" w:space="0" w:color="auto"/>
              <w:right w:val="single" w:sz="4" w:space="0" w:color="auto"/>
            </w:tcBorders>
            <w:noWrap/>
          </w:tcPr>
          <w:p w14:paraId="3F1C2BAD"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TERNERA</w:t>
            </w:r>
          </w:p>
        </w:tc>
        <w:tc>
          <w:tcPr>
            <w:tcW w:w="993" w:type="dxa"/>
            <w:tcBorders>
              <w:top w:val="nil"/>
              <w:left w:val="nil"/>
              <w:bottom w:val="single" w:sz="4" w:space="0" w:color="auto"/>
              <w:right w:val="single" w:sz="4" w:space="0" w:color="auto"/>
            </w:tcBorders>
            <w:noWrap/>
          </w:tcPr>
          <w:p w14:paraId="36C4573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25532709"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1.214</w:t>
            </w:r>
          </w:p>
        </w:tc>
        <w:tc>
          <w:tcPr>
            <w:tcW w:w="1276" w:type="dxa"/>
            <w:tcBorders>
              <w:top w:val="nil"/>
              <w:left w:val="single" w:sz="4" w:space="0" w:color="auto"/>
              <w:bottom w:val="single" w:sz="4" w:space="0" w:color="auto"/>
              <w:right w:val="single" w:sz="4" w:space="0" w:color="auto"/>
            </w:tcBorders>
            <w:noWrap/>
          </w:tcPr>
          <w:p w14:paraId="020D4B6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1.151</w:t>
            </w:r>
          </w:p>
        </w:tc>
        <w:tc>
          <w:tcPr>
            <w:tcW w:w="992" w:type="dxa"/>
            <w:tcBorders>
              <w:top w:val="nil"/>
              <w:left w:val="nil"/>
              <w:bottom w:val="single" w:sz="4" w:space="0" w:color="auto"/>
              <w:right w:val="single" w:sz="4" w:space="0" w:color="auto"/>
            </w:tcBorders>
            <w:noWrap/>
          </w:tcPr>
          <w:p w14:paraId="53118A2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FF6A8E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7A83B675"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34</w:t>
            </w:r>
          </w:p>
        </w:tc>
        <w:tc>
          <w:tcPr>
            <w:tcW w:w="4578" w:type="dxa"/>
            <w:tcBorders>
              <w:top w:val="nil"/>
              <w:left w:val="single" w:sz="4" w:space="0" w:color="auto"/>
              <w:bottom w:val="single" w:sz="4" w:space="0" w:color="auto"/>
              <w:right w:val="single" w:sz="4" w:space="0" w:color="auto"/>
            </w:tcBorders>
            <w:noWrap/>
          </w:tcPr>
          <w:p w14:paraId="29FB8D9B"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DE TIERRA BOMBA</w:t>
            </w:r>
          </w:p>
        </w:tc>
        <w:tc>
          <w:tcPr>
            <w:tcW w:w="993" w:type="dxa"/>
            <w:tcBorders>
              <w:top w:val="nil"/>
              <w:left w:val="nil"/>
              <w:bottom w:val="single" w:sz="4" w:space="0" w:color="auto"/>
              <w:right w:val="single" w:sz="4" w:space="0" w:color="auto"/>
            </w:tcBorders>
            <w:noWrap/>
          </w:tcPr>
          <w:p w14:paraId="32744AC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3264809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1.005</w:t>
            </w:r>
          </w:p>
        </w:tc>
        <w:tc>
          <w:tcPr>
            <w:tcW w:w="1276" w:type="dxa"/>
            <w:tcBorders>
              <w:top w:val="nil"/>
              <w:left w:val="single" w:sz="4" w:space="0" w:color="auto"/>
              <w:bottom w:val="single" w:sz="4" w:space="0" w:color="auto"/>
              <w:right w:val="single" w:sz="4" w:space="0" w:color="auto"/>
            </w:tcBorders>
            <w:noWrap/>
          </w:tcPr>
          <w:p w14:paraId="54A6F13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1.108</w:t>
            </w:r>
          </w:p>
        </w:tc>
        <w:tc>
          <w:tcPr>
            <w:tcW w:w="992" w:type="dxa"/>
            <w:tcBorders>
              <w:top w:val="nil"/>
              <w:left w:val="nil"/>
              <w:bottom w:val="single" w:sz="4" w:space="0" w:color="auto"/>
              <w:right w:val="single" w:sz="4" w:space="0" w:color="auto"/>
            </w:tcBorders>
            <w:noWrap/>
          </w:tcPr>
          <w:p w14:paraId="238066D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53EB41B0"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4BAEC2F"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35</w:t>
            </w:r>
          </w:p>
        </w:tc>
        <w:tc>
          <w:tcPr>
            <w:tcW w:w="4578" w:type="dxa"/>
            <w:tcBorders>
              <w:top w:val="nil"/>
              <w:left w:val="single" w:sz="4" w:space="0" w:color="auto"/>
              <w:bottom w:val="single" w:sz="4" w:space="0" w:color="auto"/>
              <w:right w:val="single" w:sz="4" w:space="0" w:color="auto"/>
            </w:tcBorders>
            <w:noWrap/>
          </w:tcPr>
          <w:p w14:paraId="12036C04"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DOMINGO BENKOS BIOHO</w:t>
            </w:r>
          </w:p>
        </w:tc>
        <w:tc>
          <w:tcPr>
            <w:tcW w:w="993" w:type="dxa"/>
            <w:tcBorders>
              <w:top w:val="nil"/>
              <w:left w:val="nil"/>
              <w:bottom w:val="single" w:sz="4" w:space="0" w:color="auto"/>
              <w:right w:val="single" w:sz="4" w:space="0" w:color="auto"/>
            </w:tcBorders>
            <w:noWrap/>
          </w:tcPr>
          <w:p w14:paraId="28539DFC"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2AE09FC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1.242</w:t>
            </w:r>
          </w:p>
        </w:tc>
        <w:tc>
          <w:tcPr>
            <w:tcW w:w="1276" w:type="dxa"/>
            <w:tcBorders>
              <w:top w:val="nil"/>
              <w:left w:val="single" w:sz="4" w:space="0" w:color="auto"/>
              <w:bottom w:val="single" w:sz="4" w:space="0" w:color="auto"/>
              <w:right w:val="single" w:sz="4" w:space="0" w:color="auto"/>
            </w:tcBorders>
            <w:noWrap/>
          </w:tcPr>
          <w:p w14:paraId="065F010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1.294</w:t>
            </w:r>
          </w:p>
        </w:tc>
        <w:tc>
          <w:tcPr>
            <w:tcW w:w="992" w:type="dxa"/>
            <w:tcBorders>
              <w:top w:val="nil"/>
              <w:left w:val="nil"/>
              <w:bottom w:val="single" w:sz="4" w:space="0" w:color="auto"/>
              <w:right w:val="single" w:sz="4" w:space="0" w:color="auto"/>
            </w:tcBorders>
            <w:noWrap/>
          </w:tcPr>
          <w:p w14:paraId="05B6E13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3B62D7E5"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343F20E"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36</w:t>
            </w:r>
          </w:p>
        </w:tc>
        <w:tc>
          <w:tcPr>
            <w:tcW w:w="4578" w:type="dxa"/>
            <w:tcBorders>
              <w:top w:val="nil"/>
              <w:left w:val="single" w:sz="4" w:space="0" w:color="auto"/>
              <w:bottom w:val="single" w:sz="4" w:space="0" w:color="auto"/>
              <w:right w:val="single" w:sz="4" w:space="0" w:color="auto"/>
            </w:tcBorders>
            <w:noWrap/>
          </w:tcPr>
          <w:p w14:paraId="60A9B2E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EL SALVADOR</w:t>
            </w:r>
          </w:p>
        </w:tc>
        <w:tc>
          <w:tcPr>
            <w:tcW w:w="993" w:type="dxa"/>
            <w:tcBorders>
              <w:top w:val="nil"/>
              <w:left w:val="nil"/>
              <w:bottom w:val="single" w:sz="4" w:space="0" w:color="auto"/>
              <w:right w:val="single" w:sz="4" w:space="0" w:color="auto"/>
            </w:tcBorders>
            <w:noWrap/>
          </w:tcPr>
          <w:p w14:paraId="6940AA52"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10</w:t>
            </w:r>
          </w:p>
        </w:tc>
        <w:tc>
          <w:tcPr>
            <w:tcW w:w="1275" w:type="dxa"/>
            <w:tcBorders>
              <w:top w:val="nil"/>
              <w:left w:val="nil"/>
              <w:bottom w:val="single" w:sz="4" w:space="0" w:color="auto"/>
              <w:right w:val="single" w:sz="4" w:space="0" w:color="auto"/>
            </w:tcBorders>
            <w:vAlign w:val="center"/>
          </w:tcPr>
          <w:p w14:paraId="70D3064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5.402</w:t>
            </w:r>
          </w:p>
        </w:tc>
        <w:tc>
          <w:tcPr>
            <w:tcW w:w="1276" w:type="dxa"/>
            <w:tcBorders>
              <w:top w:val="nil"/>
              <w:left w:val="single" w:sz="4" w:space="0" w:color="auto"/>
              <w:bottom w:val="single" w:sz="4" w:space="0" w:color="auto"/>
              <w:right w:val="single" w:sz="4" w:space="0" w:color="auto"/>
            </w:tcBorders>
            <w:noWrap/>
          </w:tcPr>
          <w:p w14:paraId="6AA56AC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5.472</w:t>
            </w:r>
          </w:p>
        </w:tc>
        <w:tc>
          <w:tcPr>
            <w:tcW w:w="992" w:type="dxa"/>
            <w:tcBorders>
              <w:top w:val="nil"/>
              <w:left w:val="nil"/>
              <w:bottom w:val="single" w:sz="4" w:space="0" w:color="auto"/>
              <w:right w:val="single" w:sz="4" w:space="0" w:color="auto"/>
            </w:tcBorders>
            <w:noWrap/>
          </w:tcPr>
          <w:p w14:paraId="66FE0DC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92CFF59"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A012ECD"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37</w:t>
            </w:r>
          </w:p>
        </w:tc>
        <w:tc>
          <w:tcPr>
            <w:tcW w:w="4578" w:type="dxa"/>
            <w:tcBorders>
              <w:top w:val="nil"/>
              <w:left w:val="single" w:sz="4" w:space="0" w:color="auto"/>
              <w:bottom w:val="single" w:sz="4" w:space="0" w:color="auto"/>
              <w:right w:val="single" w:sz="4" w:space="0" w:color="auto"/>
            </w:tcBorders>
            <w:noWrap/>
          </w:tcPr>
          <w:p w14:paraId="7A6D5AAA"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FE Y ALEGRÍA EL PROGRESO</w:t>
            </w:r>
          </w:p>
        </w:tc>
        <w:tc>
          <w:tcPr>
            <w:tcW w:w="993" w:type="dxa"/>
            <w:tcBorders>
              <w:top w:val="nil"/>
              <w:left w:val="nil"/>
              <w:bottom w:val="single" w:sz="4" w:space="0" w:color="auto"/>
              <w:right w:val="single" w:sz="4" w:space="0" w:color="auto"/>
            </w:tcBorders>
            <w:noWrap/>
          </w:tcPr>
          <w:p w14:paraId="503C370D"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vAlign w:val="center"/>
          </w:tcPr>
          <w:p w14:paraId="3118BAFA"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1.618</w:t>
            </w:r>
          </w:p>
        </w:tc>
        <w:tc>
          <w:tcPr>
            <w:tcW w:w="1276" w:type="dxa"/>
            <w:tcBorders>
              <w:top w:val="nil"/>
              <w:left w:val="single" w:sz="4" w:space="0" w:color="auto"/>
              <w:bottom w:val="single" w:sz="4" w:space="0" w:color="auto"/>
              <w:right w:val="single" w:sz="4" w:space="0" w:color="auto"/>
            </w:tcBorders>
            <w:noWrap/>
          </w:tcPr>
          <w:p w14:paraId="1CC9C6B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1.794</w:t>
            </w:r>
          </w:p>
        </w:tc>
        <w:tc>
          <w:tcPr>
            <w:tcW w:w="992" w:type="dxa"/>
            <w:tcBorders>
              <w:top w:val="nil"/>
              <w:left w:val="nil"/>
              <w:bottom w:val="single" w:sz="4" w:space="0" w:color="auto"/>
              <w:right w:val="single" w:sz="4" w:space="0" w:color="auto"/>
            </w:tcBorders>
            <w:noWrap/>
          </w:tcPr>
          <w:p w14:paraId="03D90F4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9086BD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E4CD546" w14:textId="77777777" w:rsidR="00C2076A" w:rsidRPr="006021DA" w:rsidRDefault="00C2076A"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38</w:t>
            </w:r>
          </w:p>
        </w:tc>
        <w:tc>
          <w:tcPr>
            <w:tcW w:w="4578" w:type="dxa"/>
            <w:tcBorders>
              <w:top w:val="nil"/>
              <w:left w:val="single" w:sz="4" w:space="0" w:color="auto"/>
              <w:bottom w:val="single" w:sz="4" w:space="0" w:color="auto"/>
              <w:right w:val="single" w:sz="4" w:space="0" w:color="auto"/>
            </w:tcBorders>
            <w:noWrap/>
          </w:tcPr>
          <w:p w14:paraId="349E8D09"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FE Y ALEGRÍA LAS AMÉRICAS</w:t>
            </w:r>
          </w:p>
        </w:tc>
        <w:tc>
          <w:tcPr>
            <w:tcW w:w="993" w:type="dxa"/>
            <w:tcBorders>
              <w:top w:val="nil"/>
              <w:left w:val="nil"/>
              <w:bottom w:val="single" w:sz="4" w:space="0" w:color="auto"/>
              <w:right w:val="single" w:sz="4" w:space="0" w:color="auto"/>
            </w:tcBorders>
            <w:noWrap/>
          </w:tcPr>
          <w:p w14:paraId="41956B5C"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1C448124"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1.945</w:t>
            </w:r>
          </w:p>
        </w:tc>
        <w:tc>
          <w:tcPr>
            <w:tcW w:w="1276" w:type="dxa"/>
            <w:tcBorders>
              <w:top w:val="nil"/>
              <w:left w:val="single" w:sz="4" w:space="0" w:color="auto"/>
              <w:bottom w:val="single" w:sz="4" w:space="0" w:color="auto"/>
              <w:right w:val="single" w:sz="4" w:space="0" w:color="auto"/>
            </w:tcBorders>
            <w:noWrap/>
          </w:tcPr>
          <w:p w14:paraId="0B1AF7F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2.113</w:t>
            </w:r>
          </w:p>
        </w:tc>
        <w:tc>
          <w:tcPr>
            <w:tcW w:w="992" w:type="dxa"/>
            <w:tcBorders>
              <w:top w:val="nil"/>
              <w:left w:val="nil"/>
              <w:bottom w:val="single" w:sz="4" w:space="0" w:color="auto"/>
              <w:right w:val="single" w:sz="4" w:space="0" w:color="auto"/>
            </w:tcBorders>
            <w:noWrap/>
          </w:tcPr>
          <w:p w14:paraId="24A7161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B6E841D"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31EFDDD"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39</w:t>
            </w:r>
          </w:p>
        </w:tc>
        <w:tc>
          <w:tcPr>
            <w:tcW w:w="4578" w:type="dxa"/>
            <w:tcBorders>
              <w:top w:val="nil"/>
              <w:left w:val="single" w:sz="4" w:space="0" w:color="auto"/>
              <w:bottom w:val="single" w:sz="4" w:space="0" w:color="auto"/>
              <w:right w:val="single" w:sz="4" w:space="0" w:color="auto"/>
            </w:tcBorders>
            <w:noWrap/>
          </w:tcPr>
          <w:p w14:paraId="26FDD570"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FERNANDO DE LA VEGA</w:t>
            </w:r>
          </w:p>
        </w:tc>
        <w:tc>
          <w:tcPr>
            <w:tcW w:w="993" w:type="dxa"/>
            <w:tcBorders>
              <w:top w:val="nil"/>
              <w:left w:val="nil"/>
              <w:bottom w:val="single" w:sz="4" w:space="0" w:color="auto"/>
              <w:right w:val="single" w:sz="4" w:space="0" w:color="auto"/>
            </w:tcBorders>
            <w:noWrap/>
          </w:tcPr>
          <w:p w14:paraId="72F1EE78"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4656680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636</w:t>
            </w:r>
          </w:p>
        </w:tc>
        <w:tc>
          <w:tcPr>
            <w:tcW w:w="1276" w:type="dxa"/>
            <w:tcBorders>
              <w:top w:val="nil"/>
              <w:left w:val="single" w:sz="4" w:space="0" w:color="auto"/>
              <w:bottom w:val="single" w:sz="4" w:space="0" w:color="auto"/>
              <w:right w:val="single" w:sz="4" w:space="0" w:color="auto"/>
            </w:tcBorders>
            <w:noWrap/>
          </w:tcPr>
          <w:p w14:paraId="7BE2C1AA"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585</w:t>
            </w:r>
          </w:p>
        </w:tc>
        <w:tc>
          <w:tcPr>
            <w:tcW w:w="992" w:type="dxa"/>
            <w:tcBorders>
              <w:top w:val="nil"/>
              <w:left w:val="nil"/>
              <w:bottom w:val="single" w:sz="4" w:space="0" w:color="auto"/>
              <w:right w:val="single" w:sz="4" w:space="0" w:color="auto"/>
            </w:tcBorders>
            <w:noWrap/>
          </w:tcPr>
          <w:p w14:paraId="452C9C2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505352F"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9CF3C7B"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w:t>
            </w:r>
          </w:p>
        </w:tc>
        <w:tc>
          <w:tcPr>
            <w:tcW w:w="4578" w:type="dxa"/>
            <w:tcBorders>
              <w:top w:val="nil"/>
              <w:left w:val="single" w:sz="4" w:space="0" w:color="auto"/>
              <w:bottom w:val="single" w:sz="4" w:space="0" w:color="auto"/>
              <w:right w:val="single" w:sz="4" w:space="0" w:color="auto"/>
            </w:tcBorders>
            <w:noWrap/>
          </w:tcPr>
          <w:p w14:paraId="5E4FFC65"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FOCO ROJO</w:t>
            </w:r>
          </w:p>
        </w:tc>
        <w:tc>
          <w:tcPr>
            <w:tcW w:w="993" w:type="dxa"/>
            <w:tcBorders>
              <w:top w:val="nil"/>
              <w:left w:val="nil"/>
              <w:bottom w:val="single" w:sz="4" w:space="0" w:color="auto"/>
              <w:right w:val="single" w:sz="4" w:space="0" w:color="auto"/>
            </w:tcBorders>
            <w:noWrap/>
          </w:tcPr>
          <w:p w14:paraId="3D9293F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3B44674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1.443</w:t>
            </w:r>
          </w:p>
        </w:tc>
        <w:tc>
          <w:tcPr>
            <w:tcW w:w="1276" w:type="dxa"/>
            <w:tcBorders>
              <w:top w:val="nil"/>
              <w:left w:val="single" w:sz="4" w:space="0" w:color="auto"/>
              <w:bottom w:val="single" w:sz="4" w:space="0" w:color="auto"/>
              <w:right w:val="single" w:sz="4" w:space="0" w:color="auto"/>
            </w:tcBorders>
            <w:noWrap/>
          </w:tcPr>
          <w:p w14:paraId="4A3B70E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1.500</w:t>
            </w:r>
          </w:p>
        </w:tc>
        <w:tc>
          <w:tcPr>
            <w:tcW w:w="992" w:type="dxa"/>
            <w:tcBorders>
              <w:top w:val="nil"/>
              <w:left w:val="nil"/>
              <w:bottom w:val="single" w:sz="4" w:space="0" w:color="auto"/>
              <w:right w:val="single" w:sz="4" w:space="0" w:color="auto"/>
            </w:tcBorders>
            <w:noWrap/>
          </w:tcPr>
          <w:p w14:paraId="6568154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C3E008D"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3D63799"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41</w:t>
            </w:r>
          </w:p>
        </w:tc>
        <w:tc>
          <w:tcPr>
            <w:tcW w:w="4578" w:type="dxa"/>
            <w:tcBorders>
              <w:top w:val="nil"/>
              <w:left w:val="single" w:sz="4" w:space="0" w:color="auto"/>
              <w:bottom w:val="single" w:sz="4" w:space="0" w:color="auto"/>
              <w:right w:val="single" w:sz="4" w:space="0" w:color="auto"/>
            </w:tcBorders>
            <w:noWrap/>
          </w:tcPr>
          <w:p w14:paraId="1C1FB529"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FRANCISCO DE PAULA SANTANDER</w:t>
            </w:r>
          </w:p>
        </w:tc>
        <w:tc>
          <w:tcPr>
            <w:tcW w:w="993" w:type="dxa"/>
            <w:tcBorders>
              <w:top w:val="nil"/>
              <w:left w:val="nil"/>
              <w:bottom w:val="single" w:sz="4" w:space="0" w:color="auto"/>
              <w:right w:val="single" w:sz="4" w:space="0" w:color="auto"/>
            </w:tcBorders>
            <w:noWrap/>
          </w:tcPr>
          <w:p w14:paraId="0775B1CD"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4932B90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854</w:t>
            </w:r>
          </w:p>
        </w:tc>
        <w:tc>
          <w:tcPr>
            <w:tcW w:w="1276" w:type="dxa"/>
            <w:tcBorders>
              <w:top w:val="nil"/>
              <w:left w:val="single" w:sz="4" w:space="0" w:color="auto"/>
              <w:bottom w:val="single" w:sz="4" w:space="0" w:color="auto"/>
              <w:right w:val="single" w:sz="4" w:space="0" w:color="auto"/>
            </w:tcBorders>
            <w:noWrap/>
          </w:tcPr>
          <w:p w14:paraId="39F0F3D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1.069</w:t>
            </w:r>
          </w:p>
        </w:tc>
        <w:tc>
          <w:tcPr>
            <w:tcW w:w="992" w:type="dxa"/>
            <w:tcBorders>
              <w:top w:val="nil"/>
              <w:left w:val="nil"/>
              <w:bottom w:val="single" w:sz="4" w:space="0" w:color="auto"/>
              <w:right w:val="single" w:sz="4" w:space="0" w:color="auto"/>
            </w:tcBorders>
            <w:noWrap/>
          </w:tcPr>
          <w:p w14:paraId="6BC6948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2F8FE8A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1A7E988"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42</w:t>
            </w:r>
          </w:p>
        </w:tc>
        <w:tc>
          <w:tcPr>
            <w:tcW w:w="4578" w:type="dxa"/>
            <w:tcBorders>
              <w:top w:val="nil"/>
              <w:left w:val="single" w:sz="4" w:space="0" w:color="auto"/>
              <w:bottom w:val="single" w:sz="4" w:space="0" w:color="auto"/>
              <w:right w:val="single" w:sz="4" w:space="0" w:color="auto"/>
            </w:tcBorders>
            <w:noWrap/>
          </w:tcPr>
          <w:p w14:paraId="11B6C4C0"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FULGENCIO LEQUERICA VÉLEZ</w:t>
            </w:r>
          </w:p>
        </w:tc>
        <w:tc>
          <w:tcPr>
            <w:tcW w:w="993" w:type="dxa"/>
            <w:tcBorders>
              <w:top w:val="nil"/>
              <w:left w:val="nil"/>
              <w:bottom w:val="single" w:sz="4" w:space="0" w:color="auto"/>
              <w:right w:val="single" w:sz="4" w:space="0" w:color="auto"/>
            </w:tcBorders>
            <w:noWrap/>
          </w:tcPr>
          <w:p w14:paraId="2BA6B206"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vAlign w:val="center"/>
          </w:tcPr>
          <w:p w14:paraId="35085377"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2.005</w:t>
            </w:r>
          </w:p>
        </w:tc>
        <w:tc>
          <w:tcPr>
            <w:tcW w:w="1276" w:type="dxa"/>
            <w:tcBorders>
              <w:top w:val="nil"/>
              <w:left w:val="single" w:sz="4" w:space="0" w:color="auto"/>
              <w:bottom w:val="single" w:sz="4" w:space="0" w:color="auto"/>
              <w:right w:val="single" w:sz="4" w:space="0" w:color="auto"/>
            </w:tcBorders>
            <w:noWrap/>
          </w:tcPr>
          <w:p w14:paraId="1B76DA6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1.941</w:t>
            </w:r>
          </w:p>
        </w:tc>
        <w:tc>
          <w:tcPr>
            <w:tcW w:w="992" w:type="dxa"/>
            <w:tcBorders>
              <w:top w:val="nil"/>
              <w:left w:val="nil"/>
              <w:bottom w:val="single" w:sz="4" w:space="0" w:color="auto"/>
              <w:right w:val="single" w:sz="4" w:space="0" w:color="auto"/>
            </w:tcBorders>
            <w:noWrap/>
          </w:tcPr>
          <w:p w14:paraId="39A5FAB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851DF0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EDDA5B6"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43</w:t>
            </w:r>
          </w:p>
        </w:tc>
        <w:tc>
          <w:tcPr>
            <w:tcW w:w="4578" w:type="dxa"/>
            <w:tcBorders>
              <w:top w:val="nil"/>
              <w:left w:val="single" w:sz="4" w:space="0" w:color="auto"/>
              <w:bottom w:val="single" w:sz="4" w:space="0" w:color="auto"/>
              <w:right w:val="single" w:sz="4" w:space="0" w:color="auto"/>
            </w:tcBorders>
            <w:noWrap/>
          </w:tcPr>
          <w:p w14:paraId="582B1CCB"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FUNDACIÓN PIES DESCALZOS</w:t>
            </w:r>
          </w:p>
        </w:tc>
        <w:tc>
          <w:tcPr>
            <w:tcW w:w="993" w:type="dxa"/>
            <w:tcBorders>
              <w:top w:val="nil"/>
              <w:left w:val="nil"/>
              <w:bottom w:val="single" w:sz="4" w:space="0" w:color="auto"/>
              <w:right w:val="single" w:sz="4" w:space="0" w:color="auto"/>
            </w:tcBorders>
            <w:noWrap/>
          </w:tcPr>
          <w:p w14:paraId="08FC843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5A6A18F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1.014</w:t>
            </w:r>
          </w:p>
        </w:tc>
        <w:tc>
          <w:tcPr>
            <w:tcW w:w="1276" w:type="dxa"/>
            <w:tcBorders>
              <w:top w:val="nil"/>
              <w:left w:val="single" w:sz="4" w:space="0" w:color="auto"/>
              <w:bottom w:val="single" w:sz="4" w:space="0" w:color="auto"/>
              <w:right w:val="single" w:sz="4" w:space="0" w:color="auto"/>
            </w:tcBorders>
            <w:noWrap/>
          </w:tcPr>
          <w:p w14:paraId="334C786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1.034</w:t>
            </w:r>
          </w:p>
        </w:tc>
        <w:tc>
          <w:tcPr>
            <w:tcW w:w="992" w:type="dxa"/>
            <w:tcBorders>
              <w:top w:val="nil"/>
              <w:left w:val="nil"/>
              <w:bottom w:val="single" w:sz="4" w:space="0" w:color="auto"/>
              <w:right w:val="single" w:sz="4" w:space="0" w:color="auto"/>
            </w:tcBorders>
            <w:noWrap/>
          </w:tcPr>
          <w:p w14:paraId="17B4A60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666A83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7E65893"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44</w:t>
            </w:r>
          </w:p>
        </w:tc>
        <w:tc>
          <w:tcPr>
            <w:tcW w:w="4578" w:type="dxa"/>
            <w:tcBorders>
              <w:top w:val="nil"/>
              <w:left w:val="single" w:sz="4" w:space="0" w:color="auto"/>
              <w:bottom w:val="single" w:sz="4" w:space="0" w:color="auto"/>
              <w:right w:val="single" w:sz="4" w:space="0" w:color="auto"/>
            </w:tcBorders>
            <w:noWrap/>
          </w:tcPr>
          <w:p w14:paraId="6AE0E65A"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GABRIEL GARCÍA MÁRQUEZ</w:t>
            </w:r>
          </w:p>
        </w:tc>
        <w:tc>
          <w:tcPr>
            <w:tcW w:w="993" w:type="dxa"/>
            <w:tcBorders>
              <w:top w:val="nil"/>
              <w:left w:val="nil"/>
              <w:bottom w:val="single" w:sz="4" w:space="0" w:color="auto"/>
              <w:right w:val="single" w:sz="4" w:space="0" w:color="auto"/>
            </w:tcBorders>
            <w:noWrap/>
          </w:tcPr>
          <w:p w14:paraId="50F1FA9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6E26477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1.453</w:t>
            </w:r>
          </w:p>
        </w:tc>
        <w:tc>
          <w:tcPr>
            <w:tcW w:w="1276" w:type="dxa"/>
            <w:tcBorders>
              <w:top w:val="nil"/>
              <w:left w:val="single" w:sz="4" w:space="0" w:color="auto"/>
              <w:bottom w:val="single" w:sz="4" w:space="0" w:color="auto"/>
              <w:right w:val="single" w:sz="4" w:space="0" w:color="auto"/>
            </w:tcBorders>
            <w:noWrap/>
          </w:tcPr>
          <w:p w14:paraId="4D919D2A"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1.469</w:t>
            </w:r>
          </w:p>
        </w:tc>
        <w:tc>
          <w:tcPr>
            <w:tcW w:w="992" w:type="dxa"/>
            <w:tcBorders>
              <w:top w:val="nil"/>
              <w:left w:val="nil"/>
              <w:bottom w:val="single" w:sz="4" w:space="0" w:color="auto"/>
              <w:right w:val="single" w:sz="4" w:space="0" w:color="auto"/>
            </w:tcBorders>
            <w:noWrap/>
          </w:tcPr>
          <w:p w14:paraId="66473FC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308B26F"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B50D1B3"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45</w:t>
            </w:r>
          </w:p>
        </w:tc>
        <w:tc>
          <w:tcPr>
            <w:tcW w:w="4578" w:type="dxa"/>
            <w:tcBorders>
              <w:top w:val="nil"/>
              <w:left w:val="single" w:sz="4" w:space="0" w:color="auto"/>
              <w:bottom w:val="single" w:sz="4" w:space="0" w:color="auto"/>
              <w:right w:val="single" w:sz="4" w:space="0" w:color="auto"/>
            </w:tcBorders>
            <w:noWrap/>
          </w:tcPr>
          <w:p w14:paraId="268999F1"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HERMANO ANTONIO RAMOS DE LA SALLE</w:t>
            </w:r>
          </w:p>
        </w:tc>
        <w:tc>
          <w:tcPr>
            <w:tcW w:w="993" w:type="dxa"/>
            <w:tcBorders>
              <w:top w:val="nil"/>
              <w:left w:val="nil"/>
              <w:bottom w:val="single" w:sz="4" w:space="0" w:color="auto"/>
              <w:right w:val="single" w:sz="4" w:space="0" w:color="auto"/>
            </w:tcBorders>
            <w:noWrap/>
          </w:tcPr>
          <w:p w14:paraId="07E38B32"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3F5FAC12"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942</w:t>
            </w:r>
          </w:p>
        </w:tc>
        <w:tc>
          <w:tcPr>
            <w:tcW w:w="1276" w:type="dxa"/>
            <w:tcBorders>
              <w:top w:val="nil"/>
              <w:left w:val="single" w:sz="4" w:space="0" w:color="auto"/>
              <w:bottom w:val="single" w:sz="4" w:space="0" w:color="auto"/>
              <w:right w:val="single" w:sz="4" w:space="0" w:color="auto"/>
            </w:tcBorders>
            <w:noWrap/>
          </w:tcPr>
          <w:p w14:paraId="5458FD2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942</w:t>
            </w:r>
          </w:p>
        </w:tc>
        <w:tc>
          <w:tcPr>
            <w:tcW w:w="992" w:type="dxa"/>
            <w:tcBorders>
              <w:top w:val="nil"/>
              <w:left w:val="nil"/>
              <w:bottom w:val="single" w:sz="4" w:space="0" w:color="auto"/>
              <w:right w:val="single" w:sz="4" w:space="0" w:color="auto"/>
            </w:tcBorders>
            <w:noWrap/>
          </w:tcPr>
          <w:p w14:paraId="74F4164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70C6F4E1"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FB22F28"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46</w:t>
            </w:r>
          </w:p>
        </w:tc>
        <w:tc>
          <w:tcPr>
            <w:tcW w:w="4578" w:type="dxa"/>
            <w:tcBorders>
              <w:top w:val="nil"/>
              <w:left w:val="single" w:sz="4" w:space="0" w:color="auto"/>
              <w:bottom w:val="single" w:sz="4" w:space="0" w:color="auto"/>
              <w:right w:val="single" w:sz="4" w:space="0" w:color="auto"/>
            </w:tcBorders>
            <w:noWrap/>
          </w:tcPr>
          <w:p w14:paraId="41C7DB69"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HIJOS DE MARÍA</w:t>
            </w:r>
          </w:p>
        </w:tc>
        <w:tc>
          <w:tcPr>
            <w:tcW w:w="993" w:type="dxa"/>
            <w:tcBorders>
              <w:top w:val="nil"/>
              <w:left w:val="nil"/>
              <w:bottom w:val="single" w:sz="4" w:space="0" w:color="auto"/>
              <w:right w:val="single" w:sz="4" w:space="0" w:color="auto"/>
            </w:tcBorders>
            <w:noWrap/>
          </w:tcPr>
          <w:p w14:paraId="2B3928B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14:paraId="4ADC62C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1.694</w:t>
            </w:r>
          </w:p>
        </w:tc>
        <w:tc>
          <w:tcPr>
            <w:tcW w:w="1276" w:type="dxa"/>
            <w:tcBorders>
              <w:top w:val="nil"/>
              <w:left w:val="single" w:sz="4" w:space="0" w:color="auto"/>
              <w:bottom w:val="single" w:sz="4" w:space="0" w:color="auto"/>
              <w:right w:val="single" w:sz="4" w:space="0" w:color="auto"/>
            </w:tcBorders>
            <w:noWrap/>
          </w:tcPr>
          <w:p w14:paraId="03C5514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1.892</w:t>
            </w:r>
          </w:p>
        </w:tc>
        <w:tc>
          <w:tcPr>
            <w:tcW w:w="992" w:type="dxa"/>
            <w:tcBorders>
              <w:top w:val="nil"/>
              <w:left w:val="nil"/>
              <w:bottom w:val="single" w:sz="4" w:space="0" w:color="auto"/>
              <w:right w:val="single" w:sz="4" w:space="0" w:color="auto"/>
            </w:tcBorders>
            <w:noWrap/>
          </w:tcPr>
          <w:p w14:paraId="43CB7EA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2CAA81A3"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BAD53A0"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47</w:t>
            </w:r>
          </w:p>
        </w:tc>
        <w:tc>
          <w:tcPr>
            <w:tcW w:w="4578" w:type="dxa"/>
            <w:tcBorders>
              <w:top w:val="nil"/>
              <w:left w:val="single" w:sz="4" w:space="0" w:color="auto"/>
              <w:bottom w:val="single" w:sz="4" w:space="0" w:color="auto"/>
              <w:right w:val="single" w:sz="4" w:space="0" w:color="auto"/>
            </w:tcBorders>
            <w:noWrap/>
          </w:tcPr>
          <w:p w14:paraId="636DEC9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ISLAS DEL ROSARIO</w:t>
            </w:r>
          </w:p>
        </w:tc>
        <w:tc>
          <w:tcPr>
            <w:tcW w:w="993" w:type="dxa"/>
            <w:tcBorders>
              <w:top w:val="nil"/>
              <w:left w:val="nil"/>
              <w:bottom w:val="single" w:sz="4" w:space="0" w:color="auto"/>
              <w:right w:val="single" w:sz="4" w:space="0" w:color="auto"/>
            </w:tcBorders>
            <w:noWrap/>
          </w:tcPr>
          <w:p w14:paraId="0B19C03D"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75F088C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227</w:t>
            </w:r>
          </w:p>
        </w:tc>
        <w:tc>
          <w:tcPr>
            <w:tcW w:w="1276" w:type="dxa"/>
            <w:tcBorders>
              <w:top w:val="nil"/>
              <w:left w:val="single" w:sz="4" w:space="0" w:color="auto"/>
              <w:bottom w:val="single" w:sz="4" w:space="0" w:color="auto"/>
              <w:right w:val="single" w:sz="4" w:space="0" w:color="auto"/>
            </w:tcBorders>
            <w:noWrap/>
          </w:tcPr>
          <w:p w14:paraId="27BCF37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236</w:t>
            </w:r>
          </w:p>
        </w:tc>
        <w:tc>
          <w:tcPr>
            <w:tcW w:w="992" w:type="dxa"/>
            <w:tcBorders>
              <w:top w:val="nil"/>
              <w:left w:val="nil"/>
              <w:bottom w:val="single" w:sz="4" w:space="0" w:color="auto"/>
              <w:right w:val="single" w:sz="4" w:space="0" w:color="auto"/>
            </w:tcBorders>
            <w:noWrap/>
          </w:tcPr>
          <w:p w14:paraId="16D60C8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58525E7A"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43C1CB7"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48</w:t>
            </w:r>
          </w:p>
        </w:tc>
        <w:tc>
          <w:tcPr>
            <w:tcW w:w="4578" w:type="dxa"/>
            <w:tcBorders>
              <w:top w:val="nil"/>
              <w:left w:val="single" w:sz="4" w:space="0" w:color="auto"/>
              <w:bottom w:val="single" w:sz="4" w:space="0" w:color="auto"/>
              <w:right w:val="single" w:sz="4" w:space="0" w:color="auto"/>
            </w:tcBorders>
            <w:noWrap/>
          </w:tcPr>
          <w:p w14:paraId="31264B6F"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JOHN F KENNEDY</w:t>
            </w:r>
          </w:p>
        </w:tc>
        <w:tc>
          <w:tcPr>
            <w:tcW w:w="993" w:type="dxa"/>
            <w:tcBorders>
              <w:top w:val="nil"/>
              <w:left w:val="nil"/>
              <w:bottom w:val="single" w:sz="4" w:space="0" w:color="auto"/>
              <w:right w:val="single" w:sz="4" w:space="0" w:color="auto"/>
            </w:tcBorders>
            <w:noWrap/>
          </w:tcPr>
          <w:p w14:paraId="2528A895"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23D82C0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1.598</w:t>
            </w:r>
          </w:p>
        </w:tc>
        <w:tc>
          <w:tcPr>
            <w:tcW w:w="1276" w:type="dxa"/>
            <w:tcBorders>
              <w:top w:val="nil"/>
              <w:left w:val="single" w:sz="4" w:space="0" w:color="auto"/>
              <w:bottom w:val="single" w:sz="4" w:space="0" w:color="auto"/>
              <w:right w:val="single" w:sz="4" w:space="0" w:color="auto"/>
            </w:tcBorders>
            <w:noWrap/>
          </w:tcPr>
          <w:p w14:paraId="371CEDF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1.890</w:t>
            </w:r>
          </w:p>
        </w:tc>
        <w:tc>
          <w:tcPr>
            <w:tcW w:w="992" w:type="dxa"/>
            <w:tcBorders>
              <w:top w:val="nil"/>
              <w:left w:val="nil"/>
              <w:bottom w:val="single" w:sz="4" w:space="0" w:color="auto"/>
              <w:right w:val="single" w:sz="4" w:space="0" w:color="auto"/>
            </w:tcBorders>
            <w:noWrap/>
          </w:tcPr>
          <w:p w14:paraId="6BE2012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2601DA90"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6AFF422A"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49</w:t>
            </w:r>
          </w:p>
        </w:tc>
        <w:tc>
          <w:tcPr>
            <w:tcW w:w="4578" w:type="dxa"/>
            <w:tcBorders>
              <w:top w:val="nil"/>
              <w:left w:val="single" w:sz="4" w:space="0" w:color="auto"/>
              <w:bottom w:val="single" w:sz="4" w:space="0" w:color="auto"/>
              <w:right w:val="single" w:sz="4" w:space="0" w:color="auto"/>
            </w:tcBorders>
            <w:noWrap/>
          </w:tcPr>
          <w:p w14:paraId="5D9A28E9"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JORGE ARTEL</w:t>
            </w:r>
          </w:p>
        </w:tc>
        <w:tc>
          <w:tcPr>
            <w:tcW w:w="993" w:type="dxa"/>
            <w:tcBorders>
              <w:top w:val="nil"/>
              <w:left w:val="nil"/>
              <w:bottom w:val="single" w:sz="4" w:space="0" w:color="auto"/>
              <w:right w:val="single" w:sz="4" w:space="0" w:color="auto"/>
            </w:tcBorders>
            <w:noWrap/>
          </w:tcPr>
          <w:p w14:paraId="7E2062F5"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3B815BE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1.468</w:t>
            </w:r>
          </w:p>
        </w:tc>
        <w:tc>
          <w:tcPr>
            <w:tcW w:w="1276" w:type="dxa"/>
            <w:tcBorders>
              <w:top w:val="nil"/>
              <w:left w:val="single" w:sz="4" w:space="0" w:color="auto"/>
              <w:bottom w:val="single" w:sz="4" w:space="0" w:color="auto"/>
              <w:right w:val="single" w:sz="4" w:space="0" w:color="auto"/>
            </w:tcBorders>
            <w:noWrap/>
          </w:tcPr>
          <w:p w14:paraId="6CB03D9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1.533</w:t>
            </w:r>
          </w:p>
        </w:tc>
        <w:tc>
          <w:tcPr>
            <w:tcW w:w="992" w:type="dxa"/>
            <w:tcBorders>
              <w:top w:val="nil"/>
              <w:left w:val="nil"/>
              <w:bottom w:val="single" w:sz="4" w:space="0" w:color="auto"/>
              <w:right w:val="single" w:sz="4" w:space="0" w:color="auto"/>
            </w:tcBorders>
            <w:noWrap/>
          </w:tcPr>
          <w:p w14:paraId="4037569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2C09340"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02A9BE2"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w:t>
            </w:r>
          </w:p>
        </w:tc>
        <w:tc>
          <w:tcPr>
            <w:tcW w:w="4578" w:type="dxa"/>
            <w:tcBorders>
              <w:top w:val="nil"/>
              <w:left w:val="single" w:sz="4" w:space="0" w:color="auto"/>
              <w:bottom w:val="single" w:sz="4" w:space="0" w:color="auto"/>
              <w:right w:val="single" w:sz="4" w:space="0" w:color="auto"/>
            </w:tcBorders>
            <w:noWrap/>
          </w:tcPr>
          <w:p w14:paraId="6DAAF135"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JORGE GARCÍA USTA</w:t>
            </w:r>
          </w:p>
        </w:tc>
        <w:tc>
          <w:tcPr>
            <w:tcW w:w="993" w:type="dxa"/>
            <w:tcBorders>
              <w:top w:val="nil"/>
              <w:left w:val="nil"/>
              <w:bottom w:val="single" w:sz="4" w:space="0" w:color="auto"/>
              <w:right w:val="single" w:sz="4" w:space="0" w:color="auto"/>
            </w:tcBorders>
            <w:noWrap/>
          </w:tcPr>
          <w:p w14:paraId="51F482B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2C47F8C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1.445</w:t>
            </w:r>
          </w:p>
        </w:tc>
        <w:tc>
          <w:tcPr>
            <w:tcW w:w="1276" w:type="dxa"/>
            <w:tcBorders>
              <w:top w:val="nil"/>
              <w:left w:val="single" w:sz="4" w:space="0" w:color="auto"/>
              <w:bottom w:val="single" w:sz="4" w:space="0" w:color="auto"/>
              <w:right w:val="single" w:sz="4" w:space="0" w:color="auto"/>
            </w:tcBorders>
            <w:noWrap/>
          </w:tcPr>
          <w:p w14:paraId="6020CB8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1.428</w:t>
            </w:r>
          </w:p>
        </w:tc>
        <w:tc>
          <w:tcPr>
            <w:tcW w:w="992" w:type="dxa"/>
            <w:tcBorders>
              <w:top w:val="nil"/>
              <w:left w:val="nil"/>
              <w:bottom w:val="single" w:sz="4" w:space="0" w:color="auto"/>
              <w:right w:val="single" w:sz="4" w:space="0" w:color="auto"/>
            </w:tcBorders>
            <w:noWrap/>
          </w:tcPr>
          <w:p w14:paraId="652BF77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DFBD45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0DDD8FE"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51</w:t>
            </w:r>
          </w:p>
        </w:tc>
        <w:tc>
          <w:tcPr>
            <w:tcW w:w="4578" w:type="dxa"/>
            <w:tcBorders>
              <w:top w:val="nil"/>
              <w:left w:val="single" w:sz="4" w:space="0" w:color="auto"/>
              <w:bottom w:val="single" w:sz="4" w:space="0" w:color="auto"/>
              <w:right w:val="single" w:sz="4" w:space="0" w:color="auto"/>
            </w:tcBorders>
            <w:noWrap/>
          </w:tcPr>
          <w:p w14:paraId="29DA3A7A"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JOSÉ DE LA VEGA</w:t>
            </w:r>
          </w:p>
        </w:tc>
        <w:tc>
          <w:tcPr>
            <w:tcW w:w="993" w:type="dxa"/>
            <w:tcBorders>
              <w:top w:val="nil"/>
              <w:left w:val="nil"/>
              <w:bottom w:val="single" w:sz="4" w:space="0" w:color="auto"/>
              <w:right w:val="single" w:sz="4" w:space="0" w:color="auto"/>
            </w:tcBorders>
            <w:noWrap/>
          </w:tcPr>
          <w:p w14:paraId="3402289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14:paraId="51DD2E7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3.367</w:t>
            </w:r>
          </w:p>
        </w:tc>
        <w:tc>
          <w:tcPr>
            <w:tcW w:w="1276" w:type="dxa"/>
            <w:tcBorders>
              <w:top w:val="nil"/>
              <w:left w:val="single" w:sz="4" w:space="0" w:color="auto"/>
              <w:bottom w:val="single" w:sz="4" w:space="0" w:color="auto"/>
              <w:right w:val="single" w:sz="4" w:space="0" w:color="auto"/>
            </w:tcBorders>
            <w:noWrap/>
          </w:tcPr>
          <w:p w14:paraId="2D4D12E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3.400</w:t>
            </w:r>
          </w:p>
        </w:tc>
        <w:tc>
          <w:tcPr>
            <w:tcW w:w="992" w:type="dxa"/>
            <w:tcBorders>
              <w:top w:val="nil"/>
              <w:left w:val="nil"/>
              <w:bottom w:val="single" w:sz="4" w:space="0" w:color="auto"/>
              <w:right w:val="single" w:sz="4" w:space="0" w:color="auto"/>
            </w:tcBorders>
            <w:noWrap/>
          </w:tcPr>
          <w:p w14:paraId="00DB092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BC68460"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710E1B5E"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52</w:t>
            </w:r>
          </w:p>
        </w:tc>
        <w:tc>
          <w:tcPr>
            <w:tcW w:w="4578" w:type="dxa"/>
            <w:tcBorders>
              <w:top w:val="nil"/>
              <w:left w:val="single" w:sz="4" w:space="0" w:color="auto"/>
              <w:bottom w:val="single" w:sz="4" w:space="0" w:color="auto"/>
              <w:right w:val="single" w:sz="4" w:space="0" w:color="auto"/>
            </w:tcBorders>
            <w:noWrap/>
          </w:tcPr>
          <w:p w14:paraId="453CE401"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JOSÉ MANUEL RODRÍGUEZ TORICES</w:t>
            </w:r>
          </w:p>
        </w:tc>
        <w:tc>
          <w:tcPr>
            <w:tcW w:w="993" w:type="dxa"/>
            <w:tcBorders>
              <w:top w:val="nil"/>
              <w:left w:val="nil"/>
              <w:bottom w:val="single" w:sz="4" w:space="0" w:color="auto"/>
              <w:right w:val="single" w:sz="4" w:space="0" w:color="auto"/>
            </w:tcBorders>
            <w:noWrap/>
          </w:tcPr>
          <w:p w14:paraId="4C03C1C5"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vAlign w:val="center"/>
          </w:tcPr>
          <w:p w14:paraId="472D806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3.930</w:t>
            </w:r>
          </w:p>
        </w:tc>
        <w:tc>
          <w:tcPr>
            <w:tcW w:w="1276" w:type="dxa"/>
            <w:tcBorders>
              <w:top w:val="nil"/>
              <w:left w:val="single" w:sz="4" w:space="0" w:color="auto"/>
              <w:bottom w:val="single" w:sz="4" w:space="0" w:color="auto"/>
              <w:right w:val="single" w:sz="4" w:space="0" w:color="auto"/>
            </w:tcBorders>
            <w:noWrap/>
          </w:tcPr>
          <w:p w14:paraId="37A2CC9A"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4.324</w:t>
            </w:r>
          </w:p>
        </w:tc>
        <w:tc>
          <w:tcPr>
            <w:tcW w:w="992" w:type="dxa"/>
            <w:tcBorders>
              <w:top w:val="nil"/>
              <w:left w:val="nil"/>
              <w:bottom w:val="single" w:sz="4" w:space="0" w:color="auto"/>
              <w:right w:val="single" w:sz="4" w:space="0" w:color="auto"/>
            </w:tcBorders>
            <w:noWrap/>
          </w:tcPr>
          <w:p w14:paraId="7B8FEEB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6650AE7"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69D14E3C"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53</w:t>
            </w:r>
          </w:p>
        </w:tc>
        <w:tc>
          <w:tcPr>
            <w:tcW w:w="4578" w:type="dxa"/>
            <w:tcBorders>
              <w:top w:val="nil"/>
              <w:left w:val="single" w:sz="4" w:space="0" w:color="auto"/>
              <w:bottom w:val="single" w:sz="4" w:space="0" w:color="auto"/>
              <w:right w:val="single" w:sz="4" w:space="0" w:color="auto"/>
            </w:tcBorders>
            <w:noWrap/>
          </w:tcPr>
          <w:p w14:paraId="1DB33B33"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JOSÉ MARÍA CÓRDOBA DE PASACABALLOS.</w:t>
            </w:r>
          </w:p>
        </w:tc>
        <w:tc>
          <w:tcPr>
            <w:tcW w:w="993" w:type="dxa"/>
            <w:tcBorders>
              <w:top w:val="nil"/>
              <w:left w:val="nil"/>
              <w:bottom w:val="single" w:sz="4" w:space="0" w:color="auto"/>
              <w:right w:val="single" w:sz="4" w:space="0" w:color="auto"/>
            </w:tcBorders>
            <w:noWrap/>
          </w:tcPr>
          <w:p w14:paraId="7FF2E07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239A971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947</w:t>
            </w:r>
          </w:p>
        </w:tc>
        <w:tc>
          <w:tcPr>
            <w:tcW w:w="1276" w:type="dxa"/>
            <w:tcBorders>
              <w:top w:val="nil"/>
              <w:left w:val="single" w:sz="4" w:space="0" w:color="auto"/>
              <w:bottom w:val="single" w:sz="4" w:space="0" w:color="auto"/>
              <w:right w:val="single" w:sz="4" w:space="0" w:color="auto"/>
            </w:tcBorders>
            <w:noWrap/>
          </w:tcPr>
          <w:p w14:paraId="7CA22CA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1.214</w:t>
            </w:r>
          </w:p>
        </w:tc>
        <w:tc>
          <w:tcPr>
            <w:tcW w:w="992" w:type="dxa"/>
            <w:tcBorders>
              <w:top w:val="nil"/>
              <w:left w:val="nil"/>
              <w:bottom w:val="single" w:sz="4" w:space="0" w:color="auto"/>
              <w:right w:val="single" w:sz="4" w:space="0" w:color="auto"/>
            </w:tcBorders>
            <w:noWrap/>
          </w:tcPr>
          <w:p w14:paraId="74972B4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4D159C85"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D602957"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54</w:t>
            </w:r>
          </w:p>
        </w:tc>
        <w:tc>
          <w:tcPr>
            <w:tcW w:w="4578" w:type="dxa"/>
            <w:tcBorders>
              <w:top w:val="nil"/>
              <w:left w:val="single" w:sz="4" w:space="0" w:color="auto"/>
              <w:bottom w:val="single" w:sz="4" w:space="0" w:color="auto"/>
              <w:right w:val="single" w:sz="4" w:space="0" w:color="auto"/>
            </w:tcBorders>
            <w:noWrap/>
          </w:tcPr>
          <w:p w14:paraId="7D1EDE3F"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JUAN BAUTISTA SCALABRINI</w:t>
            </w:r>
          </w:p>
        </w:tc>
        <w:tc>
          <w:tcPr>
            <w:tcW w:w="993" w:type="dxa"/>
            <w:tcBorders>
              <w:top w:val="nil"/>
              <w:left w:val="nil"/>
              <w:bottom w:val="single" w:sz="4" w:space="0" w:color="auto"/>
              <w:right w:val="single" w:sz="4" w:space="0" w:color="auto"/>
            </w:tcBorders>
            <w:noWrap/>
          </w:tcPr>
          <w:p w14:paraId="24410974"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vAlign w:val="center"/>
          </w:tcPr>
          <w:p w14:paraId="6E1476A3"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815</w:t>
            </w:r>
          </w:p>
        </w:tc>
        <w:tc>
          <w:tcPr>
            <w:tcW w:w="1276" w:type="dxa"/>
            <w:tcBorders>
              <w:top w:val="nil"/>
              <w:left w:val="single" w:sz="4" w:space="0" w:color="auto"/>
              <w:bottom w:val="single" w:sz="4" w:space="0" w:color="auto"/>
              <w:right w:val="single" w:sz="4" w:space="0" w:color="auto"/>
            </w:tcBorders>
            <w:noWrap/>
          </w:tcPr>
          <w:p w14:paraId="221840B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818</w:t>
            </w:r>
          </w:p>
        </w:tc>
        <w:tc>
          <w:tcPr>
            <w:tcW w:w="992" w:type="dxa"/>
            <w:tcBorders>
              <w:top w:val="nil"/>
              <w:left w:val="nil"/>
              <w:bottom w:val="single" w:sz="4" w:space="0" w:color="auto"/>
              <w:right w:val="single" w:sz="4" w:space="0" w:color="auto"/>
            </w:tcBorders>
            <w:noWrap/>
          </w:tcPr>
          <w:p w14:paraId="17770C0A"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9D757CF"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1227FB2"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55</w:t>
            </w:r>
          </w:p>
        </w:tc>
        <w:tc>
          <w:tcPr>
            <w:tcW w:w="4578" w:type="dxa"/>
            <w:tcBorders>
              <w:top w:val="nil"/>
              <w:left w:val="single" w:sz="4" w:space="0" w:color="auto"/>
              <w:bottom w:val="single" w:sz="4" w:space="0" w:color="auto"/>
              <w:right w:val="single" w:sz="4" w:space="0" w:color="auto"/>
            </w:tcBorders>
            <w:noWrap/>
          </w:tcPr>
          <w:p w14:paraId="3389A04A"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JUAN JOSÉ NIETO</w:t>
            </w:r>
          </w:p>
        </w:tc>
        <w:tc>
          <w:tcPr>
            <w:tcW w:w="993" w:type="dxa"/>
            <w:tcBorders>
              <w:top w:val="nil"/>
              <w:left w:val="nil"/>
              <w:bottom w:val="single" w:sz="4" w:space="0" w:color="auto"/>
              <w:right w:val="single" w:sz="4" w:space="0" w:color="auto"/>
            </w:tcBorders>
            <w:noWrap/>
          </w:tcPr>
          <w:p w14:paraId="41D6FB71"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vAlign w:val="center"/>
          </w:tcPr>
          <w:p w14:paraId="6F78FF9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1.842</w:t>
            </w:r>
          </w:p>
        </w:tc>
        <w:tc>
          <w:tcPr>
            <w:tcW w:w="1276" w:type="dxa"/>
            <w:tcBorders>
              <w:top w:val="nil"/>
              <w:left w:val="single" w:sz="4" w:space="0" w:color="auto"/>
              <w:bottom w:val="single" w:sz="4" w:space="0" w:color="auto"/>
              <w:right w:val="single" w:sz="4" w:space="0" w:color="auto"/>
            </w:tcBorders>
            <w:noWrap/>
          </w:tcPr>
          <w:p w14:paraId="0FF2CA2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1.823</w:t>
            </w:r>
          </w:p>
        </w:tc>
        <w:tc>
          <w:tcPr>
            <w:tcW w:w="992" w:type="dxa"/>
            <w:tcBorders>
              <w:top w:val="nil"/>
              <w:left w:val="nil"/>
              <w:bottom w:val="single" w:sz="4" w:space="0" w:color="auto"/>
              <w:right w:val="single" w:sz="4" w:space="0" w:color="auto"/>
            </w:tcBorders>
            <w:noWrap/>
          </w:tcPr>
          <w:p w14:paraId="70431DB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754068FC"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5507CBD"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56</w:t>
            </w:r>
          </w:p>
        </w:tc>
        <w:tc>
          <w:tcPr>
            <w:tcW w:w="4578" w:type="dxa"/>
            <w:tcBorders>
              <w:top w:val="nil"/>
              <w:left w:val="single" w:sz="4" w:space="0" w:color="auto"/>
              <w:bottom w:val="single" w:sz="4" w:space="0" w:color="auto"/>
              <w:right w:val="single" w:sz="4" w:space="0" w:color="auto"/>
            </w:tcBorders>
            <w:noWrap/>
          </w:tcPr>
          <w:p w14:paraId="6BCE1EA6"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LA LIBERTAD</w:t>
            </w:r>
          </w:p>
        </w:tc>
        <w:tc>
          <w:tcPr>
            <w:tcW w:w="993" w:type="dxa"/>
            <w:tcBorders>
              <w:top w:val="nil"/>
              <w:left w:val="nil"/>
              <w:bottom w:val="single" w:sz="4" w:space="0" w:color="auto"/>
              <w:right w:val="single" w:sz="4" w:space="0" w:color="auto"/>
            </w:tcBorders>
            <w:noWrap/>
          </w:tcPr>
          <w:p w14:paraId="5D7AA4C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4510B52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965</w:t>
            </w:r>
          </w:p>
        </w:tc>
        <w:tc>
          <w:tcPr>
            <w:tcW w:w="1276" w:type="dxa"/>
            <w:tcBorders>
              <w:top w:val="nil"/>
              <w:left w:val="single" w:sz="4" w:space="0" w:color="auto"/>
              <w:bottom w:val="single" w:sz="4" w:space="0" w:color="auto"/>
              <w:right w:val="single" w:sz="4" w:space="0" w:color="auto"/>
            </w:tcBorders>
            <w:noWrap/>
          </w:tcPr>
          <w:p w14:paraId="2D03200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1.126</w:t>
            </w:r>
          </w:p>
        </w:tc>
        <w:tc>
          <w:tcPr>
            <w:tcW w:w="992" w:type="dxa"/>
            <w:tcBorders>
              <w:top w:val="nil"/>
              <w:left w:val="nil"/>
              <w:bottom w:val="single" w:sz="4" w:space="0" w:color="auto"/>
              <w:right w:val="single" w:sz="4" w:space="0" w:color="auto"/>
            </w:tcBorders>
            <w:noWrap/>
          </w:tcPr>
          <w:p w14:paraId="6BF01AC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D3AB597"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3086EFA"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57</w:t>
            </w:r>
          </w:p>
        </w:tc>
        <w:tc>
          <w:tcPr>
            <w:tcW w:w="4578" w:type="dxa"/>
            <w:tcBorders>
              <w:top w:val="nil"/>
              <w:left w:val="single" w:sz="4" w:space="0" w:color="auto"/>
              <w:bottom w:val="single" w:sz="4" w:space="0" w:color="auto"/>
              <w:right w:val="single" w:sz="4" w:space="0" w:color="auto"/>
            </w:tcBorders>
            <w:noWrap/>
          </w:tcPr>
          <w:p w14:paraId="35964829"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LA MILAGROSA</w:t>
            </w:r>
          </w:p>
        </w:tc>
        <w:tc>
          <w:tcPr>
            <w:tcW w:w="993" w:type="dxa"/>
            <w:tcBorders>
              <w:top w:val="nil"/>
              <w:left w:val="nil"/>
              <w:bottom w:val="single" w:sz="4" w:space="0" w:color="auto"/>
              <w:right w:val="single" w:sz="4" w:space="0" w:color="auto"/>
            </w:tcBorders>
            <w:noWrap/>
          </w:tcPr>
          <w:p w14:paraId="615B107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vAlign w:val="center"/>
          </w:tcPr>
          <w:p w14:paraId="7D94126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565</w:t>
            </w:r>
          </w:p>
        </w:tc>
        <w:tc>
          <w:tcPr>
            <w:tcW w:w="1276" w:type="dxa"/>
            <w:tcBorders>
              <w:top w:val="nil"/>
              <w:left w:val="single" w:sz="4" w:space="0" w:color="auto"/>
              <w:bottom w:val="single" w:sz="4" w:space="0" w:color="auto"/>
              <w:right w:val="single" w:sz="4" w:space="0" w:color="auto"/>
            </w:tcBorders>
            <w:noWrap/>
          </w:tcPr>
          <w:p w14:paraId="3491E8F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482</w:t>
            </w:r>
          </w:p>
        </w:tc>
        <w:tc>
          <w:tcPr>
            <w:tcW w:w="992" w:type="dxa"/>
            <w:tcBorders>
              <w:top w:val="nil"/>
              <w:left w:val="nil"/>
              <w:bottom w:val="single" w:sz="4" w:space="0" w:color="auto"/>
              <w:right w:val="single" w:sz="4" w:space="0" w:color="auto"/>
            </w:tcBorders>
            <w:noWrap/>
          </w:tcPr>
          <w:p w14:paraId="5CA2D10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7E6E32DF"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05541D8"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58</w:t>
            </w:r>
          </w:p>
        </w:tc>
        <w:tc>
          <w:tcPr>
            <w:tcW w:w="4578" w:type="dxa"/>
            <w:tcBorders>
              <w:top w:val="nil"/>
              <w:left w:val="single" w:sz="4" w:space="0" w:color="auto"/>
              <w:bottom w:val="single" w:sz="4" w:space="0" w:color="auto"/>
              <w:right w:val="single" w:sz="4" w:space="0" w:color="auto"/>
            </w:tcBorders>
            <w:noWrap/>
          </w:tcPr>
          <w:p w14:paraId="61CBA2CE"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LAS GAVIOTAS</w:t>
            </w:r>
          </w:p>
        </w:tc>
        <w:tc>
          <w:tcPr>
            <w:tcW w:w="993" w:type="dxa"/>
            <w:tcBorders>
              <w:top w:val="nil"/>
              <w:left w:val="nil"/>
              <w:bottom w:val="single" w:sz="4" w:space="0" w:color="auto"/>
              <w:right w:val="single" w:sz="4" w:space="0" w:color="auto"/>
            </w:tcBorders>
            <w:noWrap/>
          </w:tcPr>
          <w:p w14:paraId="5C31A089"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vAlign w:val="center"/>
          </w:tcPr>
          <w:p w14:paraId="76E89EFA"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2.179</w:t>
            </w:r>
          </w:p>
        </w:tc>
        <w:tc>
          <w:tcPr>
            <w:tcW w:w="1276" w:type="dxa"/>
            <w:tcBorders>
              <w:top w:val="nil"/>
              <w:left w:val="single" w:sz="4" w:space="0" w:color="auto"/>
              <w:bottom w:val="single" w:sz="4" w:space="0" w:color="auto"/>
              <w:right w:val="single" w:sz="4" w:space="0" w:color="auto"/>
            </w:tcBorders>
            <w:noWrap/>
          </w:tcPr>
          <w:p w14:paraId="5527DCA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2.173</w:t>
            </w:r>
          </w:p>
        </w:tc>
        <w:tc>
          <w:tcPr>
            <w:tcW w:w="992" w:type="dxa"/>
            <w:tcBorders>
              <w:top w:val="nil"/>
              <w:left w:val="nil"/>
              <w:bottom w:val="single" w:sz="4" w:space="0" w:color="auto"/>
              <w:right w:val="single" w:sz="4" w:space="0" w:color="auto"/>
            </w:tcBorders>
            <w:noWrap/>
          </w:tcPr>
          <w:p w14:paraId="7548A1A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391610A"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64A27FA2"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59</w:t>
            </w:r>
          </w:p>
        </w:tc>
        <w:tc>
          <w:tcPr>
            <w:tcW w:w="4578" w:type="dxa"/>
            <w:tcBorders>
              <w:top w:val="nil"/>
              <w:left w:val="single" w:sz="4" w:space="0" w:color="auto"/>
              <w:bottom w:val="single" w:sz="4" w:space="0" w:color="auto"/>
              <w:right w:val="single" w:sz="4" w:space="0" w:color="auto"/>
            </w:tcBorders>
            <w:noWrap/>
          </w:tcPr>
          <w:p w14:paraId="490755F9" w14:textId="77777777" w:rsidR="00C2076A" w:rsidRPr="002A47B8"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2A47B8">
              <w:rPr>
                <w:rFonts w:ascii="Arial" w:hAnsi="Arial" w:cs="Arial"/>
                <w:sz w:val="16"/>
                <w:szCs w:val="16"/>
              </w:rPr>
              <w:t xml:space="preserve"> LICEO DE BOLÍVAR</w:t>
            </w:r>
          </w:p>
        </w:tc>
        <w:tc>
          <w:tcPr>
            <w:tcW w:w="993" w:type="dxa"/>
            <w:tcBorders>
              <w:top w:val="nil"/>
              <w:left w:val="nil"/>
              <w:bottom w:val="single" w:sz="4" w:space="0" w:color="auto"/>
              <w:right w:val="single" w:sz="4" w:space="0" w:color="auto"/>
            </w:tcBorders>
            <w:noWrap/>
          </w:tcPr>
          <w:p w14:paraId="397A0F6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14:paraId="1AAE4D2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2.305</w:t>
            </w:r>
          </w:p>
        </w:tc>
        <w:tc>
          <w:tcPr>
            <w:tcW w:w="1276" w:type="dxa"/>
            <w:tcBorders>
              <w:top w:val="nil"/>
              <w:left w:val="single" w:sz="4" w:space="0" w:color="auto"/>
              <w:bottom w:val="single" w:sz="4" w:space="0" w:color="auto"/>
              <w:right w:val="single" w:sz="4" w:space="0" w:color="auto"/>
            </w:tcBorders>
            <w:noWrap/>
          </w:tcPr>
          <w:p w14:paraId="2BD3478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2.658</w:t>
            </w:r>
          </w:p>
        </w:tc>
        <w:tc>
          <w:tcPr>
            <w:tcW w:w="992" w:type="dxa"/>
            <w:tcBorders>
              <w:top w:val="nil"/>
              <w:left w:val="nil"/>
              <w:bottom w:val="single" w:sz="4" w:space="0" w:color="auto"/>
              <w:right w:val="single" w:sz="4" w:space="0" w:color="auto"/>
            </w:tcBorders>
            <w:noWrap/>
          </w:tcPr>
          <w:p w14:paraId="636C0F3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2B291C9"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B449A38"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4578" w:type="dxa"/>
            <w:tcBorders>
              <w:top w:val="nil"/>
              <w:left w:val="single" w:sz="4" w:space="0" w:color="auto"/>
              <w:bottom w:val="single" w:sz="4" w:space="0" w:color="auto"/>
              <w:right w:val="single" w:sz="4" w:space="0" w:color="auto"/>
            </w:tcBorders>
            <w:noWrap/>
          </w:tcPr>
          <w:p w14:paraId="51DD2B2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LUIS CARLOS GALÁN SARMIENTO</w:t>
            </w:r>
          </w:p>
        </w:tc>
        <w:tc>
          <w:tcPr>
            <w:tcW w:w="993" w:type="dxa"/>
            <w:tcBorders>
              <w:top w:val="nil"/>
              <w:left w:val="nil"/>
              <w:bottom w:val="single" w:sz="4" w:space="0" w:color="auto"/>
              <w:right w:val="single" w:sz="4" w:space="0" w:color="auto"/>
            </w:tcBorders>
            <w:noWrap/>
          </w:tcPr>
          <w:p w14:paraId="2CCDB56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6AB55E19"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1.402 </w:t>
            </w:r>
          </w:p>
        </w:tc>
        <w:tc>
          <w:tcPr>
            <w:tcW w:w="1276" w:type="dxa"/>
            <w:tcBorders>
              <w:top w:val="nil"/>
              <w:left w:val="single" w:sz="4" w:space="0" w:color="auto"/>
              <w:bottom w:val="single" w:sz="4" w:space="0" w:color="auto"/>
              <w:right w:val="single" w:sz="4" w:space="0" w:color="auto"/>
            </w:tcBorders>
            <w:noWrap/>
          </w:tcPr>
          <w:p w14:paraId="4AE7E6E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1.407</w:t>
            </w:r>
          </w:p>
        </w:tc>
        <w:tc>
          <w:tcPr>
            <w:tcW w:w="992" w:type="dxa"/>
            <w:tcBorders>
              <w:top w:val="nil"/>
              <w:left w:val="nil"/>
              <w:bottom w:val="single" w:sz="4" w:space="0" w:color="auto"/>
              <w:right w:val="single" w:sz="4" w:space="0" w:color="auto"/>
            </w:tcBorders>
            <w:noWrap/>
          </w:tcPr>
          <w:p w14:paraId="3D93305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84333C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78FA27D"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61</w:t>
            </w:r>
          </w:p>
        </w:tc>
        <w:tc>
          <w:tcPr>
            <w:tcW w:w="4578" w:type="dxa"/>
            <w:tcBorders>
              <w:top w:val="nil"/>
              <w:left w:val="single" w:sz="4" w:space="0" w:color="auto"/>
              <w:bottom w:val="single" w:sz="4" w:space="0" w:color="auto"/>
              <w:right w:val="single" w:sz="4" w:space="0" w:color="auto"/>
            </w:tcBorders>
            <w:noWrap/>
          </w:tcPr>
          <w:p w14:paraId="4C59606A"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LUIS CARLOS LÓPEZ</w:t>
            </w:r>
          </w:p>
        </w:tc>
        <w:tc>
          <w:tcPr>
            <w:tcW w:w="993" w:type="dxa"/>
            <w:tcBorders>
              <w:top w:val="nil"/>
              <w:left w:val="nil"/>
              <w:bottom w:val="single" w:sz="4" w:space="0" w:color="auto"/>
              <w:right w:val="single" w:sz="4" w:space="0" w:color="auto"/>
            </w:tcBorders>
            <w:noWrap/>
          </w:tcPr>
          <w:p w14:paraId="1BD49588"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45793FC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1.551 </w:t>
            </w:r>
          </w:p>
        </w:tc>
        <w:tc>
          <w:tcPr>
            <w:tcW w:w="1276" w:type="dxa"/>
            <w:tcBorders>
              <w:top w:val="nil"/>
              <w:left w:val="single" w:sz="4" w:space="0" w:color="auto"/>
              <w:bottom w:val="single" w:sz="4" w:space="0" w:color="auto"/>
              <w:right w:val="single" w:sz="4" w:space="0" w:color="auto"/>
            </w:tcBorders>
            <w:noWrap/>
          </w:tcPr>
          <w:p w14:paraId="57905FB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1.430</w:t>
            </w:r>
          </w:p>
        </w:tc>
        <w:tc>
          <w:tcPr>
            <w:tcW w:w="992" w:type="dxa"/>
            <w:tcBorders>
              <w:top w:val="nil"/>
              <w:left w:val="nil"/>
              <w:bottom w:val="single" w:sz="4" w:space="0" w:color="auto"/>
              <w:right w:val="single" w:sz="4" w:space="0" w:color="auto"/>
            </w:tcBorders>
            <w:noWrap/>
          </w:tcPr>
          <w:p w14:paraId="58B44EE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2C29CF5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652646E9"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62</w:t>
            </w:r>
          </w:p>
        </w:tc>
        <w:tc>
          <w:tcPr>
            <w:tcW w:w="4578" w:type="dxa"/>
            <w:tcBorders>
              <w:top w:val="nil"/>
              <w:left w:val="single" w:sz="4" w:space="0" w:color="auto"/>
              <w:bottom w:val="single" w:sz="4" w:space="0" w:color="auto"/>
              <w:right w:val="single" w:sz="4" w:space="0" w:color="auto"/>
            </w:tcBorders>
            <w:noWrap/>
          </w:tcPr>
          <w:p w14:paraId="087B4EE3"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LUIS FELIPE CABRERA DE BARÚ.</w:t>
            </w:r>
          </w:p>
        </w:tc>
        <w:tc>
          <w:tcPr>
            <w:tcW w:w="993" w:type="dxa"/>
            <w:tcBorders>
              <w:top w:val="nil"/>
              <w:left w:val="nil"/>
              <w:bottom w:val="single" w:sz="4" w:space="0" w:color="auto"/>
              <w:right w:val="single" w:sz="4" w:space="0" w:color="auto"/>
            </w:tcBorders>
            <w:noWrap/>
          </w:tcPr>
          <w:p w14:paraId="7D8DFFB3"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4B9780C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783 </w:t>
            </w:r>
          </w:p>
        </w:tc>
        <w:tc>
          <w:tcPr>
            <w:tcW w:w="1276" w:type="dxa"/>
            <w:tcBorders>
              <w:top w:val="nil"/>
              <w:left w:val="single" w:sz="4" w:space="0" w:color="auto"/>
              <w:bottom w:val="single" w:sz="4" w:space="0" w:color="auto"/>
              <w:right w:val="single" w:sz="4" w:space="0" w:color="auto"/>
            </w:tcBorders>
            <w:noWrap/>
          </w:tcPr>
          <w:p w14:paraId="0E34D4E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812</w:t>
            </w:r>
          </w:p>
        </w:tc>
        <w:tc>
          <w:tcPr>
            <w:tcW w:w="992" w:type="dxa"/>
            <w:tcBorders>
              <w:top w:val="nil"/>
              <w:left w:val="nil"/>
              <w:bottom w:val="single" w:sz="4" w:space="0" w:color="auto"/>
              <w:right w:val="single" w:sz="4" w:space="0" w:color="auto"/>
            </w:tcBorders>
            <w:noWrap/>
          </w:tcPr>
          <w:p w14:paraId="1BD742C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1A4CCFF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B0430E5"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63</w:t>
            </w:r>
          </w:p>
        </w:tc>
        <w:tc>
          <w:tcPr>
            <w:tcW w:w="4578" w:type="dxa"/>
            <w:tcBorders>
              <w:top w:val="nil"/>
              <w:left w:val="single" w:sz="4" w:space="0" w:color="auto"/>
              <w:bottom w:val="single" w:sz="4" w:space="0" w:color="auto"/>
              <w:right w:val="single" w:sz="4" w:space="0" w:color="auto"/>
            </w:tcBorders>
            <w:noWrap/>
          </w:tcPr>
          <w:p w14:paraId="4AD4976F"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MADRE GABRIELA DE SAN MARTIN</w:t>
            </w:r>
          </w:p>
        </w:tc>
        <w:tc>
          <w:tcPr>
            <w:tcW w:w="993" w:type="dxa"/>
            <w:tcBorders>
              <w:top w:val="nil"/>
              <w:left w:val="nil"/>
              <w:bottom w:val="single" w:sz="4" w:space="0" w:color="auto"/>
              <w:right w:val="single" w:sz="4" w:space="0" w:color="auto"/>
            </w:tcBorders>
            <w:noWrap/>
          </w:tcPr>
          <w:p w14:paraId="58C259C9"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tcPr>
          <w:p w14:paraId="32FB5368"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2.087 </w:t>
            </w:r>
          </w:p>
        </w:tc>
        <w:tc>
          <w:tcPr>
            <w:tcW w:w="1276" w:type="dxa"/>
            <w:tcBorders>
              <w:top w:val="nil"/>
              <w:left w:val="single" w:sz="4" w:space="0" w:color="auto"/>
              <w:bottom w:val="single" w:sz="4" w:space="0" w:color="auto"/>
              <w:right w:val="single" w:sz="4" w:space="0" w:color="auto"/>
            </w:tcBorders>
            <w:noWrap/>
          </w:tcPr>
          <w:p w14:paraId="6EBB790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2.510</w:t>
            </w:r>
          </w:p>
        </w:tc>
        <w:tc>
          <w:tcPr>
            <w:tcW w:w="992" w:type="dxa"/>
            <w:tcBorders>
              <w:top w:val="nil"/>
              <w:left w:val="nil"/>
              <w:bottom w:val="single" w:sz="4" w:space="0" w:color="auto"/>
              <w:right w:val="single" w:sz="4" w:space="0" w:color="auto"/>
            </w:tcBorders>
            <w:noWrap/>
          </w:tcPr>
          <w:p w14:paraId="291EB68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F2B3530"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FD3847D"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64</w:t>
            </w:r>
          </w:p>
        </w:tc>
        <w:tc>
          <w:tcPr>
            <w:tcW w:w="4578" w:type="dxa"/>
            <w:tcBorders>
              <w:top w:val="nil"/>
              <w:left w:val="single" w:sz="4" w:space="0" w:color="auto"/>
              <w:bottom w:val="single" w:sz="4" w:space="0" w:color="auto"/>
              <w:right w:val="single" w:sz="4" w:space="0" w:color="auto"/>
            </w:tcBorders>
            <w:noWrap/>
          </w:tcPr>
          <w:p w14:paraId="408E5AA5"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MADRE LAURA</w:t>
            </w:r>
          </w:p>
        </w:tc>
        <w:tc>
          <w:tcPr>
            <w:tcW w:w="993" w:type="dxa"/>
            <w:tcBorders>
              <w:top w:val="nil"/>
              <w:left w:val="nil"/>
              <w:bottom w:val="single" w:sz="4" w:space="0" w:color="auto"/>
              <w:right w:val="single" w:sz="4" w:space="0" w:color="auto"/>
            </w:tcBorders>
            <w:noWrap/>
          </w:tcPr>
          <w:p w14:paraId="30383E5D"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tcPr>
          <w:p w14:paraId="78BD482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2.033 </w:t>
            </w:r>
          </w:p>
        </w:tc>
        <w:tc>
          <w:tcPr>
            <w:tcW w:w="1276" w:type="dxa"/>
            <w:tcBorders>
              <w:top w:val="nil"/>
              <w:left w:val="single" w:sz="4" w:space="0" w:color="auto"/>
              <w:bottom w:val="single" w:sz="4" w:space="0" w:color="auto"/>
              <w:right w:val="single" w:sz="4" w:space="0" w:color="auto"/>
            </w:tcBorders>
            <w:noWrap/>
          </w:tcPr>
          <w:p w14:paraId="10850BB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2.056</w:t>
            </w:r>
          </w:p>
        </w:tc>
        <w:tc>
          <w:tcPr>
            <w:tcW w:w="992" w:type="dxa"/>
            <w:tcBorders>
              <w:top w:val="nil"/>
              <w:left w:val="nil"/>
              <w:bottom w:val="single" w:sz="4" w:space="0" w:color="auto"/>
              <w:right w:val="single" w:sz="4" w:space="0" w:color="auto"/>
            </w:tcBorders>
            <w:noWrap/>
          </w:tcPr>
          <w:p w14:paraId="5B1FD49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4EF1D59"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67A46334"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65</w:t>
            </w:r>
          </w:p>
        </w:tc>
        <w:tc>
          <w:tcPr>
            <w:tcW w:w="4578" w:type="dxa"/>
            <w:tcBorders>
              <w:top w:val="nil"/>
              <w:left w:val="single" w:sz="4" w:space="0" w:color="auto"/>
              <w:bottom w:val="single" w:sz="4" w:space="0" w:color="auto"/>
              <w:right w:val="single" w:sz="4" w:space="0" w:color="auto"/>
            </w:tcBorders>
            <w:noWrap/>
          </w:tcPr>
          <w:p w14:paraId="287EA9F8"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MANDELA</w:t>
            </w:r>
          </w:p>
        </w:tc>
        <w:tc>
          <w:tcPr>
            <w:tcW w:w="993" w:type="dxa"/>
            <w:tcBorders>
              <w:top w:val="nil"/>
              <w:left w:val="nil"/>
              <w:bottom w:val="single" w:sz="4" w:space="0" w:color="auto"/>
              <w:right w:val="single" w:sz="4" w:space="0" w:color="auto"/>
            </w:tcBorders>
            <w:noWrap/>
          </w:tcPr>
          <w:p w14:paraId="1E4B4E09"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49FD78E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1.415 </w:t>
            </w:r>
          </w:p>
        </w:tc>
        <w:tc>
          <w:tcPr>
            <w:tcW w:w="1276" w:type="dxa"/>
            <w:tcBorders>
              <w:top w:val="nil"/>
              <w:left w:val="single" w:sz="4" w:space="0" w:color="auto"/>
              <w:bottom w:val="single" w:sz="4" w:space="0" w:color="auto"/>
              <w:right w:val="single" w:sz="4" w:space="0" w:color="auto"/>
            </w:tcBorders>
            <w:noWrap/>
          </w:tcPr>
          <w:p w14:paraId="1C14E4C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1.395</w:t>
            </w:r>
          </w:p>
        </w:tc>
        <w:tc>
          <w:tcPr>
            <w:tcW w:w="992" w:type="dxa"/>
            <w:tcBorders>
              <w:top w:val="nil"/>
              <w:left w:val="nil"/>
              <w:bottom w:val="single" w:sz="4" w:space="0" w:color="auto"/>
              <w:right w:val="single" w:sz="4" w:space="0" w:color="auto"/>
            </w:tcBorders>
            <w:noWrap/>
          </w:tcPr>
          <w:p w14:paraId="6899877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81301FF"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445CADB"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66</w:t>
            </w:r>
          </w:p>
        </w:tc>
        <w:tc>
          <w:tcPr>
            <w:tcW w:w="4578" w:type="dxa"/>
            <w:tcBorders>
              <w:top w:val="nil"/>
              <w:left w:val="single" w:sz="4" w:space="0" w:color="auto"/>
              <w:bottom w:val="single" w:sz="4" w:space="0" w:color="auto"/>
              <w:right w:val="single" w:sz="4" w:space="0" w:color="auto"/>
            </w:tcBorders>
            <w:noWrap/>
          </w:tcPr>
          <w:p w14:paraId="44840023"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MANUELA BELTRÁN</w:t>
            </w:r>
          </w:p>
        </w:tc>
        <w:tc>
          <w:tcPr>
            <w:tcW w:w="993" w:type="dxa"/>
            <w:tcBorders>
              <w:top w:val="nil"/>
              <w:left w:val="nil"/>
              <w:bottom w:val="single" w:sz="4" w:space="0" w:color="auto"/>
              <w:right w:val="single" w:sz="4" w:space="0" w:color="auto"/>
            </w:tcBorders>
            <w:noWrap/>
          </w:tcPr>
          <w:p w14:paraId="17060A9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tcPr>
          <w:p w14:paraId="5DD2295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1.354 </w:t>
            </w:r>
          </w:p>
        </w:tc>
        <w:tc>
          <w:tcPr>
            <w:tcW w:w="1276" w:type="dxa"/>
            <w:tcBorders>
              <w:top w:val="nil"/>
              <w:left w:val="single" w:sz="4" w:space="0" w:color="auto"/>
              <w:bottom w:val="single" w:sz="4" w:space="0" w:color="auto"/>
              <w:right w:val="single" w:sz="4" w:space="0" w:color="auto"/>
            </w:tcBorders>
            <w:noWrap/>
          </w:tcPr>
          <w:p w14:paraId="6287BAB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1.304</w:t>
            </w:r>
          </w:p>
        </w:tc>
        <w:tc>
          <w:tcPr>
            <w:tcW w:w="992" w:type="dxa"/>
            <w:tcBorders>
              <w:top w:val="nil"/>
              <w:left w:val="nil"/>
              <w:bottom w:val="single" w:sz="4" w:space="0" w:color="auto"/>
              <w:right w:val="single" w:sz="4" w:space="0" w:color="auto"/>
            </w:tcBorders>
            <w:noWrap/>
          </w:tcPr>
          <w:p w14:paraId="0C1260AA"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36674D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C405BDE"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67</w:t>
            </w:r>
          </w:p>
        </w:tc>
        <w:tc>
          <w:tcPr>
            <w:tcW w:w="4578" w:type="dxa"/>
            <w:tcBorders>
              <w:top w:val="nil"/>
              <w:left w:val="single" w:sz="4" w:space="0" w:color="auto"/>
              <w:bottom w:val="single" w:sz="4" w:space="0" w:color="auto"/>
              <w:right w:val="single" w:sz="4" w:space="0" w:color="auto"/>
            </w:tcBorders>
            <w:noWrap/>
          </w:tcPr>
          <w:p w14:paraId="5C113162"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MANUELA VERGARA DE CURÍ</w:t>
            </w:r>
          </w:p>
        </w:tc>
        <w:tc>
          <w:tcPr>
            <w:tcW w:w="993" w:type="dxa"/>
            <w:tcBorders>
              <w:top w:val="nil"/>
              <w:left w:val="nil"/>
              <w:bottom w:val="single" w:sz="4" w:space="0" w:color="auto"/>
              <w:right w:val="single" w:sz="4" w:space="0" w:color="auto"/>
            </w:tcBorders>
            <w:noWrap/>
          </w:tcPr>
          <w:p w14:paraId="1AA05F5C"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15770F5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1.293 </w:t>
            </w:r>
          </w:p>
        </w:tc>
        <w:tc>
          <w:tcPr>
            <w:tcW w:w="1276" w:type="dxa"/>
            <w:tcBorders>
              <w:top w:val="nil"/>
              <w:left w:val="single" w:sz="4" w:space="0" w:color="auto"/>
              <w:bottom w:val="single" w:sz="4" w:space="0" w:color="auto"/>
              <w:right w:val="single" w:sz="4" w:space="0" w:color="auto"/>
            </w:tcBorders>
            <w:noWrap/>
          </w:tcPr>
          <w:p w14:paraId="1394119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1.643</w:t>
            </w:r>
          </w:p>
        </w:tc>
        <w:tc>
          <w:tcPr>
            <w:tcW w:w="992" w:type="dxa"/>
            <w:tcBorders>
              <w:top w:val="nil"/>
              <w:left w:val="nil"/>
              <w:bottom w:val="single" w:sz="4" w:space="0" w:color="auto"/>
              <w:right w:val="single" w:sz="4" w:space="0" w:color="auto"/>
            </w:tcBorders>
            <w:noWrap/>
          </w:tcPr>
          <w:p w14:paraId="32737BF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53B3171"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C9E117C"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68</w:t>
            </w:r>
          </w:p>
        </w:tc>
        <w:tc>
          <w:tcPr>
            <w:tcW w:w="4578" w:type="dxa"/>
            <w:tcBorders>
              <w:top w:val="nil"/>
              <w:left w:val="single" w:sz="4" w:space="0" w:color="auto"/>
              <w:bottom w:val="single" w:sz="4" w:space="0" w:color="auto"/>
              <w:right w:val="single" w:sz="4" w:space="0" w:color="auto"/>
            </w:tcBorders>
            <w:noWrap/>
          </w:tcPr>
          <w:p w14:paraId="37119BA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MANZANILLO DEL MAR</w:t>
            </w:r>
          </w:p>
        </w:tc>
        <w:tc>
          <w:tcPr>
            <w:tcW w:w="993" w:type="dxa"/>
            <w:tcBorders>
              <w:top w:val="nil"/>
              <w:left w:val="nil"/>
              <w:bottom w:val="single" w:sz="4" w:space="0" w:color="auto"/>
              <w:right w:val="single" w:sz="4" w:space="0" w:color="auto"/>
            </w:tcBorders>
            <w:noWrap/>
          </w:tcPr>
          <w:p w14:paraId="398D8586"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05484B7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357 </w:t>
            </w:r>
          </w:p>
        </w:tc>
        <w:tc>
          <w:tcPr>
            <w:tcW w:w="1276" w:type="dxa"/>
            <w:tcBorders>
              <w:top w:val="nil"/>
              <w:left w:val="single" w:sz="4" w:space="0" w:color="auto"/>
              <w:bottom w:val="single" w:sz="4" w:space="0" w:color="auto"/>
              <w:right w:val="single" w:sz="4" w:space="0" w:color="auto"/>
            </w:tcBorders>
            <w:noWrap/>
          </w:tcPr>
          <w:p w14:paraId="4182AE6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386</w:t>
            </w:r>
          </w:p>
        </w:tc>
        <w:tc>
          <w:tcPr>
            <w:tcW w:w="992" w:type="dxa"/>
            <w:tcBorders>
              <w:top w:val="nil"/>
              <w:left w:val="nil"/>
              <w:bottom w:val="single" w:sz="4" w:space="0" w:color="auto"/>
              <w:right w:val="single" w:sz="4" w:space="0" w:color="auto"/>
            </w:tcBorders>
            <w:noWrap/>
          </w:tcPr>
          <w:p w14:paraId="4D6A61EA"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3E6CDF5D"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AE470F3" w14:textId="77777777" w:rsidR="00C2076A" w:rsidRPr="006021D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69</w:t>
            </w:r>
          </w:p>
        </w:tc>
        <w:tc>
          <w:tcPr>
            <w:tcW w:w="4578" w:type="dxa"/>
            <w:tcBorders>
              <w:top w:val="nil"/>
              <w:left w:val="single" w:sz="4" w:space="0" w:color="auto"/>
              <w:bottom w:val="single" w:sz="4" w:space="0" w:color="auto"/>
              <w:right w:val="single" w:sz="4" w:space="0" w:color="auto"/>
            </w:tcBorders>
            <w:noWrap/>
          </w:tcPr>
          <w:p w14:paraId="38CDFD42"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MARÍA AUXILIADORA</w:t>
            </w:r>
          </w:p>
        </w:tc>
        <w:tc>
          <w:tcPr>
            <w:tcW w:w="993" w:type="dxa"/>
            <w:tcBorders>
              <w:top w:val="nil"/>
              <w:left w:val="nil"/>
              <w:bottom w:val="single" w:sz="4" w:space="0" w:color="auto"/>
              <w:right w:val="single" w:sz="4" w:space="0" w:color="auto"/>
            </w:tcBorders>
            <w:noWrap/>
          </w:tcPr>
          <w:p w14:paraId="5179A4C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42B3D517"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506 </w:t>
            </w:r>
          </w:p>
        </w:tc>
        <w:tc>
          <w:tcPr>
            <w:tcW w:w="1276" w:type="dxa"/>
            <w:tcBorders>
              <w:top w:val="nil"/>
              <w:left w:val="single" w:sz="4" w:space="0" w:color="auto"/>
              <w:bottom w:val="single" w:sz="4" w:space="0" w:color="auto"/>
              <w:right w:val="single" w:sz="4" w:space="0" w:color="auto"/>
            </w:tcBorders>
            <w:noWrap/>
          </w:tcPr>
          <w:p w14:paraId="0802A8E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501</w:t>
            </w:r>
          </w:p>
        </w:tc>
        <w:tc>
          <w:tcPr>
            <w:tcW w:w="992" w:type="dxa"/>
            <w:tcBorders>
              <w:top w:val="nil"/>
              <w:left w:val="nil"/>
              <w:bottom w:val="single" w:sz="4" w:space="0" w:color="auto"/>
              <w:right w:val="single" w:sz="4" w:space="0" w:color="auto"/>
            </w:tcBorders>
            <w:noWrap/>
          </w:tcPr>
          <w:p w14:paraId="6917503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839BDB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71C1D204"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70</w:t>
            </w:r>
          </w:p>
        </w:tc>
        <w:tc>
          <w:tcPr>
            <w:tcW w:w="4578" w:type="dxa"/>
            <w:tcBorders>
              <w:top w:val="nil"/>
              <w:left w:val="single" w:sz="4" w:space="0" w:color="auto"/>
              <w:bottom w:val="single" w:sz="4" w:space="0" w:color="auto"/>
              <w:right w:val="single" w:sz="4" w:space="0" w:color="auto"/>
            </w:tcBorders>
            <w:noWrap/>
          </w:tcPr>
          <w:p w14:paraId="33A2DE7D"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MARÍA CANO</w:t>
            </w:r>
          </w:p>
        </w:tc>
        <w:tc>
          <w:tcPr>
            <w:tcW w:w="993" w:type="dxa"/>
            <w:tcBorders>
              <w:top w:val="nil"/>
              <w:left w:val="nil"/>
              <w:bottom w:val="single" w:sz="4" w:space="0" w:color="auto"/>
              <w:right w:val="single" w:sz="4" w:space="0" w:color="auto"/>
            </w:tcBorders>
            <w:noWrap/>
          </w:tcPr>
          <w:p w14:paraId="0A3E1EC8"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0C2F8912"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596 </w:t>
            </w:r>
          </w:p>
        </w:tc>
        <w:tc>
          <w:tcPr>
            <w:tcW w:w="1276" w:type="dxa"/>
            <w:tcBorders>
              <w:top w:val="nil"/>
              <w:left w:val="single" w:sz="4" w:space="0" w:color="auto"/>
              <w:bottom w:val="single" w:sz="4" w:space="0" w:color="auto"/>
              <w:right w:val="single" w:sz="4" w:space="0" w:color="auto"/>
            </w:tcBorders>
            <w:noWrap/>
          </w:tcPr>
          <w:p w14:paraId="16AA23A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739</w:t>
            </w:r>
          </w:p>
        </w:tc>
        <w:tc>
          <w:tcPr>
            <w:tcW w:w="992" w:type="dxa"/>
            <w:tcBorders>
              <w:top w:val="nil"/>
              <w:left w:val="nil"/>
              <w:bottom w:val="single" w:sz="4" w:space="0" w:color="auto"/>
              <w:right w:val="single" w:sz="4" w:space="0" w:color="auto"/>
            </w:tcBorders>
            <w:noWrap/>
          </w:tcPr>
          <w:p w14:paraId="182756C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EC76F0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A307ECF"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71</w:t>
            </w:r>
          </w:p>
        </w:tc>
        <w:tc>
          <w:tcPr>
            <w:tcW w:w="4578" w:type="dxa"/>
            <w:tcBorders>
              <w:top w:val="nil"/>
              <w:left w:val="single" w:sz="4" w:space="0" w:color="auto"/>
              <w:bottom w:val="single" w:sz="4" w:space="0" w:color="auto"/>
              <w:right w:val="single" w:sz="4" w:space="0" w:color="auto"/>
            </w:tcBorders>
            <w:noWrap/>
          </w:tcPr>
          <w:p w14:paraId="517D96CD"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MARÍA REINA</w:t>
            </w:r>
          </w:p>
        </w:tc>
        <w:tc>
          <w:tcPr>
            <w:tcW w:w="993" w:type="dxa"/>
            <w:tcBorders>
              <w:top w:val="nil"/>
              <w:left w:val="nil"/>
              <w:bottom w:val="single" w:sz="4" w:space="0" w:color="auto"/>
              <w:right w:val="single" w:sz="4" w:space="0" w:color="auto"/>
            </w:tcBorders>
            <w:noWrap/>
          </w:tcPr>
          <w:p w14:paraId="5A0F1AE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tcPr>
          <w:p w14:paraId="1086EC8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1.965 </w:t>
            </w:r>
          </w:p>
        </w:tc>
        <w:tc>
          <w:tcPr>
            <w:tcW w:w="1276" w:type="dxa"/>
            <w:tcBorders>
              <w:top w:val="nil"/>
              <w:left w:val="single" w:sz="4" w:space="0" w:color="auto"/>
              <w:bottom w:val="single" w:sz="4" w:space="0" w:color="auto"/>
              <w:right w:val="single" w:sz="4" w:space="0" w:color="auto"/>
            </w:tcBorders>
            <w:noWrap/>
          </w:tcPr>
          <w:p w14:paraId="232BBE4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1.925</w:t>
            </w:r>
          </w:p>
        </w:tc>
        <w:tc>
          <w:tcPr>
            <w:tcW w:w="992" w:type="dxa"/>
            <w:tcBorders>
              <w:top w:val="nil"/>
              <w:left w:val="nil"/>
              <w:bottom w:val="single" w:sz="4" w:space="0" w:color="auto"/>
              <w:right w:val="single" w:sz="4" w:space="0" w:color="auto"/>
            </w:tcBorders>
            <w:noWrap/>
          </w:tcPr>
          <w:p w14:paraId="602F39C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E8228A7"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3FBA8E1"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72</w:t>
            </w:r>
          </w:p>
        </w:tc>
        <w:tc>
          <w:tcPr>
            <w:tcW w:w="4578" w:type="dxa"/>
            <w:tcBorders>
              <w:top w:val="nil"/>
              <w:left w:val="single" w:sz="4" w:space="0" w:color="auto"/>
              <w:bottom w:val="single" w:sz="4" w:space="0" w:color="auto"/>
              <w:right w:val="single" w:sz="4" w:space="0" w:color="auto"/>
            </w:tcBorders>
            <w:noWrap/>
          </w:tcPr>
          <w:p w14:paraId="388A75D6"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MERCEDES ABREGO</w:t>
            </w:r>
          </w:p>
        </w:tc>
        <w:tc>
          <w:tcPr>
            <w:tcW w:w="993" w:type="dxa"/>
            <w:tcBorders>
              <w:top w:val="nil"/>
              <w:left w:val="nil"/>
              <w:bottom w:val="single" w:sz="4" w:space="0" w:color="auto"/>
              <w:right w:val="single" w:sz="4" w:space="0" w:color="auto"/>
            </w:tcBorders>
            <w:noWrap/>
          </w:tcPr>
          <w:p w14:paraId="32D77221"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tcPr>
          <w:p w14:paraId="0E42183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3.391 </w:t>
            </w:r>
          </w:p>
        </w:tc>
        <w:tc>
          <w:tcPr>
            <w:tcW w:w="1276" w:type="dxa"/>
            <w:tcBorders>
              <w:top w:val="nil"/>
              <w:left w:val="single" w:sz="4" w:space="0" w:color="auto"/>
              <w:bottom w:val="single" w:sz="4" w:space="0" w:color="auto"/>
              <w:right w:val="single" w:sz="4" w:space="0" w:color="auto"/>
            </w:tcBorders>
            <w:noWrap/>
          </w:tcPr>
          <w:p w14:paraId="18A86AC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3.211</w:t>
            </w:r>
          </w:p>
        </w:tc>
        <w:tc>
          <w:tcPr>
            <w:tcW w:w="992" w:type="dxa"/>
            <w:tcBorders>
              <w:top w:val="nil"/>
              <w:left w:val="nil"/>
              <w:bottom w:val="single" w:sz="4" w:space="0" w:color="auto"/>
              <w:right w:val="single" w:sz="4" w:space="0" w:color="auto"/>
            </w:tcBorders>
            <w:noWrap/>
          </w:tcPr>
          <w:p w14:paraId="1014F18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48950D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25E3E06"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73</w:t>
            </w:r>
          </w:p>
        </w:tc>
        <w:tc>
          <w:tcPr>
            <w:tcW w:w="4578" w:type="dxa"/>
            <w:tcBorders>
              <w:top w:val="nil"/>
              <w:left w:val="single" w:sz="4" w:space="0" w:color="auto"/>
              <w:bottom w:val="single" w:sz="4" w:space="0" w:color="auto"/>
              <w:right w:val="single" w:sz="4" w:space="0" w:color="auto"/>
            </w:tcBorders>
            <w:noWrap/>
          </w:tcPr>
          <w:p w14:paraId="647E3E3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NUESTRA SEÑORA DEL BUEN AIRE</w:t>
            </w:r>
          </w:p>
        </w:tc>
        <w:tc>
          <w:tcPr>
            <w:tcW w:w="993" w:type="dxa"/>
            <w:tcBorders>
              <w:top w:val="nil"/>
              <w:left w:val="nil"/>
              <w:bottom w:val="single" w:sz="4" w:space="0" w:color="auto"/>
              <w:right w:val="single" w:sz="4" w:space="0" w:color="auto"/>
            </w:tcBorders>
            <w:noWrap/>
          </w:tcPr>
          <w:p w14:paraId="5A260CF0"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00CB332D"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1.272 </w:t>
            </w:r>
          </w:p>
        </w:tc>
        <w:tc>
          <w:tcPr>
            <w:tcW w:w="1276" w:type="dxa"/>
            <w:tcBorders>
              <w:top w:val="nil"/>
              <w:left w:val="single" w:sz="4" w:space="0" w:color="auto"/>
              <w:bottom w:val="single" w:sz="4" w:space="0" w:color="auto"/>
              <w:right w:val="single" w:sz="4" w:space="0" w:color="auto"/>
            </w:tcBorders>
            <w:noWrap/>
          </w:tcPr>
          <w:p w14:paraId="0E76EC9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1.403</w:t>
            </w:r>
          </w:p>
        </w:tc>
        <w:tc>
          <w:tcPr>
            <w:tcW w:w="992" w:type="dxa"/>
            <w:tcBorders>
              <w:top w:val="nil"/>
              <w:left w:val="nil"/>
              <w:bottom w:val="single" w:sz="4" w:space="0" w:color="auto"/>
              <w:right w:val="single" w:sz="4" w:space="0" w:color="auto"/>
            </w:tcBorders>
            <w:noWrap/>
          </w:tcPr>
          <w:p w14:paraId="035FFD6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5156F099"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72F01AD1"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74</w:t>
            </w:r>
          </w:p>
        </w:tc>
        <w:tc>
          <w:tcPr>
            <w:tcW w:w="4578" w:type="dxa"/>
            <w:tcBorders>
              <w:top w:val="nil"/>
              <w:left w:val="single" w:sz="4" w:space="0" w:color="auto"/>
              <w:bottom w:val="single" w:sz="4" w:space="0" w:color="auto"/>
              <w:right w:val="single" w:sz="4" w:space="0" w:color="auto"/>
            </w:tcBorders>
            <w:noWrap/>
          </w:tcPr>
          <w:p w14:paraId="0041B50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NUESTRA SEÑORA DEL CARMEN</w:t>
            </w:r>
          </w:p>
        </w:tc>
        <w:tc>
          <w:tcPr>
            <w:tcW w:w="993" w:type="dxa"/>
            <w:tcBorders>
              <w:top w:val="nil"/>
              <w:left w:val="nil"/>
              <w:bottom w:val="single" w:sz="4" w:space="0" w:color="auto"/>
              <w:right w:val="single" w:sz="4" w:space="0" w:color="auto"/>
            </w:tcBorders>
            <w:noWrap/>
          </w:tcPr>
          <w:p w14:paraId="73CAC1C1"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tcPr>
          <w:p w14:paraId="4477FEC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2.737 </w:t>
            </w:r>
          </w:p>
        </w:tc>
        <w:tc>
          <w:tcPr>
            <w:tcW w:w="1276" w:type="dxa"/>
            <w:tcBorders>
              <w:top w:val="nil"/>
              <w:left w:val="single" w:sz="4" w:space="0" w:color="auto"/>
              <w:bottom w:val="single" w:sz="4" w:space="0" w:color="auto"/>
              <w:right w:val="single" w:sz="4" w:space="0" w:color="auto"/>
            </w:tcBorders>
            <w:noWrap/>
          </w:tcPr>
          <w:p w14:paraId="4A74FAB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2.979</w:t>
            </w:r>
          </w:p>
        </w:tc>
        <w:tc>
          <w:tcPr>
            <w:tcW w:w="992" w:type="dxa"/>
            <w:tcBorders>
              <w:top w:val="nil"/>
              <w:left w:val="nil"/>
              <w:bottom w:val="single" w:sz="4" w:space="0" w:color="auto"/>
              <w:right w:val="single" w:sz="4" w:space="0" w:color="auto"/>
            </w:tcBorders>
            <w:noWrap/>
          </w:tcPr>
          <w:p w14:paraId="04C33F1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F605579"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F5908BC"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75</w:t>
            </w:r>
          </w:p>
        </w:tc>
        <w:tc>
          <w:tcPr>
            <w:tcW w:w="4578" w:type="dxa"/>
            <w:tcBorders>
              <w:top w:val="nil"/>
              <w:left w:val="single" w:sz="4" w:space="0" w:color="auto"/>
              <w:bottom w:val="single" w:sz="4" w:space="0" w:color="auto"/>
              <w:right w:val="single" w:sz="4" w:space="0" w:color="auto"/>
            </w:tcBorders>
            <w:noWrap/>
          </w:tcPr>
          <w:p w14:paraId="65B0BE08"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NUESTRA SEÑORA DEL PERPETUO SOCORRO</w:t>
            </w:r>
          </w:p>
        </w:tc>
        <w:tc>
          <w:tcPr>
            <w:tcW w:w="993" w:type="dxa"/>
            <w:tcBorders>
              <w:top w:val="nil"/>
              <w:left w:val="nil"/>
              <w:bottom w:val="single" w:sz="4" w:space="0" w:color="auto"/>
              <w:right w:val="single" w:sz="4" w:space="0" w:color="auto"/>
            </w:tcBorders>
            <w:noWrap/>
          </w:tcPr>
          <w:p w14:paraId="4877196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1C16CF8D"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1.302 </w:t>
            </w:r>
          </w:p>
        </w:tc>
        <w:tc>
          <w:tcPr>
            <w:tcW w:w="1276" w:type="dxa"/>
            <w:tcBorders>
              <w:top w:val="nil"/>
              <w:left w:val="single" w:sz="4" w:space="0" w:color="auto"/>
              <w:bottom w:val="single" w:sz="4" w:space="0" w:color="auto"/>
              <w:right w:val="single" w:sz="4" w:space="0" w:color="auto"/>
            </w:tcBorders>
            <w:noWrap/>
          </w:tcPr>
          <w:p w14:paraId="3225181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1.306</w:t>
            </w:r>
          </w:p>
        </w:tc>
        <w:tc>
          <w:tcPr>
            <w:tcW w:w="992" w:type="dxa"/>
            <w:tcBorders>
              <w:top w:val="nil"/>
              <w:left w:val="nil"/>
              <w:bottom w:val="single" w:sz="4" w:space="0" w:color="auto"/>
              <w:right w:val="single" w:sz="4" w:space="0" w:color="auto"/>
            </w:tcBorders>
            <w:noWrap/>
          </w:tcPr>
          <w:p w14:paraId="541AB36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9BE4B31"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DBBD680"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76</w:t>
            </w:r>
          </w:p>
        </w:tc>
        <w:tc>
          <w:tcPr>
            <w:tcW w:w="4578" w:type="dxa"/>
            <w:tcBorders>
              <w:top w:val="nil"/>
              <w:left w:val="single" w:sz="4" w:space="0" w:color="auto"/>
              <w:bottom w:val="single" w:sz="4" w:space="0" w:color="auto"/>
              <w:right w:val="single" w:sz="4" w:space="0" w:color="auto"/>
            </w:tcBorders>
            <w:noWrap/>
          </w:tcPr>
          <w:p w14:paraId="3A20DAA5"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NUESTRO ESFUERZO</w:t>
            </w:r>
          </w:p>
        </w:tc>
        <w:tc>
          <w:tcPr>
            <w:tcW w:w="993" w:type="dxa"/>
            <w:tcBorders>
              <w:top w:val="nil"/>
              <w:left w:val="nil"/>
              <w:bottom w:val="single" w:sz="4" w:space="0" w:color="auto"/>
              <w:right w:val="single" w:sz="4" w:space="0" w:color="auto"/>
            </w:tcBorders>
            <w:noWrap/>
          </w:tcPr>
          <w:p w14:paraId="1970C63C"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16719A8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1.361 </w:t>
            </w:r>
          </w:p>
        </w:tc>
        <w:tc>
          <w:tcPr>
            <w:tcW w:w="1276" w:type="dxa"/>
            <w:tcBorders>
              <w:top w:val="nil"/>
              <w:left w:val="single" w:sz="4" w:space="0" w:color="auto"/>
              <w:bottom w:val="single" w:sz="4" w:space="0" w:color="auto"/>
              <w:right w:val="single" w:sz="4" w:space="0" w:color="auto"/>
            </w:tcBorders>
            <w:noWrap/>
          </w:tcPr>
          <w:p w14:paraId="1F42FA4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1.373</w:t>
            </w:r>
          </w:p>
        </w:tc>
        <w:tc>
          <w:tcPr>
            <w:tcW w:w="992" w:type="dxa"/>
            <w:tcBorders>
              <w:top w:val="nil"/>
              <w:left w:val="nil"/>
              <w:bottom w:val="single" w:sz="4" w:space="0" w:color="auto"/>
              <w:right w:val="single" w:sz="4" w:space="0" w:color="auto"/>
            </w:tcBorders>
            <w:noWrap/>
          </w:tcPr>
          <w:p w14:paraId="678739B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FA0930D"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457809A"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77</w:t>
            </w:r>
          </w:p>
        </w:tc>
        <w:tc>
          <w:tcPr>
            <w:tcW w:w="4578" w:type="dxa"/>
            <w:tcBorders>
              <w:top w:val="nil"/>
              <w:left w:val="single" w:sz="4" w:space="0" w:color="auto"/>
              <w:bottom w:val="single" w:sz="4" w:space="0" w:color="auto"/>
              <w:right w:val="single" w:sz="4" w:space="0" w:color="auto"/>
            </w:tcBorders>
            <w:noWrap/>
          </w:tcPr>
          <w:p w14:paraId="4BED59B4"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NUEVA ESPERANZA ARROYO GRANDE</w:t>
            </w:r>
          </w:p>
        </w:tc>
        <w:tc>
          <w:tcPr>
            <w:tcW w:w="993" w:type="dxa"/>
            <w:tcBorders>
              <w:top w:val="nil"/>
              <w:left w:val="nil"/>
              <w:bottom w:val="single" w:sz="4" w:space="0" w:color="auto"/>
              <w:right w:val="single" w:sz="4" w:space="0" w:color="auto"/>
            </w:tcBorders>
            <w:noWrap/>
          </w:tcPr>
          <w:p w14:paraId="6B972C59"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tcPr>
          <w:p w14:paraId="218D49FF"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740 </w:t>
            </w:r>
          </w:p>
        </w:tc>
        <w:tc>
          <w:tcPr>
            <w:tcW w:w="1276" w:type="dxa"/>
            <w:tcBorders>
              <w:top w:val="nil"/>
              <w:left w:val="single" w:sz="4" w:space="0" w:color="auto"/>
              <w:bottom w:val="single" w:sz="4" w:space="0" w:color="auto"/>
              <w:right w:val="single" w:sz="4" w:space="0" w:color="auto"/>
            </w:tcBorders>
            <w:noWrap/>
          </w:tcPr>
          <w:p w14:paraId="445C724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845</w:t>
            </w:r>
          </w:p>
        </w:tc>
        <w:tc>
          <w:tcPr>
            <w:tcW w:w="992" w:type="dxa"/>
            <w:tcBorders>
              <w:top w:val="nil"/>
              <w:left w:val="nil"/>
              <w:bottom w:val="single" w:sz="4" w:space="0" w:color="auto"/>
              <w:right w:val="single" w:sz="4" w:space="0" w:color="auto"/>
            </w:tcBorders>
            <w:noWrap/>
          </w:tcPr>
          <w:p w14:paraId="299837C7"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644E199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E3637AE"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lastRenderedPageBreak/>
              <w:t>78</w:t>
            </w:r>
          </w:p>
        </w:tc>
        <w:tc>
          <w:tcPr>
            <w:tcW w:w="4578" w:type="dxa"/>
            <w:tcBorders>
              <w:top w:val="nil"/>
              <w:left w:val="single" w:sz="4" w:space="0" w:color="auto"/>
              <w:bottom w:val="single" w:sz="4" w:space="0" w:color="auto"/>
              <w:right w:val="single" w:sz="4" w:space="0" w:color="auto"/>
            </w:tcBorders>
            <w:noWrap/>
          </w:tcPr>
          <w:p w14:paraId="610305DF"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NUEVO BOSQUE</w:t>
            </w:r>
          </w:p>
        </w:tc>
        <w:tc>
          <w:tcPr>
            <w:tcW w:w="993" w:type="dxa"/>
            <w:tcBorders>
              <w:top w:val="nil"/>
              <w:left w:val="nil"/>
              <w:bottom w:val="single" w:sz="4" w:space="0" w:color="auto"/>
              <w:right w:val="single" w:sz="4" w:space="0" w:color="auto"/>
            </w:tcBorders>
            <w:noWrap/>
          </w:tcPr>
          <w:p w14:paraId="4C0518EC"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tcPr>
          <w:p w14:paraId="7A99F89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2.471 </w:t>
            </w:r>
          </w:p>
        </w:tc>
        <w:tc>
          <w:tcPr>
            <w:tcW w:w="1276" w:type="dxa"/>
            <w:tcBorders>
              <w:top w:val="nil"/>
              <w:left w:val="single" w:sz="4" w:space="0" w:color="auto"/>
              <w:bottom w:val="single" w:sz="4" w:space="0" w:color="auto"/>
              <w:right w:val="single" w:sz="4" w:space="0" w:color="auto"/>
            </w:tcBorders>
            <w:noWrap/>
          </w:tcPr>
          <w:p w14:paraId="7FE19C8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2.878</w:t>
            </w:r>
          </w:p>
        </w:tc>
        <w:tc>
          <w:tcPr>
            <w:tcW w:w="992" w:type="dxa"/>
            <w:tcBorders>
              <w:top w:val="nil"/>
              <w:left w:val="nil"/>
              <w:bottom w:val="single" w:sz="4" w:space="0" w:color="auto"/>
              <w:right w:val="single" w:sz="4" w:space="0" w:color="auto"/>
            </w:tcBorders>
            <w:noWrap/>
          </w:tcPr>
          <w:p w14:paraId="0D3FD15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74524862"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339B2A5"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79</w:t>
            </w:r>
          </w:p>
        </w:tc>
        <w:tc>
          <w:tcPr>
            <w:tcW w:w="4578" w:type="dxa"/>
            <w:tcBorders>
              <w:top w:val="nil"/>
              <w:left w:val="single" w:sz="4" w:space="0" w:color="auto"/>
              <w:bottom w:val="single" w:sz="4" w:space="0" w:color="auto"/>
              <w:right w:val="single" w:sz="4" w:space="0" w:color="auto"/>
            </w:tcBorders>
            <w:noWrap/>
          </w:tcPr>
          <w:p w14:paraId="77871B2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OLGA GONZÁLEZ ARRAUT</w:t>
            </w:r>
          </w:p>
        </w:tc>
        <w:tc>
          <w:tcPr>
            <w:tcW w:w="993" w:type="dxa"/>
            <w:tcBorders>
              <w:top w:val="nil"/>
              <w:left w:val="nil"/>
              <w:bottom w:val="single" w:sz="4" w:space="0" w:color="auto"/>
              <w:right w:val="single" w:sz="4" w:space="0" w:color="auto"/>
            </w:tcBorders>
            <w:noWrap/>
          </w:tcPr>
          <w:p w14:paraId="1529EF14"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04C59D6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894 </w:t>
            </w:r>
          </w:p>
        </w:tc>
        <w:tc>
          <w:tcPr>
            <w:tcW w:w="1276" w:type="dxa"/>
            <w:tcBorders>
              <w:top w:val="nil"/>
              <w:left w:val="single" w:sz="4" w:space="0" w:color="auto"/>
              <w:bottom w:val="single" w:sz="4" w:space="0" w:color="auto"/>
              <w:right w:val="single" w:sz="4" w:space="0" w:color="auto"/>
            </w:tcBorders>
            <w:noWrap/>
          </w:tcPr>
          <w:p w14:paraId="2C34F2D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1.063</w:t>
            </w:r>
          </w:p>
        </w:tc>
        <w:tc>
          <w:tcPr>
            <w:tcW w:w="992" w:type="dxa"/>
            <w:tcBorders>
              <w:top w:val="nil"/>
              <w:left w:val="nil"/>
              <w:bottom w:val="single" w:sz="4" w:space="0" w:color="auto"/>
              <w:right w:val="single" w:sz="4" w:space="0" w:color="auto"/>
            </w:tcBorders>
            <w:noWrap/>
          </w:tcPr>
          <w:p w14:paraId="06548A8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24790A82"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3AFC96C"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80</w:t>
            </w:r>
          </w:p>
        </w:tc>
        <w:tc>
          <w:tcPr>
            <w:tcW w:w="4578" w:type="dxa"/>
            <w:tcBorders>
              <w:top w:val="nil"/>
              <w:left w:val="single" w:sz="4" w:space="0" w:color="auto"/>
              <w:bottom w:val="single" w:sz="4" w:space="0" w:color="auto"/>
              <w:right w:val="single" w:sz="4" w:space="0" w:color="auto"/>
            </w:tcBorders>
            <w:noWrap/>
          </w:tcPr>
          <w:p w14:paraId="59CEE46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OMAIRA SÁNCHEZ GARZÓN</w:t>
            </w:r>
          </w:p>
        </w:tc>
        <w:tc>
          <w:tcPr>
            <w:tcW w:w="993" w:type="dxa"/>
            <w:tcBorders>
              <w:top w:val="nil"/>
              <w:left w:val="nil"/>
              <w:bottom w:val="single" w:sz="4" w:space="0" w:color="auto"/>
              <w:right w:val="single" w:sz="4" w:space="0" w:color="auto"/>
            </w:tcBorders>
            <w:noWrap/>
          </w:tcPr>
          <w:p w14:paraId="711D887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1509A59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830 </w:t>
            </w:r>
          </w:p>
        </w:tc>
        <w:tc>
          <w:tcPr>
            <w:tcW w:w="1276" w:type="dxa"/>
            <w:tcBorders>
              <w:top w:val="nil"/>
              <w:left w:val="single" w:sz="4" w:space="0" w:color="auto"/>
              <w:bottom w:val="single" w:sz="4" w:space="0" w:color="auto"/>
              <w:right w:val="single" w:sz="4" w:space="0" w:color="auto"/>
            </w:tcBorders>
            <w:noWrap/>
          </w:tcPr>
          <w:p w14:paraId="2E22294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966</w:t>
            </w:r>
          </w:p>
        </w:tc>
        <w:tc>
          <w:tcPr>
            <w:tcW w:w="992" w:type="dxa"/>
            <w:tcBorders>
              <w:top w:val="nil"/>
              <w:left w:val="nil"/>
              <w:bottom w:val="single" w:sz="4" w:space="0" w:color="auto"/>
              <w:right w:val="single" w:sz="4" w:space="0" w:color="auto"/>
            </w:tcBorders>
            <w:noWrap/>
          </w:tcPr>
          <w:p w14:paraId="6F978FE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D668D6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294D280"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81</w:t>
            </w:r>
          </w:p>
        </w:tc>
        <w:tc>
          <w:tcPr>
            <w:tcW w:w="4578" w:type="dxa"/>
            <w:tcBorders>
              <w:top w:val="nil"/>
              <w:left w:val="single" w:sz="4" w:space="0" w:color="auto"/>
              <w:bottom w:val="single" w:sz="4" w:space="0" w:color="auto"/>
              <w:right w:val="single" w:sz="4" w:space="0" w:color="auto"/>
            </w:tcBorders>
            <w:noWrap/>
          </w:tcPr>
          <w:p w14:paraId="325C57F6"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PLAYAS DE ACAPULCO</w:t>
            </w:r>
          </w:p>
        </w:tc>
        <w:tc>
          <w:tcPr>
            <w:tcW w:w="993" w:type="dxa"/>
            <w:tcBorders>
              <w:top w:val="nil"/>
              <w:left w:val="nil"/>
              <w:bottom w:val="single" w:sz="4" w:space="0" w:color="auto"/>
              <w:right w:val="single" w:sz="4" w:space="0" w:color="auto"/>
            </w:tcBorders>
            <w:noWrap/>
          </w:tcPr>
          <w:p w14:paraId="1BA73B95"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79A573FB"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929 </w:t>
            </w:r>
          </w:p>
        </w:tc>
        <w:tc>
          <w:tcPr>
            <w:tcW w:w="1276" w:type="dxa"/>
            <w:tcBorders>
              <w:top w:val="nil"/>
              <w:left w:val="single" w:sz="4" w:space="0" w:color="auto"/>
              <w:bottom w:val="single" w:sz="4" w:space="0" w:color="auto"/>
              <w:right w:val="single" w:sz="4" w:space="0" w:color="auto"/>
            </w:tcBorders>
            <w:noWrap/>
          </w:tcPr>
          <w:p w14:paraId="5B5F4E8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926</w:t>
            </w:r>
          </w:p>
        </w:tc>
        <w:tc>
          <w:tcPr>
            <w:tcW w:w="992" w:type="dxa"/>
            <w:tcBorders>
              <w:top w:val="nil"/>
              <w:left w:val="nil"/>
              <w:bottom w:val="single" w:sz="4" w:space="0" w:color="auto"/>
              <w:right w:val="single" w:sz="4" w:space="0" w:color="auto"/>
            </w:tcBorders>
            <w:noWrap/>
          </w:tcPr>
          <w:p w14:paraId="7253A17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C9F4C4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24B785E"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82</w:t>
            </w:r>
          </w:p>
        </w:tc>
        <w:tc>
          <w:tcPr>
            <w:tcW w:w="4578" w:type="dxa"/>
            <w:tcBorders>
              <w:top w:val="nil"/>
              <w:left w:val="single" w:sz="4" w:space="0" w:color="auto"/>
              <w:bottom w:val="single" w:sz="4" w:space="0" w:color="auto"/>
              <w:right w:val="single" w:sz="4" w:space="0" w:color="auto"/>
            </w:tcBorders>
            <w:noWrap/>
          </w:tcPr>
          <w:p w14:paraId="145580B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PROMOCIÓN SOCIAL DE CARTAGENA</w:t>
            </w:r>
          </w:p>
        </w:tc>
        <w:tc>
          <w:tcPr>
            <w:tcW w:w="993" w:type="dxa"/>
            <w:tcBorders>
              <w:top w:val="nil"/>
              <w:left w:val="nil"/>
              <w:bottom w:val="single" w:sz="4" w:space="0" w:color="auto"/>
              <w:right w:val="single" w:sz="4" w:space="0" w:color="auto"/>
            </w:tcBorders>
            <w:noWrap/>
          </w:tcPr>
          <w:p w14:paraId="2F37F321"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tcPr>
          <w:p w14:paraId="1076FC21"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1.921 </w:t>
            </w:r>
          </w:p>
        </w:tc>
        <w:tc>
          <w:tcPr>
            <w:tcW w:w="1276" w:type="dxa"/>
            <w:tcBorders>
              <w:top w:val="nil"/>
              <w:left w:val="single" w:sz="4" w:space="0" w:color="auto"/>
              <w:bottom w:val="single" w:sz="4" w:space="0" w:color="auto"/>
              <w:right w:val="single" w:sz="4" w:space="0" w:color="auto"/>
            </w:tcBorders>
            <w:noWrap/>
          </w:tcPr>
          <w:p w14:paraId="3FB327E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1.991</w:t>
            </w:r>
          </w:p>
        </w:tc>
        <w:tc>
          <w:tcPr>
            <w:tcW w:w="992" w:type="dxa"/>
            <w:tcBorders>
              <w:top w:val="nil"/>
              <w:left w:val="nil"/>
              <w:bottom w:val="single" w:sz="4" w:space="0" w:color="auto"/>
              <w:right w:val="single" w:sz="4" w:space="0" w:color="auto"/>
            </w:tcBorders>
            <w:noWrap/>
          </w:tcPr>
          <w:p w14:paraId="570D8474"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7F114712"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63F10F8"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83</w:t>
            </w:r>
          </w:p>
        </w:tc>
        <w:tc>
          <w:tcPr>
            <w:tcW w:w="4578" w:type="dxa"/>
            <w:tcBorders>
              <w:top w:val="nil"/>
              <w:left w:val="single" w:sz="4" w:space="0" w:color="auto"/>
              <w:bottom w:val="single" w:sz="4" w:space="0" w:color="auto"/>
              <w:right w:val="single" w:sz="4" w:space="0" w:color="auto"/>
            </w:tcBorders>
            <w:noWrap/>
          </w:tcPr>
          <w:p w14:paraId="7C7AE29E"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PUERTO REY</w:t>
            </w:r>
          </w:p>
        </w:tc>
        <w:tc>
          <w:tcPr>
            <w:tcW w:w="993" w:type="dxa"/>
            <w:tcBorders>
              <w:top w:val="nil"/>
              <w:left w:val="nil"/>
              <w:bottom w:val="single" w:sz="4" w:space="0" w:color="auto"/>
              <w:right w:val="single" w:sz="4" w:space="0" w:color="auto"/>
            </w:tcBorders>
            <w:noWrap/>
          </w:tcPr>
          <w:p w14:paraId="1154B027"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78F6793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476 </w:t>
            </w:r>
          </w:p>
        </w:tc>
        <w:tc>
          <w:tcPr>
            <w:tcW w:w="1276" w:type="dxa"/>
            <w:tcBorders>
              <w:top w:val="nil"/>
              <w:left w:val="single" w:sz="4" w:space="0" w:color="auto"/>
              <w:bottom w:val="single" w:sz="4" w:space="0" w:color="auto"/>
              <w:right w:val="single" w:sz="4" w:space="0" w:color="auto"/>
            </w:tcBorders>
            <w:noWrap/>
          </w:tcPr>
          <w:p w14:paraId="22963EC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554</w:t>
            </w:r>
          </w:p>
        </w:tc>
        <w:tc>
          <w:tcPr>
            <w:tcW w:w="992" w:type="dxa"/>
            <w:tcBorders>
              <w:top w:val="nil"/>
              <w:left w:val="nil"/>
              <w:bottom w:val="single" w:sz="4" w:space="0" w:color="auto"/>
              <w:right w:val="single" w:sz="4" w:space="0" w:color="auto"/>
            </w:tcBorders>
            <w:noWrap/>
          </w:tcPr>
          <w:p w14:paraId="78F2361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5917F65F"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4E08B87"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84</w:t>
            </w:r>
          </w:p>
        </w:tc>
        <w:tc>
          <w:tcPr>
            <w:tcW w:w="4578" w:type="dxa"/>
            <w:tcBorders>
              <w:top w:val="nil"/>
              <w:left w:val="single" w:sz="4" w:space="0" w:color="auto"/>
              <w:bottom w:val="single" w:sz="4" w:space="0" w:color="auto"/>
              <w:right w:val="single" w:sz="4" w:space="0" w:color="auto"/>
            </w:tcBorders>
            <w:noWrap/>
          </w:tcPr>
          <w:p w14:paraId="45559BF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RAFAEL NÚÑEZ</w:t>
            </w:r>
          </w:p>
        </w:tc>
        <w:tc>
          <w:tcPr>
            <w:tcW w:w="993" w:type="dxa"/>
            <w:tcBorders>
              <w:top w:val="nil"/>
              <w:left w:val="nil"/>
              <w:bottom w:val="single" w:sz="4" w:space="0" w:color="auto"/>
              <w:right w:val="single" w:sz="4" w:space="0" w:color="auto"/>
            </w:tcBorders>
            <w:noWrap/>
          </w:tcPr>
          <w:p w14:paraId="004D88CF"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tcPr>
          <w:p w14:paraId="39862F83"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1.075 </w:t>
            </w:r>
          </w:p>
        </w:tc>
        <w:tc>
          <w:tcPr>
            <w:tcW w:w="1276" w:type="dxa"/>
            <w:tcBorders>
              <w:top w:val="nil"/>
              <w:left w:val="single" w:sz="4" w:space="0" w:color="auto"/>
              <w:bottom w:val="single" w:sz="4" w:space="0" w:color="auto"/>
              <w:right w:val="single" w:sz="4" w:space="0" w:color="auto"/>
            </w:tcBorders>
            <w:noWrap/>
          </w:tcPr>
          <w:p w14:paraId="6BD984E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1.058</w:t>
            </w:r>
          </w:p>
        </w:tc>
        <w:tc>
          <w:tcPr>
            <w:tcW w:w="992" w:type="dxa"/>
            <w:tcBorders>
              <w:top w:val="nil"/>
              <w:left w:val="nil"/>
              <w:bottom w:val="single" w:sz="4" w:space="0" w:color="auto"/>
              <w:right w:val="single" w:sz="4" w:space="0" w:color="auto"/>
            </w:tcBorders>
            <w:noWrap/>
          </w:tcPr>
          <w:p w14:paraId="12CCE27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9D5C61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75374E1"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85</w:t>
            </w:r>
          </w:p>
        </w:tc>
        <w:tc>
          <w:tcPr>
            <w:tcW w:w="4578" w:type="dxa"/>
            <w:tcBorders>
              <w:top w:val="nil"/>
              <w:left w:val="single" w:sz="4" w:space="0" w:color="auto"/>
              <w:bottom w:val="single" w:sz="4" w:space="0" w:color="auto"/>
              <w:right w:val="single" w:sz="4" w:space="0" w:color="auto"/>
            </w:tcBorders>
            <w:noWrap/>
          </w:tcPr>
          <w:p w14:paraId="27B79177"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REPUBLICA DE ARGENTINA</w:t>
            </w:r>
          </w:p>
        </w:tc>
        <w:tc>
          <w:tcPr>
            <w:tcW w:w="993" w:type="dxa"/>
            <w:tcBorders>
              <w:top w:val="nil"/>
              <w:left w:val="nil"/>
              <w:bottom w:val="single" w:sz="4" w:space="0" w:color="auto"/>
              <w:right w:val="single" w:sz="4" w:space="0" w:color="auto"/>
            </w:tcBorders>
            <w:noWrap/>
          </w:tcPr>
          <w:p w14:paraId="48543EC6"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62F902C7"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1.541 </w:t>
            </w:r>
          </w:p>
        </w:tc>
        <w:tc>
          <w:tcPr>
            <w:tcW w:w="1276" w:type="dxa"/>
            <w:tcBorders>
              <w:top w:val="nil"/>
              <w:left w:val="single" w:sz="4" w:space="0" w:color="auto"/>
              <w:bottom w:val="single" w:sz="4" w:space="0" w:color="auto"/>
              <w:right w:val="single" w:sz="4" w:space="0" w:color="auto"/>
            </w:tcBorders>
            <w:noWrap/>
          </w:tcPr>
          <w:p w14:paraId="05EC65C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1.638</w:t>
            </w:r>
          </w:p>
        </w:tc>
        <w:tc>
          <w:tcPr>
            <w:tcW w:w="992" w:type="dxa"/>
            <w:tcBorders>
              <w:top w:val="nil"/>
              <w:left w:val="nil"/>
              <w:bottom w:val="single" w:sz="4" w:space="0" w:color="auto"/>
              <w:right w:val="single" w:sz="4" w:space="0" w:color="auto"/>
            </w:tcBorders>
            <w:noWrap/>
          </w:tcPr>
          <w:p w14:paraId="590898A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E27B51A"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91E3940"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86</w:t>
            </w:r>
          </w:p>
        </w:tc>
        <w:tc>
          <w:tcPr>
            <w:tcW w:w="4578" w:type="dxa"/>
            <w:tcBorders>
              <w:top w:val="nil"/>
              <w:left w:val="single" w:sz="4" w:space="0" w:color="auto"/>
              <w:bottom w:val="single" w:sz="4" w:space="0" w:color="auto"/>
              <w:right w:val="single" w:sz="4" w:space="0" w:color="auto"/>
            </w:tcBorders>
            <w:noWrap/>
          </w:tcPr>
          <w:p w14:paraId="7787299C"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REPUBLICA DEL LÍBANO</w:t>
            </w:r>
          </w:p>
        </w:tc>
        <w:tc>
          <w:tcPr>
            <w:tcW w:w="993" w:type="dxa"/>
            <w:tcBorders>
              <w:top w:val="nil"/>
              <w:left w:val="nil"/>
              <w:bottom w:val="single" w:sz="4" w:space="0" w:color="auto"/>
              <w:right w:val="single" w:sz="4" w:space="0" w:color="auto"/>
            </w:tcBorders>
            <w:noWrap/>
          </w:tcPr>
          <w:p w14:paraId="17542BF4"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tcPr>
          <w:p w14:paraId="1326E0DF"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2.006 </w:t>
            </w:r>
          </w:p>
        </w:tc>
        <w:tc>
          <w:tcPr>
            <w:tcW w:w="1276" w:type="dxa"/>
            <w:tcBorders>
              <w:top w:val="nil"/>
              <w:left w:val="single" w:sz="4" w:space="0" w:color="auto"/>
              <w:bottom w:val="single" w:sz="4" w:space="0" w:color="auto"/>
              <w:right w:val="single" w:sz="4" w:space="0" w:color="auto"/>
            </w:tcBorders>
            <w:noWrap/>
          </w:tcPr>
          <w:p w14:paraId="558D8B7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2.281</w:t>
            </w:r>
          </w:p>
        </w:tc>
        <w:tc>
          <w:tcPr>
            <w:tcW w:w="992" w:type="dxa"/>
            <w:tcBorders>
              <w:top w:val="nil"/>
              <w:left w:val="nil"/>
              <w:bottom w:val="single" w:sz="4" w:space="0" w:color="auto"/>
              <w:right w:val="single" w:sz="4" w:space="0" w:color="auto"/>
            </w:tcBorders>
            <w:noWrap/>
          </w:tcPr>
          <w:p w14:paraId="322B9CB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4FA5DD4"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645B8F1E"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87</w:t>
            </w:r>
          </w:p>
        </w:tc>
        <w:tc>
          <w:tcPr>
            <w:tcW w:w="4578" w:type="dxa"/>
            <w:tcBorders>
              <w:top w:val="nil"/>
              <w:left w:val="single" w:sz="4" w:space="0" w:color="auto"/>
              <w:bottom w:val="single" w:sz="4" w:space="0" w:color="auto"/>
              <w:right w:val="single" w:sz="4" w:space="0" w:color="auto"/>
            </w:tcBorders>
            <w:noWrap/>
          </w:tcPr>
          <w:p w14:paraId="278E6896"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SALIM BECHARA</w:t>
            </w:r>
          </w:p>
        </w:tc>
        <w:tc>
          <w:tcPr>
            <w:tcW w:w="993" w:type="dxa"/>
            <w:tcBorders>
              <w:top w:val="nil"/>
              <w:left w:val="nil"/>
              <w:bottom w:val="single" w:sz="4" w:space="0" w:color="auto"/>
              <w:right w:val="single" w:sz="4" w:space="0" w:color="auto"/>
            </w:tcBorders>
            <w:noWrap/>
          </w:tcPr>
          <w:p w14:paraId="1D4F118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tcPr>
          <w:p w14:paraId="7D60CD2C"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1.396 </w:t>
            </w:r>
          </w:p>
        </w:tc>
        <w:tc>
          <w:tcPr>
            <w:tcW w:w="1276" w:type="dxa"/>
            <w:tcBorders>
              <w:top w:val="nil"/>
              <w:left w:val="single" w:sz="4" w:space="0" w:color="auto"/>
              <w:bottom w:val="single" w:sz="4" w:space="0" w:color="auto"/>
              <w:right w:val="single" w:sz="4" w:space="0" w:color="auto"/>
            </w:tcBorders>
            <w:noWrap/>
          </w:tcPr>
          <w:p w14:paraId="05ABFC5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1.417</w:t>
            </w:r>
          </w:p>
        </w:tc>
        <w:tc>
          <w:tcPr>
            <w:tcW w:w="992" w:type="dxa"/>
            <w:tcBorders>
              <w:top w:val="nil"/>
              <w:left w:val="nil"/>
              <w:bottom w:val="single" w:sz="4" w:space="0" w:color="auto"/>
              <w:right w:val="single" w:sz="4" w:space="0" w:color="auto"/>
            </w:tcBorders>
            <w:noWrap/>
          </w:tcPr>
          <w:p w14:paraId="31FD142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61412C0"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3EE6310"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88</w:t>
            </w:r>
          </w:p>
        </w:tc>
        <w:tc>
          <w:tcPr>
            <w:tcW w:w="4578" w:type="dxa"/>
            <w:tcBorders>
              <w:top w:val="nil"/>
              <w:left w:val="single" w:sz="4" w:space="0" w:color="auto"/>
              <w:bottom w:val="single" w:sz="4" w:space="0" w:color="auto"/>
              <w:right w:val="single" w:sz="4" w:space="0" w:color="auto"/>
            </w:tcBorders>
            <w:noWrap/>
          </w:tcPr>
          <w:p w14:paraId="0B5B1683"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SAN FELIPE NERI</w:t>
            </w:r>
          </w:p>
        </w:tc>
        <w:tc>
          <w:tcPr>
            <w:tcW w:w="993" w:type="dxa"/>
            <w:tcBorders>
              <w:top w:val="nil"/>
              <w:left w:val="nil"/>
              <w:bottom w:val="single" w:sz="4" w:space="0" w:color="auto"/>
              <w:right w:val="single" w:sz="4" w:space="0" w:color="auto"/>
            </w:tcBorders>
            <w:noWrap/>
          </w:tcPr>
          <w:p w14:paraId="407B4DD2"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55654DE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1.587 </w:t>
            </w:r>
          </w:p>
        </w:tc>
        <w:tc>
          <w:tcPr>
            <w:tcW w:w="1276" w:type="dxa"/>
            <w:tcBorders>
              <w:top w:val="nil"/>
              <w:left w:val="single" w:sz="4" w:space="0" w:color="auto"/>
              <w:bottom w:val="single" w:sz="4" w:space="0" w:color="auto"/>
              <w:right w:val="single" w:sz="4" w:space="0" w:color="auto"/>
            </w:tcBorders>
            <w:noWrap/>
          </w:tcPr>
          <w:p w14:paraId="2A6A5DE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1.518</w:t>
            </w:r>
          </w:p>
        </w:tc>
        <w:tc>
          <w:tcPr>
            <w:tcW w:w="992" w:type="dxa"/>
            <w:tcBorders>
              <w:top w:val="nil"/>
              <w:left w:val="nil"/>
              <w:bottom w:val="single" w:sz="4" w:space="0" w:color="auto"/>
              <w:right w:val="single" w:sz="4" w:space="0" w:color="auto"/>
            </w:tcBorders>
            <w:noWrap/>
          </w:tcPr>
          <w:p w14:paraId="4DA034B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4C9B57D"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B200C4B"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89</w:t>
            </w:r>
          </w:p>
        </w:tc>
        <w:tc>
          <w:tcPr>
            <w:tcW w:w="4578" w:type="dxa"/>
            <w:tcBorders>
              <w:top w:val="nil"/>
              <w:left w:val="single" w:sz="4" w:space="0" w:color="auto"/>
              <w:bottom w:val="single" w:sz="4" w:space="0" w:color="auto"/>
              <w:right w:val="single" w:sz="4" w:space="0" w:color="auto"/>
            </w:tcBorders>
            <w:noWrap/>
          </w:tcPr>
          <w:p w14:paraId="37846A18"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SAN FRANCISCO DE ASÍS</w:t>
            </w:r>
          </w:p>
        </w:tc>
        <w:tc>
          <w:tcPr>
            <w:tcW w:w="993" w:type="dxa"/>
            <w:tcBorders>
              <w:top w:val="nil"/>
              <w:left w:val="nil"/>
              <w:bottom w:val="single" w:sz="4" w:space="0" w:color="auto"/>
              <w:right w:val="single" w:sz="4" w:space="0" w:color="auto"/>
            </w:tcBorders>
            <w:noWrap/>
          </w:tcPr>
          <w:p w14:paraId="6DE6F42E"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5</w:t>
            </w:r>
          </w:p>
        </w:tc>
        <w:tc>
          <w:tcPr>
            <w:tcW w:w="1275" w:type="dxa"/>
            <w:tcBorders>
              <w:top w:val="nil"/>
              <w:left w:val="nil"/>
              <w:bottom w:val="single" w:sz="4" w:space="0" w:color="auto"/>
              <w:right w:val="single" w:sz="4" w:space="0" w:color="auto"/>
            </w:tcBorders>
          </w:tcPr>
          <w:p w14:paraId="50328444"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3.744 </w:t>
            </w:r>
          </w:p>
        </w:tc>
        <w:tc>
          <w:tcPr>
            <w:tcW w:w="1276" w:type="dxa"/>
            <w:tcBorders>
              <w:top w:val="nil"/>
              <w:left w:val="single" w:sz="4" w:space="0" w:color="auto"/>
              <w:bottom w:val="single" w:sz="4" w:space="0" w:color="auto"/>
              <w:right w:val="single" w:sz="4" w:space="0" w:color="auto"/>
            </w:tcBorders>
            <w:noWrap/>
          </w:tcPr>
          <w:p w14:paraId="3D0912C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4.285</w:t>
            </w:r>
          </w:p>
        </w:tc>
        <w:tc>
          <w:tcPr>
            <w:tcW w:w="992" w:type="dxa"/>
            <w:tcBorders>
              <w:top w:val="nil"/>
              <w:left w:val="nil"/>
              <w:bottom w:val="single" w:sz="4" w:space="0" w:color="auto"/>
              <w:right w:val="single" w:sz="4" w:space="0" w:color="auto"/>
            </w:tcBorders>
            <w:noWrap/>
          </w:tcPr>
          <w:p w14:paraId="2022094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FAFCEE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9446310"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4578" w:type="dxa"/>
            <w:tcBorders>
              <w:top w:val="nil"/>
              <w:left w:val="single" w:sz="4" w:space="0" w:color="auto"/>
              <w:bottom w:val="single" w:sz="4" w:space="0" w:color="auto"/>
              <w:right w:val="single" w:sz="4" w:space="0" w:color="auto"/>
            </w:tcBorders>
            <w:noWrap/>
          </w:tcPr>
          <w:p w14:paraId="2F9930CF"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SAN JOSÉ CAÑO DEL ORO</w:t>
            </w:r>
          </w:p>
        </w:tc>
        <w:tc>
          <w:tcPr>
            <w:tcW w:w="993" w:type="dxa"/>
            <w:tcBorders>
              <w:top w:val="nil"/>
              <w:left w:val="nil"/>
              <w:bottom w:val="single" w:sz="4" w:space="0" w:color="auto"/>
              <w:right w:val="single" w:sz="4" w:space="0" w:color="auto"/>
            </w:tcBorders>
            <w:noWrap/>
          </w:tcPr>
          <w:p w14:paraId="22F2406E"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429E7D8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576 </w:t>
            </w:r>
          </w:p>
        </w:tc>
        <w:tc>
          <w:tcPr>
            <w:tcW w:w="1276" w:type="dxa"/>
            <w:tcBorders>
              <w:top w:val="nil"/>
              <w:left w:val="single" w:sz="4" w:space="0" w:color="auto"/>
              <w:bottom w:val="single" w:sz="4" w:space="0" w:color="auto"/>
              <w:right w:val="single" w:sz="4" w:space="0" w:color="auto"/>
            </w:tcBorders>
            <w:noWrap/>
          </w:tcPr>
          <w:p w14:paraId="5542550C"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603</w:t>
            </w:r>
          </w:p>
        </w:tc>
        <w:tc>
          <w:tcPr>
            <w:tcW w:w="992" w:type="dxa"/>
            <w:tcBorders>
              <w:top w:val="nil"/>
              <w:left w:val="nil"/>
              <w:bottom w:val="single" w:sz="4" w:space="0" w:color="auto"/>
              <w:right w:val="single" w:sz="4" w:space="0" w:color="auto"/>
            </w:tcBorders>
            <w:noWrap/>
          </w:tcPr>
          <w:p w14:paraId="6CC57F4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4E4B3999"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46A18282"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91</w:t>
            </w:r>
          </w:p>
        </w:tc>
        <w:tc>
          <w:tcPr>
            <w:tcW w:w="4578" w:type="dxa"/>
            <w:tcBorders>
              <w:top w:val="nil"/>
              <w:left w:val="single" w:sz="4" w:space="0" w:color="auto"/>
              <w:bottom w:val="single" w:sz="4" w:space="0" w:color="auto"/>
              <w:right w:val="single" w:sz="4" w:space="0" w:color="auto"/>
            </w:tcBorders>
            <w:noWrap/>
          </w:tcPr>
          <w:p w14:paraId="3D18822E"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SAN JUAN DE DAMASCO</w:t>
            </w:r>
          </w:p>
        </w:tc>
        <w:tc>
          <w:tcPr>
            <w:tcW w:w="993" w:type="dxa"/>
            <w:tcBorders>
              <w:top w:val="nil"/>
              <w:left w:val="nil"/>
              <w:bottom w:val="single" w:sz="4" w:space="0" w:color="auto"/>
              <w:right w:val="single" w:sz="4" w:space="0" w:color="auto"/>
            </w:tcBorders>
            <w:noWrap/>
          </w:tcPr>
          <w:p w14:paraId="7046E717"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3</w:t>
            </w:r>
          </w:p>
        </w:tc>
        <w:tc>
          <w:tcPr>
            <w:tcW w:w="1275" w:type="dxa"/>
            <w:tcBorders>
              <w:top w:val="nil"/>
              <w:left w:val="nil"/>
              <w:bottom w:val="single" w:sz="4" w:space="0" w:color="auto"/>
              <w:right w:val="single" w:sz="4" w:space="0" w:color="auto"/>
            </w:tcBorders>
          </w:tcPr>
          <w:p w14:paraId="6B1C4906"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1.347 </w:t>
            </w:r>
          </w:p>
        </w:tc>
        <w:tc>
          <w:tcPr>
            <w:tcW w:w="1276" w:type="dxa"/>
            <w:tcBorders>
              <w:top w:val="nil"/>
              <w:left w:val="single" w:sz="4" w:space="0" w:color="auto"/>
              <w:bottom w:val="single" w:sz="4" w:space="0" w:color="auto"/>
              <w:right w:val="single" w:sz="4" w:space="0" w:color="auto"/>
            </w:tcBorders>
            <w:noWrap/>
          </w:tcPr>
          <w:p w14:paraId="372A6C2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1.392</w:t>
            </w:r>
          </w:p>
        </w:tc>
        <w:tc>
          <w:tcPr>
            <w:tcW w:w="992" w:type="dxa"/>
            <w:tcBorders>
              <w:top w:val="nil"/>
              <w:left w:val="nil"/>
              <w:bottom w:val="single" w:sz="4" w:space="0" w:color="auto"/>
              <w:right w:val="single" w:sz="4" w:space="0" w:color="auto"/>
            </w:tcBorders>
            <w:noWrap/>
          </w:tcPr>
          <w:p w14:paraId="71831F0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4542B5F3"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6ED706F"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92</w:t>
            </w:r>
          </w:p>
        </w:tc>
        <w:tc>
          <w:tcPr>
            <w:tcW w:w="4578" w:type="dxa"/>
            <w:tcBorders>
              <w:top w:val="nil"/>
              <w:left w:val="single" w:sz="4" w:space="0" w:color="auto"/>
              <w:bottom w:val="single" w:sz="4" w:space="0" w:color="auto"/>
              <w:right w:val="single" w:sz="4" w:space="0" w:color="auto"/>
            </w:tcBorders>
            <w:noWrap/>
          </w:tcPr>
          <w:p w14:paraId="4DFF219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SAN LUCAS</w:t>
            </w:r>
          </w:p>
        </w:tc>
        <w:tc>
          <w:tcPr>
            <w:tcW w:w="993" w:type="dxa"/>
            <w:tcBorders>
              <w:top w:val="nil"/>
              <w:left w:val="nil"/>
              <w:bottom w:val="single" w:sz="4" w:space="0" w:color="auto"/>
              <w:right w:val="single" w:sz="4" w:space="0" w:color="auto"/>
            </w:tcBorders>
            <w:noWrap/>
          </w:tcPr>
          <w:p w14:paraId="4FB8CB2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tcPr>
          <w:p w14:paraId="7F56E943"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2.106 </w:t>
            </w:r>
          </w:p>
        </w:tc>
        <w:tc>
          <w:tcPr>
            <w:tcW w:w="1276" w:type="dxa"/>
            <w:tcBorders>
              <w:top w:val="nil"/>
              <w:left w:val="single" w:sz="4" w:space="0" w:color="auto"/>
              <w:bottom w:val="single" w:sz="4" w:space="0" w:color="auto"/>
              <w:right w:val="single" w:sz="4" w:space="0" w:color="auto"/>
            </w:tcBorders>
            <w:noWrap/>
          </w:tcPr>
          <w:p w14:paraId="443FBBD5"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2.011</w:t>
            </w:r>
          </w:p>
        </w:tc>
        <w:tc>
          <w:tcPr>
            <w:tcW w:w="992" w:type="dxa"/>
            <w:tcBorders>
              <w:top w:val="nil"/>
              <w:left w:val="nil"/>
              <w:bottom w:val="single" w:sz="4" w:space="0" w:color="auto"/>
              <w:right w:val="single" w:sz="4" w:space="0" w:color="auto"/>
            </w:tcBorders>
            <w:noWrap/>
          </w:tcPr>
          <w:p w14:paraId="5C15A408"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C22C785"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B4B0C76"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93</w:t>
            </w:r>
          </w:p>
        </w:tc>
        <w:tc>
          <w:tcPr>
            <w:tcW w:w="4578" w:type="dxa"/>
            <w:tcBorders>
              <w:top w:val="nil"/>
              <w:left w:val="single" w:sz="4" w:space="0" w:color="auto"/>
              <w:bottom w:val="single" w:sz="4" w:space="0" w:color="auto"/>
              <w:right w:val="single" w:sz="4" w:space="0" w:color="auto"/>
            </w:tcBorders>
            <w:noWrap/>
          </w:tcPr>
          <w:p w14:paraId="7929D4E5"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SANTA CRUZ DEL ISLOTE</w:t>
            </w:r>
          </w:p>
        </w:tc>
        <w:tc>
          <w:tcPr>
            <w:tcW w:w="993" w:type="dxa"/>
            <w:tcBorders>
              <w:top w:val="nil"/>
              <w:left w:val="nil"/>
              <w:bottom w:val="single" w:sz="4" w:space="0" w:color="auto"/>
              <w:right w:val="single" w:sz="4" w:space="0" w:color="auto"/>
            </w:tcBorders>
            <w:noWrap/>
          </w:tcPr>
          <w:p w14:paraId="54D940B6"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2D947922"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234 </w:t>
            </w:r>
          </w:p>
        </w:tc>
        <w:tc>
          <w:tcPr>
            <w:tcW w:w="1276" w:type="dxa"/>
            <w:tcBorders>
              <w:top w:val="nil"/>
              <w:left w:val="single" w:sz="4" w:space="0" w:color="auto"/>
              <w:bottom w:val="single" w:sz="4" w:space="0" w:color="auto"/>
              <w:right w:val="single" w:sz="4" w:space="0" w:color="auto"/>
            </w:tcBorders>
            <w:noWrap/>
          </w:tcPr>
          <w:p w14:paraId="33F7E03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219</w:t>
            </w:r>
          </w:p>
        </w:tc>
        <w:tc>
          <w:tcPr>
            <w:tcW w:w="992" w:type="dxa"/>
            <w:tcBorders>
              <w:top w:val="nil"/>
              <w:left w:val="nil"/>
              <w:bottom w:val="single" w:sz="4" w:space="0" w:color="auto"/>
              <w:right w:val="single" w:sz="4" w:space="0" w:color="auto"/>
            </w:tcBorders>
            <w:noWrap/>
          </w:tcPr>
          <w:p w14:paraId="4761C080"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78BD5797"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D4CE4B4"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94</w:t>
            </w:r>
          </w:p>
        </w:tc>
        <w:tc>
          <w:tcPr>
            <w:tcW w:w="4578" w:type="dxa"/>
            <w:tcBorders>
              <w:top w:val="nil"/>
              <w:left w:val="single" w:sz="4" w:space="0" w:color="auto"/>
              <w:bottom w:val="single" w:sz="4" w:space="0" w:color="auto"/>
              <w:right w:val="single" w:sz="4" w:space="0" w:color="auto"/>
            </w:tcBorders>
            <w:noWrap/>
          </w:tcPr>
          <w:p w14:paraId="79EE8762"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SANTA MARÍA</w:t>
            </w:r>
          </w:p>
        </w:tc>
        <w:tc>
          <w:tcPr>
            <w:tcW w:w="993" w:type="dxa"/>
            <w:tcBorders>
              <w:top w:val="nil"/>
              <w:left w:val="nil"/>
              <w:bottom w:val="single" w:sz="4" w:space="0" w:color="auto"/>
              <w:right w:val="single" w:sz="4" w:space="0" w:color="auto"/>
            </w:tcBorders>
            <w:noWrap/>
          </w:tcPr>
          <w:p w14:paraId="4ECCAB11"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tcPr>
          <w:p w14:paraId="1CCB9DBE"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2.636 </w:t>
            </w:r>
          </w:p>
        </w:tc>
        <w:tc>
          <w:tcPr>
            <w:tcW w:w="1276" w:type="dxa"/>
            <w:tcBorders>
              <w:top w:val="nil"/>
              <w:left w:val="single" w:sz="4" w:space="0" w:color="auto"/>
              <w:bottom w:val="single" w:sz="4" w:space="0" w:color="auto"/>
              <w:right w:val="single" w:sz="4" w:space="0" w:color="auto"/>
            </w:tcBorders>
            <w:noWrap/>
          </w:tcPr>
          <w:p w14:paraId="4A6F517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2.807</w:t>
            </w:r>
          </w:p>
        </w:tc>
        <w:tc>
          <w:tcPr>
            <w:tcW w:w="992" w:type="dxa"/>
            <w:tcBorders>
              <w:top w:val="nil"/>
              <w:left w:val="nil"/>
              <w:bottom w:val="single" w:sz="4" w:space="0" w:color="auto"/>
              <w:right w:val="single" w:sz="4" w:space="0" w:color="auto"/>
            </w:tcBorders>
            <w:noWrap/>
          </w:tcPr>
          <w:p w14:paraId="2B9470E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256A46A"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2D622BC"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95</w:t>
            </w:r>
          </w:p>
        </w:tc>
        <w:tc>
          <w:tcPr>
            <w:tcW w:w="4578" w:type="dxa"/>
            <w:tcBorders>
              <w:top w:val="nil"/>
              <w:left w:val="single" w:sz="4" w:space="0" w:color="auto"/>
              <w:bottom w:val="single" w:sz="4" w:space="0" w:color="auto"/>
              <w:right w:val="single" w:sz="4" w:space="0" w:color="auto"/>
            </w:tcBorders>
            <w:noWrap/>
          </w:tcPr>
          <w:p w14:paraId="3BFF48E9"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SEMINARIO</w:t>
            </w:r>
          </w:p>
        </w:tc>
        <w:tc>
          <w:tcPr>
            <w:tcW w:w="993" w:type="dxa"/>
            <w:tcBorders>
              <w:top w:val="nil"/>
              <w:left w:val="nil"/>
              <w:bottom w:val="single" w:sz="4" w:space="0" w:color="auto"/>
              <w:right w:val="single" w:sz="4" w:space="0" w:color="auto"/>
            </w:tcBorders>
            <w:noWrap/>
          </w:tcPr>
          <w:p w14:paraId="4B9CD87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5B29A53F"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2.457 </w:t>
            </w:r>
          </w:p>
        </w:tc>
        <w:tc>
          <w:tcPr>
            <w:tcW w:w="1276" w:type="dxa"/>
            <w:tcBorders>
              <w:top w:val="nil"/>
              <w:left w:val="single" w:sz="4" w:space="0" w:color="auto"/>
              <w:bottom w:val="single" w:sz="4" w:space="0" w:color="auto"/>
              <w:right w:val="single" w:sz="4" w:space="0" w:color="auto"/>
            </w:tcBorders>
            <w:noWrap/>
          </w:tcPr>
          <w:p w14:paraId="67B5556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2.451</w:t>
            </w:r>
          </w:p>
        </w:tc>
        <w:tc>
          <w:tcPr>
            <w:tcW w:w="992" w:type="dxa"/>
            <w:tcBorders>
              <w:top w:val="nil"/>
              <w:left w:val="nil"/>
              <w:bottom w:val="single" w:sz="4" w:space="0" w:color="auto"/>
              <w:right w:val="single" w:sz="4" w:space="0" w:color="auto"/>
            </w:tcBorders>
            <w:noWrap/>
          </w:tcPr>
          <w:p w14:paraId="329B13E2"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31F22BD8"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50EE2BC8"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96</w:t>
            </w:r>
          </w:p>
        </w:tc>
        <w:tc>
          <w:tcPr>
            <w:tcW w:w="4578" w:type="dxa"/>
            <w:tcBorders>
              <w:top w:val="nil"/>
              <w:left w:val="single" w:sz="4" w:space="0" w:color="auto"/>
              <w:bottom w:val="single" w:sz="4" w:space="0" w:color="auto"/>
              <w:right w:val="single" w:sz="4" w:space="0" w:color="auto"/>
            </w:tcBorders>
            <w:noWrap/>
          </w:tcPr>
          <w:p w14:paraId="5C12771E"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SOLEDAD ACOSTA DE SAMPER</w:t>
            </w:r>
          </w:p>
        </w:tc>
        <w:tc>
          <w:tcPr>
            <w:tcW w:w="993" w:type="dxa"/>
            <w:tcBorders>
              <w:top w:val="nil"/>
              <w:left w:val="nil"/>
              <w:bottom w:val="single" w:sz="4" w:space="0" w:color="auto"/>
              <w:right w:val="single" w:sz="4" w:space="0" w:color="auto"/>
            </w:tcBorders>
            <w:noWrap/>
          </w:tcPr>
          <w:p w14:paraId="4B70941D"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4</w:t>
            </w:r>
          </w:p>
        </w:tc>
        <w:tc>
          <w:tcPr>
            <w:tcW w:w="1275" w:type="dxa"/>
            <w:tcBorders>
              <w:top w:val="nil"/>
              <w:left w:val="nil"/>
              <w:bottom w:val="single" w:sz="4" w:space="0" w:color="auto"/>
              <w:right w:val="single" w:sz="4" w:space="0" w:color="auto"/>
            </w:tcBorders>
          </w:tcPr>
          <w:p w14:paraId="38EEEAB0"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4.411 </w:t>
            </w:r>
          </w:p>
        </w:tc>
        <w:tc>
          <w:tcPr>
            <w:tcW w:w="1276" w:type="dxa"/>
            <w:tcBorders>
              <w:top w:val="nil"/>
              <w:left w:val="single" w:sz="4" w:space="0" w:color="auto"/>
              <w:bottom w:val="single" w:sz="4" w:space="0" w:color="auto"/>
              <w:right w:val="single" w:sz="4" w:space="0" w:color="auto"/>
            </w:tcBorders>
            <w:noWrap/>
          </w:tcPr>
          <w:p w14:paraId="40AE26B9"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4.275</w:t>
            </w:r>
          </w:p>
        </w:tc>
        <w:tc>
          <w:tcPr>
            <w:tcW w:w="992" w:type="dxa"/>
            <w:tcBorders>
              <w:top w:val="nil"/>
              <w:left w:val="nil"/>
              <w:bottom w:val="single" w:sz="4" w:space="0" w:color="auto"/>
              <w:right w:val="single" w:sz="4" w:space="0" w:color="auto"/>
            </w:tcBorders>
            <w:noWrap/>
          </w:tcPr>
          <w:p w14:paraId="7410574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10393B42"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3288D583"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97</w:t>
            </w:r>
          </w:p>
        </w:tc>
        <w:tc>
          <w:tcPr>
            <w:tcW w:w="4578" w:type="dxa"/>
            <w:tcBorders>
              <w:top w:val="nil"/>
              <w:left w:val="single" w:sz="4" w:space="0" w:color="auto"/>
              <w:bottom w:val="single" w:sz="4" w:space="0" w:color="auto"/>
              <w:right w:val="single" w:sz="4" w:space="0" w:color="auto"/>
            </w:tcBorders>
            <w:noWrap/>
          </w:tcPr>
          <w:p w14:paraId="4673C67A"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SOLEDAD ROMÁN DE NÚÑEZ</w:t>
            </w:r>
          </w:p>
        </w:tc>
        <w:tc>
          <w:tcPr>
            <w:tcW w:w="993" w:type="dxa"/>
            <w:tcBorders>
              <w:top w:val="nil"/>
              <w:left w:val="nil"/>
              <w:bottom w:val="single" w:sz="4" w:space="0" w:color="auto"/>
              <w:right w:val="single" w:sz="4" w:space="0" w:color="auto"/>
            </w:tcBorders>
            <w:noWrap/>
          </w:tcPr>
          <w:p w14:paraId="6291FF86"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5</w:t>
            </w:r>
          </w:p>
        </w:tc>
        <w:tc>
          <w:tcPr>
            <w:tcW w:w="1275" w:type="dxa"/>
            <w:tcBorders>
              <w:top w:val="nil"/>
              <w:left w:val="nil"/>
              <w:bottom w:val="single" w:sz="4" w:space="0" w:color="auto"/>
              <w:right w:val="single" w:sz="4" w:space="0" w:color="auto"/>
            </w:tcBorders>
          </w:tcPr>
          <w:p w14:paraId="1604A348"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2.555 </w:t>
            </w:r>
          </w:p>
        </w:tc>
        <w:tc>
          <w:tcPr>
            <w:tcW w:w="1276" w:type="dxa"/>
            <w:tcBorders>
              <w:top w:val="nil"/>
              <w:left w:val="single" w:sz="4" w:space="0" w:color="auto"/>
              <w:bottom w:val="single" w:sz="4" w:space="0" w:color="auto"/>
              <w:right w:val="single" w:sz="4" w:space="0" w:color="auto"/>
            </w:tcBorders>
            <w:noWrap/>
          </w:tcPr>
          <w:p w14:paraId="4AF8AE56"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2.738</w:t>
            </w:r>
          </w:p>
        </w:tc>
        <w:tc>
          <w:tcPr>
            <w:tcW w:w="992" w:type="dxa"/>
            <w:tcBorders>
              <w:top w:val="nil"/>
              <w:left w:val="nil"/>
              <w:bottom w:val="single" w:sz="4" w:space="0" w:color="auto"/>
              <w:right w:val="single" w:sz="4" w:space="0" w:color="auto"/>
            </w:tcBorders>
            <w:noWrap/>
          </w:tcPr>
          <w:p w14:paraId="41450763"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05C67737"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7EA301BA"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w:t>
            </w:r>
          </w:p>
        </w:tc>
        <w:tc>
          <w:tcPr>
            <w:tcW w:w="4578" w:type="dxa"/>
            <w:tcBorders>
              <w:top w:val="nil"/>
              <w:left w:val="single" w:sz="4" w:space="0" w:color="auto"/>
              <w:bottom w:val="single" w:sz="4" w:space="0" w:color="auto"/>
              <w:right w:val="single" w:sz="4" w:space="0" w:color="auto"/>
            </w:tcBorders>
            <w:noWrap/>
          </w:tcPr>
          <w:p w14:paraId="4E8649F6"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TÉCNICA DE PASACABALLOS</w:t>
            </w:r>
          </w:p>
        </w:tc>
        <w:tc>
          <w:tcPr>
            <w:tcW w:w="993" w:type="dxa"/>
            <w:tcBorders>
              <w:top w:val="nil"/>
              <w:left w:val="nil"/>
              <w:bottom w:val="single" w:sz="4" w:space="0" w:color="auto"/>
              <w:right w:val="single" w:sz="4" w:space="0" w:color="auto"/>
            </w:tcBorders>
            <w:noWrap/>
          </w:tcPr>
          <w:p w14:paraId="10D032EB"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1E3E1EF7"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1.947 </w:t>
            </w:r>
          </w:p>
        </w:tc>
        <w:tc>
          <w:tcPr>
            <w:tcW w:w="1276" w:type="dxa"/>
            <w:tcBorders>
              <w:top w:val="nil"/>
              <w:left w:val="single" w:sz="4" w:space="0" w:color="auto"/>
              <w:bottom w:val="single" w:sz="4" w:space="0" w:color="auto"/>
              <w:right w:val="single" w:sz="4" w:space="0" w:color="auto"/>
            </w:tcBorders>
            <w:noWrap/>
          </w:tcPr>
          <w:p w14:paraId="5036A90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2.012</w:t>
            </w:r>
          </w:p>
        </w:tc>
        <w:tc>
          <w:tcPr>
            <w:tcW w:w="992" w:type="dxa"/>
            <w:tcBorders>
              <w:top w:val="nil"/>
              <w:left w:val="nil"/>
              <w:bottom w:val="single" w:sz="4" w:space="0" w:color="auto"/>
              <w:right w:val="single" w:sz="4" w:space="0" w:color="auto"/>
            </w:tcBorders>
            <w:noWrap/>
          </w:tcPr>
          <w:p w14:paraId="5BFFF77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5DCFC2AB"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29D835AD"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w:t>
            </w:r>
          </w:p>
        </w:tc>
        <w:tc>
          <w:tcPr>
            <w:tcW w:w="4578" w:type="dxa"/>
            <w:tcBorders>
              <w:top w:val="nil"/>
              <w:left w:val="single" w:sz="4" w:space="0" w:color="auto"/>
              <w:bottom w:val="single" w:sz="4" w:space="0" w:color="auto"/>
              <w:right w:val="single" w:sz="4" w:space="0" w:color="auto"/>
            </w:tcBorders>
            <w:noWrap/>
          </w:tcPr>
          <w:p w14:paraId="668FE644"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TIERRA BAJA</w:t>
            </w:r>
          </w:p>
        </w:tc>
        <w:tc>
          <w:tcPr>
            <w:tcW w:w="993" w:type="dxa"/>
            <w:tcBorders>
              <w:top w:val="nil"/>
              <w:left w:val="nil"/>
              <w:bottom w:val="single" w:sz="4" w:space="0" w:color="auto"/>
              <w:right w:val="single" w:sz="4" w:space="0" w:color="auto"/>
            </w:tcBorders>
            <w:noWrap/>
          </w:tcPr>
          <w:p w14:paraId="3981B64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403B0AD3"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513 </w:t>
            </w:r>
          </w:p>
        </w:tc>
        <w:tc>
          <w:tcPr>
            <w:tcW w:w="1276" w:type="dxa"/>
            <w:tcBorders>
              <w:top w:val="nil"/>
              <w:left w:val="single" w:sz="4" w:space="0" w:color="auto"/>
              <w:bottom w:val="single" w:sz="4" w:space="0" w:color="auto"/>
              <w:right w:val="single" w:sz="4" w:space="0" w:color="auto"/>
            </w:tcBorders>
            <w:noWrap/>
          </w:tcPr>
          <w:p w14:paraId="341B279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555</w:t>
            </w:r>
          </w:p>
        </w:tc>
        <w:tc>
          <w:tcPr>
            <w:tcW w:w="992" w:type="dxa"/>
            <w:tcBorders>
              <w:top w:val="nil"/>
              <w:left w:val="nil"/>
              <w:bottom w:val="single" w:sz="4" w:space="0" w:color="auto"/>
              <w:right w:val="single" w:sz="4" w:space="0" w:color="auto"/>
            </w:tcBorders>
            <w:noWrap/>
          </w:tcPr>
          <w:p w14:paraId="10CB2ED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RURAL</w:t>
            </w:r>
          </w:p>
        </w:tc>
      </w:tr>
      <w:tr w:rsidR="00C2076A" w:rsidRPr="00BE312C" w14:paraId="3BD2957D"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066C038D"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p>
        </w:tc>
        <w:tc>
          <w:tcPr>
            <w:tcW w:w="4578" w:type="dxa"/>
            <w:tcBorders>
              <w:top w:val="nil"/>
              <w:left w:val="single" w:sz="4" w:space="0" w:color="auto"/>
              <w:bottom w:val="single" w:sz="4" w:space="0" w:color="auto"/>
              <w:right w:val="single" w:sz="4" w:space="0" w:color="auto"/>
            </w:tcBorders>
            <w:noWrap/>
          </w:tcPr>
          <w:p w14:paraId="78D0DB23" w14:textId="77777777" w:rsidR="00C2076A" w:rsidRPr="003E6EF5" w:rsidRDefault="00794118" w:rsidP="00835F25">
            <w:pPr>
              <w:contextualSpacing/>
              <w:rPr>
                <w:rFonts w:ascii="Arial" w:eastAsia="Times New Roman" w:hAnsi="Arial" w:cs="Arial"/>
                <w:sz w:val="16"/>
                <w:szCs w:val="16"/>
                <w:lang w:val="es-CO" w:eastAsia="es-CO"/>
              </w:rPr>
            </w:pPr>
            <w:r w:rsidRPr="003E6EF5">
              <w:rPr>
                <w:rFonts w:ascii="Arial" w:hAnsi="Arial" w:cs="Arial"/>
                <w:sz w:val="16"/>
                <w:szCs w:val="16"/>
              </w:rPr>
              <w:t>INSTITUCIÓN EDUCATIVA VALORES UNIDOS</w:t>
            </w:r>
          </w:p>
        </w:tc>
        <w:tc>
          <w:tcPr>
            <w:tcW w:w="993" w:type="dxa"/>
            <w:tcBorders>
              <w:top w:val="nil"/>
              <w:left w:val="nil"/>
              <w:bottom w:val="single" w:sz="4" w:space="0" w:color="auto"/>
              <w:right w:val="single" w:sz="4" w:space="0" w:color="auto"/>
            </w:tcBorders>
            <w:noWrap/>
          </w:tcPr>
          <w:p w14:paraId="7F73C047"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16A459A8"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863 </w:t>
            </w:r>
          </w:p>
        </w:tc>
        <w:tc>
          <w:tcPr>
            <w:tcW w:w="1276" w:type="dxa"/>
            <w:tcBorders>
              <w:top w:val="nil"/>
              <w:left w:val="single" w:sz="4" w:space="0" w:color="auto"/>
              <w:bottom w:val="single" w:sz="4" w:space="0" w:color="auto"/>
              <w:right w:val="single" w:sz="4" w:space="0" w:color="auto"/>
            </w:tcBorders>
            <w:noWrap/>
          </w:tcPr>
          <w:p w14:paraId="3A10513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1.195</w:t>
            </w:r>
          </w:p>
        </w:tc>
        <w:tc>
          <w:tcPr>
            <w:tcW w:w="992" w:type="dxa"/>
            <w:tcBorders>
              <w:top w:val="nil"/>
              <w:left w:val="nil"/>
              <w:bottom w:val="single" w:sz="4" w:space="0" w:color="auto"/>
              <w:right w:val="single" w:sz="4" w:space="0" w:color="auto"/>
            </w:tcBorders>
            <w:noWrap/>
          </w:tcPr>
          <w:p w14:paraId="1F091E0D"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5B912D0E"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18BDC22A"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101</w:t>
            </w:r>
          </w:p>
        </w:tc>
        <w:tc>
          <w:tcPr>
            <w:tcW w:w="4578" w:type="dxa"/>
            <w:tcBorders>
              <w:top w:val="nil"/>
              <w:left w:val="single" w:sz="4" w:space="0" w:color="auto"/>
              <w:bottom w:val="single" w:sz="4" w:space="0" w:color="auto"/>
              <w:right w:val="single" w:sz="4" w:space="0" w:color="auto"/>
            </w:tcBorders>
            <w:noWrap/>
          </w:tcPr>
          <w:p w14:paraId="42CE925C" w14:textId="77777777" w:rsidR="00C2076A" w:rsidRPr="003E6EF5" w:rsidRDefault="00794118" w:rsidP="00835F25">
            <w:pPr>
              <w:contextualSpacing/>
              <w:rPr>
                <w:rFonts w:ascii="Arial" w:eastAsia="Times New Roman" w:hAnsi="Arial" w:cs="Arial"/>
                <w:sz w:val="16"/>
                <w:szCs w:val="16"/>
                <w:lang w:val="es-CO" w:eastAsia="es-CO"/>
              </w:rPr>
            </w:pPr>
            <w:r>
              <w:rPr>
                <w:rFonts w:ascii="Arial" w:hAnsi="Arial" w:cs="Arial"/>
                <w:sz w:val="16"/>
                <w:szCs w:val="16"/>
              </w:rPr>
              <w:t>IE</w:t>
            </w:r>
            <w:r w:rsidRPr="003E6EF5">
              <w:rPr>
                <w:rFonts w:ascii="Arial" w:hAnsi="Arial" w:cs="Arial"/>
                <w:sz w:val="16"/>
                <w:szCs w:val="16"/>
              </w:rPr>
              <w:t xml:space="preserve"> VILLA ESTRELLA</w:t>
            </w:r>
          </w:p>
        </w:tc>
        <w:tc>
          <w:tcPr>
            <w:tcW w:w="993" w:type="dxa"/>
            <w:tcBorders>
              <w:top w:val="nil"/>
              <w:left w:val="nil"/>
              <w:bottom w:val="single" w:sz="4" w:space="0" w:color="auto"/>
              <w:right w:val="single" w:sz="4" w:space="0" w:color="auto"/>
            </w:tcBorders>
            <w:noWrap/>
          </w:tcPr>
          <w:p w14:paraId="09D1A9BE"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1</w:t>
            </w:r>
          </w:p>
        </w:tc>
        <w:tc>
          <w:tcPr>
            <w:tcW w:w="1275" w:type="dxa"/>
            <w:tcBorders>
              <w:top w:val="nil"/>
              <w:left w:val="nil"/>
              <w:bottom w:val="single" w:sz="4" w:space="0" w:color="auto"/>
              <w:right w:val="single" w:sz="4" w:space="0" w:color="auto"/>
            </w:tcBorders>
          </w:tcPr>
          <w:p w14:paraId="4B699B17"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1.131 </w:t>
            </w:r>
          </w:p>
        </w:tc>
        <w:tc>
          <w:tcPr>
            <w:tcW w:w="1276" w:type="dxa"/>
            <w:tcBorders>
              <w:top w:val="nil"/>
              <w:left w:val="single" w:sz="4" w:space="0" w:color="auto"/>
              <w:bottom w:val="single" w:sz="4" w:space="0" w:color="auto"/>
              <w:right w:val="single" w:sz="4" w:space="0" w:color="auto"/>
            </w:tcBorders>
            <w:noWrap/>
          </w:tcPr>
          <w:p w14:paraId="2D6F9C9F"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1.274</w:t>
            </w:r>
          </w:p>
        </w:tc>
        <w:tc>
          <w:tcPr>
            <w:tcW w:w="992" w:type="dxa"/>
            <w:tcBorders>
              <w:top w:val="nil"/>
              <w:left w:val="nil"/>
              <w:bottom w:val="single" w:sz="4" w:space="0" w:color="auto"/>
              <w:right w:val="single" w:sz="4" w:space="0" w:color="auto"/>
            </w:tcBorders>
            <w:noWrap/>
          </w:tcPr>
          <w:p w14:paraId="2DD83C61"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C2076A" w:rsidRPr="00BE312C" w14:paraId="67877BA4" w14:textId="77777777" w:rsidTr="001D388B">
        <w:trPr>
          <w:trHeight w:val="20"/>
          <w:jc w:val="center"/>
        </w:trPr>
        <w:tc>
          <w:tcPr>
            <w:tcW w:w="520" w:type="dxa"/>
            <w:tcBorders>
              <w:top w:val="nil"/>
              <w:left w:val="single" w:sz="4" w:space="0" w:color="auto"/>
              <w:bottom w:val="single" w:sz="4" w:space="0" w:color="auto"/>
              <w:right w:val="single" w:sz="4" w:space="0" w:color="auto"/>
            </w:tcBorders>
          </w:tcPr>
          <w:p w14:paraId="6B7A476D" w14:textId="77777777" w:rsidR="00C2076A" w:rsidRDefault="00C2076A"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102</w:t>
            </w:r>
          </w:p>
        </w:tc>
        <w:tc>
          <w:tcPr>
            <w:tcW w:w="4578" w:type="dxa"/>
            <w:tcBorders>
              <w:top w:val="nil"/>
              <w:left w:val="single" w:sz="4" w:space="0" w:color="auto"/>
              <w:bottom w:val="single" w:sz="4" w:space="0" w:color="auto"/>
              <w:right w:val="single" w:sz="4" w:space="0" w:color="auto"/>
            </w:tcBorders>
            <w:noWrap/>
          </w:tcPr>
          <w:p w14:paraId="4D131C87" w14:textId="77777777" w:rsidR="00C2076A" w:rsidRPr="003E6EF5" w:rsidRDefault="00794118" w:rsidP="00835F25">
            <w:pPr>
              <w:contextualSpacing/>
              <w:rPr>
                <w:rFonts w:ascii="Arial" w:eastAsia="Times New Roman" w:hAnsi="Arial" w:cs="Arial"/>
                <w:sz w:val="16"/>
                <w:szCs w:val="16"/>
                <w:lang w:val="es-CO" w:eastAsia="es-CO"/>
              </w:rPr>
            </w:pPr>
            <w:r w:rsidRPr="003E6EF5">
              <w:rPr>
                <w:rFonts w:ascii="Arial" w:hAnsi="Arial" w:cs="Arial"/>
                <w:sz w:val="16"/>
                <w:szCs w:val="16"/>
              </w:rPr>
              <w:t>INSTITUCIÓN ETNOEDUCATIVA PEDRO ROMERO</w:t>
            </w:r>
          </w:p>
        </w:tc>
        <w:tc>
          <w:tcPr>
            <w:tcW w:w="993" w:type="dxa"/>
            <w:tcBorders>
              <w:top w:val="nil"/>
              <w:left w:val="nil"/>
              <w:bottom w:val="single" w:sz="4" w:space="0" w:color="auto"/>
              <w:right w:val="single" w:sz="4" w:space="0" w:color="auto"/>
            </w:tcBorders>
            <w:noWrap/>
          </w:tcPr>
          <w:p w14:paraId="713A51AA" w14:textId="77777777" w:rsidR="00C2076A" w:rsidRPr="00C36ECC" w:rsidRDefault="00794118"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2</w:t>
            </w:r>
          </w:p>
        </w:tc>
        <w:tc>
          <w:tcPr>
            <w:tcW w:w="1275" w:type="dxa"/>
            <w:tcBorders>
              <w:top w:val="nil"/>
              <w:left w:val="nil"/>
              <w:bottom w:val="single" w:sz="4" w:space="0" w:color="auto"/>
              <w:right w:val="single" w:sz="4" w:space="0" w:color="auto"/>
            </w:tcBorders>
          </w:tcPr>
          <w:p w14:paraId="655BD2CD" w14:textId="77777777" w:rsidR="00C2076A" w:rsidRPr="00C36ECC" w:rsidRDefault="00C2076A" w:rsidP="00835F25">
            <w:pPr>
              <w:contextualSpacing/>
              <w:jc w:val="center"/>
              <w:rPr>
                <w:rFonts w:ascii="Arial" w:eastAsia="Times New Roman" w:hAnsi="Arial" w:cs="Arial"/>
                <w:sz w:val="16"/>
                <w:szCs w:val="16"/>
                <w:lang w:val="es-CO" w:eastAsia="es-CO"/>
              </w:rPr>
            </w:pPr>
            <w:r w:rsidRPr="00C36ECC">
              <w:rPr>
                <w:rFonts w:ascii="Arial" w:hAnsi="Arial" w:cs="Arial"/>
                <w:sz w:val="16"/>
                <w:szCs w:val="16"/>
              </w:rPr>
              <w:t xml:space="preserve"> 1.350 </w:t>
            </w:r>
          </w:p>
        </w:tc>
        <w:tc>
          <w:tcPr>
            <w:tcW w:w="1276" w:type="dxa"/>
            <w:tcBorders>
              <w:top w:val="nil"/>
              <w:left w:val="single" w:sz="4" w:space="0" w:color="auto"/>
              <w:bottom w:val="single" w:sz="4" w:space="0" w:color="auto"/>
              <w:right w:val="single" w:sz="4" w:space="0" w:color="auto"/>
            </w:tcBorders>
            <w:noWrap/>
          </w:tcPr>
          <w:p w14:paraId="0EB2FFFB"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1.503</w:t>
            </w:r>
          </w:p>
        </w:tc>
        <w:tc>
          <w:tcPr>
            <w:tcW w:w="992" w:type="dxa"/>
            <w:tcBorders>
              <w:top w:val="nil"/>
              <w:left w:val="nil"/>
              <w:bottom w:val="single" w:sz="4" w:space="0" w:color="auto"/>
              <w:right w:val="single" w:sz="4" w:space="0" w:color="auto"/>
            </w:tcBorders>
            <w:noWrap/>
          </w:tcPr>
          <w:p w14:paraId="0412FD2E" w14:textId="77777777" w:rsidR="00C2076A" w:rsidRPr="00C2076A" w:rsidRDefault="00C2076A" w:rsidP="00835F25">
            <w:pPr>
              <w:contextualSpacing/>
              <w:jc w:val="center"/>
              <w:rPr>
                <w:rFonts w:ascii="Arial" w:eastAsia="Times New Roman" w:hAnsi="Arial" w:cs="Arial"/>
                <w:sz w:val="16"/>
                <w:szCs w:val="16"/>
                <w:lang w:val="es-CO" w:eastAsia="es-CO"/>
              </w:rPr>
            </w:pPr>
            <w:r w:rsidRPr="00C2076A">
              <w:rPr>
                <w:rFonts w:ascii="Arial" w:hAnsi="Arial" w:cs="Arial"/>
                <w:sz w:val="16"/>
                <w:szCs w:val="16"/>
              </w:rPr>
              <w:t>URBANA</w:t>
            </w:r>
          </w:p>
        </w:tc>
      </w:tr>
      <w:tr w:rsidR="004405B1" w:rsidRPr="006021DA" w14:paraId="2AF8FA73" w14:textId="77777777" w:rsidTr="001D388B">
        <w:trPr>
          <w:trHeight w:val="20"/>
          <w:jc w:val="center"/>
        </w:trPr>
        <w:tc>
          <w:tcPr>
            <w:tcW w:w="5098" w:type="dxa"/>
            <w:gridSpan w:val="2"/>
            <w:tcBorders>
              <w:top w:val="nil"/>
              <w:left w:val="single" w:sz="4" w:space="0" w:color="auto"/>
              <w:bottom w:val="single" w:sz="4" w:space="0" w:color="auto"/>
              <w:right w:val="single" w:sz="4" w:space="0" w:color="auto"/>
            </w:tcBorders>
            <w:shd w:val="clear" w:color="auto" w:fill="666699"/>
            <w:vAlign w:val="center"/>
            <w:hideMark/>
          </w:tcPr>
          <w:p w14:paraId="539F29AE" w14:textId="77777777" w:rsidR="004405B1" w:rsidRPr="00BF7628" w:rsidRDefault="00794118" w:rsidP="00835F25">
            <w:pPr>
              <w:contextualSpacing/>
              <w:jc w:val="center"/>
              <w:rPr>
                <w:rFonts w:ascii="Arial" w:eastAsia="Times New Roman" w:hAnsi="Arial" w:cs="Arial"/>
                <w:b/>
                <w:bCs/>
                <w:color w:val="FFFFFF" w:themeColor="background1"/>
                <w:sz w:val="16"/>
                <w:szCs w:val="16"/>
                <w:lang w:val="es-CO" w:eastAsia="es-CO"/>
              </w:rPr>
            </w:pPr>
            <w:r w:rsidRPr="00BF7628">
              <w:rPr>
                <w:rFonts w:ascii="Arial" w:eastAsia="Times New Roman" w:hAnsi="Arial" w:cs="Arial"/>
                <w:b/>
                <w:bCs/>
                <w:color w:val="FFFFFF" w:themeColor="background1"/>
                <w:sz w:val="16"/>
                <w:szCs w:val="16"/>
                <w:lang w:eastAsia="es-CO"/>
              </w:rPr>
              <w:t>TOTAL</w:t>
            </w:r>
          </w:p>
        </w:tc>
        <w:tc>
          <w:tcPr>
            <w:tcW w:w="993" w:type="dxa"/>
            <w:tcBorders>
              <w:top w:val="nil"/>
              <w:left w:val="nil"/>
              <w:bottom w:val="single" w:sz="4" w:space="0" w:color="auto"/>
              <w:right w:val="single" w:sz="4" w:space="0" w:color="auto"/>
            </w:tcBorders>
            <w:shd w:val="clear" w:color="auto" w:fill="666699"/>
            <w:noWrap/>
            <w:vAlign w:val="center"/>
          </w:tcPr>
          <w:p w14:paraId="1C0ECFA8" w14:textId="77777777" w:rsidR="004405B1" w:rsidRPr="00BF7628" w:rsidRDefault="00794118" w:rsidP="00835F25">
            <w:pPr>
              <w:contextualSpacing/>
              <w:jc w:val="center"/>
              <w:rPr>
                <w:rFonts w:ascii="Arial" w:eastAsia="Times New Roman" w:hAnsi="Arial" w:cs="Arial"/>
                <w:b/>
                <w:bCs/>
                <w:color w:val="FFFFFF" w:themeColor="background1"/>
                <w:sz w:val="16"/>
                <w:szCs w:val="16"/>
                <w:lang w:val="es-CO" w:eastAsia="es-CO"/>
              </w:rPr>
            </w:pPr>
            <w:r>
              <w:rPr>
                <w:rFonts w:ascii="Arial" w:eastAsia="Times New Roman" w:hAnsi="Arial" w:cs="Arial"/>
                <w:b/>
                <w:bCs/>
                <w:color w:val="FFFFFF" w:themeColor="background1"/>
                <w:sz w:val="16"/>
                <w:szCs w:val="16"/>
                <w:lang w:val="es-CO" w:eastAsia="es-CO"/>
              </w:rPr>
              <w:t>202</w:t>
            </w:r>
          </w:p>
        </w:tc>
        <w:tc>
          <w:tcPr>
            <w:tcW w:w="1275" w:type="dxa"/>
            <w:tcBorders>
              <w:top w:val="nil"/>
              <w:left w:val="nil"/>
              <w:bottom w:val="single" w:sz="4" w:space="0" w:color="auto"/>
              <w:right w:val="single" w:sz="4" w:space="0" w:color="auto"/>
            </w:tcBorders>
            <w:shd w:val="clear" w:color="auto" w:fill="666699"/>
            <w:vAlign w:val="center"/>
          </w:tcPr>
          <w:p w14:paraId="7F411288" w14:textId="77777777" w:rsidR="004405B1" w:rsidRPr="00BF7628" w:rsidRDefault="004377E9" w:rsidP="00835F25">
            <w:pPr>
              <w:contextualSpacing/>
              <w:jc w:val="center"/>
              <w:rPr>
                <w:rFonts w:ascii="Arial" w:eastAsia="Times New Roman" w:hAnsi="Arial" w:cs="Arial"/>
                <w:b/>
                <w:bCs/>
                <w:color w:val="FFFFFF" w:themeColor="background1"/>
                <w:sz w:val="16"/>
                <w:szCs w:val="16"/>
                <w:lang w:val="es-CO" w:eastAsia="es-CO"/>
              </w:rPr>
            </w:pPr>
            <w:r>
              <w:rPr>
                <w:rFonts w:ascii="Arial" w:eastAsia="Times New Roman" w:hAnsi="Arial" w:cs="Arial"/>
                <w:b/>
                <w:bCs/>
                <w:color w:val="FFFFFF" w:themeColor="background1"/>
                <w:sz w:val="16"/>
                <w:szCs w:val="16"/>
                <w:lang w:val="es-CO" w:eastAsia="es-CO"/>
              </w:rPr>
              <w:t>150.828</w:t>
            </w:r>
          </w:p>
        </w:tc>
        <w:tc>
          <w:tcPr>
            <w:tcW w:w="1276" w:type="dxa"/>
            <w:tcBorders>
              <w:top w:val="nil"/>
              <w:left w:val="single" w:sz="4" w:space="0" w:color="auto"/>
              <w:bottom w:val="single" w:sz="4" w:space="0" w:color="auto"/>
              <w:right w:val="single" w:sz="4" w:space="0" w:color="auto"/>
            </w:tcBorders>
            <w:shd w:val="clear" w:color="auto" w:fill="666699"/>
            <w:noWrap/>
            <w:vAlign w:val="center"/>
          </w:tcPr>
          <w:p w14:paraId="7E70D593" w14:textId="77777777" w:rsidR="004405B1" w:rsidRPr="00BF7628" w:rsidRDefault="004B0E36" w:rsidP="00835F25">
            <w:pPr>
              <w:contextualSpacing/>
              <w:jc w:val="center"/>
              <w:rPr>
                <w:rFonts w:ascii="Arial" w:eastAsia="Times New Roman" w:hAnsi="Arial" w:cs="Arial"/>
                <w:b/>
                <w:bCs/>
                <w:color w:val="FFFFFF" w:themeColor="background1"/>
                <w:sz w:val="16"/>
                <w:szCs w:val="16"/>
                <w:lang w:val="es-CO" w:eastAsia="es-CO"/>
              </w:rPr>
            </w:pPr>
            <w:r>
              <w:rPr>
                <w:rFonts w:ascii="Arial" w:eastAsia="Times New Roman" w:hAnsi="Arial" w:cs="Arial"/>
                <w:b/>
                <w:bCs/>
                <w:color w:val="FFFFFF" w:themeColor="background1"/>
                <w:sz w:val="16"/>
                <w:szCs w:val="16"/>
                <w:lang w:val="es-CO" w:eastAsia="es-CO"/>
              </w:rPr>
              <w:t>159.444</w:t>
            </w:r>
          </w:p>
        </w:tc>
        <w:tc>
          <w:tcPr>
            <w:tcW w:w="992" w:type="dxa"/>
            <w:tcBorders>
              <w:top w:val="nil"/>
              <w:left w:val="nil"/>
              <w:bottom w:val="single" w:sz="4" w:space="0" w:color="auto"/>
              <w:right w:val="single" w:sz="4" w:space="0" w:color="auto"/>
            </w:tcBorders>
            <w:shd w:val="clear" w:color="auto" w:fill="666699"/>
            <w:noWrap/>
            <w:vAlign w:val="center"/>
            <w:hideMark/>
          </w:tcPr>
          <w:p w14:paraId="49BE7771" w14:textId="77777777" w:rsidR="004405B1" w:rsidRPr="006021DA" w:rsidRDefault="004405B1"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w:t>
            </w:r>
          </w:p>
        </w:tc>
      </w:tr>
    </w:tbl>
    <w:p w14:paraId="2CACE3CC" w14:textId="77777777" w:rsidR="004405B1" w:rsidRDefault="004405B1" w:rsidP="00835F25">
      <w:pPr>
        <w:keepNext/>
        <w:contextualSpacing/>
        <w:jc w:val="center"/>
        <w:rPr>
          <w:rFonts w:ascii="Arial" w:eastAsia="Times New Roman" w:hAnsi="Arial" w:cs="Arial"/>
          <w:sz w:val="16"/>
          <w:szCs w:val="22"/>
          <w:lang w:val="es-CO" w:eastAsia="es-CO"/>
        </w:rPr>
      </w:pPr>
      <w:r w:rsidRPr="006021DA">
        <w:rPr>
          <w:rFonts w:ascii="Arial" w:eastAsia="Times New Roman" w:hAnsi="Arial" w:cs="Arial"/>
          <w:sz w:val="16"/>
          <w:szCs w:val="22"/>
          <w:lang w:val="es-CO" w:eastAsia="es-CO"/>
        </w:rPr>
        <w:t>Fuente: Elaboración DAF según DUE y matrícula reportada en el SIMAT</w:t>
      </w:r>
      <w:r w:rsidR="003142D3">
        <w:rPr>
          <w:rFonts w:ascii="Arial" w:eastAsia="Times New Roman" w:hAnsi="Arial" w:cs="Arial"/>
          <w:sz w:val="16"/>
          <w:szCs w:val="22"/>
          <w:lang w:val="es-CO" w:eastAsia="es-CO"/>
        </w:rPr>
        <w:t xml:space="preserve">, diciembre 2021 y </w:t>
      </w:r>
      <w:r w:rsidR="00B42984">
        <w:rPr>
          <w:rFonts w:ascii="Arial" w:eastAsia="Times New Roman" w:hAnsi="Arial" w:cs="Arial"/>
          <w:sz w:val="16"/>
          <w:szCs w:val="22"/>
          <w:lang w:val="es-CO" w:eastAsia="es-CO"/>
        </w:rPr>
        <w:t>marzo</w:t>
      </w:r>
      <w:r w:rsidR="00F06FB9">
        <w:rPr>
          <w:rFonts w:ascii="Arial" w:eastAsia="Times New Roman" w:hAnsi="Arial" w:cs="Arial"/>
          <w:sz w:val="16"/>
          <w:szCs w:val="22"/>
          <w:lang w:val="es-CO" w:eastAsia="es-CO"/>
        </w:rPr>
        <w:t xml:space="preserve"> 2022</w:t>
      </w:r>
      <w:r w:rsidRPr="006021DA">
        <w:rPr>
          <w:rFonts w:ascii="Arial" w:eastAsia="Times New Roman" w:hAnsi="Arial" w:cs="Arial"/>
          <w:sz w:val="16"/>
          <w:szCs w:val="22"/>
          <w:lang w:val="es-CO" w:eastAsia="es-CO"/>
        </w:rPr>
        <w:t>.</w:t>
      </w:r>
    </w:p>
    <w:p w14:paraId="7FABD0AA" w14:textId="77777777" w:rsidR="004405B1" w:rsidRDefault="004405B1" w:rsidP="00835F25">
      <w:pPr>
        <w:keepNext/>
        <w:contextualSpacing/>
        <w:jc w:val="both"/>
        <w:rPr>
          <w:rFonts w:ascii="Arial" w:eastAsia="Times New Roman" w:hAnsi="Arial" w:cs="Arial"/>
          <w:sz w:val="22"/>
          <w:szCs w:val="36"/>
          <w:lang w:val="es-CO" w:eastAsia="es-CO"/>
        </w:rPr>
      </w:pPr>
    </w:p>
    <w:p w14:paraId="7D70F580" w14:textId="77777777" w:rsidR="00651436" w:rsidRPr="00F845FC" w:rsidRDefault="00651436" w:rsidP="00835F25">
      <w:pPr>
        <w:ind w:right="59"/>
        <w:contextualSpacing/>
        <w:jc w:val="both"/>
        <w:rPr>
          <w:rFonts w:ascii="Arial" w:eastAsia="Arial" w:hAnsi="Arial" w:cs="Arial"/>
          <w:sz w:val="22"/>
          <w:szCs w:val="22"/>
          <w:lang w:val="es-CO"/>
        </w:rPr>
      </w:pPr>
      <w:r w:rsidRPr="00F845FC">
        <w:rPr>
          <w:rFonts w:ascii="Arial" w:eastAsia="Arial" w:hAnsi="Arial" w:cs="Arial"/>
          <w:sz w:val="22"/>
          <w:szCs w:val="22"/>
          <w:lang w:val="es-CO"/>
        </w:rPr>
        <w:t xml:space="preserve">Al respecto es importante destacar que la cobertura del Programa de Alimentación Escolar en el </w:t>
      </w:r>
      <w:r>
        <w:rPr>
          <w:rFonts w:ascii="Arial" w:eastAsia="Arial" w:hAnsi="Arial" w:cs="Arial"/>
          <w:sz w:val="22"/>
          <w:szCs w:val="22"/>
          <w:lang w:val="es-CO"/>
        </w:rPr>
        <w:t>Distrito de Cartagena, para la vigencia 2021</w:t>
      </w:r>
      <w:r w:rsidRPr="00F845FC">
        <w:rPr>
          <w:rFonts w:ascii="Arial" w:eastAsia="Arial" w:hAnsi="Arial" w:cs="Arial"/>
          <w:sz w:val="22"/>
          <w:szCs w:val="22"/>
          <w:lang w:val="es-CO"/>
        </w:rPr>
        <w:t xml:space="preserve"> </w:t>
      </w:r>
      <w:r>
        <w:rPr>
          <w:rFonts w:ascii="Arial" w:eastAsia="Arial" w:hAnsi="Arial" w:cs="Arial"/>
          <w:sz w:val="22"/>
          <w:szCs w:val="22"/>
          <w:lang w:val="es-CO"/>
        </w:rPr>
        <w:t>fue de</w:t>
      </w:r>
      <w:r w:rsidRPr="00F845FC">
        <w:rPr>
          <w:rFonts w:ascii="Arial" w:eastAsia="Arial" w:hAnsi="Arial" w:cs="Arial"/>
          <w:sz w:val="22"/>
          <w:szCs w:val="22"/>
          <w:lang w:val="es-CO"/>
        </w:rPr>
        <w:t xml:space="preserve"> </w:t>
      </w:r>
      <w:r>
        <w:rPr>
          <w:rFonts w:ascii="Arial" w:eastAsia="Arial" w:hAnsi="Arial" w:cs="Arial"/>
          <w:sz w:val="22"/>
          <w:szCs w:val="22"/>
          <w:lang w:val="es-CO"/>
        </w:rPr>
        <w:t>106.847 beneficiarios que corresponde a</w:t>
      </w:r>
      <w:r w:rsidRPr="00F845FC">
        <w:rPr>
          <w:rFonts w:ascii="Arial" w:eastAsia="Arial" w:hAnsi="Arial" w:cs="Arial"/>
          <w:sz w:val="22"/>
          <w:szCs w:val="22"/>
          <w:lang w:val="es-CO"/>
        </w:rPr>
        <w:t>l 7</w:t>
      </w:r>
      <w:r>
        <w:rPr>
          <w:rFonts w:ascii="Arial" w:eastAsia="Arial" w:hAnsi="Arial" w:cs="Arial"/>
          <w:sz w:val="22"/>
          <w:szCs w:val="22"/>
          <w:lang w:val="es-CO"/>
        </w:rPr>
        <w:t>0,8</w:t>
      </w:r>
      <w:r w:rsidRPr="00F845FC">
        <w:rPr>
          <w:rFonts w:ascii="Arial" w:eastAsia="Arial" w:hAnsi="Arial" w:cs="Arial"/>
          <w:sz w:val="22"/>
          <w:szCs w:val="22"/>
          <w:lang w:val="es-CO"/>
        </w:rPr>
        <w:t xml:space="preserve">% del total de estudiantes matriculados, mientras que </w:t>
      </w:r>
      <w:r>
        <w:rPr>
          <w:rFonts w:ascii="Arial" w:eastAsia="Arial" w:hAnsi="Arial" w:cs="Arial"/>
          <w:sz w:val="22"/>
          <w:szCs w:val="22"/>
          <w:lang w:val="es-CO"/>
        </w:rPr>
        <w:t xml:space="preserve">para </w:t>
      </w:r>
      <w:r w:rsidR="00E47B8C">
        <w:rPr>
          <w:rFonts w:ascii="Arial" w:eastAsia="Arial" w:hAnsi="Arial" w:cs="Arial"/>
          <w:sz w:val="22"/>
          <w:szCs w:val="22"/>
          <w:lang w:val="es-CO"/>
        </w:rPr>
        <w:t>abril</w:t>
      </w:r>
      <w:r>
        <w:rPr>
          <w:rFonts w:ascii="Arial" w:eastAsia="Arial" w:hAnsi="Arial" w:cs="Arial"/>
          <w:sz w:val="22"/>
          <w:szCs w:val="22"/>
          <w:lang w:val="es-CO"/>
        </w:rPr>
        <w:t xml:space="preserve"> 3</w:t>
      </w:r>
      <w:r w:rsidR="00E47B8C">
        <w:rPr>
          <w:rFonts w:ascii="Arial" w:eastAsia="Arial" w:hAnsi="Arial" w:cs="Arial"/>
          <w:sz w:val="22"/>
          <w:szCs w:val="22"/>
          <w:lang w:val="es-CO"/>
        </w:rPr>
        <w:t>0</w:t>
      </w:r>
      <w:r>
        <w:rPr>
          <w:rFonts w:ascii="Arial" w:eastAsia="Arial" w:hAnsi="Arial" w:cs="Arial"/>
          <w:sz w:val="22"/>
          <w:szCs w:val="22"/>
          <w:lang w:val="es-CO"/>
        </w:rPr>
        <w:t xml:space="preserve"> de 2022 es de 103.621 alumnos focalizados que representan </w:t>
      </w:r>
      <w:r w:rsidRPr="00F845FC">
        <w:rPr>
          <w:rFonts w:ascii="Arial" w:eastAsia="Arial" w:hAnsi="Arial" w:cs="Arial"/>
          <w:sz w:val="22"/>
          <w:szCs w:val="22"/>
          <w:lang w:val="es-CO"/>
        </w:rPr>
        <w:t xml:space="preserve">el </w:t>
      </w:r>
      <w:r>
        <w:rPr>
          <w:rFonts w:ascii="Arial" w:eastAsia="Arial" w:hAnsi="Arial" w:cs="Arial"/>
          <w:sz w:val="22"/>
          <w:szCs w:val="22"/>
          <w:lang w:val="es-CO"/>
        </w:rPr>
        <w:t>64,9</w:t>
      </w:r>
      <w:r w:rsidRPr="00F845FC">
        <w:rPr>
          <w:rFonts w:ascii="Arial" w:eastAsia="Arial" w:hAnsi="Arial" w:cs="Arial"/>
          <w:sz w:val="22"/>
          <w:szCs w:val="22"/>
          <w:lang w:val="es-CO"/>
        </w:rPr>
        <w:t xml:space="preserve">% de los estudiantes registrados según los formularios 6A y 13A del SIMAT. </w:t>
      </w:r>
    </w:p>
    <w:p w14:paraId="7187377E" w14:textId="77777777" w:rsidR="00651436" w:rsidRPr="00B3648E" w:rsidRDefault="00651436" w:rsidP="00835F25">
      <w:pPr>
        <w:keepNext/>
        <w:contextualSpacing/>
        <w:jc w:val="both"/>
        <w:rPr>
          <w:rFonts w:ascii="Arial" w:eastAsia="Times New Roman" w:hAnsi="Arial" w:cs="Arial"/>
          <w:sz w:val="22"/>
          <w:szCs w:val="36"/>
          <w:lang w:val="es-CO" w:eastAsia="es-CO"/>
        </w:rPr>
      </w:pPr>
    </w:p>
    <w:p w14:paraId="6B68D0AF" w14:textId="77777777" w:rsidR="00D35FC9" w:rsidRPr="006021DA" w:rsidRDefault="00D35FC9" w:rsidP="00835F25">
      <w:pPr>
        <w:contextualSpacing/>
        <w:rPr>
          <w:rFonts w:ascii="Arial" w:hAnsi="Arial" w:cs="Arial"/>
          <w:b/>
          <w:bCs/>
          <w:sz w:val="22"/>
        </w:rPr>
      </w:pPr>
      <w:r w:rsidRPr="006021DA">
        <w:rPr>
          <w:rFonts w:ascii="Arial" w:hAnsi="Arial" w:cs="Arial"/>
          <w:b/>
          <w:bCs/>
          <w:sz w:val="22"/>
        </w:rPr>
        <w:t>Fuentes de financiación:</w:t>
      </w:r>
    </w:p>
    <w:p w14:paraId="2F1AC9C7" w14:textId="77777777" w:rsidR="00D35FC9" w:rsidRPr="006021DA" w:rsidRDefault="00D35FC9" w:rsidP="00835F25">
      <w:pPr>
        <w:contextualSpacing/>
        <w:rPr>
          <w:rFonts w:ascii="Arial" w:hAnsi="Arial" w:cs="Arial"/>
          <w:b/>
          <w:bCs/>
          <w:sz w:val="22"/>
        </w:rPr>
      </w:pPr>
    </w:p>
    <w:p w14:paraId="31BBA90A" w14:textId="77777777" w:rsidR="00D17E2A" w:rsidRDefault="00FE7B83" w:rsidP="00835F25">
      <w:pPr>
        <w:contextualSpacing/>
        <w:jc w:val="both"/>
        <w:rPr>
          <w:rFonts w:ascii="Arial" w:eastAsia="Calibri" w:hAnsi="Arial" w:cs="Arial"/>
          <w:sz w:val="22"/>
          <w:szCs w:val="22"/>
          <w:lang w:val="es-CO" w:eastAsia="en-US"/>
        </w:rPr>
      </w:pPr>
      <w:r w:rsidRPr="00876F5E">
        <w:rPr>
          <w:rFonts w:ascii="Arial" w:eastAsia="Calibri" w:hAnsi="Arial" w:cs="Arial"/>
          <w:sz w:val="22"/>
          <w:szCs w:val="22"/>
          <w:lang w:val="es-CO" w:eastAsia="en-US"/>
        </w:rPr>
        <w:t xml:space="preserve">Como se puede apreciar en la Tabla </w:t>
      </w:r>
      <w:r w:rsidR="00AC32BA">
        <w:rPr>
          <w:rFonts w:ascii="Arial" w:eastAsia="Calibri" w:hAnsi="Arial" w:cs="Arial"/>
          <w:sz w:val="22"/>
          <w:szCs w:val="22"/>
          <w:lang w:val="es-CO" w:eastAsia="en-US"/>
        </w:rPr>
        <w:t xml:space="preserve">No. </w:t>
      </w:r>
      <w:r w:rsidR="00113605">
        <w:rPr>
          <w:rFonts w:ascii="Arial" w:eastAsia="Calibri" w:hAnsi="Arial" w:cs="Arial"/>
          <w:sz w:val="22"/>
          <w:szCs w:val="22"/>
          <w:lang w:val="es-CO" w:eastAsia="en-US"/>
        </w:rPr>
        <w:t>3</w:t>
      </w:r>
      <w:r w:rsidRPr="00876F5E">
        <w:rPr>
          <w:rFonts w:ascii="Arial" w:eastAsia="Calibri" w:hAnsi="Arial" w:cs="Arial"/>
          <w:sz w:val="22"/>
          <w:szCs w:val="22"/>
          <w:lang w:val="es-CO" w:eastAsia="en-US"/>
        </w:rPr>
        <w:t xml:space="preserve">, durante las vigencias </w:t>
      </w:r>
      <w:r w:rsidR="00876F5E">
        <w:rPr>
          <w:rFonts w:ascii="Arial" w:eastAsia="Calibri" w:hAnsi="Arial" w:cs="Arial"/>
          <w:sz w:val="22"/>
          <w:szCs w:val="22"/>
          <w:lang w:val="es-CO" w:eastAsia="en-US"/>
        </w:rPr>
        <w:t>2021</w:t>
      </w:r>
      <w:r w:rsidRPr="00876F5E">
        <w:rPr>
          <w:rFonts w:ascii="Arial" w:eastAsia="Calibri" w:hAnsi="Arial" w:cs="Arial"/>
          <w:sz w:val="22"/>
          <w:szCs w:val="22"/>
          <w:lang w:val="es-CO" w:eastAsia="en-US"/>
        </w:rPr>
        <w:t xml:space="preserve"> a 31 de </w:t>
      </w:r>
      <w:r w:rsidR="00876F5E">
        <w:rPr>
          <w:rFonts w:ascii="Arial" w:eastAsia="Calibri" w:hAnsi="Arial" w:cs="Arial"/>
          <w:sz w:val="22"/>
          <w:szCs w:val="22"/>
          <w:lang w:val="es-CO" w:eastAsia="en-US"/>
        </w:rPr>
        <w:t>maro</w:t>
      </w:r>
      <w:r w:rsidRPr="00876F5E">
        <w:rPr>
          <w:rFonts w:ascii="Arial" w:eastAsia="Calibri" w:hAnsi="Arial" w:cs="Arial"/>
          <w:sz w:val="22"/>
          <w:szCs w:val="22"/>
          <w:lang w:val="es-CO" w:eastAsia="en-US"/>
        </w:rPr>
        <w:t xml:space="preserve"> de 202</w:t>
      </w:r>
      <w:r w:rsidR="00876F5E">
        <w:rPr>
          <w:rFonts w:ascii="Arial" w:eastAsia="Calibri" w:hAnsi="Arial" w:cs="Arial"/>
          <w:sz w:val="22"/>
          <w:szCs w:val="22"/>
          <w:lang w:val="es-CO" w:eastAsia="en-US"/>
        </w:rPr>
        <w:t>2</w:t>
      </w:r>
      <w:r w:rsidRPr="00876F5E">
        <w:rPr>
          <w:rFonts w:ascii="Arial" w:eastAsia="Calibri" w:hAnsi="Arial" w:cs="Arial"/>
          <w:sz w:val="22"/>
          <w:szCs w:val="22"/>
          <w:lang w:val="es-CO" w:eastAsia="en-US"/>
        </w:rPr>
        <w:t xml:space="preserve"> según la información reportada en el Consolidador de Hacienda - CHIP </w:t>
      </w:r>
      <w:r w:rsidR="001B6C1C">
        <w:rPr>
          <w:rFonts w:ascii="Arial" w:eastAsia="Calibri" w:hAnsi="Arial" w:cs="Arial"/>
          <w:sz w:val="22"/>
          <w:szCs w:val="22"/>
          <w:lang w:val="es-CO" w:eastAsia="en-US"/>
        </w:rPr>
        <w:t xml:space="preserve">y lo reportado en SECOP II, </w:t>
      </w:r>
      <w:r w:rsidRPr="00876F5E">
        <w:rPr>
          <w:rFonts w:ascii="Arial" w:eastAsia="Calibri" w:hAnsi="Arial" w:cs="Arial"/>
          <w:sz w:val="22"/>
          <w:szCs w:val="22"/>
          <w:lang w:val="es-CO" w:eastAsia="en-US"/>
        </w:rPr>
        <w:t xml:space="preserve">se ejecutaron recursos por un </w:t>
      </w:r>
      <w:r w:rsidRPr="00845E72">
        <w:rPr>
          <w:rFonts w:ascii="Arial" w:eastAsia="Calibri" w:hAnsi="Arial" w:cs="Arial"/>
          <w:sz w:val="22"/>
          <w:szCs w:val="22"/>
          <w:lang w:val="es-CO" w:eastAsia="en-US"/>
        </w:rPr>
        <w:t>valor de $</w:t>
      </w:r>
      <w:r w:rsidR="00DA6D1A">
        <w:rPr>
          <w:rFonts w:ascii="Arial" w:eastAsia="Calibri" w:hAnsi="Arial" w:cs="Arial"/>
          <w:sz w:val="22"/>
          <w:szCs w:val="22"/>
          <w:lang w:val="es-CO" w:eastAsia="en-US"/>
        </w:rPr>
        <w:t>39.159</w:t>
      </w:r>
      <w:r w:rsidR="00845E72" w:rsidRPr="00845E72">
        <w:rPr>
          <w:rFonts w:ascii="Arial" w:eastAsia="Calibri" w:hAnsi="Arial" w:cs="Arial"/>
          <w:sz w:val="22"/>
          <w:szCs w:val="22"/>
          <w:lang w:val="es-CO" w:eastAsia="en-US"/>
        </w:rPr>
        <w:t xml:space="preserve"> </w:t>
      </w:r>
      <w:r w:rsidRPr="00845E72">
        <w:rPr>
          <w:rFonts w:ascii="Arial" w:eastAsia="Calibri" w:hAnsi="Arial" w:cs="Arial"/>
          <w:sz w:val="22"/>
          <w:szCs w:val="22"/>
          <w:lang w:val="es-CO" w:eastAsia="en-US"/>
        </w:rPr>
        <w:t>millones correspondientes a la ejecución del Programa de Alimentación Escolar del Distrito los cuales fueron financiados a partir de diferentes fuentes, entre las que se encuentran, la Asignación Especial para Alimentación Escolar del Sistema General de Participaciones (</w:t>
      </w:r>
      <w:r w:rsidR="00DA6D1A">
        <w:rPr>
          <w:rFonts w:ascii="Arial" w:eastAsia="Calibri" w:hAnsi="Arial" w:cs="Arial"/>
          <w:sz w:val="22"/>
          <w:szCs w:val="22"/>
          <w:lang w:val="es-CO" w:eastAsia="en-US"/>
        </w:rPr>
        <w:t xml:space="preserve">8,01 </w:t>
      </w:r>
      <w:r w:rsidRPr="00845E72">
        <w:rPr>
          <w:rFonts w:ascii="Arial" w:eastAsia="Calibri" w:hAnsi="Arial" w:cs="Arial"/>
          <w:sz w:val="22"/>
          <w:szCs w:val="22"/>
          <w:lang w:val="es-CO" w:eastAsia="en-US"/>
        </w:rPr>
        <w:t>%), recursos de cofinanciación nacional a través del Presupuesto General de la Nación (</w:t>
      </w:r>
      <w:r w:rsidR="00DA6D1A">
        <w:rPr>
          <w:rFonts w:ascii="Arial" w:eastAsia="Calibri" w:hAnsi="Arial" w:cs="Arial"/>
          <w:sz w:val="22"/>
          <w:szCs w:val="22"/>
          <w:lang w:val="es-CO" w:eastAsia="en-US"/>
        </w:rPr>
        <w:t>6,67</w:t>
      </w:r>
      <w:r w:rsidRPr="00845E72">
        <w:rPr>
          <w:rFonts w:ascii="Arial" w:eastAsia="Calibri" w:hAnsi="Arial" w:cs="Arial"/>
          <w:sz w:val="22"/>
          <w:szCs w:val="22"/>
          <w:lang w:val="es-CO" w:eastAsia="en-US"/>
        </w:rPr>
        <w:t xml:space="preserve"> %)</w:t>
      </w:r>
      <w:r w:rsidR="00244F62">
        <w:rPr>
          <w:rFonts w:ascii="Arial" w:eastAsia="Calibri" w:hAnsi="Arial" w:cs="Arial"/>
          <w:sz w:val="22"/>
          <w:szCs w:val="22"/>
          <w:lang w:val="es-CO" w:eastAsia="en-US"/>
        </w:rPr>
        <w:t xml:space="preserve">, </w:t>
      </w:r>
      <w:r w:rsidRPr="00845E72">
        <w:rPr>
          <w:rFonts w:ascii="Arial" w:eastAsia="Calibri" w:hAnsi="Arial" w:cs="Arial"/>
          <w:sz w:val="22"/>
          <w:szCs w:val="22"/>
          <w:lang w:val="es-CO" w:eastAsia="en-US"/>
        </w:rPr>
        <w:t xml:space="preserve">recursos propios correspondientes a </w:t>
      </w:r>
      <w:r w:rsidR="00AC32BA">
        <w:rPr>
          <w:rFonts w:ascii="Arial" w:eastAsia="Calibri" w:hAnsi="Arial" w:cs="Arial"/>
          <w:sz w:val="22"/>
          <w:szCs w:val="22"/>
          <w:lang w:val="es-CO" w:eastAsia="en-US"/>
        </w:rPr>
        <w:t>i</w:t>
      </w:r>
      <w:r w:rsidRPr="00845E72">
        <w:rPr>
          <w:rFonts w:ascii="Arial" w:eastAsia="Calibri" w:hAnsi="Arial" w:cs="Arial"/>
          <w:sz w:val="22"/>
          <w:szCs w:val="22"/>
          <w:lang w:val="es-CO" w:eastAsia="en-US"/>
        </w:rPr>
        <w:t xml:space="preserve">ngresos </w:t>
      </w:r>
      <w:r w:rsidR="00AC32BA">
        <w:rPr>
          <w:rFonts w:ascii="Arial" w:eastAsia="Calibri" w:hAnsi="Arial" w:cs="Arial"/>
          <w:sz w:val="22"/>
          <w:szCs w:val="22"/>
          <w:lang w:val="es-CO" w:eastAsia="en-US"/>
        </w:rPr>
        <w:t>c</w:t>
      </w:r>
      <w:r w:rsidRPr="00845E72">
        <w:rPr>
          <w:rFonts w:ascii="Arial" w:eastAsia="Calibri" w:hAnsi="Arial" w:cs="Arial"/>
          <w:sz w:val="22"/>
          <w:szCs w:val="22"/>
          <w:lang w:val="es-CO" w:eastAsia="en-US"/>
        </w:rPr>
        <w:t xml:space="preserve">orrientes de </w:t>
      </w:r>
      <w:r w:rsidR="00AC32BA">
        <w:rPr>
          <w:rFonts w:ascii="Arial" w:eastAsia="Calibri" w:hAnsi="Arial" w:cs="Arial"/>
          <w:sz w:val="22"/>
          <w:szCs w:val="22"/>
          <w:lang w:val="es-CO" w:eastAsia="en-US"/>
        </w:rPr>
        <w:t>l</w:t>
      </w:r>
      <w:r w:rsidRPr="00845E72">
        <w:rPr>
          <w:rFonts w:ascii="Arial" w:eastAsia="Calibri" w:hAnsi="Arial" w:cs="Arial"/>
          <w:sz w:val="22"/>
          <w:szCs w:val="22"/>
          <w:lang w:val="es-CO" w:eastAsia="en-US"/>
        </w:rPr>
        <w:t xml:space="preserve">ibre </w:t>
      </w:r>
      <w:r w:rsidR="00AC32BA">
        <w:rPr>
          <w:rFonts w:ascii="Arial" w:eastAsia="Calibri" w:hAnsi="Arial" w:cs="Arial"/>
          <w:sz w:val="22"/>
          <w:szCs w:val="22"/>
          <w:lang w:val="es-CO" w:eastAsia="en-US"/>
        </w:rPr>
        <w:t>d</w:t>
      </w:r>
      <w:r w:rsidRPr="00845E72">
        <w:rPr>
          <w:rFonts w:ascii="Arial" w:eastAsia="Calibri" w:hAnsi="Arial" w:cs="Arial"/>
          <w:sz w:val="22"/>
          <w:szCs w:val="22"/>
          <w:lang w:val="es-CO" w:eastAsia="en-US"/>
        </w:rPr>
        <w:t>estinación (</w:t>
      </w:r>
      <w:r w:rsidR="00DA6D1A">
        <w:rPr>
          <w:rFonts w:ascii="Arial" w:eastAsia="Calibri" w:hAnsi="Arial" w:cs="Arial"/>
          <w:sz w:val="22"/>
          <w:szCs w:val="22"/>
          <w:lang w:val="es-CO" w:eastAsia="en-US"/>
        </w:rPr>
        <w:t>44,54</w:t>
      </w:r>
      <w:r w:rsidRPr="00845E72">
        <w:rPr>
          <w:rFonts w:ascii="Arial" w:eastAsia="Calibri" w:hAnsi="Arial" w:cs="Arial"/>
          <w:sz w:val="22"/>
          <w:szCs w:val="22"/>
          <w:lang w:val="es-CO" w:eastAsia="en-US"/>
        </w:rPr>
        <w:t xml:space="preserve"> %)</w:t>
      </w:r>
      <w:r w:rsidR="00DA6D1A">
        <w:rPr>
          <w:rFonts w:ascii="Arial" w:eastAsia="Calibri" w:hAnsi="Arial" w:cs="Arial"/>
          <w:sz w:val="22"/>
          <w:szCs w:val="22"/>
          <w:lang w:val="es-CO" w:eastAsia="en-US"/>
        </w:rPr>
        <w:t xml:space="preserve">, </w:t>
      </w:r>
      <w:r w:rsidR="00AC32BA">
        <w:rPr>
          <w:rFonts w:ascii="Arial" w:eastAsia="Calibri" w:hAnsi="Arial" w:cs="Arial"/>
          <w:sz w:val="22"/>
          <w:szCs w:val="22"/>
          <w:lang w:val="es-CO" w:eastAsia="en-US"/>
        </w:rPr>
        <w:t>r</w:t>
      </w:r>
      <w:r w:rsidR="00DA6D1A">
        <w:rPr>
          <w:rFonts w:ascii="Arial" w:eastAsia="Calibri" w:hAnsi="Arial" w:cs="Arial"/>
          <w:sz w:val="22"/>
          <w:szCs w:val="22"/>
          <w:lang w:val="es-CO" w:eastAsia="en-US"/>
        </w:rPr>
        <w:t xml:space="preserve">ecursos de </w:t>
      </w:r>
      <w:r w:rsidR="00AC32BA">
        <w:rPr>
          <w:rFonts w:ascii="Arial" w:eastAsia="Calibri" w:hAnsi="Arial" w:cs="Arial"/>
          <w:sz w:val="22"/>
          <w:szCs w:val="22"/>
          <w:lang w:val="es-CO" w:eastAsia="en-US"/>
        </w:rPr>
        <w:t>r</w:t>
      </w:r>
      <w:r w:rsidR="00DA6D1A">
        <w:rPr>
          <w:rFonts w:ascii="Arial" w:eastAsia="Calibri" w:hAnsi="Arial" w:cs="Arial"/>
          <w:sz w:val="22"/>
          <w:szCs w:val="22"/>
          <w:lang w:val="es-CO" w:eastAsia="en-US"/>
        </w:rPr>
        <w:t>egalías (40,15 %)</w:t>
      </w:r>
      <w:r w:rsidR="00244F62">
        <w:rPr>
          <w:rFonts w:ascii="Arial" w:eastAsia="Calibri" w:hAnsi="Arial" w:cs="Arial"/>
          <w:sz w:val="22"/>
          <w:szCs w:val="22"/>
          <w:lang w:val="es-CO" w:eastAsia="en-US"/>
        </w:rPr>
        <w:t xml:space="preserve"> y </w:t>
      </w:r>
      <w:r w:rsidR="00AC32BA">
        <w:rPr>
          <w:rFonts w:ascii="Arial" w:eastAsia="Calibri" w:hAnsi="Arial" w:cs="Arial"/>
          <w:sz w:val="22"/>
          <w:szCs w:val="22"/>
          <w:lang w:val="es-CO" w:eastAsia="en-US"/>
        </w:rPr>
        <w:t>r</w:t>
      </w:r>
      <w:r w:rsidR="00244F62">
        <w:rPr>
          <w:rFonts w:ascii="Arial" w:eastAsia="Calibri" w:hAnsi="Arial" w:cs="Arial"/>
          <w:sz w:val="22"/>
          <w:szCs w:val="22"/>
          <w:lang w:val="es-CO" w:eastAsia="en-US"/>
        </w:rPr>
        <w:t xml:space="preserve">ecursos de </w:t>
      </w:r>
      <w:r w:rsidR="00AC32BA">
        <w:rPr>
          <w:rFonts w:ascii="Arial" w:eastAsia="Calibri" w:hAnsi="Arial" w:cs="Arial"/>
          <w:sz w:val="22"/>
          <w:szCs w:val="22"/>
          <w:lang w:val="es-CO" w:eastAsia="en-US"/>
        </w:rPr>
        <w:t>c</w:t>
      </w:r>
      <w:r w:rsidR="00244F62">
        <w:rPr>
          <w:rFonts w:ascii="Arial" w:eastAsia="Calibri" w:hAnsi="Arial" w:cs="Arial"/>
          <w:sz w:val="22"/>
          <w:szCs w:val="22"/>
          <w:lang w:val="es-CO" w:eastAsia="en-US"/>
        </w:rPr>
        <w:t>apital (</w:t>
      </w:r>
      <w:r w:rsidR="00DA6D1A">
        <w:rPr>
          <w:rFonts w:ascii="Arial" w:eastAsia="Calibri" w:hAnsi="Arial" w:cs="Arial"/>
          <w:sz w:val="22"/>
          <w:szCs w:val="22"/>
          <w:lang w:val="es-CO" w:eastAsia="en-US"/>
        </w:rPr>
        <w:t xml:space="preserve">0,63 </w:t>
      </w:r>
      <w:r w:rsidR="00244F62">
        <w:rPr>
          <w:rFonts w:ascii="Arial" w:eastAsia="Calibri" w:hAnsi="Arial" w:cs="Arial"/>
          <w:sz w:val="22"/>
          <w:szCs w:val="22"/>
          <w:lang w:val="es-CO" w:eastAsia="en-US"/>
        </w:rPr>
        <w:t>%)</w:t>
      </w:r>
      <w:r w:rsidR="00F70EAB">
        <w:rPr>
          <w:rFonts w:ascii="Arial" w:eastAsia="Calibri" w:hAnsi="Arial" w:cs="Arial"/>
          <w:sz w:val="22"/>
          <w:szCs w:val="22"/>
          <w:lang w:val="es-CO" w:eastAsia="en-US"/>
        </w:rPr>
        <w:t xml:space="preserve">. </w:t>
      </w:r>
      <w:r w:rsidRPr="00845E72">
        <w:rPr>
          <w:rFonts w:ascii="Arial" w:eastAsia="Calibri" w:hAnsi="Arial" w:cs="Arial"/>
          <w:sz w:val="22"/>
          <w:szCs w:val="22"/>
          <w:lang w:val="es-CO" w:eastAsia="en-US"/>
        </w:rPr>
        <w:t>El Distrito de Cartagena de Indias - Bolívar es Certificado en Educación</w:t>
      </w:r>
      <w:r w:rsidR="00FF17BE">
        <w:rPr>
          <w:rFonts w:ascii="Arial" w:eastAsia="Calibri" w:hAnsi="Arial" w:cs="Arial"/>
          <w:sz w:val="22"/>
          <w:szCs w:val="22"/>
          <w:lang w:val="es-CO" w:eastAsia="en-US"/>
        </w:rPr>
        <w:t>,</w:t>
      </w:r>
      <w:r w:rsidRPr="00845E72">
        <w:rPr>
          <w:rFonts w:ascii="Arial" w:eastAsia="Calibri" w:hAnsi="Arial" w:cs="Arial"/>
          <w:sz w:val="22"/>
          <w:szCs w:val="22"/>
          <w:lang w:val="es-CO" w:eastAsia="en-US"/>
        </w:rPr>
        <w:t xml:space="preserve"> por lo cual administra los recursos del Sector.</w:t>
      </w:r>
    </w:p>
    <w:p w14:paraId="0750C4FF" w14:textId="77777777" w:rsidR="00AC32BA" w:rsidRDefault="00AC32BA" w:rsidP="00646700">
      <w:pPr>
        <w:contextualSpacing/>
        <w:rPr>
          <w:rFonts w:ascii="Arial" w:eastAsia="Calibri" w:hAnsi="Arial" w:cs="Arial"/>
          <w:sz w:val="22"/>
          <w:szCs w:val="22"/>
          <w:lang w:val="es-CO" w:eastAsia="en-US"/>
        </w:rPr>
      </w:pPr>
      <w:r>
        <w:rPr>
          <w:rFonts w:ascii="Arial" w:eastAsia="Calibri" w:hAnsi="Arial" w:cs="Arial"/>
          <w:sz w:val="22"/>
          <w:szCs w:val="22"/>
          <w:lang w:val="es-CO" w:eastAsia="en-US"/>
        </w:rPr>
        <w:br w:type="page"/>
      </w:r>
    </w:p>
    <w:p w14:paraId="40A20E61" w14:textId="77777777" w:rsidR="008F095B" w:rsidRPr="007A3FF3" w:rsidRDefault="008F095B" w:rsidP="00835F25">
      <w:pPr>
        <w:contextualSpacing/>
        <w:jc w:val="center"/>
        <w:textAlignment w:val="baseline"/>
        <w:rPr>
          <w:rFonts w:ascii="Arial" w:eastAsiaTheme="minorHAnsi" w:hAnsi="Arial" w:cs="Arial"/>
          <w:b/>
          <w:bCs/>
          <w:i/>
          <w:iCs/>
          <w:color w:val="1F497D" w:themeColor="text2"/>
          <w:sz w:val="20"/>
          <w:szCs w:val="20"/>
          <w:lang w:eastAsia="en-US"/>
        </w:rPr>
      </w:pPr>
      <w:bookmarkStart w:id="3" w:name="_Toc487631201"/>
      <w:r w:rsidRPr="007A3FF3">
        <w:rPr>
          <w:rFonts w:ascii="Arial" w:eastAsiaTheme="minorHAnsi" w:hAnsi="Arial" w:cs="Arial"/>
          <w:b/>
          <w:bCs/>
          <w:i/>
          <w:iCs/>
          <w:color w:val="1F497D" w:themeColor="text2"/>
          <w:sz w:val="20"/>
          <w:szCs w:val="20"/>
          <w:lang w:eastAsia="en-US"/>
        </w:rPr>
        <w:lastRenderedPageBreak/>
        <w:t>Tabla No.</w:t>
      </w:r>
      <w:r w:rsidR="0089256A" w:rsidRPr="00980ED4">
        <w:rPr>
          <w:rFonts w:ascii="Arial" w:eastAsiaTheme="minorHAnsi" w:hAnsi="Arial" w:cs="Arial"/>
          <w:b/>
          <w:bCs/>
          <w:i/>
          <w:iCs/>
          <w:color w:val="1F497D" w:themeColor="text2"/>
          <w:sz w:val="20"/>
          <w:szCs w:val="20"/>
          <w:lang w:eastAsia="en-US"/>
        </w:rPr>
        <w:t xml:space="preserve"> </w:t>
      </w:r>
      <w:r w:rsidR="00980ED4" w:rsidRPr="00980ED4">
        <w:rPr>
          <w:rFonts w:ascii="Arial" w:hAnsi="Arial" w:cs="Arial"/>
          <w:b/>
          <w:bCs/>
          <w:color w:val="1F497D" w:themeColor="text2"/>
          <w:sz w:val="20"/>
          <w:szCs w:val="20"/>
        </w:rPr>
        <w:fldChar w:fldCharType="begin"/>
      </w:r>
      <w:r w:rsidR="00980ED4" w:rsidRPr="00980ED4">
        <w:rPr>
          <w:rFonts w:ascii="Arial" w:hAnsi="Arial" w:cs="Arial"/>
          <w:b/>
          <w:bCs/>
          <w:color w:val="1F497D" w:themeColor="text2"/>
          <w:sz w:val="20"/>
          <w:szCs w:val="20"/>
        </w:rPr>
        <w:instrText xml:space="preserve"> SEQ Ilustración \* ARABIC </w:instrText>
      </w:r>
      <w:r w:rsidR="00980ED4" w:rsidRPr="00980ED4">
        <w:rPr>
          <w:rFonts w:ascii="Arial" w:hAnsi="Arial" w:cs="Arial"/>
          <w:b/>
          <w:bCs/>
          <w:color w:val="1F497D" w:themeColor="text2"/>
          <w:sz w:val="20"/>
          <w:szCs w:val="20"/>
        </w:rPr>
        <w:fldChar w:fldCharType="separate"/>
      </w:r>
      <w:r w:rsidR="00980ED4">
        <w:rPr>
          <w:rFonts w:ascii="Arial" w:hAnsi="Arial" w:cs="Arial"/>
          <w:b/>
          <w:bCs/>
          <w:noProof/>
          <w:color w:val="1F497D" w:themeColor="text2"/>
          <w:sz w:val="20"/>
          <w:szCs w:val="20"/>
        </w:rPr>
        <w:t>3</w:t>
      </w:r>
      <w:r w:rsidR="00980ED4" w:rsidRPr="00980ED4">
        <w:rPr>
          <w:rFonts w:ascii="Arial" w:hAnsi="Arial" w:cs="Arial"/>
          <w:b/>
          <w:bCs/>
          <w:color w:val="1F497D" w:themeColor="text2"/>
          <w:sz w:val="20"/>
          <w:szCs w:val="20"/>
        </w:rPr>
        <w:fldChar w:fldCharType="end"/>
      </w:r>
    </w:p>
    <w:p w14:paraId="240E6B5E" w14:textId="77777777" w:rsidR="00E61662" w:rsidRPr="007A3FF3" w:rsidRDefault="008F095B" w:rsidP="00835F25">
      <w:pPr>
        <w:contextualSpacing/>
        <w:jc w:val="center"/>
        <w:textAlignment w:val="baseline"/>
        <w:rPr>
          <w:rFonts w:ascii="Arial" w:eastAsia="Times New Roman" w:hAnsi="Arial" w:cs="Arial"/>
          <w:b/>
          <w:i/>
          <w:iCs/>
          <w:color w:val="1F497D" w:themeColor="text2"/>
          <w:sz w:val="20"/>
          <w:szCs w:val="20"/>
          <w:lang w:val="es-CO" w:eastAsia="es-CO"/>
        </w:rPr>
      </w:pPr>
      <w:r w:rsidRPr="007A3FF3">
        <w:rPr>
          <w:rFonts w:ascii="Arial" w:eastAsiaTheme="minorHAnsi" w:hAnsi="Arial" w:cs="Arial"/>
          <w:b/>
          <w:bCs/>
          <w:i/>
          <w:iCs/>
          <w:color w:val="1F497D" w:themeColor="text2"/>
          <w:sz w:val="20"/>
          <w:szCs w:val="20"/>
          <w:lang w:eastAsia="en-US"/>
        </w:rPr>
        <w:t xml:space="preserve">Fuentes de </w:t>
      </w:r>
      <w:r w:rsidR="00A57F0F" w:rsidRPr="007A3FF3">
        <w:rPr>
          <w:rFonts w:ascii="Arial" w:eastAsiaTheme="minorHAnsi" w:hAnsi="Arial" w:cs="Arial"/>
          <w:b/>
          <w:bCs/>
          <w:i/>
          <w:iCs/>
          <w:color w:val="1F497D" w:themeColor="text2"/>
          <w:sz w:val="20"/>
          <w:szCs w:val="20"/>
          <w:lang w:eastAsia="en-US"/>
        </w:rPr>
        <w:t>F</w:t>
      </w:r>
      <w:r w:rsidRPr="007A3FF3">
        <w:rPr>
          <w:rFonts w:ascii="Arial" w:eastAsiaTheme="minorHAnsi" w:hAnsi="Arial" w:cs="Arial"/>
          <w:b/>
          <w:bCs/>
          <w:i/>
          <w:iCs/>
          <w:color w:val="1F497D" w:themeColor="text2"/>
          <w:sz w:val="20"/>
          <w:szCs w:val="20"/>
          <w:lang w:eastAsia="en-US"/>
        </w:rPr>
        <w:t>inanciación PAE</w:t>
      </w:r>
      <w:r w:rsidRPr="007A3FF3">
        <w:rPr>
          <w:rFonts w:ascii="Arial" w:eastAsia="Times New Roman" w:hAnsi="Arial" w:cs="Arial"/>
          <w:b/>
          <w:i/>
          <w:iCs/>
          <w:color w:val="1F497D" w:themeColor="text2"/>
          <w:sz w:val="20"/>
          <w:szCs w:val="20"/>
          <w:lang w:val="es-CO" w:eastAsia="es-CO"/>
        </w:rPr>
        <w:t xml:space="preserve"> </w:t>
      </w:r>
    </w:p>
    <w:tbl>
      <w:tblPr>
        <w:tblW w:w="11614" w:type="dxa"/>
        <w:jc w:val="center"/>
        <w:tblLayout w:type="fixed"/>
        <w:tblCellMar>
          <w:left w:w="70" w:type="dxa"/>
          <w:right w:w="70" w:type="dxa"/>
        </w:tblCellMar>
        <w:tblLook w:val="04A0" w:firstRow="1" w:lastRow="0" w:firstColumn="1" w:lastColumn="0" w:noHBand="0" w:noVBand="1"/>
      </w:tblPr>
      <w:tblGrid>
        <w:gridCol w:w="699"/>
        <w:gridCol w:w="851"/>
        <w:gridCol w:w="992"/>
        <w:gridCol w:w="992"/>
        <w:gridCol w:w="992"/>
        <w:gridCol w:w="851"/>
        <w:gridCol w:w="992"/>
        <w:gridCol w:w="992"/>
        <w:gridCol w:w="993"/>
        <w:gridCol w:w="850"/>
        <w:gridCol w:w="1134"/>
        <w:gridCol w:w="1276"/>
      </w:tblGrid>
      <w:tr w:rsidR="006021DA" w:rsidRPr="006021DA" w14:paraId="3A2BAF96" w14:textId="77777777" w:rsidTr="00471B96">
        <w:trPr>
          <w:trHeight w:val="300"/>
          <w:jc w:val="center"/>
        </w:trPr>
        <w:tc>
          <w:tcPr>
            <w:tcW w:w="11614" w:type="dxa"/>
            <w:gridSpan w:val="12"/>
            <w:tcBorders>
              <w:top w:val="single" w:sz="8" w:space="0" w:color="auto"/>
              <w:left w:val="single" w:sz="8" w:space="0" w:color="auto"/>
              <w:bottom w:val="nil"/>
              <w:right w:val="single" w:sz="8" w:space="0" w:color="000000"/>
            </w:tcBorders>
            <w:shd w:val="clear" w:color="000000" w:fill="666699"/>
            <w:noWrap/>
            <w:vAlign w:val="center"/>
            <w:hideMark/>
          </w:tcPr>
          <w:p w14:paraId="5839BD9A" w14:textId="77777777" w:rsidR="00E61662" w:rsidRPr="00E1297B" w:rsidRDefault="00E61662" w:rsidP="00835F25">
            <w:pPr>
              <w:contextualSpacing/>
              <w:jc w:val="center"/>
              <w:rPr>
                <w:rFonts w:ascii="Arial" w:eastAsia="Times New Roman" w:hAnsi="Arial" w:cs="Arial"/>
                <w:b/>
                <w:bCs/>
                <w:color w:val="FFFFFF" w:themeColor="background1"/>
                <w:sz w:val="16"/>
                <w:szCs w:val="16"/>
                <w:lang w:val="es-CO" w:eastAsia="es-CO"/>
              </w:rPr>
            </w:pPr>
            <w:bookmarkStart w:id="4" w:name="_Hlk98866812"/>
            <w:r w:rsidRPr="00E1297B">
              <w:rPr>
                <w:rFonts w:ascii="Arial" w:eastAsia="Times New Roman" w:hAnsi="Arial" w:cs="Arial"/>
                <w:b/>
                <w:bCs/>
                <w:color w:val="FFFFFF" w:themeColor="background1"/>
                <w:sz w:val="16"/>
                <w:szCs w:val="16"/>
                <w:lang w:val="es-CO" w:eastAsia="es-CO"/>
              </w:rPr>
              <w:t xml:space="preserve">Recursos AESGPAE e Inversión PAE </w:t>
            </w:r>
            <w:r w:rsidR="00C61B85">
              <w:rPr>
                <w:rFonts w:ascii="Arial" w:eastAsia="Times New Roman" w:hAnsi="Arial" w:cs="Arial"/>
                <w:b/>
                <w:bCs/>
                <w:color w:val="FFFFFF" w:themeColor="background1"/>
                <w:sz w:val="16"/>
                <w:szCs w:val="16"/>
                <w:lang w:val="es-CO" w:eastAsia="es-CO"/>
              </w:rPr>
              <w:t>2021</w:t>
            </w:r>
            <w:r w:rsidRPr="00E1297B">
              <w:rPr>
                <w:rFonts w:ascii="Arial" w:eastAsia="Times New Roman" w:hAnsi="Arial" w:cs="Arial"/>
                <w:b/>
                <w:bCs/>
                <w:color w:val="FFFFFF" w:themeColor="background1"/>
                <w:sz w:val="16"/>
                <w:szCs w:val="16"/>
                <w:lang w:val="es-CO" w:eastAsia="es-CO"/>
              </w:rPr>
              <w:t xml:space="preserve"> </w:t>
            </w:r>
            <w:r w:rsidR="00C61B85">
              <w:rPr>
                <w:rFonts w:ascii="Arial" w:eastAsia="Times New Roman" w:hAnsi="Arial" w:cs="Arial"/>
                <w:b/>
                <w:bCs/>
                <w:color w:val="FFFFFF" w:themeColor="background1"/>
                <w:sz w:val="16"/>
                <w:szCs w:val="16"/>
                <w:lang w:val="es-CO" w:eastAsia="es-CO"/>
              </w:rPr>
              <w:t>–</w:t>
            </w:r>
            <w:r w:rsidRPr="00E1297B">
              <w:rPr>
                <w:rFonts w:ascii="Arial" w:eastAsia="Times New Roman" w:hAnsi="Arial" w:cs="Arial"/>
                <w:b/>
                <w:bCs/>
                <w:color w:val="FFFFFF" w:themeColor="background1"/>
                <w:sz w:val="16"/>
                <w:szCs w:val="16"/>
                <w:lang w:val="es-CO" w:eastAsia="es-CO"/>
              </w:rPr>
              <w:t xml:space="preserve"> </w:t>
            </w:r>
            <w:r w:rsidR="00C61B85">
              <w:rPr>
                <w:rFonts w:ascii="Arial" w:eastAsia="Times New Roman" w:hAnsi="Arial" w:cs="Arial"/>
                <w:b/>
                <w:bCs/>
                <w:color w:val="FFFFFF" w:themeColor="background1"/>
                <w:sz w:val="16"/>
                <w:szCs w:val="16"/>
                <w:lang w:val="es-CO" w:eastAsia="es-CO"/>
              </w:rPr>
              <w:t>marzo</w:t>
            </w:r>
            <w:r w:rsidR="00B21502">
              <w:rPr>
                <w:rFonts w:ascii="Arial" w:eastAsia="Times New Roman" w:hAnsi="Arial" w:cs="Arial"/>
                <w:b/>
                <w:bCs/>
                <w:color w:val="FFFFFF" w:themeColor="background1"/>
                <w:sz w:val="16"/>
                <w:szCs w:val="16"/>
                <w:lang w:val="es-CO" w:eastAsia="es-CO"/>
              </w:rPr>
              <w:t xml:space="preserve"> 31 de</w:t>
            </w:r>
            <w:r w:rsidR="00C61B85">
              <w:rPr>
                <w:rFonts w:ascii="Arial" w:eastAsia="Times New Roman" w:hAnsi="Arial" w:cs="Arial"/>
                <w:b/>
                <w:bCs/>
                <w:color w:val="FFFFFF" w:themeColor="background1"/>
                <w:sz w:val="16"/>
                <w:szCs w:val="16"/>
                <w:lang w:val="es-CO" w:eastAsia="es-CO"/>
              </w:rPr>
              <w:t xml:space="preserve"> 2022</w:t>
            </w:r>
          </w:p>
        </w:tc>
      </w:tr>
      <w:tr w:rsidR="006021DA" w:rsidRPr="006021DA" w14:paraId="32623F80" w14:textId="77777777" w:rsidTr="00471B96">
        <w:trPr>
          <w:trHeight w:val="315"/>
          <w:jc w:val="center"/>
        </w:trPr>
        <w:tc>
          <w:tcPr>
            <w:tcW w:w="11614" w:type="dxa"/>
            <w:gridSpan w:val="12"/>
            <w:tcBorders>
              <w:top w:val="nil"/>
              <w:left w:val="single" w:sz="8" w:space="0" w:color="auto"/>
              <w:bottom w:val="single" w:sz="8" w:space="0" w:color="666699"/>
              <w:right w:val="single" w:sz="8" w:space="0" w:color="000000"/>
            </w:tcBorders>
            <w:shd w:val="clear" w:color="000000" w:fill="666699"/>
            <w:noWrap/>
            <w:vAlign w:val="center"/>
            <w:hideMark/>
          </w:tcPr>
          <w:p w14:paraId="38FBE3E3"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0059F1">
              <w:rPr>
                <w:rFonts w:ascii="Arial" w:eastAsia="Times New Roman" w:hAnsi="Arial" w:cs="Arial"/>
                <w:b/>
                <w:bCs/>
                <w:color w:val="FFFFFF" w:themeColor="background1"/>
                <w:sz w:val="16"/>
                <w:szCs w:val="16"/>
                <w:lang w:val="es-CO" w:eastAsia="es-CO"/>
              </w:rPr>
              <w:t xml:space="preserve">(Cifras en </w:t>
            </w:r>
            <w:r w:rsidR="0014078E" w:rsidRPr="000059F1">
              <w:rPr>
                <w:rFonts w:ascii="Arial" w:eastAsia="Times New Roman" w:hAnsi="Arial" w:cs="Arial"/>
                <w:b/>
                <w:bCs/>
                <w:color w:val="FFFFFF" w:themeColor="background1"/>
                <w:sz w:val="16"/>
                <w:szCs w:val="16"/>
                <w:lang w:val="es-CO" w:eastAsia="es-CO"/>
              </w:rPr>
              <w:t>miles</w:t>
            </w:r>
            <w:r w:rsidR="00432151" w:rsidRPr="000059F1">
              <w:rPr>
                <w:rFonts w:ascii="Arial" w:eastAsia="Times New Roman" w:hAnsi="Arial" w:cs="Arial"/>
                <w:b/>
                <w:bCs/>
                <w:color w:val="FFFFFF" w:themeColor="background1"/>
                <w:sz w:val="16"/>
                <w:szCs w:val="16"/>
                <w:lang w:val="es-CO" w:eastAsia="es-CO"/>
              </w:rPr>
              <w:t xml:space="preserve"> de pesos</w:t>
            </w:r>
            <w:r w:rsidRPr="000059F1">
              <w:rPr>
                <w:rFonts w:ascii="Arial" w:eastAsia="Times New Roman" w:hAnsi="Arial" w:cs="Arial"/>
                <w:b/>
                <w:bCs/>
                <w:color w:val="FFFFFF" w:themeColor="background1"/>
                <w:sz w:val="16"/>
                <w:szCs w:val="16"/>
                <w:lang w:val="es-CO" w:eastAsia="es-CO"/>
              </w:rPr>
              <w:t>)</w:t>
            </w:r>
          </w:p>
        </w:tc>
      </w:tr>
      <w:tr w:rsidR="006021DA" w:rsidRPr="006021DA" w14:paraId="6ADF44BD" w14:textId="77777777" w:rsidTr="00471B96">
        <w:trPr>
          <w:trHeight w:val="209"/>
          <w:jc w:val="center"/>
        </w:trPr>
        <w:tc>
          <w:tcPr>
            <w:tcW w:w="699" w:type="dxa"/>
            <w:vMerge w:val="restart"/>
            <w:tcBorders>
              <w:top w:val="nil"/>
              <w:left w:val="single" w:sz="8" w:space="0" w:color="auto"/>
              <w:bottom w:val="single" w:sz="8" w:space="0" w:color="666699"/>
              <w:right w:val="single" w:sz="8" w:space="0" w:color="666699"/>
            </w:tcBorders>
            <w:shd w:val="clear" w:color="000000" w:fill="CCCCFF"/>
            <w:vAlign w:val="center"/>
            <w:hideMark/>
          </w:tcPr>
          <w:p w14:paraId="7E2AE8A3"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Año</w:t>
            </w:r>
          </w:p>
        </w:tc>
        <w:tc>
          <w:tcPr>
            <w:tcW w:w="2835" w:type="dxa"/>
            <w:gridSpan w:val="3"/>
            <w:tcBorders>
              <w:top w:val="single" w:sz="8" w:space="0" w:color="666699"/>
              <w:left w:val="nil"/>
              <w:bottom w:val="single" w:sz="8" w:space="0" w:color="666699"/>
              <w:right w:val="single" w:sz="8" w:space="0" w:color="666699"/>
            </w:tcBorders>
            <w:shd w:val="clear" w:color="000000" w:fill="CCCCFF"/>
            <w:vAlign w:val="center"/>
            <w:hideMark/>
          </w:tcPr>
          <w:p w14:paraId="4F2BBEEF"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ASIGNADO AESGPAE</w:t>
            </w:r>
          </w:p>
        </w:tc>
        <w:tc>
          <w:tcPr>
            <w:tcW w:w="8080" w:type="dxa"/>
            <w:gridSpan w:val="8"/>
            <w:tcBorders>
              <w:top w:val="single" w:sz="8" w:space="0" w:color="666699"/>
              <w:left w:val="nil"/>
              <w:bottom w:val="single" w:sz="8" w:space="0" w:color="666699"/>
              <w:right w:val="single" w:sz="8" w:space="0" w:color="000000"/>
            </w:tcBorders>
            <w:shd w:val="clear" w:color="000000" w:fill="CCCCFF"/>
            <w:vAlign w:val="center"/>
            <w:hideMark/>
          </w:tcPr>
          <w:p w14:paraId="5C48AB44"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VALORES COMPROMETIDOS PAE </w:t>
            </w:r>
            <w:r w:rsidR="003E3358">
              <w:rPr>
                <w:rFonts w:ascii="Arial" w:eastAsia="Times New Roman" w:hAnsi="Arial" w:cs="Arial"/>
                <w:b/>
                <w:bCs/>
                <w:sz w:val="16"/>
                <w:szCs w:val="16"/>
                <w:lang w:val="es-CO" w:eastAsia="es-CO"/>
              </w:rPr>
              <w:t>2021</w:t>
            </w:r>
            <w:r w:rsidRPr="006021DA">
              <w:rPr>
                <w:rFonts w:ascii="Arial" w:eastAsia="Times New Roman" w:hAnsi="Arial" w:cs="Arial"/>
                <w:b/>
                <w:bCs/>
                <w:sz w:val="16"/>
                <w:szCs w:val="16"/>
                <w:lang w:val="es-CO" w:eastAsia="es-CO"/>
              </w:rPr>
              <w:t>-</w:t>
            </w:r>
            <w:r w:rsidR="00CC5EA4">
              <w:rPr>
                <w:rFonts w:ascii="Arial" w:eastAsia="Times New Roman" w:hAnsi="Arial" w:cs="Arial"/>
                <w:b/>
                <w:bCs/>
                <w:sz w:val="16"/>
                <w:szCs w:val="16"/>
                <w:lang w:val="es-CO" w:eastAsia="es-CO"/>
              </w:rPr>
              <w:t xml:space="preserve"> marzo </w:t>
            </w:r>
            <w:r w:rsidRPr="006021DA">
              <w:rPr>
                <w:rFonts w:ascii="Arial" w:eastAsia="Times New Roman" w:hAnsi="Arial" w:cs="Arial"/>
                <w:b/>
                <w:bCs/>
                <w:sz w:val="16"/>
                <w:szCs w:val="16"/>
                <w:lang w:val="es-CO" w:eastAsia="es-CO"/>
              </w:rPr>
              <w:t>202</w:t>
            </w:r>
            <w:r w:rsidR="003E3358">
              <w:rPr>
                <w:rFonts w:ascii="Arial" w:eastAsia="Times New Roman" w:hAnsi="Arial" w:cs="Arial"/>
                <w:b/>
                <w:bCs/>
                <w:sz w:val="16"/>
                <w:szCs w:val="16"/>
                <w:lang w:val="es-CO" w:eastAsia="es-CO"/>
              </w:rPr>
              <w:t>2</w:t>
            </w:r>
          </w:p>
        </w:tc>
      </w:tr>
      <w:tr w:rsidR="006021DA" w:rsidRPr="006021DA" w14:paraId="1045DCB1" w14:textId="77777777" w:rsidTr="00471B96">
        <w:trPr>
          <w:trHeight w:val="810"/>
          <w:jc w:val="center"/>
        </w:trPr>
        <w:tc>
          <w:tcPr>
            <w:tcW w:w="699" w:type="dxa"/>
            <w:vMerge/>
            <w:tcBorders>
              <w:top w:val="nil"/>
              <w:left w:val="single" w:sz="8" w:space="0" w:color="auto"/>
              <w:bottom w:val="single" w:sz="8" w:space="0" w:color="666699"/>
              <w:right w:val="single" w:sz="8" w:space="0" w:color="666699"/>
            </w:tcBorders>
            <w:vAlign w:val="center"/>
            <w:hideMark/>
          </w:tcPr>
          <w:p w14:paraId="125CFC3A" w14:textId="77777777" w:rsidR="00E61662" w:rsidRPr="006021DA" w:rsidRDefault="00E61662" w:rsidP="00835F25">
            <w:pPr>
              <w:contextualSpacing/>
              <w:rPr>
                <w:rFonts w:ascii="Arial" w:eastAsia="Times New Roman" w:hAnsi="Arial" w:cs="Arial"/>
                <w:b/>
                <w:bCs/>
                <w:sz w:val="16"/>
                <w:szCs w:val="16"/>
                <w:lang w:val="es-CO" w:eastAsia="es-CO"/>
              </w:rPr>
            </w:pP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1444F066"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AE del SGP Vigencia Anterior (1/12)</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33C73CCA"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AE del SGP Vigencia Actual (11/12)</w:t>
            </w:r>
          </w:p>
        </w:tc>
        <w:tc>
          <w:tcPr>
            <w:tcW w:w="992" w:type="dxa"/>
            <w:tcBorders>
              <w:top w:val="nil"/>
              <w:left w:val="nil"/>
              <w:bottom w:val="nil"/>
              <w:right w:val="single" w:sz="8" w:space="0" w:color="666699"/>
            </w:tcBorders>
            <w:shd w:val="clear" w:color="000000" w:fill="CCCCFF"/>
            <w:vAlign w:val="center"/>
            <w:hideMark/>
          </w:tcPr>
          <w:p w14:paraId="7D73F303" w14:textId="77777777" w:rsidR="00E61662" w:rsidRPr="006021DA" w:rsidRDefault="00E61662" w:rsidP="00835F25">
            <w:pPr>
              <w:contextualSpacing/>
              <w:jc w:val="center"/>
              <w:rPr>
                <w:rFonts w:ascii="Arial" w:eastAsia="Times New Roman" w:hAnsi="Arial" w:cs="Arial"/>
                <w:b/>
                <w:bCs/>
                <w:sz w:val="16"/>
                <w:szCs w:val="16"/>
                <w:lang w:val="es-CO" w:eastAsia="es-CO"/>
              </w:rPr>
            </w:pP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43EADED"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SGP Asignación Especial para Alimentación Escolar</w:t>
            </w: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3A35668"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SGP CALIDAD Matrícula </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3C36B08B" w14:textId="77777777" w:rsidR="00E61662" w:rsidRPr="006021DA" w:rsidRDefault="00CC541E" w:rsidP="00835F25">
            <w:pPr>
              <w:contextualSpacing/>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Recursos Propios</w:t>
            </w:r>
            <w:r w:rsidR="00E61662" w:rsidRPr="006021DA">
              <w:rPr>
                <w:rFonts w:ascii="Arial" w:eastAsia="Times New Roman" w:hAnsi="Arial" w:cs="Arial"/>
                <w:b/>
                <w:bCs/>
                <w:sz w:val="16"/>
                <w:szCs w:val="16"/>
                <w:lang w:val="es-CO" w:eastAsia="es-CO"/>
              </w:rPr>
              <w:t xml:space="preserve"> </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191F9964"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PGN</w:t>
            </w:r>
          </w:p>
        </w:tc>
        <w:tc>
          <w:tcPr>
            <w:tcW w:w="993"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C4C6372" w14:textId="77777777" w:rsidR="00E61662" w:rsidRPr="006021DA" w:rsidRDefault="00AF63CB" w:rsidP="00835F25">
            <w:pPr>
              <w:contextualSpacing/>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Regalías</w:t>
            </w:r>
            <w:r w:rsidR="00E61662" w:rsidRPr="006021DA">
              <w:rPr>
                <w:rFonts w:ascii="Arial" w:eastAsia="Times New Roman" w:hAnsi="Arial" w:cs="Arial"/>
                <w:b/>
                <w:bCs/>
                <w:sz w:val="16"/>
                <w:szCs w:val="16"/>
                <w:lang w:val="es-CO" w:eastAsia="es-CO"/>
              </w:rPr>
              <w:t xml:space="preserve"> </w:t>
            </w:r>
          </w:p>
        </w:tc>
        <w:tc>
          <w:tcPr>
            <w:tcW w:w="850"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49900F9D" w14:textId="77777777" w:rsidR="00E61662" w:rsidRPr="006021DA" w:rsidRDefault="005F4FBF"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FONPET</w:t>
            </w:r>
            <w:r w:rsidR="00E61662" w:rsidRPr="006021DA">
              <w:rPr>
                <w:rFonts w:ascii="Arial" w:eastAsia="Times New Roman" w:hAnsi="Arial" w:cs="Arial"/>
                <w:b/>
                <w:bCs/>
                <w:sz w:val="16"/>
                <w:szCs w:val="16"/>
                <w:lang w:val="es-CO" w:eastAsia="es-CO"/>
              </w:rPr>
              <w:t xml:space="preserve"> </w:t>
            </w:r>
          </w:p>
        </w:tc>
        <w:tc>
          <w:tcPr>
            <w:tcW w:w="1134"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36B3D5F9"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Recursos de Capital**</w:t>
            </w:r>
          </w:p>
        </w:tc>
        <w:tc>
          <w:tcPr>
            <w:tcW w:w="1276" w:type="dxa"/>
            <w:vMerge w:val="restart"/>
            <w:tcBorders>
              <w:top w:val="nil"/>
              <w:left w:val="single" w:sz="8" w:space="0" w:color="666699"/>
              <w:bottom w:val="single" w:sz="8" w:space="0" w:color="666699"/>
              <w:right w:val="single" w:sz="8" w:space="0" w:color="auto"/>
            </w:tcBorders>
            <w:shd w:val="clear" w:color="000000" w:fill="CCCCFF"/>
            <w:vAlign w:val="center"/>
            <w:hideMark/>
          </w:tcPr>
          <w:p w14:paraId="2C24866D"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TOTAL</w:t>
            </w:r>
          </w:p>
        </w:tc>
      </w:tr>
      <w:tr w:rsidR="006021DA" w:rsidRPr="006021DA" w14:paraId="59962093" w14:textId="77777777" w:rsidTr="00471B96">
        <w:trPr>
          <w:trHeight w:val="315"/>
          <w:jc w:val="center"/>
        </w:trPr>
        <w:tc>
          <w:tcPr>
            <w:tcW w:w="699" w:type="dxa"/>
            <w:vMerge/>
            <w:tcBorders>
              <w:top w:val="nil"/>
              <w:left w:val="single" w:sz="8" w:space="0" w:color="auto"/>
              <w:bottom w:val="single" w:sz="8" w:space="0" w:color="666699"/>
              <w:right w:val="single" w:sz="8" w:space="0" w:color="666699"/>
            </w:tcBorders>
            <w:vAlign w:val="center"/>
            <w:hideMark/>
          </w:tcPr>
          <w:p w14:paraId="633024A7" w14:textId="77777777" w:rsidR="00E61662" w:rsidRPr="006021DA" w:rsidRDefault="00E61662" w:rsidP="00835F25">
            <w:pPr>
              <w:contextualSpacing/>
              <w:rPr>
                <w:rFonts w:ascii="Arial" w:eastAsia="Times New Roman" w:hAnsi="Arial" w:cs="Arial"/>
                <w:b/>
                <w:bCs/>
                <w:sz w:val="16"/>
                <w:szCs w:val="16"/>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48FAF6E8"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5EDEECC2"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tcBorders>
              <w:top w:val="nil"/>
              <w:left w:val="nil"/>
              <w:bottom w:val="single" w:sz="8" w:space="0" w:color="666699"/>
              <w:right w:val="single" w:sz="8" w:space="0" w:color="666699"/>
            </w:tcBorders>
            <w:shd w:val="clear" w:color="000000" w:fill="CCCCFF"/>
            <w:vAlign w:val="center"/>
            <w:hideMark/>
          </w:tcPr>
          <w:p w14:paraId="292DBD72"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TOTAL</w:t>
            </w:r>
          </w:p>
        </w:tc>
        <w:tc>
          <w:tcPr>
            <w:tcW w:w="992" w:type="dxa"/>
            <w:vMerge/>
            <w:tcBorders>
              <w:top w:val="nil"/>
              <w:left w:val="single" w:sz="8" w:space="0" w:color="666699"/>
              <w:bottom w:val="single" w:sz="8" w:space="0" w:color="666699"/>
              <w:right w:val="single" w:sz="8" w:space="0" w:color="666699"/>
            </w:tcBorders>
            <w:vAlign w:val="center"/>
            <w:hideMark/>
          </w:tcPr>
          <w:p w14:paraId="5AC998A0" w14:textId="77777777" w:rsidR="00E61662" w:rsidRPr="006021DA" w:rsidRDefault="00E61662" w:rsidP="00835F25">
            <w:pPr>
              <w:contextualSpacing/>
              <w:rPr>
                <w:rFonts w:ascii="Arial" w:eastAsia="Times New Roman" w:hAnsi="Arial" w:cs="Arial"/>
                <w:b/>
                <w:bCs/>
                <w:sz w:val="16"/>
                <w:szCs w:val="16"/>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02F126A4"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7864265C"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35208DE3"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3" w:type="dxa"/>
            <w:vMerge/>
            <w:tcBorders>
              <w:top w:val="nil"/>
              <w:left w:val="single" w:sz="8" w:space="0" w:color="666699"/>
              <w:bottom w:val="single" w:sz="8" w:space="0" w:color="666699"/>
              <w:right w:val="single" w:sz="8" w:space="0" w:color="666699"/>
            </w:tcBorders>
            <w:vAlign w:val="center"/>
            <w:hideMark/>
          </w:tcPr>
          <w:p w14:paraId="3CF00E9D" w14:textId="77777777" w:rsidR="00E61662" w:rsidRPr="006021DA" w:rsidRDefault="00E61662" w:rsidP="00835F25">
            <w:pPr>
              <w:contextualSpacing/>
              <w:rPr>
                <w:rFonts w:ascii="Arial" w:eastAsia="Times New Roman" w:hAnsi="Arial" w:cs="Arial"/>
                <w:b/>
                <w:bCs/>
                <w:sz w:val="16"/>
                <w:szCs w:val="16"/>
                <w:lang w:val="es-CO" w:eastAsia="es-CO"/>
              </w:rPr>
            </w:pPr>
          </w:p>
        </w:tc>
        <w:tc>
          <w:tcPr>
            <w:tcW w:w="850" w:type="dxa"/>
            <w:vMerge/>
            <w:tcBorders>
              <w:top w:val="nil"/>
              <w:left w:val="single" w:sz="8" w:space="0" w:color="666699"/>
              <w:bottom w:val="single" w:sz="8" w:space="0" w:color="666699"/>
              <w:right w:val="single" w:sz="8" w:space="0" w:color="666699"/>
            </w:tcBorders>
            <w:vAlign w:val="center"/>
            <w:hideMark/>
          </w:tcPr>
          <w:p w14:paraId="606D6C02" w14:textId="77777777" w:rsidR="00E61662" w:rsidRPr="006021DA" w:rsidRDefault="00E61662" w:rsidP="00835F25">
            <w:pPr>
              <w:contextualSpacing/>
              <w:rPr>
                <w:rFonts w:ascii="Arial" w:eastAsia="Times New Roman" w:hAnsi="Arial" w:cs="Arial"/>
                <w:b/>
                <w:bCs/>
                <w:sz w:val="16"/>
                <w:szCs w:val="16"/>
                <w:lang w:val="es-CO" w:eastAsia="es-CO"/>
              </w:rPr>
            </w:pPr>
          </w:p>
        </w:tc>
        <w:tc>
          <w:tcPr>
            <w:tcW w:w="1134" w:type="dxa"/>
            <w:vMerge/>
            <w:tcBorders>
              <w:top w:val="nil"/>
              <w:left w:val="single" w:sz="8" w:space="0" w:color="666699"/>
              <w:bottom w:val="single" w:sz="8" w:space="0" w:color="666699"/>
              <w:right w:val="single" w:sz="8" w:space="0" w:color="666699"/>
            </w:tcBorders>
            <w:vAlign w:val="center"/>
            <w:hideMark/>
          </w:tcPr>
          <w:p w14:paraId="60D573CC" w14:textId="77777777" w:rsidR="00E61662" w:rsidRPr="006021DA" w:rsidRDefault="00E61662" w:rsidP="00835F25">
            <w:pPr>
              <w:contextualSpacing/>
              <w:rPr>
                <w:rFonts w:ascii="Arial" w:eastAsia="Times New Roman" w:hAnsi="Arial" w:cs="Arial"/>
                <w:b/>
                <w:bCs/>
                <w:sz w:val="16"/>
                <w:szCs w:val="16"/>
                <w:lang w:val="es-CO" w:eastAsia="es-CO"/>
              </w:rPr>
            </w:pPr>
          </w:p>
        </w:tc>
        <w:tc>
          <w:tcPr>
            <w:tcW w:w="1276" w:type="dxa"/>
            <w:vMerge/>
            <w:tcBorders>
              <w:top w:val="nil"/>
              <w:left w:val="single" w:sz="8" w:space="0" w:color="666699"/>
              <w:bottom w:val="single" w:sz="8" w:space="0" w:color="666699"/>
              <w:right w:val="single" w:sz="8" w:space="0" w:color="auto"/>
            </w:tcBorders>
            <w:vAlign w:val="center"/>
            <w:hideMark/>
          </w:tcPr>
          <w:p w14:paraId="77C84899" w14:textId="77777777" w:rsidR="00E61662" w:rsidRPr="006021DA" w:rsidRDefault="00E61662" w:rsidP="00835F25">
            <w:pPr>
              <w:contextualSpacing/>
              <w:rPr>
                <w:rFonts w:ascii="Arial" w:eastAsia="Times New Roman" w:hAnsi="Arial" w:cs="Arial"/>
                <w:b/>
                <w:bCs/>
                <w:sz w:val="16"/>
                <w:szCs w:val="16"/>
                <w:lang w:val="es-CO" w:eastAsia="es-CO"/>
              </w:rPr>
            </w:pPr>
          </w:p>
        </w:tc>
      </w:tr>
      <w:tr w:rsidR="006021DA" w:rsidRPr="006021DA" w14:paraId="17162F7D" w14:textId="77777777" w:rsidTr="00471B96">
        <w:trPr>
          <w:trHeight w:val="178"/>
          <w:jc w:val="center"/>
        </w:trPr>
        <w:tc>
          <w:tcPr>
            <w:tcW w:w="699" w:type="dxa"/>
            <w:vMerge w:val="restart"/>
            <w:tcBorders>
              <w:top w:val="nil"/>
              <w:left w:val="single" w:sz="8" w:space="0" w:color="auto"/>
              <w:bottom w:val="single" w:sz="8" w:space="0" w:color="666699"/>
              <w:right w:val="single" w:sz="8" w:space="0" w:color="666699"/>
            </w:tcBorders>
            <w:shd w:val="clear" w:color="000000" w:fill="CCCCFF"/>
            <w:vAlign w:val="center"/>
            <w:hideMark/>
          </w:tcPr>
          <w:p w14:paraId="6F6C7F24" w14:textId="77777777" w:rsidR="00E61662" w:rsidRPr="006021DA" w:rsidRDefault="00E61662" w:rsidP="00835F25">
            <w:pPr>
              <w:contextualSpacing/>
              <w:rPr>
                <w:rFonts w:ascii="Arial" w:eastAsia="Times New Roman" w:hAnsi="Arial" w:cs="Arial"/>
                <w:sz w:val="22"/>
                <w:szCs w:val="22"/>
                <w:lang w:val="es-CO" w:eastAsia="es-CO"/>
              </w:rPr>
            </w:pPr>
            <w:r w:rsidRPr="006021DA">
              <w:rPr>
                <w:rFonts w:ascii="Arial" w:eastAsia="Times New Roman" w:hAnsi="Arial" w:cs="Arial"/>
                <w:sz w:val="22"/>
                <w:szCs w:val="22"/>
                <w:lang w:val="es-CO" w:eastAsia="es-CO"/>
              </w:rPr>
              <w:t> </w:t>
            </w: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30567CD1"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00FF37C5"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(b)</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A0B2BE0"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w:t>
            </w:r>
            <w:proofErr w:type="spellStart"/>
            <w:r w:rsidRPr="006021DA">
              <w:rPr>
                <w:rFonts w:ascii="Arial" w:eastAsia="Times New Roman" w:hAnsi="Arial" w:cs="Arial"/>
                <w:b/>
                <w:bCs/>
                <w:sz w:val="16"/>
                <w:szCs w:val="16"/>
                <w:lang w:val="es-CO" w:eastAsia="es-CO"/>
              </w:rPr>
              <w:t>a+b</w:t>
            </w:r>
            <w:proofErr w:type="spellEnd"/>
            <w:r w:rsidRPr="006021DA">
              <w:rPr>
                <w:rFonts w:ascii="Arial" w:eastAsia="Times New Roman" w:hAnsi="Arial" w:cs="Arial"/>
                <w:b/>
                <w:bCs/>
                <w:sz w:val="16"/>
                <w:szCs w:val="16"/>
                <w:lang w:val="es-CO" w:eastAsia="es-CO"/>
              </w:rPr>
              <w:t>)</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799F09C3"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D</w:t>
            </w: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5467DE4"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E</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C587E00"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F</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49E6AE9A"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G</w:t>
            </w:r>
          </w:p>
        </w:tc>
        <w:tc>
          <w:tcPr>
            <w:tcW w:w="993"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31C5134D"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H</w:t>
            </w:r>
          </w:p>
        </w:tc>
        <w:tc>
          <w:tcPr>
            <w:tcW w:w="850"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70824424"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I</w:t>
            </w:r>
          </w:p>
        </w:tc>
        <w:tc>
          <w:tcPr>
            <w:tcW w:w="1134"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07D0ABE"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J</w:t>
            </w:r>
          </w:p>
        </w:tc>
        <w:tc>
          <w:tcPr>
            <w:tcW w:w="1276" w:type="dxa"/>
            <w:tcBorders>
              <w:top w:val="nil"/>
              <w:left w:val="nil"/>
              <w:bottom w:val="nil"/>
              <w:right w:val="single" w:sz="8" w:space="0" w:color="auto"/>
            </w:tcBorders>
            <w:shd w:val="clear" w:color="000000" w:fill="CCCCFF"/>
            <w:vAlign w:val="center"/>
            <w:hideMark/>
          </w:tcPr>
          <w:p w14:paraId="681209FD"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(D)+(E)+(F)+(G)+</w:t>
            </w:r>
          </w:p>
        </w:tc>
      </w:tr>
      <w:tr w:rsidR="006021DA" w:rsidRPr="006021DA" w14:paraId="02B3D0BF" w14:textId="77777777" w:rsidTr="00471B96">
        <w:trPr>
          <w:trHeight w:val="110"/>
          <w:jc w:val="center"/>
        </w:trPr>
        <w:tc>
          <w:tcPr>
            <w:tcW w:w="699" w:type="dxa"/>
            <w:vMerge/>
            <w:tcBorders>
              <w:top w:val="nil"/>
              <w:left w:val="single" w:sz="8" w:space="0" w:color="auto"/>
              <w:bottom w:val="single" w:sz="8" w:space="0" w:color="666699"/>
              <w:right w:val="single" w:sz="8" w:space="0" w:color="666699"/>
            </w:tcBorders>
            <w:vAlign w:val="center"/>
            <w:hideMark/>
          </w:tcPr>
          <w:p w14:paraId="49289C8F" w14:textId="77777777" w:rsidR="00E61662" w:rsidRPr="006021DA" w:rsidRDefault="00E61662" w:rsidP="00835F25">
            <w:pPr>
              <w:contextualSpacing/>
              <w:rPr>
                <w:rFonts w:ascii="Arial" w:eastAsia="Times New Roman" w:hAnsi="Arial" w:cs="Arial"/>
                <w:sz w:val="22"/>
                <w:szCs w:val="22"/>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360B0519"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5FCF602E"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31A9A538"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54342D62" w14:textId="77777777" w:rsidR="00E61662" w:rsidRPr="006021DA" w:rsidRDefault="00E61662" w:rsidP="00835F25">
            <w:pPr>
              <w:contextualSpacing/>
              <w:rPr>
                <w:rFonts w:ascii="Arial" w:eastAsia="Times New Roman" w:hAnsi="Arial" w:cs="Arial"/>
                <w:b/>
                <w:bCs/>
                <w:sz w:val="16"/>
                <w:szCs w:val="16"/>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70BDF2D9"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421A5E67"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08A45ABB" w14:textId="77777777" w:rsidR="00E61662" w:rsidRPr="006021DA" w:rsidRDefault="00E61662" w:rsidP="00835F25">
            <w:pPr>
              <w:contextualSpacing/>
              <w:rPr>
                <w:rFonts w:ascii="Arial" w:eastAsia="Times New Roman" w:hAnsi="Arial" w:cs="Arial"/>
                <w:b/>
                <w:bCs/>
                <w:sz w:val="16"/>
                <w:szCs w:val="16"/>
                <w:lang w:val="es-CO" w:eastAsia="es-CO"/>
              </w:rPr>
            </w:pPr>
          </w:p>
        </w:tc>
        <w:tc>
          <w:tcPr>
            <w:tcW w:w="993" w:type="dxa"/>
            <w:vMerge/>
            <w:tcBorders>
              <w:top w:val="nil"/>
              <w:left w:val="single" w:sz="8" w:space="0" w:color="666699"/>
              <w:bottom w:val="single" w:sz="8" w:space="0" w:color="666699"/>
              <w:right w:val="single" w:sz="8" w:space="0" w:color="666699"/>
            </w:tcBorders>
            <w:vAlign w:val="center"/>
            <w:hideMark/>
          </w:tcPr>
          <w:p w14:paraId="24396C16" w14:textId="77777777" w:rsidR="00E61662" w:rsidRPr="006021DA" w:rsidRDefault="00E61662" w:rsidP="00835F25">
            <w:pPr>
              <w:contextualSpacing/>
              <w:rPr>
                <w:rFonts w:ascii="Arial" w:eastAsia="Times New Roman" w:hAnsi="Arial" w:cs="Arial"/>
                <w:b/>
                <w:bCs/>
                <w:sz w:val="16"/>
                <w:szCs w:val="16"/>
                <w:lang w:val="es-CO" w:eastAsia="es-CO"/>
              </w:rPr>
            </w:pPr>
          </w:p>
        </w:tc>
        <w:tc>
          <w:tcPr>
            <w:tcW w:w="850" w:type="dxa"/>
            <w:vMerge/>
            <w:tcBorders>
              <w:top w:val="nil"/>
              <w:left w:val="single" w:sz="8" w:space="0" w:color="666699"/>
              <w:bottom w:val="single" w:sz="8" w:space="0" w:color="666699"/>
              <w:right w:val="single" w:sz="8" w:space="0" w:color="666699"/>
            </w:tcBorders>
            <w:vAlign w:val="center"/>
            <w:hideMark/>
          </w:tcPr>
          <w:p w14:paraId="49F44BA7" w14:textId="77777777" w:rsidR="00E61662" w:rsidRPr="006021DA" w:rsidRDefault="00E61662" w:rsidP="00835F25">
            <w:pPr>
              <w:contextualSpacing/>
              <w:rPr>
                <w:rFonts w:ascii="Arial" w:eastAsia="Times New Roman" w:hAnsi="Arial" w:cs="Arial"/>
                <w:b/>
                <w:bCs/>
                <w:sz w:val="16"/>
                <w:szCs w:val="16"/>
                <w:lang w:val="es-CO" w:eastAsia="es-CO"/>
              </w:rPr>
            </w:pPr>
          </w:p>
        </w:tc>
        <w:tc>
          <w:tcPr>
            <w:tcW w:w="1134" w:type="dxa"/>
            <w:vMerge/>
            <w:tcBorders>
              <w:top w:val="nil"/>
              <w:left w:val="single" w:sz="8" w:space="0" w:color="666699"/>
              <w:bottom w:val="single" w:sz="8" w:space="0" w:color="666699"/>
              <w:right w:val="single" w:sz="8" w:space="0" w:color="666699"/>
            </w:tcBorders>
            <w:vAlign w:val="center"/>
            <w:hideMark/>
          </w:tcPr>
          <w:p w14:paraId="3C072055" w14:textId="77777777" w:rsidR="00E61662" w:rsidRPr="006021DA" w:rsidRDefault="00E61662" w:rsidP="00835F25">
            <w:pPr>
              <w:contextualSpacing/>
              <w:rPr>
                <w:rFonts w:ascii="Arial" w:eastAsia="Times New Roman" w:hAnsi="Arial" w:cs="Arial"/>
                <w:b/>
                <w:bCs/>
                <w:sz w:val="16"/>
                <w:szCs w:val="16"/>
                <w:lang w:val="es-CO" w:eastAsia="es-CO"/>
              </w:rPr>
            </w:pPr>
          </w:p>
        </w:tc>
        <w:tc>
          <w:tcPr>
            <w:tcW w:w="1276" w:type="dxa"/>
            <w:tcBorders>
              <w:top w:val="nil"/>
              <w:left w:val="nil"/>
              <w:bottom w:val="single" w:sz="8" w:space="0" w:color="666699"/>
              <w:right w:val="single" w:sz="8" w:space="0" w:color="auto"/>
            </w:tcBorders>
            <w:shd w:val="clear" w:color="000000" w:fill="CCCCFF"/>
            <w:vAlign w:val="center"/>
            <w:hideMark/>
          </w:tcPr>
          <w:p w14:paraId="78702E79" w14:textId="77777777" w:rsidR="00E61662" w:rsidRPr="006021DA" w:rsidRDefault="00E61662"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(H)+(I)+(J)</w:t>
            </w:r>
          </w:p>
        </w:tc>
      </w:tr>
      <w:tr w:rsidR="001B6C1C" w:rsidRPr="006021DA" w14:paraId="57E6F616" w14:textId="77777777" w:rsidTr="00471B96">
        <w:trPr>
          <w:trHeight w:val="227"/>
          <w:jc w:val="center"/>
        </w:trPr>
        <w:tc>
          <w:tcPr>
            <w:tcW w:w="699" w:type="dxa"/>
            <w:tcBorders>
              <w:top w:val="nil"/>
              <w:left w:val="single" w:sz="8" w:space="0" w:color="auto"/>
              <w:bottom w:val="single" w:sz="8" w:space="0" w:color="666699"/>
              <w:right w:val="single" w:sz="8" w:space="0" w:color="666699"/>
            </w:tcBorders>
            <w:shd w:val="clear" w:color="auto" w:fill="auto"/>
            <w:noWrap/>
            <w:vAlign w:val="center"/>
            <w:hideMark/>
          </w:tcPr>
          <w:p w14:paraId="475BDB5F" w14:textId="77777777" w:rsidR="001B6C1C" w:rsidRPr="006021DA" w:rsidRDefault="001B6C1C" w:rsidP="00835F25">
            <w:pPr>
              <w:contextualSpacing/>
              <w:jc w:val="center"/>
              <w:rPr>
                <w:rFonts w:ascii="Arial" w:eastAsia="Times New Roman" w:hAnsi="Arial" w:cs="Arial"/>
                <w:b/>
                <w:bCs/>
                <w:sz w:val="15"/>
                <w:szCs w:val="15"/>
                <w:lang w:val="es-CO" w:eastAsia="es-CO"/>
              </w:rPr>
            </w:pPr>
            <w:r>
              <w:rPr>
                <w:rFonts w:ascii="Arial" w:eastAsia="Times New Roman" w:hAnsi="Arial" w:cs="Arial"/>
                <w:b/>
                <w:bCs/>
                <w:sz w:val="15"/>
                <w:szCs w:val="15"/>
                <w:lang w:val="es-CO" w:eastAsia="es-CO"/>
              </w:rPr>
              <w:t>2021</w:t>
            </w:r>
          </w:p>
        </w:tc>
        <w:tc>
          <w:tcPr>
            <w:tcW w:w="851" w:type="dxa"/>
            <w:tcBorders>
              <w:top w:val="nil"/>
              <w:left w:val="nil"/>
              <w:bottom w:val="single" w:sz="8" w:space="0" w:color="666699"/>
              <w:right w:val="single" w:sz="8" w:space="0" w:color="666699"/>
            </w:tcBorders>
            <w:shd w:val="clear" w:color="auto" w:fill="auto"/>
            <w:noWrap/>
            <w:vAlign w:val="center"/>
            <w:hideMark/>
          </w:tcPr>
          <w:p w14:paraId="29FB96E5" w14:textId="77777777" w:rsidR="001B6C1C" w:rsidRPr="009023EE" w:rsidRDefault="001B6C1C" w:rsidP="00835F25">
            <w:pPr>
              <w:contextualSpacing/>
              <w:jc w:val="center"/>
              <w:rPr>
                <w:rFonts w:ascii="Arial" w:eastAsia="Times New Roman" w:hAnsi="Arial" w:cs="Arial"/>
                <w:sz w:val="16"/>
                <w:szCs w:val="16"/>
                <w:lang w:val="es-CO" w:eastAsia="es-CO"/>
              </w:rPr>
            </w:pPr>
            <w:r w:rsidRPr="009023EE">
              <w:rPr>
                <w:rFonts w:ascii="Arial" w:eastAsia="Times New Roman" w:hAnsi="Arial" w:cs="Arial"/>
                <w:sz w:val="16"/>
                <w:szCs w:val="16"/>
                <w:lang w:val="es-CO" w:eastAsia="es-CO"/>
              </w:rPr>
              <w:t>50.228</w:t>
            </w:r>
          </w:p>
        </w:tc>
        <w:tc>
          <w:tcPr>
            <w:tcW w:w="992" w:type="dxa"/>
            <w:tcBorders>
              <w:top w:val="nil"/>
              <w:left w:val="nil"/>
              <w:bottom w:val="single" w:sz="8" w:space="0" w:color="666699"/>
              <w:right w:val="single" w:sz="8" w:space="0" w:color="666699"/>
            </w:tcBorders>
            <w:shd w:val="clear" w:color="auto" w:fill="auto"/>
            <w:noWrap/>
            <w:vAlign w:val="center"/>
            <w:hideMark/>
          </w:tcPr>
          <w:p w14:paraId="33D88F55" w14:textId="77777777" w:rsidR="001B6C1C" w:rsidRPr="009023EE" w:rsidRDefault="001B6C1C" w:rsidP="00835F25">
            <w:pPr>
              <w:contextualSpacing/>
              <w:jc w:val="center"/>
              <w:rPr>
                <w:rFonts w:ascii="Arial" w:eastAsia="Times New Roman" w:hAnsi="Arial" w:cs="Arial"/>
                <w:sz w:val="16"/>
                <w:szCs w:val="16"/>
                <w:lang w:val="es-CO" w:eastAsia="es-CO"/>
              </w:rPr>
            </w:pPr>
            <w:r w:rsidRPr="009023EE">
              <w:rPr>
                <w:rFonts w:ascii="Arial" w:eastAsia="Times New Roman" w:hAnsi="Arial" w:cs="Arial"/>
                <w:sz w:val="16"/>
                <w:szCs w:val="16"/>
                <w:lang w:val="es-CO" w:eastAsia="es-CO"/>
              </w:rPr>
              <w:t>3.188.660</w:t>
            </w:r>
          </w:p>
        </w:tc>
        <w:tc>
          <w:tcPr>
            <w:tcW w:w="992" w:type="dxa"/>
            <w:tcBorders>
              <w:top w:val="nil"/>
              <w:left w:val="nil"/>
              <w:bottom w:val="single" w:sz="8" w:space="0" w:color="666699"/>
              <w:right w:val="single" w:sz="8" w:space="0" w:color="666699"/>
            </w:tcBorders>
            <w:shd w:val="clear" w:color="auto" w:fill="auto"/>
            <w:noWrap/>
            <w:vAlign w:val="center"/>
            <w:hideMark/>
          </w:tcPr>
          <w:p w14:paraId="15FF75F1" w14:textId="77777777" w:rsidR="001B6C1C" w:rsidRPr="009023EE" w:rsidRDefault="001B6C1C" w:rsidP="00835F25">
            <w:pPr>
              <w:contextualSpacing/>
              <w:jc w:val="center"/>
              <w:rPr>
                <w:rFonts w:ascii="Arial" w:eastAsia="Times New Roman" w:hAnsi="Arial" w:cs="Arial"/>
                <w:sz w:val="16"/>
                <w:szCs w:val="16"/>
                <w:lang w:val="es-CO" w:eastAsia="es-CO"/>
              </w:rPr>
            </w:pPr>
            <w:r w:rsidRPr="009023EE">
              <w:rPr>
                <w:rFonts w:ascii="Arial" w:eastAsia="Times New Roman" w:hAnsi="Arial" w:cs="Arial"/>
                <w:sz w:val="16"/>
                <w:szCs w:val="16"/>
                <w:lang w:val="es-CO" w:eastAsia="es-CO"/>
              </w:rPr>
              <w:t>3.238.888</w:t>
            </w:r>
          </w:p>
        </w:tc>
        <w:tc>
          <w:tcPr>
            <w:tcW w:w="992" w:type="dxa"/>
            <w:tcBorders>
              <w:top w:val="nil"/>
              <w:left w:val="nil"/>
              <w:bottom w:val="single" w:sz="8" w:space="0" w:color="666699"/>
              <w:right w:val="single" w:sz="8" w:space="0" w:color="666699"/>
            </w:tcBorders>
            <w:shd w:val="clear" w:color="auto" w:fill="auto"/>
            <w:noWrap/>
            <w:vAlign w:val="center"/>
          </w:tcPr>
          <w:p w14:paraId="045C4BA9"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3.138.413</w:t>
            </w:r>
          </w:p>
        </w:tc>
        <w:tc>
          <w:tcPr>
            <w:tcW w:w="851" w:type="dxa"/>
            <w:tcBorders>
              <w:top w:val="nil"/>
              <w:left w:val="nil"/>
              <w:bottom w:val="single" w:sz="8" w:space="0" w:color="666699"/>
              <w:right w:val="single" w:sz="8" w:space="0" w:color="666699"/>
            </w:tcBorders>
            <w:shd w:val="clear" w:color="000000" w:fill="FFFFFF"/>
            <w:noWrap/>
            <w:vAlign w:val="center"/>
          </w:tcPr>
          <w:p w14:paraId="63CF5335"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992" w:type="dxa"/>
            <w:tcBorders>
              <w:top w:val="nil"/>
              <w:left w:val="nil"/>
              <w:bottom w:val="single" w:sz="8" w:space="0" w:color="666699"/>
              <w:right w:val="single" w:sz="8" w:space="0" w:color="666699"/>
            </w:tcBorders>
            <w:shd w:val="clear" w:color="auto" w:fill="auto"/>
            <w:noWrap/>
            <w:vAlign w:val="center"/>
          </w:tcPr>
          <w:p w14:paraId="23B7F6AA"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11.727.607</w:t>
            </w:r>
          </w:p>
        </w:tc>
        <w:tc>
          <w:tcPr>
            <w:tcW w:w="992" w:type="dxa"/>
            <w:tcBorders>
              <w:top w:val="nil"/>
              <w:left w:val="nil"/>
              <w:bottom w:val="single" w:sz="8" w:space="0" w:color="666699"/>
              <w:right w:val="single" w:sz="8" w:space="0" w:color="666699"/>
            </w:tcBorders>
            <w:shd w:val="clear" w:color="auto" w:fill="auto"/>
            <w:noWrap/>
            <w:vAlign w:val="center"/>
          </w:tcPr>
          <w:p w14:paraId="637EAC80"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2.610.921</w:t>
            </w:r>
          </w:p>
        </w:tc>
        <w:tc>
          <w:tcPr>
            <w:tcW w:w="993" w:type="dxa"/>
            <w:tcBorders>
              <w:top w:val="nil"/>
              <w:left w:val="nil"/>
              <w:bottom w:val="single" w:sz="8" w:space="0" w:color="666699"/>
              <w:right w:val="single" w:sz="8" w:space="0" w:color="666699"/>
            </w:tcBorders>
            <w:shd w:val="clear" w:color="auto" w:fill="auto"/>
            <w:noWrap/>
            <w:vAlign w:val="center"/>
          </w:tcPr>
          <w:p w14:paraId="0DAC950D"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15.722.000</w:t>
            </w:r>
          </w:p>
        </w:tc>
        <w:tc>
          <w:tcPr>
            <w:tcW w:w="850" w:type="dxa"/>
            <w:tcBorders>
              <w:top w:val="nil"/>
              <w:left w:val="nil"/>
              <w:bottom w:val="single" w:sz="8" w:space="0" w:color="666699"/>
              <w:right w:val="single" w:sz="8" w:space="0" w:color="666699"/>
            </w:tcBorders>
            <w:shd w:val="clear" w:color="auto" w:fill="auto"/>
            <w:noWrap/>
            <w:vAlign w:val="center"/>
          </w:tcPr>
          <w:p w14:paraId="30DED270"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1134" w:type="dxa"/>
            <w:tcBorders>
              <w:top w:val="nil"/>
              <w:left w:val="nil"/>
              <w:bottom w:val="single" w:sz="8" w:space="0" w:color="666699"/>
              <w:right w:val="single" w:sz="8" w:space="0" w:color="666699"/>
            </w:tcBorders>
            <w:shd w:val="clear" w:color="auto" w:fill="auto"/>
            <w:noWrap/>
            <w:vAlign w:val="center"/>
          </w:tcPr>
          <w:p w14:paraId="6F3BEDCC"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245.436</w:t>
            </w:r>
          </w:p>
        </w:tc>
        <w:tc>
          <w:tcPr>
            <w:tcW w:w="1276" w:type="dxa"/>
            <w:tcBorders>
              <w:top w:val="nil"/>
              <w:left w:val="nil"/>
              <w:bottom w:val="single" w:sz="8" w:space="0" w:color="666699"/>
              <w:right w:val="single" w:sz="8" w:space="0" w:color="auto"/>
            </w:tcBorders>
            <w:shd w:val="clear" w:color="auto" w:fill="auto"/>
            <w:noWrap/>
            <w:vAlign w:val="center"/>
          </w:tcPr>
          <w:p w14:paraId="691EA684" w14:textId="77777777" w:rsidR="001B6C1C" w:rsidRPr="006021DA" w:rsidRDefault="001B6C1C" w:rsidP="00835F25">
            <w:pPr>
              <w:contextualSpacing/>
              <w:jc w:val="center"/>
              <w:rPr>
                <w:rFonts w:ascii="Arial" w:eastAsia="Times New Roman" w:hAnsi="Arial" w:cs="Arial"/>
                <w:sz w:val="16"/>
                <w:szCs w:val="16"/>
                <w:lang w:val="es-CO" w:eastAsia="es-CO"/>
              </w:rPr>
            </w:pPr>
            <w:r>
              <w:rPr>
                <w:rFonts w:ascii="Arial" w:hAnsi="Arial" w:cs="Arial"/>
                <w:color w:val="000000"/>
                <w:sz w:val="16"/>
                <w:szCs w:val="16"/>
              </w:rPr>
              <w:t>33.444.377</w:t>
            </w:r>
          </w:p>
        </w:tc>
      </w:tr>
      <w:tr w:rsidR="001B6C1C" w:rsidRPr="006021DA" w14:paraId="1ACB959D" w14:textId="77777777" w:rsidTr="00471B96">
        <w:trPr>
          <w:trHeight w:val="227"/>
          <w:jc w:val="center"/>
        </w:trPr>
        <w:tc>
          <w:tcPr>
            <w:tcW w:w="699" w:type="dxa"/>
            <w:tcBorders>
              <w:top w:val="nil"/>
              <w:left w:val="single" w:sz="8" w:space="0" w:color="auto"/>
              <w:bottom w:val="single" w:sz="8" w:space="0" w:color="666699"/>
              <w:right w:val="single" w:sz="8" w:space="0" w:color="666699"/>
            </w:tcBorders>
            <w:shd w:val="clear" w:color="auto" w:fill="auto"/>
            <w:noWrap/>
            <w:vAlign w:val="center"/>
            <w:hideMark/>
          </w:tcPr>
          <w:p w14:paraId="527B858E" w14:textId="77777777" w:rsidR="001B6C1C" w:rsidRPr="006021DA" w:rsidRDefault="001B6C1C" w:rsidP="00835F25">
            <w:pPr>
              <w:contextualSpacing/>
              <w:jc w:val="center"/>
              <w:rPr>
                <w:rFonts w:ascii="Arial" w:eastAsia="Times New Roman" w:hAnsi="Arial" w:cs="Arial"/>
                <w:b/>
                <w:bCs/>
                <w:sz w:val="15"/>
                <w:szCs w:val="15"/>
                <w:lang w:val="es-CO" w:eastAsia="es-CO"/>
              </w:rPr>
            </w:pPr>
            <w:r w:rsidRPr="006021DA">
              <w:rPr>
                <w:rFonts w:ascii="Arial" w:eastAsia="Times New Roman" w:hAnsi="Arial" w:cs="Arial"/>
                <w:b/>
                <w:bCs/>
                <w:sz w:val="15"/>
                <w:szCs w:val="15"/>
                <w:lang w:val="es-CO" w:eastAsia="es-CO"/>
              </w:rPr>
              <w:t>202</w:t>
            </w:r>
            <w:r>
              <w:rPr>
                <w:rFonts w:ascii="Arial" w:eastAsia="Times New Roman" w:hAnsi="Arial" w:cs="Arial"/>
                <w:b/>
                <w:bCs/>
                <w:sz w:val="15"/>
                <w:szCs w:val="15"/>
                <w:lang w:val="es-CO" w:eastAsia="es-CO"/>
              </w:rPr>
              <w:t>2</w:t>
            </w:r>
          </w:p>
        </w:tc>
        <w:tc>
          <w:tcPr>
            <w:tcW w:w="851" w:type="dxa"/>
            <w:tcBorders>
              <w:top w:val="nil"/>
              <w:left w:val="nil"/>
              <w:bottom w:val="single" w:sz="8" w:space="0" w:color="666699"/>
              <w:right w:val="single" w:sz="8" w:space="0" w:color="666699"/>
            </w:tcBorders>
            <w:shd w:val="clear" w:color="auto" w:fill="auto"/>
            <w:noWrap/>
            <w:vAlign w:val="center"/>
            <w:hideMark/>
          </w:tcPr>
          <w:p w14:paraId="67BF7113" w14:textId="77777777" w:rsidR="001B6C1C" w:rsidRPr="006021DA" w:rsidRDefault="001B6C1C"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284.791</w:t>
            </w:r>
          </w:p>
        </w:tc>
        <w:tc>
          <w:tcPr>
            <w:tcW w:w="992" w:type="dxa"/>
            <w:tcBorders>
              <w:top w:val="nil"/>
              <w:left w:val="nil"/>
              <w:bottom w:val="single" w:sz="8" w:space="0" w:color="666699"/>
              <w:right w:val="single" w:sz="8" w:space="0" w:color="666699"/>
            </w:tcBorders>
            <w:shd w:val="clear" w:color="auto" w:fill="auto"/>
            <w:noWrap/>
            <w:vAlign w:val="center"/>
            <w:hideMark/>
          </w:tcPr>
          <w:p w14:paraId="3661D399" w14:textId="77777777" w:rsidR="001B6C1C" w:rsidRPr="006021DA" w:rsidRDefault="001B6C1C"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3.542.526</w:t>
            </w:r>
          </w:p>
        </w:tc>
        <w:tc>
          <w:tcPr>
            <w:tcW w:w="992" w:type="dxa"/>
            <w:tcBorders>
              <w:top w:val="nil"/>
              <w:left w:val="nil"/>
              <w:bottom w:val="single" w:sz="8" w:space="0" w:color="666699"/>
              <w:right w:val="single" w:sz="8" w:space="0" w:color="666699"/>
            </w:tcBorders>
            <w:shd w:val="clear" w:color="auto" w:fill="auto"/>
            <w:noWrap/>
            <w:vAlign w:val="center"/>
            <w:hideMark/>
          </w:tcPr>
          <w:p w14:paraId="61FF6B6C" w14:textId="77777777" w:rsidR="001B6C1C" w:rsidRPr="006021DA" w:rsidRDefault="001B6C1C"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3.827.318</w:t>
            </w:r>
          </w:p>
        </w:tc>
        <w:tc>
          <w:tcPr>
            <w:tcW w:w="992" w:type="dxa"/>
            <w:tcBorders>
              <w:top w:val="nil"/>
              <w:left w:val="nil"/>
              <w:bottom w:val="single" w:sz="8" w:space="0" w:color="666699"/>
              <w:right w:val="single" w:sz="8" w:space="0" w:color="666699"/>
            </w:tcBorders>
            <w:shd w:val="clear" w:color="auto" w:fill="auto"/>
            <w:noWrap/>
            <w:vAlign w:val="center"/>
          </w:tcPr>
          <w:p w14:paraId="1EC8FC15"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851" w:type="dxa"/>
            <w:tcBorders>
              <w:top w:val="nil"/>
              <w:left w:val="nil"/>
              <w:bottom w:val="single" w:sz="8" w:space="0" w:color="666699"/>
              <w:right w:val="single" w:sz="8" w:space="0" w:color="666699"/>
            </w:tcBorders>
            <w:shd w:val="clear" w:color="000000" w:fill="FFFFFF"/>
            <w:noWrap/>
            <w:vAlign w:val="center"/>
          </w:tcPr>
          <w:p w14:paraId="1F7B700C"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992" w:type="dxa"/>
            <w:tcBorders>
              <w:top w:val="nil"/>
              <w:left w:val="nil"/>
              <w:bottom w:val="single" w:sz="8" w:space="0" w:color="666699"/>
              <w:right w:val="single" w:sz="8" w:space="0" w:color="666699"/>
            </w:tcBorders>
            <w:shd w:val="clear" w:color="auto" w:fill="auto"/>
            <w:noWrap/>
            <w:vAlign w:val="center"/>
          </w:tcPr>
          <w:p w14:paraId="5D863B99"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5.714.574</w:t>
            </w:r>
          </w:p>
        </w:tc>
        <w:tc>
          <w:tcPr>
            <w:tcW w:w="992" w:type="dxa"/>
            <w:tcBorders>
              <w:top w:val="nil"/>
              <w:left w:val="nil"/>
              <w:bottom w:val="single" w:sz="8" w:space="0" w:color="666699"/>
              <w:right w:val="single" w:sz="8" w:space="0" w:color="666699"/>
            </w:tcBorders>
            <w:shd w:val="clear" w:color="auto" w:fill="auto"/>
            <w:noWrap/>
            <w:vAlign w:val="center"/>
          </w:tcPr>
          <w:p w14:paraId="01A9421D"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993" w:type="dxa"/>
            <w:tcBorders>
              <w:top w:val="nil"/>
              <w:left w:val="nil"/>
              <w:bottom w:val="single" w:sz="8" w:space="0" w:color="666699"/>
              <w:right w:val="single" w:sz="8" w:space="0" w:color="666699"/>
            </w:tcBorders>
            <w:shd w:val="clear" w:color="auto" w:fill="auto"/>
            <w:noWrap/>
            <w:vAlign w:val="center"/>
          </w:tcPr>
          <w:p w14:paraId="555A0ABB"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850" w:type="dxa"/>
            <w:tcBorders>
              <w:top w:val="nil"/>
              <w:left w:val="nil"/>
              <w:bottom w:val="single" w:sz="8" w:space="0" w:color="666699"/>
              <w:right w:val="single" w:sz="8" w:space="0" w:color="666699"/>
            </w:tcBorders>
            <w:shd w:val="clear" w:color="auto" w:fill="auto"/>
            <w:noWrap/>
            <w:vAlign w:val="center"/>
          </w:tcPr>
          <w:p w14:paraId="7A5A8A9D"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1134" w:type="dxa"/>
            <w:tcBorders>
              <w:top w:val="nil"/>
              <w:left w:val="nil"/>
              <w:bottom w:val="single" w:sz="8" w:space="0" w:color="666699"/>
              <w:right w:val="single" w:sz="8" w:space="0" w:color="666699"/>
            </w:tcBorders>
            <w:shd w:val="clear" w:color="auto" w:fill="auto"/>
            <w:noWrap/>
            <w:vAlign w:val="center"/>
          </w:tcPr>
          <w:p w14:paraId="7E8496CD" w14:textId="77777777" w:rsidR="001B6C1C" w:rsidRPr="006021DA" w:rsidRDefault="001B6C1C" w:rsidP="00835F25">
            <w:pPr>
              <w:contextualSpacing/>
              <w:jc w:val="right"/>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1276" w:type="dxa"/>
            <w:tcBorders>
              <w:top w:val="nil"/>
              <w:left w:val="nil"/>
              <w:bottom w:val="single" w:sz="8" w:space="0" w:color="666699"/>
              <w:right w:val="single" w:sz="8" w:space="0" w:color="auto"/>
            </w:tcBorders>
            <w:shd w:val="clear" w:color="auto" w:fill="auto"/>
            <w:noWrap/>
            <w:vAlign w:val="center"/>
          </w:tcPr>
          <w:p w14:paraId="3F9A3AB9" w14:textId="77777777" w:rsidR="001B6C1C" w:rsidRPr="006021DA" w:rsidRDefault="001B6C1C" w:rsidP="00835F25">
            <w:pPr>
              <w:contextualSpacing/>
              <w:jc w:val="center"/>
              <w:rPr>
                <w:rFonts w:ascii="Arial" w:eastAsia="Times New Roman" w:hAnsi="Arial" w:cs="Arial"/>
                <w:sz w:val="16"/>
                <w:szCs w:val="16"/>
                <w:lang w:val="es-CO" w:eastAsia="es-CO"/>
              </w:rPr>
            </w:pPr>
            <w:r>
              <w:rPr>
                <w:rFonts w:ascii="Arial" w:hAnsi="Arial" w:cs="Arial"/>
                <w:color w:val="000000"/>
                <w:sz w:val="16"/>
                <w:szCs w:val="16"/>
              </w:rPr>
              <w:t>5.714.574</w:t>
            </w:r>
          </w:p>
        </w:tc>
      </w:tr>
      <w:tr w:rsidR="001B6C1C" w:rsidRPr="006021DA" w14:paraId="701D37C0" w14:textId="77777777" w:rsidTr="00471B96">
        <w:trPr>
          <w:trHeight w:val="227"/>
          <w:jc w:val="center"/>
        </w:trPr>
        <w:tc>
          <w:tcPr>
            <w:tcW w:w="699" w:type="dxa"/>
            <w:tcBorders>
              <w:top w:val="nil"/>
              <w:left w:val="single" w:sz="8" w:space="0" w:color="auto"/>
              <w:bottom w:val="single" w:sz="8" w:space="0" w:color="auto"/>
              <w:right w:val="single" w:sz="8" w:space="0" w:color="666699"/>
            </w:tcBorders>
            <w:shd w:val="clear" w:color="000000" w:fill="666699"/>
            <w:noWrap/>
            <w:vAlign w:val="center"/>
            <w:hideMark/>
          </w:tcPr>
          <w:p w14:paraId="0F3769AD" w14:textId="77777777" w:rsidR="001B6C1C" w:rsidRPr="00BF7628" w:rsidRDefault="001B6C1C" w:rsidP="00835F25">
            <w:pPr>
              <w:contextualSpacing/>
              <w:jc w:val="center"/>
              <w:rPr>
                <w:rFonts w:ascii="Arial" w:eastAsia="Times New Roman" w:hAnsi="Arial" w:cs="Arial"/>
                <w:b/>
                <w:bCs/>
                <w:color w:val="FFFFFF" w:themeColor="background1"/>
                <w:sz w:val="15"/>
                <w:szCs w:val="15"/>
                <w:lang w:val="es-CO" w:eastAsia="es-CO"/>
              </w:rPr>
            </w:pPr>
            <w:r w:rsidRPr="00BF7628">
              <w:rPr>
                <w:rFonts w:ascii="Arial" w:eastAsia="Times New Roman" w:hAnsi="Arial" w:cs="Arial"/>
                <w:b/>
                <w:bCs/>
                <w:color w:val="FFFFFF" w:themeColor="background1"/>
                <w:sz w:val="15"/>
                <w:szCs w:val="15"/>
                <w:lang w:val="es-CO" w:eastAsia="es-CO"/>
              </w:rPr>
              <w:t>TOTAL</w:t>
            </w:r>
          </w:p>
        </w:tc>
        <w:tc>
          <w:tcPr>
            <w:tcW w:w="851" w:type="dxa"/>
            <w:tcBorders>
              <w:top w:val="nil"/>
              <w:left w:val="nil"/>
              <w:bottom w:val="single" w:sz="8" w:space="0" w:color="auto"/>
              <w:right w:val="single" w:sz="8" w:space="0" w:color="666699"/>
            </w:tcBorders>
            <w:shd w:val="clear" w:color="000000" w:fill="666699"/>
            <w:noWrap/>
            <w:vAlign w:val="center"/>
            <w:hideMark/>
          </w:tcPr>
          <w:p w14:paraId="5BDDC9D1" w14:textId="77777777" w:rsidR="001B6C1C" w:rsidRPr="00BF7628" w:rsidRDefault="001B6C1C" w:rsidP="00835F25">
            <w:pPr>
              <w:contextualSpacing/>
              <w:jc w:val="center"/>
              <w:rPr>
                <w:rFonts w:ascii="Arial" w:eastAsia="Times New Roman" w:hAnsi="Arial" w:cs="Arial"/>
                <w:b/>
                <w:bCs/>
                <w:color w:val="FFFFFF" w:themeColor="background1"/>
                <w:sz w:val="16"/>
                <w:szCs w:val="16"/>
                <w:lang w:val="es-CO" w:eastAsia="es-CO"/>
              </w:rPr>
            </w:pPr>
            <w:r w:rsidRPr="00BF7628">
              <w:rPr>
                <w:rFonts w:ascii="Arial" w:eastAsia="Times New Roman" w:hAnsi="Arial" w:cs="Arial"/>
                <w:b/>
                <w:bCs/>
                <w:color w:val="FFFFFF" w:themeColor="background1"/>
                <w:sz w:val="16"/>
                <w:szCs w:val="16"/>
                <w:lang w:val="es-CO" w:eastAsia="es-CO"/>
              </w:rPr>
              <w:t>306.428</w:t>
            </w:r>
          </w:p>
        </w:tc>
        <w:tc>
          <w:tcPr>
            <w:tcW w:w="992" w:type="dxa"/>
            <w:tcBorders>
              <w:top w:val="nil"/>
              <w:left w:val="nil"/>
              <w:bottom w:val="single" w:sz="8" w:space="0" w:color="auto"/>
              <w:right w:val="single" w:sz="8" w:space="0" w:color="666699"/>
            </w:tcBorders>
            <w:shd w:val="clear" w:color="000000" w:fill="666699"/>
            <w:noWrap/>
            <w:vAlign w:val="center"/>
            <w:hideMark/>
          </w:tcPr>
          <w:p w14:paraId="66944B10" w14:textId="77777777" w:rsidR="001B6C1C" w:rsidRPr="00BF7628" w:rsidRDefault="001B6C1C" w:rsidP="00835F25">
            <w:pPr>
              <w:contextualSpacing/>
              <w:jc w:val="center"/>
              <w:rPr>
                <w:rFonts w:ascii="Arial" w:eastAsia="Times New Roman" w:hAnsi="Arial" w:cs="Arial"/>
                <w:b/>
                <w:bCs/>
                <w:color w:val="FFFFFF" w:themeColor="background1"/>
                <w:sz w:val="16"/>
                <w:szCs w:val="16"/>
                <w:lang w:val="es-CO" w:eastAsia="es-CO"/>
              </w:rPr>
            </w:pPr>
            <w:r w:rsidRPr="00BF7628">
              <w:rPr>
                <w:rFonts w:ascii="Arial" w:eastAsia="Times New Roman" w:hAnsi="Arial" w:cs="Arial"/>
                <w:b/>
                <w:bCs/>
                <w:color w:val="FFFFFF" w:themeColor="background1"/>
                <w:sz w:val="16"/>
                <w:szCs w:val="16"/>
                <w:lang w:val="es-CO" w:eastAsia="es-CO"/>
              </w:rPr>
              <w:t>5.377.152</w:t>
            </w:r>
          </w:p>
        </w:tc>
        <w:tc>
          <w:tcPr>
            <w:tcW w:w="992" w:type="dxa"/>
            <w:tcBorders>
              <w:top w:val="nil"/>
              <w:left w:val="nil"/>
              <w:bottom w:val="single" w:sz="8" w:space="0" w:color="auto"/>
              <w:right w:val="single" w:sz="8" w:space="0" w:color="666699"/>
            </w:tcBorders>
            <w:shd w:val="clear" w:color="000000" w:fill="666699"/>
            <w:noWrap/>
            <w:vAlign w:val="center"/>
            <w:hideMark/>
          </w:tcPr>
          <w:p w14:paraId="6210937B" w14:textId="77777777" w:rsidR="001B6C1C" w:rsidRPr="00BF7628" w:rsidRDefault="001B6C1C" w:rsidP="00835F25">
            <w:pPr>
              <w:contextualSpacing/>
              <w:jc w:val="center"/>
              <w:rPr>
                <w:rFonts w:ascii="Arial" w:eastAsia="Times New Roman" w:hAnsi="Arial" w:cs="Arial"/>
                <w:b/>
                <w:bCs/>
                <w:color w:val="FFFFFF" w:themeColor="background1"/>
                <w:sz w:val="16"/>
                <w:szCs w:val="16"/>
                <w:lang w:val="es-CO" w:eastAsia="es-CO"/>
              </w:rPr>
            </w:pPr>
            <w:r w:rsidRPr="00BF7628">
              <w:rPr>
                <w:rFonts w:ascii="Arial" w:eastAsia="Times New Roman" w:hAnsi="Arial" w:cs="Arial"/>
                <w:b/>
                <w:bCs/>
                <w:color w:val="FFFFFF" w:themeColor="background1"/>
                <w:sz w:val="16"/>
                <w:szCs w:val="16"/>
                <w:lang w:val="es-CO" w:eastAsia="es-CO"/>
              </w:rPr>
              <w:t>5.683.581</w:t>
            </w:r>
          </w:p>
        </w:tc>
        <w:tc>
          <w:tcPr>
            <w:tcW w:w="992" w:type="dxa"/>
            <w:tcBorders>
              <w:top w:val="nil"/>
              <w:left w:val="nil"/>
              <w:bottom w:val="single" w:sz="8" w:space="0" w:color="auto"/>
              <w:right w:val="single" w:sz="8" w:space="0" w:color="666699"/>
            </w:tcBorders>
            <w:shd w:val="clear" w:color="000000" w:fill="666699"/>
            <w:noWrap/>
            <w:vAlign w:val="center"/>
          </w:tcPr>
          <w:p w14:paraId="30F6BA63" w14:textId="77777777" w:rsidR="001B6C1C" w:rsidRPr="00BF7628" w:rsidRDefault="001B6C1C" w:rsidP="00835F25">
            <w:pPr>
              <w:contextualSpacing/>
              <w:jc w:val="right"/>
              <w:rPr>
                <w:rFonts w:ascii="Arial" w:eastAsia="Times New Roman" w:hAnsi="Arial" w:cs="Arial"/>
                <w:b/>
                <w:bCs/>
                <w:color w:val="FFFFFF" w:themeColor="background1"/>
                <w:sz w:val="16"/>
                <w:szCs w:val="16"/>
                <w:lang w:val="es-CO" w:eastAsia="es-CO"/>
              </w:rPr>
            </w:pPr>
            <w:r>
              <w:rPr>
                <w:rFonts w:ascii="Arial" w:eastAsia="Times New Roman" w:hAnsi="Arial" w:cs="Arial"/>
                <w:b/>
                <w:bCs/>
                <w:color w:val="FFFFFF" w:themeColor="background1"/>
                <w:sz w:val="16"/>
                <w:szCs w:val="16"/>
                <w:lang w:val="es-CO" w:eastAsia="es-CO"/>
              </w:rPr>
              <w:t>3.138.413</w:t>
            </w:r>
          </w:p>
        </w:tc>
        <w:tc>
          <w:tcPr>
            <w:tcW w:w="851" w:type="dxa"/>
            <w:tcBorders>
              <w:top w:val="nil"/>
              <w:left w:val="nil"/>
              <w:bottom w:val="single" w:sz="8" w:space="0" w:color="auto"/>
              <w:right w:val="single" w:sz="8" w:space="0" w:color="666699"/>
            </w:tcBorders>
            <w:shd w:val="clear" w:color="000000" w:fill="666699"/>
            <w:noWrap/>
            <w:vAlign w:val="center"/>
          </w:tcPr>
          <w:p w14:paraId="0459469A" w14:textId="77777777" w:rsidR="001B6C1C" w:rsidRPr="00BF7628" w:rsidRDefault="001B6C1C" w:rsidP="00835F25">
            <w:pPr>
              <w:contextualSpacing/>
              <w:jc w:val="right"/>
              <w:rPr>
                <w:rFonts w:ascii="Arial" w:eastAsia="Times New Roman" w:hAnsi="Arial" w:cs="Arial"/>
                <w:b/>
                <w:bCs/>
                <w:color w:val="FFFFFF" w:themeColor="background1"/>
                <w:sz w:val="16"/>
                <w:szCs w:val="16"/>
                <w:lang w:val="es-CO" w:eastAsia="es-CO"/>
              </w:rPr>
            </w:pPr>
          </w:p>
        </w:tc>
        <w:tc>
          <w:tcPr>
            <w:tcW w:w="992" w:type="dxa"/>
            <w:tcBorders>
              <w:top w:val="nil"/>
              <w:left w:val="nil"/>
              <w:bottom w:val="single" w:sz="8" w:space="0" w:color="auto"/>
              <w:right w:val="single" w:sz="8" w:space="0" w:color="666699"/>
            </w:tcBorders>
            <w:shd w:val="clear" w:color="000000" w:fill="666699"/>
            <w:noWrap/>
            <w:vAlign w:val="center"/>
          </w:tcPr>
          <w:p w14:paraId="6FF6453A" w14:textId="77777777" w:rsidR="001B6C1C" w:rsidRPr="00BF7628" w:rsidRDefault="001B6C1C" w:rsidP="00835F25">
            <w:pPr>
              <w:contextualSpacing/>
              <w:jc w:val="right"/>
              <w:rPr>
                <w:rFonts w:ascii="Arial" w:eastAsia="Times New Roman" w:hAnsi="Arial" w:cs="Arial"/>
                <w:b/>
                <w:bCs/>
                <w:color w:val="FFFFFF" w:themeColor="background1"/>
                <w:sz w:val="16"/>
                <w:szCs w:val="16"/>
                <w:lang w:val="es-CO" w:eastAsia="es-CO"/>
              </w:rPr>
            </w:pPr>
            <w:r>
              <w:rPr>
                <w:rFonts w:ascii="Arial" w:eastAsia="Times New Roman" w:hAnsi="Arial" w:cs="Arial"/>
                <w:b/>
                <w:bCs/>
                <w:color w:val="FFFFFF" w:themeColor="background1"/>
                <w:sz w:val="16"/>
                <w:szCs w:val="16"/>
                <w:lang w:val="es-CO" w:eastAsia="es-CO"/>
              </w:rPr>
              <w:t>17.442.181</w:t>
            </w:r>
          </w:p>
        </w:tc>
        <w:tc>
          <w:tcPr>
            <w:tcW w:w="992" w:type="dxa"/>
            <w:tcBorders>
              <w:top w:val="nil"/>
              <w:left w:val="nil"/>
              <w:bottom w:val="single" w:sz="8" w:space="0" w:color="auto"/>
              <w:right w:val="single" w:sz="8" w:space="0" w:color="666699"/>
            </w:tcBorders>
            <w:shd w:val="clear" w:color="000000" w:fill="666699"/>
            <w:noWrap/>
            <w:vAlign w:val="center"/>
          </w:tcPr>
          <w:p w14:paraId="55CAC69E" w14:textId="77777777" w:rsidR="001B6C1C" w:rsidRPr="00841E03" w:rsidRDefault="001B6C1C" w:rsidP="00835F25">
            <w:pPr>
              <w:contextualSpacing/>
              <w:jc w:val="right"/>
              <w:rPr>
                <w:rFonts w:ascii="Arial" w:eastAsia="Times New Roman" w:hAnsi="Arial" w:cs="Arial"/>
                <w:b/>
                <w:bCs/>
                <w:color w:val="FFFFFF" w:themeColor="background1"/>
                <w:sz w:val="16"/>
                <w:szCs w:val="16"/>
                <w:lang w:val="es-CO" w:eastAsia="es-CO"/>
              </w:rPr>
            </w:pPr>
            <w:r w:rsidRPr="00841E03">
              <w:rPr>
                <w:rFonts w:ascii="Arial" w:eastAsia="Times New Roman" w:hAnsi="Arial" w:cs="Arial"/>
                <w:b/>
                <w:color w:val="FFFFFF" w:themeColor="background1"/>
                <w:sz w:val="16"/>
                <w:szCs w:val="16"/>
                <w:lang w:val="es-CO" w:eastAsia="es-CO"/>
              </w:rPr>
              <w:t>2.610.921</w:t>
            </w:r>
          </w:p>
        </w:tc>
        <w:tc>
          <w:tcPr>
            <w:tcW w:w="993" w:type="dxa"/>
            <w:tcBorders>
              <w:top w:val="nil"/>
              <w:left w:val="nil"/>
              <w:bottom w:val="single" w:sz="8" w:space="0" w:color="auto"/>
              <w:right w:val="single" w:sz="8" w:space="0" w:color="666699"/>
            </w:tcBorders>
            <w:shd w:val="clear" w:color="000000" w:fill="666699"/>
            <w:noWrap/>
            <w:vAlign w:val="center"/>
          </w:tcPr>
          <w:p w14:paraId="5F3281AD" w14:textId="77777777" w:rsidR="001B6C1C" w:rsidRPr="001B6C1C" w:rsidRDefault="001B6C1C" w:rsidP="00835F25">
            <w:pPr>
              <w:contextualSpacing/>
              <w:jc w:val="right"/>
              <w:rPr>
                <w:rFonts w:ascii="Arial" w:eastAsia="Times New Roman" w:hAnsi="Arial" w:cs="Arial"/>
                <w:b/>
                <w:bCs/>
                <w:color w:val="FFFFFF" w:themeColor="background1"/>
                <w:sz w:val="16"/>
                <w:szCs w:val="16"/>
                <w:lang w:val="es-CO" w:eastAsia="es-CO"/>
              </w:rPr>
            </w:pPr>
            <w:r w:rsidRPr="001B6C1C">
              <w:rPr>
                <w:rFonts w:ascii="Arial" w:eastAsia="Times New Roman" w:hAnsi="Arial" w:cs="Arial"/>
                <w:b/>
                <w:bCs/>
                <w:color w:val="FFFFFF" w:themeColor="background1"/>
                <w:sz w:val="16"/>
                <w:szCs w:val="16"/>
                <w:lang w:val="es-CO" w:eastAsia="es-CO"/>
              </w:rPr>
              <w:t>15.722.000</w:t>
            </w:r>
          </w:p>
        </w:tc>
        <w:tc>
          <w:tcPr>
            <w:tcW w:w="850" w:type="dxa"/>
            <w:tcBorders>
              <w:top w:val="nil"/>
              <w:left w:val="nil"/>
              <w:bottom w:val="single" w:sz="8" w:space="0" w:color="auto"/>
              <w:right w:val="single" w:sz="8" w:space="0" w:color="666699"/>
            </w:tcBorders>
            <w:shd w:val="clear" w:color="000000" w:fill="666699"/>
            <w:noWrap/>
            <w:vAlign w:val="center"/>
          </w:tcPr>
          <w:p w14:paraId="2FA5A15D" w14:textId="77777777" w:rsidR="001B6C1C" w:rsidRPr="001B6C1C" w:rsidRDefault="001B6C1C" w:rsidP="00835F25">
            <w:pPr>
              <w:contextualSpacing/>
              <w:jc w:val="right"/>
              <w:rPr>
                <w:rFonts w:ascii="Arial" w:eastAsia="Times New Roman" w:hAnsi="Arial" w:cs="Arial"/>
                <w:b/>
                <w:bCs/>
                <w:color w:val="FFFFFF" w:themeColor="background1"/>
                <w:sz w:val="16"/>
                <w:szCs w:val="16"/>
                <w:lang w:val="es-CO" w:eastAsia="es-CO"/>
              </w:rPr>
            </w:pPr>
            <w:r w:rsidRPr="001B6C1C">
              <w:rPr>
                <w:rFonts w:ascii="Arial" w:eastAsia="Times New Roman" w:hAnsi="Arial" w:cs="Arial"/>
                <w:b/>
                <w:bCs/>
                <w:color w:val="FFFFFF" w:themeColor="background1"/>
                <w:sz w:val="16"/>
                <w:szCs w:val="16"/>
                <w:lang w:val="es-CO" w:eastAsia="es-CO"/>
              </w:rPr>
              <w:t>0</w:t>
            </w:r>
          </w:p>
        </w:tc>
        <w:tc>
          <w:tcPr>
            <w:tcW w:w="1134" w:type="dxa"/>
            <w:tcBorders>
              <w:top w:val="nil"/>
              <w:left w:val="nil"/>
              <w:bottom w:val="single" w:sz="8" w:space="0" w:color="auto"/>
              <w:right w:val="single" w:sz="8" w:space="0" w:color="666699"/>
            </w:tcBorders>
            <w:shd w:val="clear" w:color="000000" w:fill="666699"/>
            <w:noWrap/>
            <w:vAlign w:val="center"/>
          </w:tcPr>
          <w:p w14:paraId="002C4C9F" w14:textId="77777777" w:rsidR="001B6C1C" w:rsidRPr="00BF7628" w:rsidRDefault="001B6C1C" w:rsidP="00835F25">
            <w:pPr>
              <w:contextualSpacing/>
              <w:jc w:val="right"/>
              <w:rPr>
                <w:rFonts w:ascii="Arial" w:eastAsia="Times New Roman" w:hAnsi="Arial" w:cs="Arial"/>
                <w:b/>
                <w:bCs/>
                <w:color w:val="FFFFFF" w:themeColor="background1"/>
                <w:sz w:val="16"/>
                <w:szCs w:val="16"/>
                <w:lang w:val="es-CO" w:eastAsia="es-CO"/>
              </w:rPr>
            </w:pPr>
            <w:r>
              <w:rPr>
                <w:rFonts w:ascii="Arial" w:eastAsia="Times New Roman" w:hAnsi="Arial" w:cs="Arial"/>
                <w:b/>
                <w:bCs/>
                <w:color w:val="FFFFFF" w:themeColor="background1"/>
                <w:sz w:val="16"/>
                <w:szCs w:val="16"/>
                <w:lang w:val="es-CO" w:eastAsia="es-CO"/>
              </w:rPr>
              <w:t>245.436</w:t>
            </w:r>
          </w:p>
        </w:tc>
        <w:tc>
          <w:tcPr>
            <w:tcW w:w="1276" w:type="dxa"/>
            <w:tcBorders>
              <w:top w:val="nil"/>
              <w:left w:val="nil"/>
              <w:bottom w:val="single" w:sz="8" w:space="0" w:color="auto"/>
              <w:right w:val="single" w:sz="8" w:space="0" w:color="auto"/>
            </w:tcBorders>
            <w:shd w:val="clear" w:color="000000" w:fill="666699"/>
            <w:noWrap/>
            <w:vAlign w:val="center"/>
          </w:tcPr>
          <w:p w14:paraId="3E842F74" w14:textId="77777777" w:rsidR="001B6C1C" w:rsidRPr="001B6C1C" w:rsidRDefault="001B6C1C" w:rsidP="00835F25">
            <w:pPr>
              <w:contextualSpacing/>
              <w:jc w:val="center"/>
              <w:rPr>
                <w:rFonts w:ascii="Arial" w:eastAsia="Times New Roman" w:hAnsi="Arial" w:cs="Arial"/>
                <w:b/>
                <w:bCs/>
                <w:color w:val="FFFFFF" w:themeColor="background1"/>
                <w:sz w:val="16"/>
                <w:szCs w:val="16"/>
                <w:lang w:val="es-CO" w:eastAsia="es-CO"/>
              </w:rPr>
            </w:pPr>
            <w:r w:rsidRPr="001B6C1C">
              <w:rPr>
                <w:rFonts w:ascii="Arial" w:hAnsi="Arial" w:cs="Arial"/>
                <w:b/>
                <w:color w:val="FFFFFF" w:themeColor="background1"/>
                <w:sz w:val="16"/>
                <w:szCs w:val="16"/>
              </w:rPr>
              <w:t>39.158.951</w:t>
            </w:r>
          </w:p>
        </w:tc>
      </w:tr>
    </w:tbl>
    <w:bookmarkEnd w:id="4"/>
    <w:p w14:paraId="2BF0BB56" w14:textId="77777777" w:rsidR="00D25CE1" w:rsidRPr="006021DA" w:rsidRDefault="00D25CE1" w:rsidP="00835F25">
      <w:pPr>
        <w:ind w:right="59"/>
        <w:contextualSpacing/>
        <w:jc w:val="center"/>
        <w:rPr>
          <w:rFonts w:ascii="Arial" w:eastAsia="Arial" w:hAnsi="Arial" w:cs="Arial"/>
          <w:sz w:val="16"/>
          <w:szCs w:val="22"/>
          <w:lang w:val="es-CO"/>
        </w:rPr>
      </w:pPr>
      <w:r w:rsidRPr="006021DA">
        <w:rPr>
          <w:rFonts w:ascii="Arial" w:eastAsia="Arial" w:hAnsi="Arial" w:cs="Arial"/>
          <w:sz w:val="16"/>
          <w:szCs w:val="22"/>
          <w:lang w:val="es-CO"/>
        </w:rPr>
        <w:t>*</w:t>
      </w:r>
      <w:r w:rsidR="00BA057D" w:rsidRPr="006021DA">
        <w:rPr>
          <w:rFonts w:ascii="Arial" w:eastAsia="Arial" w:hAnsi="Arial" w:cs="Arial"/>
          <w:sz w:val="16"/>
          <w:szCs w:val="22"/>
          <w:lang w:val="es-CO"/>
        </w:rPr>
        <w:t>R</w:t>
      </w:r>
      <w:r w:rsidRPr="006021DA">
        <w:rPr>
          <w:rFonts w:ascii="Arial" w:eastAsia="Arial" w:hAnsi="Arial" w:cs="Arial"/>
          <w:sz w:val="16"/>
          <w:szCs w:val="22"/>
          <w:lang w:val="es-CO"/>
        </w:rPr>
        <w:t xml:space="preserve">ecursos del </w:t>
      </w:r>
      <w:r w:rsidR="00B50FB1" w:rsidRPr="006021DA">
        <w:rPr>
          <w:rFonts w:ascii="Arial" w:eastAsia="Arial" w:hAnsi="Arial" w:cs="Arial"/>
          <w:sz w:val="16"/>
          <w:szCs w:val="22"/>
          <w:lang w:val="es-CO"/>
        </w:rPr>
        <w:t>s</w:t>
      </w:r>
      <w:r w:rsidRPr="006021DA">
        <w:rPr>
          <w:rFonts w:ascii="Arial" w:eastAsia="Arial" w:hAnsi="Arial" w:cs="Arial"/>
          <w:sz w:val="16"/>
          <w:szCs w:val="22"/>
          <w:lang w:val="es-CO"/>
        </w:rPr>
        <w:t xml:space="preserve">ector privado, cooperativo o no gubernamental del nivel </w:t>
      </w:r>
      <w:r w:rsidR="00AC32BA">
        <w:rPr>
          <w:rFonts w:ascii="Arial" w:eastAsia="Arial" w:hAnsi="Arial" w:cs="Arial"/>
          <w:sz w:val="16"/>
          <w:szCs w:val="22"/>
          <w:lang w:val="es-CO"/>
        </w:rPr>
        <w:t>N</w:t>
      </w:r>
      <w:r w:rsidRPr="006021DA">
        <w:rPr>
          <w:rFonts w:ascii="Arial" w:eastAsia="Arial" w:hAnsi="Arial" w:cs="Arial"/>
          <w:sz w:val="16"/>
          <w:szCs w:val="22"/>
          <w:lang w:val="es-CO"/>
        </w:rPr>
        <w:t>acional e internacional y cajas de compensación</w:t>
      </w:r>
      <w:r w:rsidR="00913CF8" w:rsidRPr="006021DA">
        <w:rPr>
          <w:rFonts w:ascii="Arial" w:eastAsia="Arial" w:hAnsi="Arial" w:cs="Arial"/>
          <w:sz w:val="16"/>
          <w:szCs w:val="22"/>
          <w:lang w:val="es-CO"/>
        </w:rPr>
        <w:t xml:space="preserve"> – </w:t>
      </w:r>
      <w:r w:rsidR="00B50FB1" w:rsidRPr="006021DA">
        <w:rPr>
          <w:rFonts w:ascii="Arial" w:eastAsia="Arial" w:hAnsi="Arial" w:cs="Arial"/>
          <w:sz w:val="16"/>
          <w:szCs w:val="22"/>
          <w:lang w:val="es-CO"/>
        </w:rPr>
        <w:t>c</w:t>
      </w:r>
      <w:r w:rsidR="00913CF8" w:rsidRPr="006021DA">
        <w:rPr>
          <w:rFonts w:ascii="Arial" w:eastAsia="Arial" w:hAnsi="Arial" w:cs="Arial"/>
          <w:sz w:val="16"/>
          <w:szCs w:val="22"/>
          <w:lang w:val="es-CO"/>
        </w:rPr>
        <w:t xml:space="preserve">ofinanciación </w:t>
      </w:r>
      <w:r w:rsidR="00B50FB1" w:rsidRPr="006021DA">
        <w:rPr>
          <w:rFonts w:ascii="Arial" w:eastAsia="Arial" w:hAnsi="Arial" w:cs="Arial"/>
          <w:sz w:val="16"/>
          <w:szCs w:val="22"/>
          <w:lang w:val="es-CO"/>
        </w:rPr>
        <w:t>d</w:t>
      </w:r>
      <w:r w:rsidR="00913CF8" w:rsidRPr="006021DA">
        <w:rPr>
          <w:rFonts w:ascii="Arial" w:eastAsia="Arial" w:hAnsi="Arial" w:cs="Arial"/>
          <w:sz w:val="16"/>
          <w:szCs w:val="22"/>
          <w:lang w:val="es-CO"/>
        </w:rPr>
        <w:t>epartamental</w:t>
      </w:r>
      <w:r w:rsidR="00BA057D" w:rsidRPr="006021DA">
        <w:rPr>
          <w:rFonts w:ascii="Arial" w:eastAsia="Arial" w:hAnsi="Arial" w:cs="Arial"/>
          <w:sz w:val="16"/>
          <w:szCs w:val="22"/>
          <w:lang w:val="es-CO"/>
        </w:rPr>
        <w:t>.</w:t>
      </w:r>
    </w:p>
    <w:p w14:paraId="4D4F8C03" w14:textId="77777777" w:rsidR="00D25CE1" w:rsidRPr="006021DA" w:rsidRDefault="00D25CE1" w:rsidP="00835F25">
      <w:pPr>
        <w:ind w:right="59"/>
        <w:contextualSpacing/>
        <w:jc w:val="center"/>
        <w:rPr>
          <w:rFonts w:ascii="Arial" w:eastAsia="Arial" w:hAnsi="Arial" w:cs="Arial"/>
          <w:sz w:val="16"/>
          <w:szCs w:val="22"/>
          <w:lang w:val="es-CO"/>
        </w:rPr>
      </w:pPr>
      <w:r w:rsidRPr="006021DA">
        <w:rPr>
          <w:rFonts w:ascii="Arial" w:eastAsia="Arial" w:hAnsi="Arial" w:cs="Arial"/>
          <w:sz w:val="16"/>
          <w:szCs w:val="22"/>
          <w:lang w:val="es-CO"/>
        </w:rPr>
        <w:t>** Superávit fiscal y rendimientos financieros</w:t>
      </w:r>
      <w:r w:rsidR="00B14642" w:rsidRPr="006021DA">
        <w:rPr>
          <w:rFonts w:ascii="Arial" w:eastAsia="Arial" w:hAnsi="Arial" w:cs="Arial"/>
          <w:sz w:val="16"/>
          <w:szCs w:val="22"/>
          <w:lang w:val="es-CO"/>
        </w:rPr>
        <w:t>.</w:t>
      </w:r>
    </w:p>
    <w:p w14:paraId="7FBB2AA6" w14:textId="77777777" w:rsidR="00D25CE1" w:rsidRDefault="00D25CE1" w:rsidP="00835F25">
      <w:pPr>
        <w:ind w:right="59"/>
        <w:contextualSpacing/>
        <w:jc w:val="center"/>
        <w:rPr>
          <w:rFonts w:ascii="Arial" w:eastAsia="Arial" w:hAnsi="Arial" w:cs="Arial"/>
          <w:sz w:val="16"/>
          <w:szCs w:val="22"/>
          <w:lang w:val="es-CO"/>
        </w:rPr>
      </w:pPr>
      <w:r w:rsidRPr="006021DA">
        <w:rPr>
          <w:rFonts w:ascii="Arial" w:eastAsia="Arial" w:hAnsi="Arial" w:cs="Arial"/>
          <w:sz w:val="16"/>
          <w:szCs w:val="22"/>
          <w:lang w:val="es-CO"/>
        </w:rPr>
        <w:t xml:space="preserve">Fuente: Ejecuciones presupuestales </w:t>
      </w:r>
      <w:r w:rsidR="00350F12">
        <w:rPr>
          <w:rFonts w:ascii="Arial" w:eastAsia="Arial" w:hAnsi="Arial" w:cs="Arial"/>
          <w:sz w:val="16"/>
          <w:szCs w:val="22"/>
          <w:lang w:val="es-CO"/>
        </w:rPr>
        <w:t xml:space="preserve">reportadas en FUT Gastos Inversión </w:t>
      </w:r>
      <w:r w:rsidR="00967666">
        <w:rPr>
          <w:rFonts w:ascii="Arial" w:eastAsia="Arial" w:hAnsi="Arial" w:cs="Arial"/>
          <w:sz w:val="16"/>
          <w:szCs w:val="22"/>
          <w:lang w:val="es-CO"/>
        </w:rPr>
        <w:t xml:space="preserve">vigencias </w:t>
      </w:r>
      <w:r w:rsidRPr="006021DA">
        <w:rPr>
          <w:rFonts w:ascii="Arial" w:eastAsia="Arial" w:hAnsi="Arial" w:cs="Arial"/>
          <w:sz w:val="16"/>
          <w:szCs w:val="22"/>
          <w:lang w:val="es-CO"/>
        </w:rPr>
        <w:t>20</w:t>
      </w:r>
      <w:r w:rsidR="005014D1">
        <w:rPr>
          <w:rFonts w:ascii="Arial" w:eastAsia="Arial" w:hAnsi="Arial" w:cs="Arial"/>
          <w:sz w:val="16"/>
          <w:szCs w:val="22"/>
          <w:lang w:val="es-CO"/>
        </w:rPr>
        <w:t>21</w:t>
      </w:r>
      <w:r w:rsidRPr="006021DA">
        <w:rPr>
          <w:rFonts w:ascii="Arial" w:eastAsia="Arial" w:hAnsi="Arial" w:cs="Arial"/>
          <w:sz w:val="16"/>
          <w:szCs w:val="22"/>
          <w:lang w:val="es-CO"/>
        </w:rPr>
        <w:t xml:space="preserve"> a 31 de </w:t>
      </w:r>
      <w:r w:rsidR="005014D1">
        <w:rPr>
          <w:rFonts w:ascii="Arial" w:eastAsia="Arial" w:hAnsi="Arial" w:cs="Arial"/>
          <w:sz w:val="16"/>
          <w:szCs w:val="22"/>
          <w:lang w:val="es-CO"/>
        </w:rPr>
        <w:t>marzo</w:t>
      </w:r>
      <w:r w:rsidRPr="006021DA">
        <w:rPr>
          <w:rFonts w:ascii="Arial" w:eastAsia="Arial" w:hAnsi="Arial" w:cs="Arial"/>
          <w:sz w:val="16"/>
          <w:szCs w:val="22"/>
          <w:lang w:val="es-CO"/>
        </w:rPr>
        <w:t xml:space="preserve"> de 202</w:t>
      </w:r>
      <w:r w:rsidR="005014D1">
        <w:rPr>
          <w:rFonts w:ascii="Arial" w:eastAsia="Arial" w:hAnsi="Arial" w:cs="Arial"/>
          <w:sz w:val="16"/>
          <w:szCs w:val="22"/>
          <w:lang w:val="es-CO"/>
        </w:rPr>
        <w:t>2</w:t>
      </w:r>
      <w:r w:rsidRPr="006021DA">
        <w:rPr>
          <w:rFonts w:ascii="Arial" w:eastAsia="Arial" w:hAnsi="Arial" w:cs="Arial"/>
          <w:sz w:val="16"/>
          <w:szCs w:val="22"/>
          <w:lang w:val="es-CO"/>
        </w:rPr>
        <w:t>.</w:t>
      </w:r>
    </w:p>
    <w:p w14:paraId="4A602128" w14:textId="77777777" w:rsidR="00DB67FD" w:rsidRPr="006021DA" w:rsidRDefault="00DB67FD" w:rsidP="00835F25">
      <w:pPr>
        <w:ind w:right="59"/>
        <w:contextualSpacing/>
        <w:jc w:val="center"/>
        <w:rPr>
          <w:rFonts w:ascii="Arial" w:eastAsia="Arial" w:hAnsi="Arial" w:cs="Arial"/>
          <w:sz w:val="20"/>
          <w:szCs w:val="22"/>
          <w:lang w:val="es-CO"/>
        </w:rPr>
      </w:pPr>
      <w:r>
        <w:rPr>
          <w:rFonts w:ascii="Arial" w:eastAsia="Arial" w:hAnsi="Arial" w:cs="Arial"/>
          <w:sz w:val="16"/>
          <w:szCs w:val="22"/>
          <w:lang w:val="es-CO"/>
        </w:rPr>
        <w:t>Información de Regalías en SECOP II.</w:t>
      </w:r>
    </w:p>
    <w:p w14:paraId="64E4E94D" w14:textId="77777777" w:rsidR="001E69C3" w:rsidRDefault="001E69C3" w:rsidP="00835F25">
      <w:pPr>
        <w:contextualSpacing/>
        <w:jc w:val="both"/>
        <w:rPr>
          <w:rFonts w:ascii="Arial" w:hAnsi="Arial" w:cs="Arial"/>
        </w:rPr>
      </w:pPr>
    </w:p>
    <w:p w14:paraId="3CD70CC9" w14:textId="77777777" w:rsidR="00FF17BE" w:rsidRPr="00FF17BE" w:rsidRDefault="003A048C" w:rsidP="00835F25">
      <w:pPr>
        <w:contextualSpacing/>
        <w:jc w:val="both"/>
        <w:rPr>
          <w:rFonts w:ascii="Arial" w:eastAsia="Calibri" w:hAnsi="Arial" w:cs="Arial"/>
          <w:sz w:val="22"/>
          <w:szCs w:val="22"/>
          <w:lang w:val="es-CO" w:eastAsia="en-US"/>
        </w:rPr>
      </w:pPr>
      <w:r w:rsidRPr="00F20CC5">
        <w:rPr>
          <w:rFonts w:ascii="Arial" w:eastAsia="Calibri" w:hAnsi="Arial" w:cs="Arial"/>
          <w:sz w:val="22"/>
          <w:szCs w:val="22"/>
          <w:lang w:val="es-CO" w:eastAsia="en-US"/>
        </w:rPr>
        <w:t xml:space="preserve">Adicional a lo anterior, y dado que la Entidad Territorial no reporta la fuente de regalías </w:t>
      </w:r>
      <w:r w:rsidR="001E3CD8" w:rsidRPr="00F20CC5">
        <w:rPr>
          <w:rFonts w:ascii="Arial" w:eastAsia="Calibri" w:hAnsi="Arial" w:cs="Arial"/>
          <w:sz w:val="22"/>
          <w:szCs w:val="22"/>
          <w:lang w:val="es-CO" w:eastAsia="en-US"/>
        </w:rPr>
        <w:t xml:space="preserve">en </w:t>
      </w:r>
      <w:r w:rsidR="00A814A7" w:rsidRPr="00F20CC5">
        <w:rPr>
          <w:rFonts w:ascii="Arial" w:eastAsia="Calibri" w:hAnsi="Arial" w:cs="Arial"/>
          <w:sz w:val="22"/>
          <w:szCs w:val="22"/>
          <w:lang w:val="es-CO" w:eastAsia="en-US"/>
        </w:rPr>
        <w:t xml:space="preserve">el </w:t>
      </w:r>
      <w:r w:rsidR="001E3CD8" w:rsidRPr="00F20CC5">
        <w:rPr>
          <w:rFonts w:ascii="Arial" w:eastAsia="Calibri" w:hAnsi="Arial" w:cs="Arial"/>
          <w:sz w:val="22"/>
          <w:szCs w:val="22"/>
          <w:lang w:val="es-CO" w:eastAsia="en-US"/>
        </w:rPr>
        <w:t>F</w:t>
      </w:r>
      <w:r w:rsidR="00A814A7" w:rsidRPr="00F20CC5">
        <w:rPr>
          <w:rFonts w:ascii="Arial" w:eastAsia="Calibri" w:hAnsi="Arial" w:cs="Arial"/>
          <w:sz w:val="22"/>
          <w:szCs w:val="22"/>
          <w:lang w:val="es-CO" w:eastAsia="en-US"/>
        </w:rPr>
        <w:t xml:space="preserve">ormulario Único </w:t>
      </w:r>
      <w:r w:rsidR="001E3CD8" w:rsidRPr="00F20CC5">
        <w:rPr>
          <w:rFonts w:ascii="Arial" w:eastAsia="Calibri" w:hAnsi="Arial" w:cs="Arial"/>
          <w:sz w:val="22"/>
          <w:szCs w:val="22"/>
          <w:lang w:val="es-CO" w:eastAsia="en-US"/>
        </w:rPr>
        <w:t>T</w:t>
      </w:r>
      <w:r w:rsidR="00A814A7" w:rsidRPr="00F20CC5">
        <w:rPr>
          <w:rFonts w:ascii="Arial" w:eastAsia="Calibri" w:hAnsi="Arial" w:cs="Arial"/>
          <w:sz w:val="22"/>
          <w:szCs w:val="22"/>
          <w:lang w:val="es-CO" w:eastAsia="en-US"/>
        </w:rPr>
        <w:t>erritorial</w:t>
      </w:r>
      <w:r w:rsidR="001E3CD8" w:rsidRPr="00F20CC5">
        <w:rPr>
          <w:rFonts w:ascii="Arial" w:eastAsia="Calibri" w:hAnsi="Arial" w:cs="Arial"/>
          <w:sz w:val="22"/>
          <w:szCs w:val="22"/>
          <w:lang w:val="es-CO" w:eastAsia="en-US"/>
        </w:rPr>
        <w:t xml:space="preserve">, ni en </w:t>
      </w:r>
      <w:r w:rsidR="00A814A7" w:rsidRPr="00F20CC5">
        <w:rPr>
          <w:rFonts w:ascii="Arial" w:eastAsia="Calibri" w:hAnsi="Arial" w:cs="Arial"/>
          <w:sz w:val="22"/>
          <w:szCs w:val="22"/>
          <w:lang w:val="es-CO" w:eastAsia="en-US"/>
        </w:rPr>
        <w:t>la Categoría CUIPO, porque el presupuesto del Sistema de R</w:t>
      </w:r>
      <w:r w:rsidR="001E3CD8" w:rsidRPr="00F20CC5">
        <w:rPr>
          <w:rFonts w:ascii="Arial" w:eastAsia="Calibri" w:hAnsi="Arial" w:cs="Arial"/>
          <w:sz w:val="22"/>
          <w:szCs w:val="22"/>
          <w:lang w:val="es-CO" w:eastAsia="en-US"/>
        </w:rPr>
        <w:t xml:space="preserve">egalías </w:t>
      </w:r>
      <w:r w:rsidR="00AC32BA">
        <w:rPr>
          <w:rFonts w:ascii="Arial" w:eastAsia="Calibri" w:hAnsi="Arial" w:cs="Arial"/>
          <w:sz w:val="22"/>
          <w:szCs w:val="22"/>
          <w:lang w:val="es-CO" w:eastAsia="en-US"/>
        </w:rPr>
        <w:t>se</w:t>
      </w:r>
      <w:r w:rsidR="00AC32BA" w:rsidRPr="00F20CC5">
        <w:rPr>
          <w:rFonts w:ascii="Arial" w:eastAsia="Calibri" w:hAnsi="Arial" w:cs="Arial"/>
          <w:sz w:val="22"/>
          <w:szCs w:val="22"/>
          <w:lang w:val="es-CO" w:eastAsia="en-US"/>
        </w:rPr>
        <w:t xml:space="preserve"> </w:t>
      </w:r>
      <w:r w:rsidR="00A814A7" w:rsidRPr="00F20CC5">
        <w:rPr>
          <w:rFonts w:ascii="Arial" w:eastAsia="Calibri" w:hAnsi="Arial" w:cs="Arial"/>
          <w:sz w:val="22"/>
          <w:szCs w:val="22"/>
          <w:lang w:val="es-CO" w:eastAsia="en-US"/>
        </w:rPr>
        <w:t>administra de forma separada</w:t>
      </w:r>
      <w:r w:rsidR="00F20CC5" w:rsidRPr="00F20CC5">
        <w:rPr>
          <w:rFonts w:ascii="Arial" w:eastAsia="Calibri" w:hAnsi="Arial" w:cs="Arial"/>
          <w:sz w:val="22"/>
          <w:szCs w:val="22"/>
          <w:lang w:val="es-CO" w:eastAsia="en-US"/>
        </w:rPr>
        <w:t>, e</w:t>
      </w:r>
      <w:r w:rsidR="001E3CD8" w:rsidRPr="00F20CC5">
        <w:rPr>
          <w:rFonts w:ascii="Arial" w:eastAsia="Calibri" w:hAnsi="Arial" w:cs="Arial"/>
          <w:sz w:val="22"/>
          <w:szCs w:val="22"/>
          <w:lang w:val="es-CO" w:eastAsia="en-US"/>
        </w:rPr>
        <w:t xml:space="preserve">l valor </w:t>
      </w:r>
      <w:r w:rsidR="00A814A7" w:rsidRPr="00F20CC5">
        <w:rPr>
          <w:rFonts w:ascii="Arial" w:eastAsia="Calibri" w:hAnsi="Arial" w:cs="Arial"/>
          <w:sz w:val="22"/>
          <w:szCs w:val="22"/>
          <w:lang w:val="es-CO" w:eastAsia="en-US"/>
        </w:rPr>
        <w:t xml:space="preserve">de esta contratación </w:t>
      </w:r>
      <w:r w:rsidR="00F20CC5" w:rsidRPr="00F20CC5">
        <w:rPr>
          <w:rFonts w:ascii="Arial" w:eastAsia="Calibri" w:hAnsi="Arial" w:cs="Arial"/>
          <w:sz w:val="22"/>
          <w:szCs w:val="22"/>
          <w:lang w:val="es-CO" w:eastAsia="en-US"/>
        </w:rPr>
        <w:t xml:space="preserve">con cargo a esta fuente de recursos </w:t>
      </w:r>
      <w:r w:rsidR="00A814A7" w:rsidRPr="00F20CC5">
        <w:rPr>
          <w:rFonts w:ascii="Arial" w:eastAsia="Calibri" w:hAnsi="Arial" w:cs="Arial"/>
          <w:sz w:val="22"/>
          <w:szCs w:val="22"/>
          <w:lang w:val="es-CO" w:eastAsia="en-US"/>
        </w:rPr>
        <w:t xml:space="preserve">en el período analizado </w:t>
      </w:r>
      <w:r w:rsidR="001E3CD8" w:rsidRPr="00F20CC5">
        <w:rPr>
          <w:rFonts w:ascii="Arial" w:eastAsia="Calibri" w:hAnsi="Arial" w:cs="Arial"/>
          <w:sz w:val="22"/>
          <w:szCs w:val="22"/>
          <w:lang w:val="es-CO" w:eastAsia="en-US"/>
        </w:rPr>
        <w:t>asciende a $</w:t>
      </w:r>
      <w:r w:rsidR="00F20CC5" w:rsidRPr="00F20CC5">
        <w:rPr>
          <w:rFonts w:ascii="Arial" w:eastAsia="Calibri" w:hAnsi="Arial" w:cs="Arial"/>
          <w:sz w:val="22"/>
          <w:szCs w:val="22"/>
          <w:lang w:val="es-CO" w:eastAsia="en-US"/>
        </w:rPr>
        <w:t>15.722 millones</w:t>
      </w:r>
      <w:r w:rsidR="001E3CD8" w:rsidRPr="00F20CC5">
        <w:rPr>
          <w:rFonts w:ascii="Arial" w:eastAsia="Calibri" w:hAnsi="Arial" w:cs="Arial"/>
          <w:sz w:val="22"/>
          <w:szCs w:val="22"/>
          <w:lang w:val="es-CO" w:eastAsia="en-US"/>
        </w:rPr>
        <w:t xml:space="preserve"> </w:t>
      </w:r>
      <w:r w:rsidR="00F20CC5" w:rsidRPr="00F20CC5">
        <w:rPr>
          <w:rFonts w:ascii="Arial" w:eastAsia="Calibri" w:hAnsi="Arial" w:cs="Arial"/>
          <w:sz w:val="22"/>
          <w:szCs w:val="22"/>
          <w:lang w:val="es-CO" w:eastAsia="en-US"/>
        </w:rPr>
        <w:t xml:space="preserve">que corresponde </w:t>
      </w:r>
      <w:r w:rsidR="001E3CD8" w:rsidRPr="00F20CC5">
        <w:rPr>
          <w:rFonts w:ascii="Arial" w:eastAsia="Calibri" w:hAnsi="Arial" w:cs="Arial"/>
          <w:sz w:val="22"/>
          <w:szCs w:val="22"/>
          <w:lang w:val="es-CO" w:eastAsia="en-US"/>
        </w:rPr>
        <w:t xml:space="preserve">a </w:t>
      </w:r>
      <w:r w:rsidR="00A814A7" w:rsidRPr="00F20CC5">
        <w:rPr>
          <w:rFonts w:ascii="Arial" w:eastAsia="Calibri" w:hAnsi="Arial" w:cs="Arial"/>
          <w:sz w:val="22"/>
          <w:szCs w:val="22"/>
          <w:lang w:val="es-CO" w:eastAsia="en-US"/>
        </w:rPr>
        <w:t xml:space="preserve">la ejecución del </w:t>
      </w:r>
      <w:r w:rsidR="001E3CD8" w:rsidRPr="00F20CC5">
        <w:rPr>
          <w:rFonts w:ascii="Arial" w:eastAsia="Calibri" w:hAnsi="Arial" w:cs="Arial"/>
          <w:sz w:val="22"/>
          <w:szCs w:val="22"/>
          <w:lang w:val="es-CO" w:eastAsia="en-US"/>
        </w:rPr>
        <w:t>Contrato 047</w:t>
      </w:r>
      <w:r w:rsidR="00FF17BE" w:rsidRPr="00F20CC5">
        <w:rPr>
          <w:rFonts w:ascii="Arial" w:eastAsia="Calibri" w:hAnsi="Arial" w:cs="Arial"/>
          <w:sz w:val="22"/>
          <w:szCs w:val="22"/>
          <w:lang w:val="es-CO" w:eastAsia="en-US"/>
        </w:rPr>
        <w:t xml:space="preserve"> </w:t>
      </w:r>
      <w:r w:rsidR="001E3CD8" w:rsidRPr="00F20CC5">
        <w:rPr>
          <w:rFonts w:ascii="Arial" w:eastAsia="Calibri" w:hAnsi="Arial" w:cs="Arial"/>
          <w:sz w:val="22"/>
          <w:szCs w:val="22"/>
          <w:lang w:val="es-CO" w:eastAsia="en-US"/>
        </w:rPr>
        <w:t>de 2021</w:t>
      </w:r>
      <w:r w:rsidR="00AC32BA">
        <w:rPr>
          <w:rFonts w:ascii="Arial" w:eastAsia="Calibri" w:hAnsi="Arial" w:cs="Arial"/>
          <w:sz w:val="22"/>
          <w:szCs w:val="22"/>
          <w:lang w:val="es-CO" w:eastAsia="en-US"/>
        </w:rPr>
        <w:t>;</w:t>
      </w:r>
      <w:r w:rsidR="00A814A7" w:rsidRPr="00F20CC5">
        <w:rPr>
          <w:rFonts w:ascii="Arial" w:eastAsia="Calibri" w:hAnsi="Arial" w:cs="Arial"/>
          <w:sz w:val="22"/>
          <w:szCs w:val="22"/>
          <w:lang w:val="es-CO" w:eastAsia="en-US"/>
        </w:rPr>
        <w:t xml:space="preserve"> por lo cual, </w:t>
      </w:r>
      <w:r w:rsidR="00F20CC5" w:rsidRPr="00F20CC5">
        <w:rPr>
          <w:rFonts w:ascii="Arial" w:eastAsia="Calibri" w:hAnsi="Arial" w:cs="Arial"/>
          <w:sz w:val="22"/>
          <w:szCs w:val="22"/>
          <w:lang w:val="es-CO" w:eastAsia="en-US"/>
        </w:rPr>
        <w:t>el valor total de recursos en el período 2021</w:t>
      </w:r>
      <w:r w:rsidR="00AC32BA">
        <w:rPr>
          <w:rFonts w:ascii="Arial" w:eastAsia="Calibri" w:hAnsi="Arial" w:cs="Arial"/>
          <w:sz w:val="22"/>
          <w:szCs w:val="22"/>
          <w:lang w:val="es-CO" w:eastAsia="en-US"/>
        </w:rPr>
        <w:t xml:space="preserve"> a</w:t>
      </w:r>
      <w:r w:rsidR="00F20CC5" w:rsidRPr="00F20CC5">
        <w:rPr>
          <w:rFonts w:ascii="Arial" w:eastAsia="Calibri" w:hAnsi="Arial" w:cs="Arial"/>
          <w:sz w:val="22"/>
          <w:szCs w:val="22"/>
          <w:lang w:val="es-CO" w:eastAsia="en-US"/>
        </w:rPr>
        <w:t xml:space="preserve"> marzo de 2022 es </w:t>
      </w:r>
      <w:r w:rsidR="00F20CC5" w:rsidRPr="009023EE">
        <w:rPr>
          <w:rFonts w:ascii="Arial" w:eastAsia="Calibri" w:hAnsi="Arial" w:cs="Arial"/>
          <w:sz w:val="22"/>
          <w:szCs w:val="22"/>
          <w:lang w:val="es-CO" w:eastAsia="en-US"/>
        </w:rPr>
        <w:t>de $39.159 millones</w:t>
      </w:r>
      <w:r w:rsidR="00FF17BE" w:rsidRPr="00F20CC5">
        <w:rPr>
          <w:rFonts w:ascii="Arial" w:eastAsia="Calibri" w:hAnsi="Arial" w:cs="Arial"/>
          <w:sz w:val="22"/>
          <w:szCs w:val="22"/>
          <w:lang w:val="es-CO" w:eastAsia="en-US"/>
        </w:rPr>
        <w:t>.</w:t>
      </w:r>
    </w:p>
    <w:p w14:paraId="21123E62" w14:textId="77777777" w:rsidR="00FF17BE" w:rsidRDefault="00FF17BE" w:rsidP="00835F25">
      <w:pPr>
        <w:contextualSpacing/>
        <w:jc w:val="both"/>
        <w:rPr>
          <w:rFonts w:ascii="Arial" w:eastAsia="Calibri" w:hAnsi="Arial" w:cs="Arial"/>
          <w:b/>
          <w:bCs/>
          <w:sz w:val="22"/>
          <w:szCs w:val="22"/>
          <w:lang w:val="es-CO" w:eastAsia="en-US"/>
        </w:rPr>
      </w:pPr>
    </w:p>
    <w:p w14:paraId="53EFF464" w14:textId="77777777" w:rsidR="00D563D6" w:rsidRPr="006021DA" w:rsidRDefault="00D563D6" w:rsidP="00835F25">
      <w:pPr>
        <w:contextualSpacing/>
        <w:jc w:val="both"/>
        <w:rPr>
          <w:rFonts w:ascii="Arial" w:eastAsia="Calibri" w:hAnsi="Arial" w:cs="Arial"/>
          <w:b/>
          <w:bCs/>
          <w:sz w:val="22"/>
          <w:szCs w:val="22"/>
          <w:lang w:val="es-CO" w:eastAsia="en-US"/>
        </w:rPr>
      </w:pPr>
      <w:r w:rsidRPr="006021DA">
        <w:rPr>
          <w:rFonts w:ascii="Arial" w:eastAsia="Calibri" w:hAnsi="Arial" w:cs="Arial"/>
          <w:b/>
          <w:bCs/>
          <w:sz w:val="22"/>
          <w:szCs w:val="22"/>
          <w:lang w:val="es-CO" w:eastAsia="en-US"/>
        </w:rPr>
        <w:t>Contratación:</w:t>
      </w:r>
    </w:p>
    <w:p w14:paraId="377F8269" w14:textId="77777777" w:rsidR="00D563D6" w:rsidRPr="006021DA" w:rsidRDefault="00D563D6" w:rsidP="00835F25">
      <w:pPr>
        <w:contextualSpacing/>
        <w:jc w:val="both"/>
        <w:rPr>
          <w:rFonts w:ascii="Arial" w:eastAsia="Calibri" w:hAnsi="Arial" w:cs="Arial"/>
          <w:b/>
          <w:bCs/>
          <w:sz w:val="22"/>
          <w:szCs w:val="22"/>
          <w:lang w:val="es-CO" w:eastAsia="en-US"/>
        </w:rPr>
      </w:pPr>
    </w:p>
    <w:p w14:paraId="31BAC711" w14:textId="77777777" w:rsidR="0065700B" w:rsidRDefault="00D563D6" w:rsidP="00835F25">
      <w:pPr>
        <w:contextualSpacing/>
        <w:jc w:val="both"/>
        <w:rPr>
          <w:rFonts w:ascii="Arial" w:eastAsia="Arial" w:hAnsi="Arial" w:cs="Arial"/>
          <w:sz w:val="22"/>
          <w:szCs w:val="22"/>
          <w:lang w:val="es-CO"/>
        </w:rPr>
      </w:pPr>
      <w:r w:rsidRPr="001F582E">
        <w:rPr>
          <w:rFonts w:ascii="Arial" w:eastAsia="Calibri" w:hAnsi="Arial" w:cs="Arial"/>
          <w:sz w:val="22"/>
          <w:szCs w:val="22"/>
          <w:lang w:val="es-CO" w:eastAsia="en-US"/>
        </w:rPr>
        <w:t xml:space="preserve">Entre </w:t>
      </w:r>
      <w:r w:rsidR="009D7106">
        <w:rPr>
          <w:rFonts w:ascii="Arial" w:eastAsia="Calibri" w:hAnsi="Arial" w:cs="Arial"/>
          <w:sz w:val="22"/>
          <w:szCs w:val="22"/>
          <w:lang w:val="es-CO" w:eastAsia="en-US"/>
        </w:rPr>
        <w:t xml:space="preserve">el 1 de enero de </w:t>
      </w:r>
      <w:r w:rsidR="00454378">
        <w:rPr>
          <w:rFonts w:ascii="Arial" w:eastAsia="Calibri" w:hAnsi="Arial" w:cs="Arial"/>
          <w:sz w:val="22"/>
          <w:szCs w:val="22"/>
          <w:lang w:val="es-CO" w:eastAsia="en-US"/>
        </w:rPr>
        <w:t>2021</w:t>
      </w:r>
      <w:r w:rsidRPr="001F582E">
        <w:rPr>
          <w:rFonts w:ascii="Arial" w:eastAsia="Calibri" w:hAnsi="Arial" w:cs="Arial"/>
          <w:sz w:val="22"/>
          <w:szCs w:val="22"/>
          <w:lang w:val="es-CO" w:eastAsia="en-US"/>
        </w:rPr>
        <w:t xml:space="preserve"> </w:t>
      </w:r>
      <w:r w:rsidR="009D7106">
        <w:rPr>
          <w:rFonts w:ascii="Arial" w:eastAsia="Calibri" w:hAnsi="Arial" w:cs="Arial"/>
          <w:sz w:val="22"/>
          <w:szCs w:val="22"/>
          <w:lang w:val="es-CO" w:eastAsia="en-US"/>
        </w:rPr>
        <w:t xml:space="preserve">al </w:t>
      </w:r>
      <w:r w:rsidR="005121FC">
        <w:rPr>
          <w:rFonts w:ascii="Arial" w:eastAsia="Calibri" w:hAnsi="Arial" w:cs="Arial"/>
          <w:sz w:val="22"/>
          <w:szCs w:val="22"/>
          <w:lang w:val="es-CO" w:eastAsia="en-US"/>
        </w:rPr>
        <w:t>31 de marzo de</w:t>
      </w:r>
      <w:r w:rsidRPr="001F582E">
        <w:rPr>
          <w:rFonts w:ascii="Arial" w:eastAsia="Calibri" w:hAnsi="Arial" w:cs="Arial"/>
          <w:sz w:val="22"/>
          <w:szCs w:val="22"/>
          <w:lang w:val="es-CO" w:eastAsia="en-US"/>
        </w:rPr>
        <w:t xml:space="preserve"> 202</w:t>
      </w:r>
      <w:r w:rsidR="00454378">
        <w:rPr>
          <w:rFonts w:ascii="Arial" w:eastAsia="Calibri" w:hAnsi="Arial" w:cs="Arial"/>
          <w:sz w:val="22"/>
          <w:szCs w:val="22"/>
          <w:lang w:val="es-CO" w:eastAsia="en-US"/>
        </w:rPr>
        <w:t>2</w:t>
      </w:r>
      <w:r w:rsidRPr="001F582E">
        <w:rPr>
          <w:rFonts w:ascii="Arial" w:eastAsia="Calibri" w:hAnsi="Arial" w:cs="Arial"/>
          <w:sz w:val="22"/>
          <w:szCs w:val="22"/>
          <w:lang w:val="es-CO" w:eastAsia="en-US"/>
        </w:rPr>
        <w:t xml:space="preserve">, la inversión distrital se </w:t>
      </w:r>
      <w:r w:rsidRPr="001F582E">
        <w:rPr>
          <w:rFonts w:ascii="Arial" w:eastAsia="Arial" w:hAnsi="Arial" w:cs="Arial"/>
          <w:sz w:val="22"/>
          <w:szCs w:val="22"/>
          <w:lang w:val="es-CO"/>
        </w:rPr>
        <w:t xml:space="preserve">ha concentrado en la contratación con terceros para la provisión integral del Servicio de Alimentación Escolar a los titulares de derecho focalizados en las sedes </w:t>
      </w:r>
      <w:r w:rsidRPr="009023EE">
        <w:rPr>
          <w:rFonts w:ascii="Arial" w:eastAsia="Arial" w:hAnsi="Arial" w:cs="Arial"/>
          <w:sz w:val="22"/>
          <w:szCs w:val="22"/>
          <w:lang w:val="es-CO"/>
        </w:rPr>
        <w:t xml:space="preserve">priorizadas por </w:t>
      </w:r>
      <w:r w:rsidR="00AC32BA">
        <w:rPr>
          <w:rFonts w:ascii="Arial" w:eastAsia="Arial" w:hAnsi="Arial" w:cs="Arial"/>
          <w:sz w:val="22"/>
          <w:szCs w:val="22"/>
          <w:lang w:val="es-CO"/>
        </w:rPr>
        <w:t>la Entidad T</w:t>
      </w:r>
      <w:r w:rsidR="00886096" w:rsidRPr="009023EE">
        <w:rPr>
          <w:rFonts w:ascii="Arial" w:eastAsia="Arial" w:hAnsi="Arial" w:cs="Arial"/>
          <w:sz w:val="22"/>
          <w:szCs w:val="22"/>
          <w:lang w:val="es-CO"/>
        </w:rPr>
        <w:t>erritorial</w:t>
      </w:r>
      <w:r w:rsidRPr="009023EE">
        <w:rPr>
          <w:rFonts w:ascii="Arial" w:eastAsia="Arial" w:hAnsi="Arial" w:cs="Arial"/>
          <w:sz w:val="22"/>
          <w:szCs w:val="22"/>
          <w:lang w:val="es-CO"/>
        </w:rPr>
        <w:t xml:space="preserve">. Durante </w:t>
      </w:r>
      <w:r w:rsidR="00AC32BA">
        <w:rPr>
          <w:rFonts w:ascii="Arial" w:eastAsia="Arial" w:hAnsi="Arial" w:cs="Arial"/>
          <w:sz w:val="22"/>
          <w:szCs w:val="22"/>
          <w:lang w:val="es-CO"/>
        </w:rPr>
        <w:t xml:space="preserve">la vigencia </w:t>
      </w:r>
      <w:r w:rsidR="00886096" w:rsidRPr="009023EE">
        <w:rPr>
          <w:rFonts w:ascii="Arial" w:eastAsia="Arial" w:hAnsi="Arial" w:cs="Arial"/>
          <w:sz w:val="22"/>
          <w:szCs w:val="22"/>
          <w:lang w:val="es-CO"/>
        </w:rPr>
        <w:t>2021</w:t>
      </w:r>
      <w:r w:rsidRPr="009023EE">
        <w:rPr>
          <w:rFonts w:ascii="Arial" w:eastAsia="Arial" w:hAnsi="Arial" w:cs="Arial"/>
          <w:sz w:val="22"/>
          <w:szCs w:val="22"/>
          <w:lang w:val="es-CO"/>
        </w:rPr>
        <w:t>, se comprometieron recursos por $</w:t>
      </w:r>
      <w:r w:rsidR="00DB67FD" w:rsidRPr="009023EE">
        <w:rPr>
          <w:rFonts w:ascii="Arial" w:eastAsia="Calibri" w:hAnsi="Arial" w:cs="Arial"/>
          <w:sz w:val="22"/>
          <w:szCs w:val="22"/>
          <w:lang w:val="es-CO" w:eastAsia="en-US"/>
        </w:rPr>
        <w:t xml:space="preserve">39.159 </w:t>
      </w:r>
      <w:r w:rsidR="008B0D49" w:rsidRPr="009023EE">
        <w:rPr>
          <w:rFonts w:ascii="Arial" w:eastAsia="Arial" w:hAnsi="Arial" w:cs="Arial"/>
          <w:sz w:val="22"/>
          <w:szCs w:val="22"/>
          <w:lang w:val="es-CO"/>
        </w:rPr>
        <w:t>millones</w:t>
      </w:r>
      <w:r w:rsidRPr="009023EE">
        <w:rPr>
          <w:rFonts w:ascii="Arial" w:eastAsia="Arial" w:hAnsi="Arial" w:cs="Arial"/>
          <w:sz w:val="22"/>
          <w:szCs w:val="22"/>
          <w:lang w:val="es-CO"/>
        </w:rPr>
        <w:t xml:space="preserve"> </w:t>
      </w:r>
      <w:r w:rsidRPr="001F582E">
        <w:rPr>
          <w:rFonts w:ascii="Arial" w:eastAsia="Arial" w:hAnsi="Arial" w:cs="Arial"/>
          <w:sz w:val="22"/>
          <w:szCs w:val="22"/>
          <w:lang w:val="es-CO"/>
        </w:rPr>
        <w:t>para la prestación del Servicio de Alimentación Escolar por 180 días del calendario escolar</w:t>
      </w:r>
      <w:r w:rsidR="00AC32BA">
        <w:rPr>
          <w:rFonts w:ascii="Arial" w:eastAsia="Arial" w:hAnsi="Arial" w:cs="Arial"/>
          <w:sz w:val="22"/>
          <w:szCs w:val="22"/>
          <w:lang w:val="es-CO"/>
        </w:rPr>
        <w:t>;</w:t>
      </w:r>
      <w:r w:rsidRPr="001F582E">
        <w:rPr>
          <w:rFonts w:ascii="Arial" w:eastAsia="Arial" w:hAnsi="Arial" w:cs="Arial"/>
          <w:sz w:val="22"/>
          <w:szCs w:val="22"/>
          <w:lang w:val="es-CO"/>
        </w:rPr>
        <w:t xml:space="preserve"> </w:t>
      </w:r>
      <w:r w:rsidR="004123B0">
        <w:rPr>
          <w:rFonts w:ascii="Arial" w:eastAsia="Arial" w:hAnsi="Arial" w:cs="Arial"/>
          <w:sz w:val="22"/>
          <w:szCs w:val="22"/>
          <w:lang w:val="es-CO"/>
        </w:rPr>
        <w:t>para tal fin</w:t>
      </w:r>
      <w:r w:rsidR="00AC32BA">
        <w:rPr>
          <w:rFonts w:ascii="Arial" w:eastAsia="Arial" w:hAnsi="Arial" w:cs="Arial"/>
          <w:sz w:val="22"/>
          <w:szCs w:val="22"/>
          <w:lang w:val="es-CO"/>
        </w:rPr>
        <w:t>,</w:t>
      </w:r>
      <w:r w:rsidR="004123B0">
        <w:rPr>
          <w:rFonts w:ascii="Arial" w:eastAsia="Arial" w:hAnsi="Arial" w:cs="Arial"/>
          <w:sz w:val="22"/>
          <w:szCs w:val="22"/>
          <w:lang w:val="es-CO"/>
        </w:rPr>
        <w:t xml:space="preserve"> </w:t>
      </w:r>
      <w:r w:rsidR="00AC32BA">
        <w:rPr>
          <w:rFonts w:ascii="Arial" w:eastAsia="Arial" w:hAnsi="Arial" w:cs="Arial"/>
          <w:sz w:val="22"/>
          <w:szCs w:val="22"/>
          <w:lang w:val="es-CO"/>
        </w:rPr>
        <w:t xml:space="preserve">la prestación del Servicio </w:t>
      </w:r>
      <w:r w:rsidR="00FF17BE">
        <w:rPr>
          <w:rFonts w:ascii="Arial" w:eastAsia="Arial" w:hAnsi="Arial" w:cs="Arial"/>
          <w:sz w:val="22"/>
          <w:szCs w:val="22"/>
          <w:lang w:val="es-CO"/>
        </w:rPr>
        <w:t xml:space="preserve">se </w:t>
      </w:r>
      <w:r w:rsidR="004123B0">
        <w:rPr>
          <w:rFonts w:ascii="Arial" w:eastAsia="Arial" w:hAnsi="Arial" w:cs="Arial"/>
          <w:sz w:val="22"/>
          <w:szCs w:val="22"/>
          <w:lang w:val="es-CO"/>
        </w:rPr>
        <w:t>contr</w:t>
      </w:r>
      <w:r w:rsidR="0065700B">
        <w:rPr>
          <w:rFonts w:ascii="Arial" w:eastAsia="Arial" w:hAnsi="Arial" w:cs="Arial"/>
          <w:sz w:val="22"/>
          <w:szCs w:val="22"/>
          <w:lang w:val="es-CO"/>
        </w:rPr>
        <w:t>ató a través de la Bolsa Mercantil de Colombia – BMC</w:t>
      </w:r>
      <w:r w:rsidR="00331A6D">
        <w:rPr>
          <w:rFonts w:ascii="Arial" w:eastAsia="Arial" w:hAnsi="Arial" w:cs="Arial"/>
          <w:sz w:val="22"/>
          <w:szCs w:val="22"/>
          <w:lang w:val="es-CO"/>
        </w:rPr>
        <w:t xml:space="preserve"> </w:t>
      </w:r>
      <w:r w:rsidR="004F35F8">
        <w:rPr>
          <w:rFonts w:ascii="Arial" w:eastAsia="Arial" w:hAnsi="Arial" w:cs="Arial"/>
          <w:sz w:val="22"/>
          <w:szCs w:val="22"/>
          <w:lang w:val="es-CO"/>
        </w:rPr>
        <w:t xml:space="preserve">con </w:t>
      </w:r>
      <w:r w:rsidR="00331A6D">
        <w:rPr>
          <w:rFonts w:ascii="Arial" w:eastAsia="Arial" w:hAnsi="Arial" w:cs="Arial"/>
          <w:sz w:val="22"/>
          <w:szCs w:val="22"/>
          <w:lang w:val="es-CO"/>
        </w:rPr>
        <w:t>el</w:t>
      </w:r>
      <w:r w:rsidR="004F35F8">
        <w:rPr>
          <w:rFonts w:ascii="Arial" w:eastAsia="Arial" w:hAnsi="Arial" w:cs="Arial"/>
          <w:sz w:val="22"/>
          <w:szCs w:val="22"/>
          <w:lang w:val="es-CO"/>
        </w:rPr>
        <w:t xml:space="preserve"> </w:t>
      </w:r>
      <w:r w:rsidR="00D052F7">
        <w:rPr>
          <w:rFonts w:ascii="Arial" w:eastAsia="Arial" w:hAnsi="Arial" w:cs="Arial"/>
          <w:sz w:val="22"/>
          <w:szCs w:val="22"/>
          <w:lang w:val="es-CO"/>
        </w:rPr>
        <w:t xml:space="preserve">comisionista Miguel Quijano </w:t>
      </w:r>
      <w:r w:rsidR="00193DD3">
        <w:rPr>
          <w:rFonts w:ascii="Arial" w:eastAsia="Arial" w:hAnsi="Arial" w:cs="Arial"/>
          <w:sz w:val="22"/>
          <w:szCs w:val="22"/>
          <w:lang w:val="es-CO"/>
        </w:rPr>
        <w:t xml:space="preserve">y </w:t>
      </w:r>
      <w:r w:rsidR="00D05D2F">
        <w:rPr>
          <w:rFonts w:ascii="Arial" w:eastAsia="Arial" w:hAnsi="Arial" w:cs="Arial"/>
          <w:sz w:val="22"/>
          <w:szCs w:val="22"/>
          <w:lang w:val="es-CO"/>
        </w:rPr>
        <w:t>Compañía</w:t>
      </w:r>
      <w:r w:rsidR="00193DD3">
        <w:rPr>
          <w:rFonts w:ascii="Arial" w:eastAsia="Arial" w:hAnsi="Arial" w:cs="Arial"/>
          <w:sz w:val="22"/>
          <w:szCs w:val="22"/>
          <w:lang w:val="es-CO"/>
        </w:rPr>
        <w:t xml:space="preserve"> </w:t>
      </w:r>
      <w:r w:rsidR="00603C72">
        <w:rPr>
          <w:rFonts w:ascii="Arial" w:eastAsia="Arial" w:hAnsi="Arial" w:cs="Arial"/>
          <w:sz w:val="22"/>
          <w:szCs w:val="22"/>
          <w:lang w:val="es-CO"/>
        </w:rPr>
        <w:t xml:space="preserve">S.A., </w:t>
      </w:r>
      <w:r w:rsidR="00603FB1">
        <w:rPr>
          <w:rFonts w:ascii="Arial" w:eastAsia="Arial" w:hAnsi="Arial" w:cs="Arial"/>
          <w:sz w:val="22"/>
          <w:szCs w:val="22"/>
          <w:lang w:val="es-CO"/>
        </w:rPr>
        <w:t xml:space="preserve">a través de los </w:t>
      </w:r>
      <w:r w:rsidR="00AC32BA">
        <w:rPr>
          <w:rFonts w:ascii="Arial" w:eastAsia="Arial" w:hAnsi="Arial" w:cs="Arial"/>
          <w:sz w:val="22"/>
          <w:szCs w:val="22"/>
          <w:lang w:val="es-CO"/>
        </w:rPr>
        <w:t>C</w:t>
      </w:r>
      <w:r w:rsidR="00603FB1">
        <w:rPr>
          <w:rFonts w:ascii="Arial" w:eastAsia="Arial" w:hAnsi="Arial" w:cs="Arial"/>
          <w:sz w:val="22"/>
          <w:szCs w:val="22"/>
          <w:lang w:val="es-CO"/>
        </w:rPr>
        <w:t xml:space="preserve">ontratos No. </w:t>
      </w:r>
      <w:r w:rsidR="00DA25C6" w:rsidRPr="00DA25C6">
        <w:rPr>
          <w:rFonts w:ascii="Arial" w:eastAsia="Arial" w:hAnsi="Arial" w:cs="Arial"/>
          <w:sz w:val="22"/>
          <w:szCs w:val="22"/>
          <w:lang w:val="es-CO"/>
        </w:rPr>
        <w:t>CC-SED-001-2021</w:t>
      </w:r>
      <w:r w:rsidR="00DA25C6">
        <w:rPr>
          <w:rFonts w:ascii="Arial" w:eastAsia="Arial" w:hAnsi="Arial" w:cs="Arial"/>
          <w:sz w:val="22"/>
          <w:szCs w:val="22"/>
          <w:lang w:val="es-CO"/>
        </w:rPr>
        <w:t xml:space="preserve"> y</w:t>
      </w:r>
      <w:r w:rsidR="001505BE">
        <w:rPr>
          <w:rFonts w:ascii="Arial" w:eastAsia="Arial" w:hAnsi="Arial" w:cs="Arial"/>
          <w:sz w:val="22"/>
          <w:szCs w:val="22"/>
          <w:lang w:val="es-CO"/>
        </w:rPr>
        <w:t xml:space="preserve"> </w:t>
      </w:r>
      <w:r w:rsidR="001505BE" w:rsidRPr="001505BE">
        <w:rPr>
          <w:rFonts w:ascii="Arial" w:eastAsia="Arial" w:hAnsi="Arial" w:cs="Arial"/>
          <w:sz w:val="22"/>
          <w:szCs w:val="22"/>
          <w:lang w:val="es-CO"/>
        </w:rPr>
        <w:t>CC-SED-047-2021</w:t>
      </w:r>
      <w:r w:rsidR="00AB02BF">
        <w:rPr>
          <w:rFonts w:ascii="Arial" w:eastAsia="Arial" w:hAnsi="Arial" w:cs="Arial"/>
          <w:sz w:val="22"/>
          <w:szCs w:val="22"/>
          <w:lang w:val="es-CO"/>
        </w:rPr>
        <w:t xml:space="preserve">, cuyo objeto fue </w:t>
      </w:r>
      <w:r w:rsidR="00AD75C2" w:rsidRPr="00AD75C2">
        <w:rPr>
          <w:rFonts w:ascii="Arial" w:eastAsia="Arial" w:hAnsi="Arial" w:cs="Arial"/>
          <w:i/>
          <w:iCs/>
          <w:sz w:val="22"/>
          <w:szCs w:val="22"/>
          <w:lang w:val="es-CO"/>
        </w:rPr>
        <w:t>“Contratar la prestación del servicio de alimentación escolar consistente en la entrega diaria de complemento alimentario para las niñas, niños y adolescentes focalizados y registrados en el SIMAT como estudiantes oficiales del distrito de Cartagena de Indias, a todo costo y acorde con los lineamientos técnicos, administrativos y estándares de programa de alimentación escolar–PAE, Resolución 29452 de 29 de diciembre de 2017 y/o Resoluciones 006 y 007 del 2020, y/o aquellas que las aclaren o modifiquen</w:t>
      </w:r>
      <w:r w:rsidR="00AC32BA">
        <w:rPr>
          <w:rFonts w:ascii="Arial" w:eastAsia="Arial" w:hAnsi="Arial" w:cs="Arial"/>
          <w:sz w:val="22"/>
          <w:szCs w:val="22"/>
          <w:lang w:val="es-CO"/>
        </w:rPr>
        <w:t>”.</w:t>
      </w:r>
    </w:p>
    <w:p w14:paraId="6573B79B" w14:textId="77777777" w:rsidR="00D563D6" w:rsidRPr="001F582E" w:rsidRDefault="00D563D6" w:rsidP="00835F25">
      <w:pPr>
        <w:contextualSpacing/>
        <w:jc w:val="both"/>
        <w:rPr>
          <w:rFonts w:ascii="Arial" w:eastAsia="Arial" w:hAnsi="Arial" w:cs="Arial"/>
          <w:sz w:val="22"/>
          <w:szCs w:val="22"/>
          <w:lang w:val="es-CO"/>
        </w:rPr>
      </w:pPr>
    </w:p>
    <w:p w14:paraId="2357ACBF" w14:textId="77777777" w:rsidR="009D67B5" w:rsidRPr="001D0E36" w:rsidRDefault="009D67B5" w:rsidP="00835F25">
      <w:pPr>
        <w:contextualSpacing/>
        <w:jc w:val="both"/>
        <w:rPr>
          <w:rFonts w:ascii="Arial" w:eastAsia="Arial" w:hAnsi="Arial" w:cs="Arial"/>
          <w:sz w:val="22"/>
          <w:szCs w:val="22"/>
          <w:lang w:val="es-CO"/>
        </w:rPr>
      </w:pPr>
      <w:r>
        <w:rPr>
          <w:rFonts w:ascii="Arial" w:eastAsia="Arial" w:hAnsi="Arial" w:cs="Arial"/>
          <w:sz w:val="22"/>
          <w:szCs w:val="22"/>
          <w:lang w:val="es-CO"/>
        </w:rPr>
        <w:t xml:space="preserve">Ahora bien, </w:t>
      </w:r>
      <w:r w:rsidR="00A01C84">
        <w:rPr>
          <w:rFonts w:ascii="Arial" w:eastAsia="Arial" w:hAnsi="Arial" w:cs="Arial"/>
          <w:sz w:val="22"/>
          <w:szCs w:val="22"/>
          <w:lang w:val="es-CO"/>
        </w:rPr>
        <w:t xml:space="preserve">teniendo en cuenta </w:t>
      </w:r>
      <w:r w:rsidR="00EA602F">
        <w:rPr>
          <w:rFonts w:ascii="Arial" w:eastAsia="Arial" w:hAnsi="Arial" w:cs="Arial"/>
          <w:sz w:val="22"/>
          <w:szCs w:val="22"/>
          <w:lang w:val="es-CO"/>
        </w:rPr>
        <w:t xml:space="preserve">los múltiples actores </w:t>
      </w:r>
      <w:r w:rsidR="0089105B">
        <w:rPr>
          <w:rFonts w:ascii="Arial" w:eastAsia="Arial" w:hAnsi="Arial" w:cs="Arial"/>
          <w:sz w:val="22"/>
          <w:szCs w:val="22"/>
          <w:lang w:val="es-CO"/>
        </w:rPr>
        <w:t xml:space="preserve">que participan en </w:t>
      </w:r>
      <w:r w:rsidR="00A01C84">
        <w:rPr>
          <w:rFonts w:ascii="Arial" w:eastAsia="Arial" w:hAnsi="Arial" w:cs="Arial"/>
          <w:sz w:val="22"/>
          <w:szCs w:val="22"/>
          <w:lang w:val="es-CO"/>
        </w:rPr>
        <w:t xml:space="preserve">la </w:t>
      </w:r>
      <w:r w:rsidR="00EA602F">
        <w:rPr>
          <w:rFonts w:ascii="Arial" w:eastAsia="Arial" w:hAnsi="Arial" w:cs="Arial"/>
          <w:sz w:val="22"/>
          <w:szCs w:val="22"/>
          <w:lang w:val="es-CO"/>
        </w:rPr>
        <w:t>negociación</w:t>
      </w:r>
      <w:r w:rsidR="00AC32BA">
        <w:rPr>
          <w:rFonts w:ascii="Arial" w:eastAsia="Arial" w:hAnsi="Arial" w:cs="Arial"/>
          <w:sz w:val="22"/>
          <w:szCs w:val="22"/>
          <w:lang w:val="es-CO"/>
        </w:rPr>
        <w:t>,</w:t>
      </w:r>
      <w:r w:rsidR="00EA602F">
        <w:rPr>
          <w:rFonts w:ascii="Arial" w:eastAsia="Arial" w:hAnsi="Arial" w:cs="Arial"/>
          <w:sz w:val="22"/>
          <w:szCs w:val="22"/>
          <w:lang w:val="es-CO"/>
        </w:rPr>
        <w:t xml:space="preserve"> </w:t>
      </w:r>
      <w:r w:rsidR="0089105B">
        <w:rPr>
          <w:rFonts w:ascii="Arial" w:eastAsia="Arial" w:hAnsi="Arial" w:cs="Arial"/>
          <w:sz w:val="22"/>
          <w:szCs w:val="22"/>
          <w:lang w:val="es-CO"/>
        </w:rPr>
        <w:t xml:space="preserve">dado que </w:t>
      </w:r>
      <w:r w:rsidR="00EA602F">
        <w:rPr>
          <w:rFonts w:ascii="Arial" w:eastAsia="Arial" w:hAnsi="Arial" w:cs="Arial"/>
          <w:sz w:val="22"/>
          <w:szCs w:val="22"/>
          <w:lang w:val="es-CO"/>
        </w:rPr>
        <w:t xml:space="preserve">se </w:t>
      </w:r>
      <w:r w:rsidR="0089105B">
        <w:rPr>
          <w:rFonts w:ascii="Arial" w:eastAsia="Arial" w:hAnsi="Arial" w:cs="Arial"/>
          <w:sz w:val="22"/>
          <w:szCs w:val="22"/>
          <w:lang w:val="es-CO"/>
        </w:rPr>
        <w:t>llevó</w:t>
      </w:r>
      <w:r w:rsidR="00EA602F">
        <w:rPr>
          <w:rFonts w:ascii="Arial" w:eastAsia="Arial" w:hAnsi="Arial" w:cs="Arial"/>
          <w:sz w:val="22"/>
          <w:szCs w:val="22"/>
          <w:lang w:val="es-CO"/>
        </w:rPr>
        <w:t xml:space="preserve"> a cabo en el mercado bursátil</w:t>
      </w:r>
      <w:r w:rsidR="00AC32BA">
        <w:rPr>
          <w:rFonts w:ascii="Arial" w:eastAsia="Arial" w:hAnsi="Arial" w:cs="Arial"/>
          <w:sz w:val="22"/>
          <w:szCs w:val="22"/>
          <w:lang w:val="es-CO"/>
        </w:rPr>
        <w:t>,</w:t>
      </w:r>
      <w:r w:rsidR="0089105B">
        <w:rPr>
          <w:rFonts w:ascii="Arial" w:eastAsia="Arial" w:hAnsi="Arial" w:cs="Arial"/>
          <w:sz w:val="22"/>
          <w:szCs w:val="22"/>
          <w:lang w:val="es-CO"/>
        </w:rPr>
        <w:t xml:space="preserve"> los</w:t>
      </w:r>
      <w:r w:rsidR="00EA602F">
        <w:rPr>
          <w:rFonts w:ascii="Arial" w:eastAsia="Arial" w:hAnsi="Arial" w:cs="Arial"/>
          <w:sz w:val="22"/>
          <w:szCs w:val="22"/>
          <w:lang w:val="es-CO"/>
        </w:rPr>
        <w:t xml:space="preserve"> </w:t>
      </w:r>
      <w:r w:rsidR="0089105B">
        <w:rPr>
          <w:rFonts w:ascii="Arial" w:eastAsia="Arial" w:hAnsi="Arial" w:cs="Arial"/>
          <w:sz w:val="22"/>
          <w:szCs w:val="22"/>
          <w:lang w:val="es-CO"/>
        </w:rPr>
        <w:t>operadores</w:t>
      </w:r>
      <w:r w:rsidR="00EA602F">
        <w:rPr>
          <w:rFonts w:ascii="Arial" w:eastAsia="Arial" w:hAnsi="Arial" w:cs="Arial"/>
          <w:sz w:val="22"/>
          <w:szCs w:val="22"/>
          <w:lang w:val="es-CO"/>
        </w:rPr>
        <w:t xml:space="preserve"> que </w:t>
      </w:r>
      <w:r w:rsidR="0089105B">
        <w:rPr>
          <w:rFonts w:ascii="Arial" w:eastAsia="Arial" w:hAnsi="Arial" w:cs="Arial"/>
          <w:sz w:val="22"/>
          <w:szCs w:val="22"/>
          <w:lang w:val="es-CO"/>
        </w:rPr>
        <w:t>prestaron</w:t>
      </w:r>
      <w:r w:rsidR="00EA602F">
        <w:rPr>
          <w:rFonts w:ascii="Arial" w:eastAsia="Arial" w:hAnsi="Arial" w:cs="Arial"/>
          <w:sz w:val="22"/>
          <w:szCs w:val="22"/>
          <w:lang w:val="es-CO"/>
        </w:rPr>
        <w:t xml:space="preserve"> el </w:t>
      </w:r>
      <w:r w:rsidR="00AC32BA">
        <w:rPr>
          <w:rFonts w:ascii="Arial" w:eastAsia="Arial" w:hAnsi="Arial" w:cs="Arial"/>
          <w:sz w:val="22"/>
          <w:szCs w:val="22"/>
          <w:lang w:val="es-CO"/>
        </w:rPr>
        <w:t>S</w:t>
      </w:r>
      <w:r w:rsidR="00EA602F">
        <w:rPr>
          <w:rFonts w:ascii="Arial" w:eastAsia="Arial" w:hAnsi="Arial" w:cs="Arial"/>
          <w:sz w:val="22"/>
          <w:szCs w:val="22"/>
          <w:lang w:val="es-CO"/>
        </w:rPr>
        <w:t xml:space="preserve">ervicio de Alimentación Escolar </w:t>
      </w:r>
      <w:r w:rsidR="0089105B">
        <w:rPr>
          <w:rFonts w:ascii="Arial" w:eastAsia="Arial" w:hAnsi="Arial" w:cs="Arial"/>
          <w:sz w:val="22"/>
          <w:szCs w:val="22"/>
          <w:lang w:val="es-CO"/>
        </w:rPr>
        <w:t xml:space="preserve">fueron </w:t>
      </w:r>
      <w:r w:rsidR="004D038F">
        <w:rPr>
          <w:rFonts w:ascii="Arial" w:eastAsia="Arial" w:hAnsi="Arial" w:cs="Arial"/>
          <w:sz w:val="22"/>
          <w:szCs w:val="22"/>
          <w:lang w:val="es-CO"/>
        </w:rPr>
        <w:t xml:space="preserve">las </w:t>
      </w:r>
      <w:r w:rsidR="00AC32BA">
        <w:rPr>
          <w:rFonts w:ascii="Arial" w:eastAsia="Arial" w:hAnsi="Arial" w:cs="Arial"/>
          <w:sz w:val="22"/>
          <w:szCs w:val="22"/>
          <w:lang w:val="es-CO"/>
        </w:rPr>
        <w:t>U</w:t>
      </w:r>
      <w:r w:rsidR="004D038F">
        <w:rPr>
          <w:rFonts w:ascii="Arial" w:eastAsia="Arial" w:hAnsi="Arial" w:cs="Arial"/>
          <w:sz w:val="22"/>
          <w:szCs w:val="22"/>
          <w:lang w:val="es-CO"/>
        </w:rPr>
        <w:t xml:space="preserve">niones </w:t>
      </w:r>
      <w:r w:rsidR="00AC32BA">
        <w:rPr>
          <w:rFonts w:ascii="Arial" w:eastAsia="Arial" w:hAnsi="Arial" w:cs="Arial"/>
          <w:sz w:val="22"/>
          <w:szCs w:val="22"/>
          <w:lang w:val="es-CO"/>
        </w:rPr>
        <w:t>T</w:t>
      </w:r>
      <w:r w:rsidR="004D038F">
        <w:rPr>
          <w:rFonts w:ascii="Arial" w:eastAsia="Arial" w:hAnsi="Arial" w:cs="Arial"/>
          <w:sz w:val="22"/>
          <w:szCs w:val="22"/>
          <w:lang w:val="es-CO"/>
        </w:rPr>
        <w:t xml:space="preserve">emporales: </w:t>
      </w:r>
      <w:r w:rsidR="008E470F">
        <w:rPr>
          <w:rFonts w:ascii="Arial" w:eastAsia="Arial" w:hAnsi="Arial" w:cs="Arial"/>
          <w:sz w:val="22"/>
          <w:szCs w:val="22"/>
          <w:lang w:val="es-CO"/>
        </w:rPr>
        <w:t>UT</w:t>
      </w:r>
      <w:r w:rsidR="000E2EF8">
        <w:rPr>
          <w:rFonts w:ascii="Arial" w:eastAsia="Arial" w:hAnsi="Arial" w:cs="Arial"/>
          <w:sz w:val="22"/>
          <w:szCs w:val="22"/>
          <w:lang w:val="es-CO"/>
        </w:rPr>
        <w:t xml:space="preserve"> Por los niños de la Heroica y </w:t>
      </w:r>
      <w:r w:rsidR="00652EE5">
        <w:rPr>
          <w:rFonts w:ascii="Arial" w:eastAsia="Arial" w:hAnsi="Arial" w:cs="Arial"/>
          <w:sz w:val="22"/>
          <w:szCs w:val="22"/>
          <w:lang w:val="es-CO"/>
        </w:rPr>
        <w:t xml:space="preserve">UT Cartagena </w:t>
      </w:r>
      <w:r w:rsidR="002D6BDD">
        <w:rPr>
          <w:rFonts w:ascii="Arial" w:eastAsia="Arial" w:hAnsi="Arial" w:cs="Arial"/>
          <w:sz w:val="22"/>
          <w:szCs w:val="22"/>
          <w:lang w:val="es-CO"/>
        </w:rPr>
        <w:t xml:space="preserve">Express. </w:t>
      </w:r>
      <w:r w:rsidR="002D6BDD">
        <w:rPr>
          <w:rFonts w:ascii="Arial" w:eastAsia="Arial" w:hAnsi="Arial" w:cs="Arial"/>
          <w:sz w:val="22"/>
          <w:szCs w:val="22"/>
          <w:lang w:val="es-CO"/>
        </w:rPr>
        <w:lastRenderedPageBreak/>
        <w:t xml:space="preserve">Del mismo modo, </w:t>
      </w:r>
      <w:r w:rsidR="00E85FD2">
        <w:rPr>
          <w:rFonts w:ascii="Arial" w:eastAsia="Arial" w:hAnsi="Arial" w:cs="Arial"/>
          <w:sz w:val="22"/>
          <w:szCs w:val="22"/>
          <w:lang w:val="es-CO"/>
        </w:rPr>
        <w:t xml:space="preserve">se </w:t>
      </w:r>
      <w:r w:rsidR="00D14467">
        <w:rPr>
          <w:rFonts w:ascii="Arial" w:eastAsia="Arial" w:hAnsi="Arial" w:cs="Arial"/>
          <w:sz w:val="22"/>
          <w:szCs w:val="22"/>
          <w:lang w:val="es-CO"/>
        </w:rPr>
        <w:t xml:space="preserve">observa que el </w:t>
      </w:r>
      <w:r w:rsidR="004D038F">
        <w:rPr>
          <w:rFonts w:ascii="Arial" w:eastAsia="Arial" w:hAnsi="Arial" w:cs="Arial"/>
          <w:sz w:val="22"/>
          <w:szCs w:val="22"/>
          <w:lang w:val="es-CO"/>
        </w:rPr>
        <w:t>C</w:t>
      </w:r>
      <w:r w:rsidR="00D14467">
        <w:rPr>
          <w:rFonts w:ascii="Arial" w:eastAsia="Arial" w:hAnsi="Arial" w:cs="Arial"/>
          <w:sz w:val="22"/>
          <w:szCs w:val="22"/>
          <w:lang w:val="es-CO"/>
        </w:rPr>
        <w:t xml:space="preserve">ontrato No. </w:t>
      </w:r>
      <w:r w:rsidR="00D14467" w:rsidRPr="001505BE">
        <w:rPr>
          <w:rFonts w:ascii="Arial" w:eastAsia="Arial" w:hAnsi="Arial" w:cs="Arial"/>
          <w:sz w:val="22"/>
          <w:szCs w:val="22"/>
          <w:lang w:val="es-CO"/>
        </w:rPr>
        <w:t>CC-SED-047-2021</w:t>
      </w:r>
      <w:r w:rsidR="00D14467">
        <w:rPr>
          <w:rFonts w:ascii="Arial" w:eastAsia="Arial" w:hAnsi="Arial" w:cs="Arial"/>
          <w:sz w:val="22"/>
          <w:szCs w:val="22"/>
          <w:lang w:val="es-CO"/>
        </w:rPr>
        <w:t xml:space="preserve"> fue financiado únicamente con recursos del Sistema General de Regalías – SGR</w:t>
      </w:r>
      <w:r w:rsidR="009477C6">
        <w:rPr>
          <w:rFonts w:ascii="Arial" w:eastAsia="Arial" w:hAnsi="Arial" w:cs="Arial"/>
          <w:sz w:val="22"/>
          <w:szCs w:val="22"/>
          <w:lang w:val="es-CO"/>
        </w:rPr>
        <w:t xml:space="preserve"> con el objeto </w:t>
      </w:r>
      <w:r w:rsidR="009477C6" w:rsidRPr="009477C6">
        <w:rPr>
          <w:rFonts w:ascii="Arial" w:eastAsia="Arial" w:hAnsi="Arial" w:cs="Arial"/>
          <w:i/>
          <w:iCs/>
          <w:sz w:val="22"/>
          <w:szCs w:val="22"/>
          <w:lang w:val="es-CO"/>
        </w:rPr>
        <w:t>“</w:t>
      </w:r>
      <w:r w:rsidR="00E17CA5" w:rsidRPr="00E17CA5">
        <w:rPr>
          <w:rFonts w:ascii="Arial" w:eastAsia="Arial" w:hAnsi="Arial" w:cs="Arial"/>
          <w:i/>
          <w:iCs/>
          <w:sz w:val="22"/>
          <w:szCs w:val="22"/>
          <w:lang w:val="es-CO"/>
        </w:rPr>
        <w:t>Contratar la prestación del servicio de Alimentación Escolar consistente en la entrega diaria de complemento alimentario para las niñas, niños y adolescentes focalizados y registrados en el SIMAT como estudiantes oficiales del Distrito de Cartagena de indias, a todo costo y acorde con los Lineamientos Técnicos, Administrativos Y Estándares Del Programa De Alimentación Escolar – PAE, Resolución 29452 del 29 de diciembre de 2017 y/o Resoluciones 006 y 007 del 2020, y/o aquellas que las aclaren o modifiquen</w:t>
      </w:r>
      <w:r w:rsidR="009477C6" w:rsidRPr="009477C6">
        <w:rPr>
          <w:rFonts w:ascii="Arial" w:eastAsia="Arial" w:hAnsi="Arial" w:cs="Arial"/>
          <w:i/>
          <w:iCs/>
          <w:sz w:val="22"/>
          <w:szCs w:val="22"/>
          <w:lang w:val="es-CO"/>
        </w:rPr>
        <w:t>”</w:t>
      </w:r>
      <w:r w:rsidR="001D0E36">
        <w:rPr>
          <w:rFonts w:ascii="Arial" w:eastAsia="Arial" w:hAnsi="Arial" w:cs="Arial"/>
          <w:i/>
          <w:iCs/>
          <w:sz w:val="22"/>
          <w:szCs w:val="22"/>
          <w:lang w:val="es-CO"/>
        </w:rPr>
        <w:t xml:space="preserve">. </w:t>
      </w:r>
      <w:r w:rsidR="001D0E36">
        <w:rPr>
          <w:rFonts w:ascii="Arial" w:eastAsia="Arial" w:hAnsi="Arial" w:cs="Arial"/>
          <w:sz w:val="22"/>
          <w:szCs w:val="22"/>
          <w:lang w:val="es-CO"/>
        </w:rPr>
        <w:t xml:space="preserve">El cual fue suscrito con el </w:t>
      </w:r>
      <w:r w:rsidR="00AC32BA">
        <w:rPr>
          <w:rFonts w:ascii="Arial" w:eastAsia="Arial" w:hAnsi="Arial" w:cs="Arial"/>
          <w:sz w:val="22"/>
          <w:szCs w:val="22"/>
          <w:lang w:val="es-CO"/>
        </w:rPr>
        <w:t>C</w:t>
      </w:r>
      <w:r w:rsidR="001D0E36">
        <w:rPr>
          <w:rFonts w:ascii="Arial" w:eastAsia="Arial" w:hAnsi="Arial" w:cs="Arial"/>
          <w:sz w:val="22"/>
          <w:szCs w:val="22"/>
          <w:lang w:val="es-CO"/>
        </w:rPr>
        <w:t>omisionista Miguel Quijano y Compañía SA.</w:t>
      </w:r>
    </w:p>
    <w:p w14:paraId="758AE364" w14:textId="77777777" w:rsidR="004F4CE5" w:rsidRDefault="004F4CE5" w:rsidP="00835F25">
      <w:pPr>
        <w:contextualSpacing/>
        <w:jc w:val="both"/>
        <w:rPr>
          <w:rFonts w:ascii="Arial" w:eastAsia="Arial" w:hAnsi="Arial" w:cs="Arial"/>
          <w:sz w:val="22"/>
          <w:szCs w:val="22"/>
          <w:lang w:val="es-CO"/>
        </w:rPr>
      </w:pPr>
    </w:p>
    <w:p w14:paraId="6C426285" w14:textId="77777777" w:rsidR="00D65470" w:rsidRPr="00D65470" w:rsidRDefault="00D563D6" w:rsidP="00835F25">
      <w:pPr>
        <w:pStyle w:val="Descripcin"/>
        <w:tabs>
          <w:tab w:val="center" w:pos="4702"/>
          <w:tab w:val="right" w:pos="9405"/>
        </w:tabs>
        <w:spacing w:after="0"/>
        <w:contextualSpacing/>
        <w:jc w:val="center"/>
        <w:rPr>
          <w:rFonts w:ascii="Arial" w:hAnsi="Arial" w:cs="Arial"/>
          <w:b/>
          <w:bCs/>
          <w:i w:val="0"/>
          <w:iCs w:val="0"/>
          <w:sz w:val="20"/>
          <w:szCs w:val="20"/>
          <w:lang w:val="es-ES"/>
        </w:rPr>
      </w:pPr>
      <w:r w:rsidRPr="00D65470">
        <w:rPr>
          <w:rFonts w:ascii="Arial" w:hAnsi="Arial" w:cs="Arial"/>
          <w:b/>
          <w:bCs/>
          <w:i w:val="0"/>
          <w:iCs w:val="0"/>
          <w:sz w:val="20"/>
          <w:szCs w:val="20"/>
          <w:lang w:val="es-ES"/>
        </w:rPr>
        <w:t>Gr</w:t>
      </w:r>
      <w:r w:rsidR="004D038F">
        <w:rPr>
          <w:rFonts w:ascii="Arial" w:hAnsi="Arial" w:cs="Arial"/>
          <w:b/>
          <w:bCs/>
          <w:i w:val="0"/>
          <w:iCs w:val="0"/>
          <w:sz w:val="20"/>
          <w:szCs w:val="20"/>
          <w:lang w:val="es-ES"/>
        </w:rPr>
        <w:t>á</w:t>
      </w:r>
      <w:r w:rsidRPr="00D65470">
        <w:rPr>
          <w:rFonts w:ascii="Arial" w:hAnsi="Arial" w:cs="Arial"/>
          <w:b/>
          <w:bCs/>
          <w:i w:val="0"/>
          <w:iCs w:val="0"/>
          <w:sz w:val="20"/>
          <w:szCs w:val="20"/>
          <w:lang w:val="es-ES"/>
        </w:rPr>
        <w:t xml:space="preserve">fica No. 1 Contratos PAE – </w:t>
      </w:r>
      <w:r w:rsidR="00006FA1">
        <w:rPr>
          <w:rFonts w:ascii="Arial" w:hAnsi="Arial" w:cs="Arial"/>
          <w:b/>
          <w:bCs/>
          <w:i w:val="0"/>
          <w:iCs w:val="0"/>
          <w:sz w:val="20"/>
          <w:szCs w:val="20"/>
          <w:lang w:val="es-ES"/>
        </w:rPr>
        <w:t>2021</w:t>
      </w:r>
      <w:r w:rsidRPr="00D65470">
        <w:rPr>
          <w:rFonts w:ascii="Arial" w:hAnsi="Arial" w:cs="Arial"/>
          <w:b/>
          <w:bCs/>
          <w:i w:val="0"/>
          <w:iCs w:val="0"/>
          <w:sz w:val="20"/>
          <w:szCs w:val="20"/>
          <w:lang w:val="es-ES"/>
        </w:rPr>
        <w:t xml:space="preserve"> a 202</w:t>
      </w:r>
      <w:r w:rsidR="00006FA1">
        <w:rPr>
          <w:rFonts w:ascii="Arial" w:hAnsi="Arial" w:cs="Arial"/>
          <w:b/>
          <w:bCs/>
          <w:i w:val="0"/>
          <w:iCs w:val="0"/>
          <w:sz w:val="20"/>
          <w:szCs w:val="20"/>
          <w:lang w:val="es-ES"/>
        </w:rPr>
        <w:t>2</w:t>
      </w:r>
      <w:r w:rsidRPr="00D65470">
        <w:rPr>
          <w:rFonts w:ascii="Arial" w:hAnsi="Arial" w:cs="Arial"/>
          <w:b/>
          <w:bCs/>
          <w:i w:val="0"/>
          <w:iCs w:val="0"/>
          <w:sz w:val="20"/>
          <w:szCs w:val="20"/>
          <w:lang w:val="es-ES"/>
        </w:rPr>
        <w:t xml:space="preserve"> Distrito de </w:t>
      </w:r>
      <w:r w:rsidR="00690EE7" w:rsidRPr="00D65470">
        <w:rPr>
          <w:rFonts w:ascii="Arial" w:hAnsi="Arial" w:cs="Arial"/>
          <w:b/>
          <w:bCs/>
          <w:i w:val="0"/>
          <w:iCs w:val="0"/>
          <w:sz w:val="20"/>
          <w:szCs w:val="20"/>
          <w:lang w:val="es-ES"/>
        </w:rPr>
        <w:t>Cartagena de Indias - Bolívar</w:t>
      </w:r>
    </w:p>
    <w:p w14:paraId="49CA776F" w14:textId="77777777" w:rsidR="00D563D6" w:rsidRDefault="00D726C8" w:rsidP="00835F25">
      <w:pPr>
        <w:pStyle w:val="Descripcin"/>
        <w:tabs>
          <w:tab w:val="center" w:pos="4702"/>
          <w:tab w:val="right" w:pos="9405"/>
        </w:tabs>
        <w:spacing w:after="0"/>
        <w:contextualSpacing/>
        <w:jc w:val="center"/>
        <w:rPr>
          <w:rFonts w:ascii="Arial" w:hAnsi="Arial" w:cs="Arial"/>
          <w:b/>
          <w:bCs/>
          <w:i w:val="0"/>
          <w:iCs w:val="0"/>
          <w:sz w:val="20"/>
          <w:szCs w:val="20"/>
          <w:lang w:val="es-ES"/>
        </w:rPr>
      </w:pPr>
      <w:r w:rsidRPr="00D726C8">
        <w:rPr>
          <w:noProof/>
          <w:lang w:eastAsia="es-CO"/>
        </w:rPr>
        <w:drawing>
          <wp:anchor distT="0" distB="0" distL="114300" distR="114300" simplePos="0" relativeHeight="251661824" behindDoc="0" locked="0" layoutInCell="1" allowOverlap="1" wp14:anchorId="3A0B81C2" wp14:editId="667DD3F4">
            <wp:simplePos x="0" y="0"/>
            <wp:positionH relativeFrom="margin">
              <wp:align>center</wp:align>
            </wp:positionH>
            <wp:positionV relativeFrom="paragraph">
              <wp:posOffset>167864</wp:posOffset>
            </wp:positionV>
            <wp:extent cx="5073650" cy="3231515"/>
            <wp:effectExtent l="0" t="0" r="0" b="698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73650" cy="3231515"/>
                    </a:xfrm>
                    <a:prstGeom prst="rect">
                      <a:avLst/>
                    </a:prstGeom>
                    <a:noFill/>
                    <a:ln>
                      <a:noFill/>
                    </a:ln>
                  </pic:spPr>
                </pic:pic>
              </a:graphicData>
            </a:graphic>
          </wp:anchor>
        </w:drawing>
      </w:r>
      <w:r w:rsidR="00D563D6" w:rsidRPr="00D65470">
        <w:rPr>
          <w:rFonts w:ascii="Arial" w:hAnsi="Arial" w:cs="Arial"/>
          <w:b/>
          <w:bCs/>
          <w:i w:val="0"/>
          <w:iCs w:val="0"/>
          <w:sz w:val="20"/>
          <w:szCs w:val="20"/>
          <w:lang w:val="es-ES"/>
        </w:rPr>
        <w:t>(cifras en millones)</w:t>
      </w:r>
    </w:p>
    <w:p w14:paraId="7754C58C" w14:textId="77777777" w:rsidR="00D563D6" w:rsidRPr="006021DA" w:rsidRDefault="00D563D6" w:rsidP="00835F25">
      <w:pPr>
        <w:contextualSpacing/>
        <w:jc w:val="center"/>
        <w:rPr>
          <w:rFonts w:ascii="Arial" w:hAnsi="Arial" w:cs="Arial"/>
          <w:sz w:val="16"/>
          <w:szCs w:val="16"/>
        </w:rPr>
      </w:pPr>
      <w:r w:rsidRPr="006021DA">
        <w:rPr>
          <w:rFonts w:ascii="Arial" w:hAnsi="Arial" w:cs="Arial"/>
          <w:sz w:val="16"/>
          <w:szCs w:val="16"/>
        </w:rPr>
        <w:t>Fuente: Elaboración DAF con base en los contratos publicados por la Entidad Territorial</w:t>
      </w:r>
      <w:r w:rsidR="004D038F">
        <w:rPr>
          <w:rFonts w:ascii="Arial" w:hAnsi="Arial" w:cs="Arial"/>
          <w:sz w:val="16"/>
          <w:szCs w:val="16"/>
        </w:rPr>
        <w:t xml:space="preserve"> en el SECOP</w:t>
      </w:r>
      <w:r w:rsidRPr="006021DA">
        <w:rPr>
          <w:rFonts w:ascii="Arial" w:hAnsi="Arial" w:cs="Arial"/>
          <w:sz w:val="16"/>
          <w:szCs w:val="16"/>
        </w:rPr>
        <w:t>.</w:t>
      </w:r>
    </w:p>
    <w:p w14:paraId="0A2B7F1A" w14:textId="77777777" w:rsidR="00D563D6" w:rsidRPr="006021DA" w:rsidRDefault="00D563D6" w:rsidP="00835F25">
      <w:pPr>
        <w:contextualSpacing/>
        <w:textAlignment w:val="baseline"/>
        <w:rPr>
          <w:rFonts w:ascii="Arial" w:eastAsia="Calibri" w:hAnsi="Arial" w:cs="Arial"/>
          <w:sz w:val="22"/>
          <w:szCs w:val="22"/>
          <w:lang w:val="es-CO" w:eastAsia="en-US"/>
        </w:rPr>
      </w:pPr>
    </w:p>
    <w:p w14:paraId="41B7CA02" w14:textId="77777777" w:rsidR="00D34F84" w:rsidRDefault="00D563D6" w:rsidP="00835F25">
      <w:pPr>
        <w:contextualSpacing/>
        <w:jc w:val="both"/>
        <w:rPr>
          <w:rFonts w:ascii="Arial" w:eastAsia="Calibri" w:hAnsi="Arial" w:cs="Arial"/>
          <w:sz w:val="22"/>
          <w:szCs w:val="22"/>
          <w:lang w:val="es-CO" w:eastAsia="en-US"/>
        </w:rPr>
      </w:pPr>
      <w:r w:rsidRPr="00D14467">
        <w:rPr>
          <w:rFonts w:ascii="Arial" w:eastAsia="Calibri" w:hAnsi="Arial" w:cs="Arial"/>
          <w:sz w:val="22"/>
          <w:szCs w:val="22"/>
          <w:lang w:val="es-CO" w:eastAsia="en-US"/>
        </w:rPr>
        <w:t>Finalmente, en la gráfica anterior solo se relacionan los contratos para el suministro de Alimentación Escolar</w:t>
      </w:r>
      <w:r w:rsidR="00AC32BA">
        <w:rPr>
          <w:rFonts w:ascii="Arial" w:eastAsia="Calibri" w:hAnsi="Arial" w:cs="Arial"/>
          <w:sz w:val="22"/>
          <w:szCs w:val="22"/>
          <w:lang w:val="es-CO" w:eastAsia="en-US"/>
        </w:rPr>
        <w:t>;</w:t>
      </w:r>
      <w:r w:rsidRPr="00D14467">
        <w:rPr>
          <w:rFonts w:ascii="Arial" w:eastAsia="Calibri" w:hAnsi="Arial" w:cs="Arial"/>
          <w:sz w:val="22"/>
          <w:szCs w:val="22"/>
          <w:lang w:val="es-CO" w:eastAsia="en-US"/>
        </w:rPr>
        <w:t xml:space="preserve"> es decir, los contratos celebrados</w:t>
      </w:r>
      <w:r w:rsidR="001F4932">
        <w:rPr>
          <w:rFonts w:ascii="Arial" w:eastAsia="Calibri" w:hAnsi="Arial" w:cs="Arial"/>
          <w:sz w:val="22"/>
          <w:szCs w:val="22"/>
          <w:lang w:val="es-CO" w:eastAsia="en-US"/>
        </w:rPr>
        <w:t xml:space="preserve"> entre la Entidad Territorial y </w:t>
      </w:r>
      <w:r w:rsidRPr="00D14467">
        <w:rPr>
          <w:rFonts w:ascii="Arial" w:eastAsia="Calibri" w:hAnsi="Arial" w:cs="Arial"/>
          <w:sz w:val="22"/>
          <w:szCs w:val="22"/>
          <w:lang w:val="es-CO" w:eastAsia="en-US"/>
        </w:rPr>
        <w:t xml:space="preserve">los </w:t>
      </w:r>
      <w:r w:rsidR="00D14467">
        <w:rPr>
          <w:rFonts w:ascii="Arial" w:eastAsia="Calibri" w:hAnsi="Arial" w:cs="Arial"/>
          <w:sz w:val="22"/>
          <w:szCs w:val="22"/>
          <w:lang w:val="es-CO" w:eastAsia="en-US"/>
        </w:rPr>
        <w:t xml:space="preserve">comisionistas </w:t>
      </w:r>
      <w:r w:rsidR="00366D6A">
        <w:rPr>
          <w:rFonts w:ascii="Arial" w:eastAsia="Calibri" w:hAnsi="Arial" w:cs="Arial"/>
          <w:sz w:val="22"/>
          <w:szCs w:val="22"/>
          <w:lang w:val="es-CO" w:eastAsia="en-US"/>
        </w:rPr>
        <w:t>compradores</w:t>
      </w:r>
      <w:r w:rsidR="00D14467">
        <w:rPr>
          <w:rFonts w:ascii="Arial" w:eastAsia="Calibri" w:hAnsi="Arial" w:cs="Arial"/>
          <w:sz w:val="22"/>
          <w:szCs w:val="22"/>
          <w:lang w:val="es-CO" w:eastAsia="en-US"/>
        </w:rPr>
        <w:t xml:space="preserve"> que a su vez negocian </w:t>
      </w:r>
      <w:r w:rsidR="00366D6A">
        <w:rPr>
          <w:rFonts w:ascii="Arial" w:eastAsia="Calibri" w:hAnsi="Arial" w:cs="Arial"/>
          <w:sz w:val="22"/>
          <w:szCs w:val="22"/>
          <w:lang w:val="es-CO" w:eastAsia="en-US"/>
        </w:rPr>
        <w:t xml:space="preserve">los bienes de características </w:t>
      </w:r>
      <w:r w:rsidR="00B4181D">
        <w:rPr>
          <w:rFonts w:ascii="Arial" w:eastAsia="Calibri" w:hAnsi="Arial" w:cs="Arial"/>
          <w:sz w:val="22"/>
          <w:szCs w:val="22"/>
          <w:lang w:val="es-CO" w:eastAsia="en-US"/>
        </w:rPr>
        <w:t>técnicas uniformes</w:t>
      </w:r>
      <w:r w:rsidR="001F4932">
        <w:rPr>
          <w:rStyle w:val="Refdenotaalpie"/>
          <w:rFonts w:ascii="Arial" w:eastAsia="Calibri" w:hAnsi="Arial" w:cs="Arial"/>
          <w:sz w:val="22"/>
          <w:szCs w:val="22"/>
          <w:lang w:val="es-CO" w:eastAsia="en-US"/>
        </w:rPr>
        <w:footnoteReference w:id="2"/>
      </w:r>
      <w:r w:rsidR="00366D6A">
        <w:rPr>
          <w:rFonts w:ascii="Arial" w:eastAsia="Calibri" w:hAnsi="Arial" w:cs="Arial"/>
          <w:sz w:val="22"/>
          <w:szCs w:val="22"/>
          <w:lang w:val="es-CO" w:eastAsia="en-US"/>
        </w:rPr>
        <w:t xml:space="preserve"> en la BMC</w:t>
      </w:r>
      <w:r w:rsidR="00670E8C">
        <w:rPr>
          <w:rFonts w:ascii="Arial" w:eastAsia="Calibri" w:hAnsi="Arial" w:cs="Arial"/>
          <w:sz w:val="22"/>
          <w:szCs w:val="22"/>
          <w:lang w:val="es-CO" w:eastAsia="en-US"/>
        </w:rPr>
        <w:t xml:space="preserve"> con</w:t>
      </w:r>
      <w:r w:rsidR="00366D6A">
        <w:rPr>
          <w:rFonts w:ascii="Arial" w:eastAsia="Calibri" w:hAnsi="Arial" w:cs="Arial"/>
          <w:sz w:val="22"/>
          <w:szCs w:val="22"/>
          <w:lang w:val="es-CO" w:eastAsia="en-US"/>
        </w:rPr>
        <w:t xml:space="preserve"> los comisionistas vendedores que a su vez representan a los </w:t>
      </w:r>
      <w:r w:rsidRPr="00D14467">
        <w:rPr>
          <w:rFonts w:ascii="Arial" w:eastAsia="Calibri" w:hAnsi="Arial" w:cs="Arial"/>
          <w:sz w:val="22"/>
          <w:szCs w:val="22"/>
          <w:lang w:val="es-CO" w:eastAsia="en-US"/>
        </w:rPr>
        <w:t xml:space="preserve">operadores del PAE. </w:t>
      </w:r>
      <w:r w:rsidR="009023EE">
        <w:rPr>
          <w:rFonts w:ascii="Arial" w:eastAsia="Calibri" w:hAnsi="Arial" w:cs="Arial"/>
          <w:sz w:val="22"/>
          <w:szCs w:val="22"/>
          <w:lang w:val="es-CO" w:eastAsia="en-US"/>
        </w:rPr>
        <w:t>D</w:t>
      </w:r>
      <w:r w:rsidR="0035527B">
        <w:rPr>
          <w:rFonts w:ascii="Arial" w:eastAsia="Calibri" w:hAnsi="Arial" w:cs="Arial"/>
          <w:sz w:val="22"/>
          <w:szCs w:val="22"/>
          <w:lang w:val="es-CO" w:eastAsia="en-US"/>
        </w:rPr>
        <w:t xml:space="preserve">urante estas dos vigencias </w:t>
      </w:r>
      <w:r w:rsidRPr="00D14467">
        <w:rPr>
          <w:rFonts w:ascii="Arial" w:eastAsia="Calibri" w:hAnsi="Arial" w:cs="Arial"/>
          <w:sz w:val="22"/>
          <w:szCs w:val="22"/>
          <w:lang w:val="es-CO" w:eastAsia="en-US"/>
        </w:rPr>
        <w:t xml:space="preserve">se deja la observación que el Distrito a través de la Secretaría de Educación tiene a su cargo un equipo interdisciplinario para el monitoreo y seguimiento al Programa, cuya vinculación en su mayoría se hace a través de contratos de prestación de servicios personales, los cuales no están relacionados en este informe toda vez que no están </w:t>
      </w:r>
      <w:r w:rsidR="00AC32BA">
        <w:rPr>
          <w:rFonts w:ascii="Arial" w:eastAsia="Calibri" w:hAnsi="Arial" w:cs="Arial"/>
          <w:sz w:val="22"/>
          <w:szCs w:val="22"/>
          <w:lang w:val="es-CO" w:eastAsia="en-US"/>
        </w:rPr>
        <w:t>financiados con</w:t>
      </w:r>
      <w:r w:rsidRPr="00D14467">
        <w:rPr>
          <w:rFonts w:ascii="Arial" w:eastAsia="Calibri" w:hAnsi="Arial" w:cs="Arial"/>
          <w:sz w:val="22"/>
          <w:szCs w:val="22"/>
          <w:lang w:val="es-CO" w:eastAsia="en-US"/>
        </w:rPr>
        <w:t xml:space="preserve"> recursos de la Asignación Especial para Alimentación Escolar del </w:t>
      </w:r>
      <w:r w:rsidRPr="00D14467">
        <w:rPr>
          <w:rFonts w:ascii="Arial" w:eastAsia="Calibri" w:hAnsi="Arial" w:cs="Arial"/>
          <w:sz w:val="22"/>
          <w:szCs w:val="22"/>
          <w:lang w:val="es-CO" w:eastAsia="en-US"/>
        </w:rPr>
        <w:lastRenderedPageBreak/>
        <w:t>Sistema General de Participaciones.</w:t>
      </w:r>
      <w:r w:rsidR="009023EE">
        <w:rPr>
          <w:rFonts w:ascii="Arial" w:eastAsia="Calibri" w:hAnsi="Arial" w:cs="Arial"/>
          <w:sz w:val="22"/>
          <w:szCs w:val="22"/>
          <w:lang w:val="es-CO" w:eastAsia="en-US"/>
        </w:rPr>
        <w:t xml:space="preserve"> </w:t>
      </w:r>
      <w:r w:rsidR="009F0DDF">
        <w:rPr>
          <w:rFonts w:ascii="Arial" w:eastAsia="Calibri" w:hAnsi="Arial" w:cs="Arial"/>
          <w:sz w:val="22"/>
          <w:szCs w:val="22"/>
          <w:lang w:val="es-CO" w:eastAsia="en-US"/>
        </w:rPr>
        <w:t>Para la vigencia 2021, de acuerdo con el reporte de la Categoría UAPA-PAE, e</w:t>
      </w:r>
      <w:r w:rsidR="009023EE">
        <w:rPr>
          <w:rFonts w:ascii="Arial" w:eastAsia="Calibri" w:hAnsi="Arial" w:cs="Arial"/>
          <w:sz w:val="22"/>
          <w:szCs w:val="22"/>
          <w:lang w:val="es-CO" w:eastAsia="en-US"/>
        </w:rPr>
        <w:t xml:space="preserve">l </w:t>
      </w:r>
      <w:r w:rsidR="00AC32BA">
        <w:rPr>
          <w:rFonts w:ascii="Arial" w:eastAsia="Calibri" w:hAnsi="Arial" w:cs="Arial"/>
          <w:sz w:val="22"/>
          <w:szCs w:val="22"/>
          <w:lang w:val="es-CO" w:eastAsia="en-US"/>
        </w:rPr>
        <w:t>E</w:t>
      </w:r>
      <w:r w:rsidR="009023EE">
        <w:rPr>
          <w:rFonts w:ascii="Arial" w:eastAsia="Calibri" w:hAnsi="Arial" w:cs="Arial"/>
          <w:sz w:val="22"/>
          <w:szCs w:val="22"/>
          <w:lang w:val="es-CO" w:eastAsia="en-US"/>
        </w:rPr>
        <w:t xml:space="preserve">quipo PAE se financia con recursos del </w:t>
      </w:r>
      <w:r w:rsidR="00AC32BA">
        <w:rPr>
          <w:rFonts w:ascii="Arial" w:eastAsia="Calibri" w:hAnsi="Arial" w:cs="Arial"/>
          <w:sz w:val="22"/>
          <w:szCs w:val="22"/>
          <w:lang w:val="es-CO" w:eastAsia="en-US"/>
        </w:rPr>
        <w:t xml:space="preserve">Presupuesto General de la Nación - </w:t>
      </w:r>
      <w:r w:rsidR="009023EE">
        <w:rPr>
          <w:rFonts w:ascii="Arial" w:eastAsia="Calibri" w:hAnsi="Arial" w:cs="Arial"/>
          <w:sz w:val="22"/>
          <w:szCs w:val="22"/>
          <w:lang w:val="es-CO" w:eastAsia="en-US"/>
        </w:rPr>
        <w:t>PGN</w:t>
      </w:r>
      <w:r w:rsidR="009F0DDF">
        <w:rPr>
          <w:rFonts w:ascii="Arial" w:eastAsia="Calibri" w:hAnsi="Arial" w:cs="Arial"/>
          <w:sz w:val="22"/>
          <w:szCs w:val="22"/>
          <w:lang w:val="es-CO" w:eastAsia="en-US"/>
        </w:rPr>
        <w:t xml:space="preserve"> valor que asciende</w:t>
      </w:r>
      <w:r w:rsidR="009023EE">
        <w:rPr>
          <w:rFonts w:ascii="Arial" w:eastAsia="Calibri" w:hAnsi="Arial" w:cs="Arial"/>
          <w:sz w:val="22"/>
          <w:szCs w:val="22"/>
          <w:lang w:val="es-CO" w:eastAsia="en-US"/>
        </w:rPr>
        <w:t xml:space="preserve"> a $689</w:t>
      </w:r>
      <w:r w:rsidR="009F0DDF">
        <w:rPr>
          <w:rFonts w:ascii="Arial" w:eastAsia="Calibri" w:hAnsi="Arial" w:cs="Arial"/>
          <w:sz w:val="22"/>
          <w:szCs w:val="22"/>
          <w:lang w:val="es-CO" w:eastAsia="en-US"/>
        </w:rPr>
        <w:t>,5</w:t>
      </w:r>
      <w:r w:rsidR="009023EE">
        <w:rPr>
          <w:rFonts w:ascii="Arial" w:eastAsia="Calibri" w:hAnsi="Arial" w:cs="Arial"/>
          <w:sz w:val="22"/>
          <w:szCs w:val="22"/>
          <w:lang w:val="es-CO" w:eastAsia="en-US"/>
        </w:rPr>
        <w:t xml:space="preserve"> millones y </w:t>
      </w:r>
      <w:r w:rsidR="009F0DDF">
        <w:rPr>
          <w:rFonts w:ascii="Arial" w:eastAsia="Calibri" w:hAnsi="Arial" w:cs="Arial"/>
          <w:sz w:val="22"/>
          <w:szCs w:val="22"/>
          <w:lang w:val="es-CO" w:eastAsia="en-US"/>
        </w:rPr>
        <w:t xml:space="preserve">con recursos de </w:t>
      </w:r>
      <w:r w:rsidR="00E47FD4">
        <w:rPr>
          <w:rFonts w:ascii="Arial" w:eastAsia="Calibri" w:hAnsi="Arial" w:cs="Arial"/>
          <w:sz w:val="22"/>
          <w:szCs w:val="22"/>
          <w:lang w:val="es-CO" w:eastAsia="en-US"/>
        </w:rPr>
        <w:t>r</w:t>
      </w:r>
      <w:r w:rsidR="009023EE">
        <w:rPr>
          <w:rFonts w:ascii="Arial" w:eastAsia="Calibri" w:hAnsi="Arial" w:cs="Arial"/>
          <w:sz w:val="22"/>
          <w:szCs w:val="22"/>
          <w:lang w:val="es-CO" w:eastAsia="en-US"/>
        </w:rPr>
        <w:t xml:space="preserve">egalías </w:t>
      </w:r>
      <w:r w:rsidR="009F0DDF">
        <w:rPr>
          <w:rFonts w:ascii="Arial" w:eastAsia="Calibri" w:hAnsi="Arial" w:cs="Arial"/>
          <w:sz w:val="22"/>
          <w:szCs w:val="22"/>
          <w:lang w:val="es-CO" w:eastAsia="en-US"/>
        </w:rPr>
        <w:t xml:space="preserve">por </w:t>
      </w:r>
      <w:r w:rsidR="009023EE">
        <w:rPr>
          <w:rFonts w:ascii="Arial" w:eastAsia="Calibri" w:hAnsi="Arial" w:cs="Arial"/>
          <w:sz w:val="22"/>
          <w:szCs w:val="22"/>
          <w:lang w:val="es-CO" w:eastAsia="en-US"/>
        </w:rPr>
        <w:t>$8 millones.</w:t>
      </w:r>
    </w:p>
    <w:p w14:paraId="42CD8618" w14:textId="77777777" w:rsidR="00E47FD4" w:rsidRDefault="00E47FD4" w:rsidP="00835F25">
      <w:pPr>
        <w:contextualSpacing/>
        <w:jc w:val="both"/>
        <w:rPr>
          <w:rFonts w:ascii="Arial" w:hAnsi="Arial" w:cs="Arial"/>
          <w:sz w:val="22"/>
          <w:szCs w:val="22"/>
        </w:rPr>
      </w:pPr>
    </w:p>
    <w:p w14:paraId="619E189D" w14:textId="77777777" w:rsidR="008F095B" w:rsidRPr="006021DA" w:rsidRDefault="008F095B" w:rsidP="00835F25">
      <w:pPr>
        <w:pStyle w:val="Ttulo1"/>
        <w:numPr>
          <w:ilvl w:val="0"/>
          <w:numId w:val="8"/>
        </w:numPr>
        <w:spacing w:line="240" w:lineRule="auto"/>
        <w:contextualSpacing/>
        <w:rPr>
          <w:rFonts w:ascii="Arial" w:hAnsi="Arial" w:cs="Arial"/>
          <w:color w:val="auto"/>
          <w:sz w:val="22"/>
          <w:szCs w:val="22"/>
        </w:rPr>
      </w:pPr>
      <w:r w:rsidRPr="006021DA">
        <w:rPr>
          <w:rFonts w:ascii="Arial" w:hAnsi="Arial" w:cs="Arial"/>
          <w:color w:val="auto"/>
          <w:sz w:val="22"/>
          <w:szCs w:val="22"/>
        </w:rPr>
        <w:t>SITUACIÓN FINANCIERA</w:t>
      </w:r>
      <w:bookmarkEnd w:id="3"/>
      <w:r w:rsidR="00310D05" w:rsidRPr="006021DA">
        <w:rPr>
          <w:rFonts w:ascii="Arial" w:hAnsi="Arial" w:cs="Arial"/>
          <w:color w:val="auto"/>
          <w:sz w:val="22"/>
          <w:szCs w:val="22"/>
        </w:rPr>
        <w:t>.</w:t>
      </w:r>
    </w:p>
    <w:p w14:paraId="09232D55" w14:textId="77777777" w:rsidR="008F095B" w:rsidRPr="006021DA" w:rsidRDefault="008F095B" w:rsidP="00835F25">
      <w:pPr>
        <w:pStyle w:val="Sinespaciado"/>
        <w:contextualSpacing/>
        <w:rPr>
          <w:rFonts w:ascii="Arial" w:hAnsi="Arial" w:cs="Arial"/>
        </w:rPr>
      </w:pPr>
    </w:p>
    <w:p w14:paraId="258ED7BE" w14:textId="77777777" w:rsidR="00D34F84" w:rsidRPr="007A3FF3" w:rsidRDefault="00606169" w:rsidP="00835F25">
      <w:pPr>
        <w:keepNext/>
        <w:contextualSpacing/>
        <w:jc w:val="center"/>
        <w:rPr>
          <w:rFonts w:ascii="Arial" w:eastAsia="Calibri" w:hAnsi="Arial" w:cs="Arial"/>
          <w:b/>
          <w:i/>
          <w:iCs/>
          <w:color w:val="1F497D" w:themeColor="text2"/>
          <w:sz w:val="20"/>
          <w:szCs w:val="22"/>
          <w:lang w:val="es-CO" w:eastAsia="en-US"/>
        </w:rPr>
      </w:pPr>
      <w:r w:rsidRPr="007A3FF3">
        <w:rPr>
          <w:rFonts w:ascii="Arial" w:eastAsia="Calibri" w:hAnsi="Arial" w:cs="Arial"/>
          <w:b/>
          <w:i/>
          <w:iCs/>
          <w:color w:val="1F497D" w:themeColor="text2"/>
          <w:sz w:val="20"/>
          <w:szCs w:val="22"/>
          <w:lang w:val="es-CO" w:eastAsia="en-US"/>
        </w:rPr>
        <w:t xml:space="preserve">Tabla </w:t>
      </w:r>
      <w:r w:rsidR="00705AFF" w:rsidRPr="007A3FF3">
        <w:rPr>
          <w:rFonts w:ascii="Arial" w:eastAsia="Calibri" w:hAnsi="Arial" w:cs="Arial"/>
          <w:b/>
          <w:i/>
          <w:iCs/>
          <w:color w:val="1F497D" w:themeColor="text2"/>
          <w:sz w:val="20"/>
          <w:szCs w:val="22"/>
          <w:lang w:val="es-CO" w:eastAsia="en-US"/>
        </w:rPr>
        <w:t xml:space="preserve">No. </w:t>
      </w:r>
      <w:r w:rsidR="008D58C8" w:rsidRPr="00980ED4">
        <w:rPr>
          <w:rFonts w:ascii="Arial" w:hAnsi="Arial" w:cs="Arial"/>
          <w:b/>
          <w:bCs/>
          <w:color w:val="1F497D" w:themeColor="text2"/>
          <w:sz w:val="20"/>
          <w:szCs w:val="20"/>
        </w:rPr>
        <w:fldChar w:fldCharType="begin"/>
      </w:r>
      <w:r w:rsidR="008D58C8" w:rsidRPr="00980ED4">
        <w:rPr>
          <w:rFonts w:ascii="Arial" w:hAnsi="Arial" w:cs="Arial"/>
          <w:b/>
          <w:bCs/>
          <w:color w:val="1F497D" w:themeColor="text2"/>
          <w:sz w:val="20"/>
          <w:szCs w:val="20"/>
        </w:rPr>
        <w:instrText xml:space="preserve"> SEQ Ilustración \* ARABIC </w:instrText>
      </w:r>
      <w:r w:rsidR="008D58C8" w:rsidRPr="00980ED4">
        <w:rPr>
          <w:rFonts w:ascii="Arial" w:hAnsi="Arial" w:cs="Arial"/>
          <w:b/>
          <w:bCs/>
          <w:color w:val="1F497D" w:themeColor="text2"/>
          <w:sz w:val="20"/>
          <w:szCs w:val="20"/>
        </w:rPr>
        <w:fldChar w:fldCharType="separate"/>
      </w:r>
      <w:r w:rsidR="00EE0320">
        <w:rPr>
          <w:rFonts w:ascii="Arial" w:hAnsi="Arial" w:cs="Arial"/>
          <w:b/>
          <w:bCs/>
          <w:noProof/>
          <w:color w:val="1F497D" w:themeColor="text2"/>
          <w:sz w:val="20"/>
          <w:szCs w:val="20"/>
        </w:rPr>
        <w:t>4</w:t>
      </w:r>
      <w:r w:rsidR="008D58C8" w:rsidRPr="00980ED4">
        <w:rPr>
          <w:rFonts w:ascii="Arial" w:hAnsi="Arial" w:cs="Arial"/>
          <w:b/>
          <w:bCs/>
          <w:color w:val="1F497D" w:themeColor="text2"/>
          <w:sz w:val="20"/>
          <w:szCs w:val="20"/>
        </w:rPr>
        <w:fldChar w:fldCharType="end"/>
      </w:r>
      <w:r w:rsidR="008D58C8">
        <w:rPr>
          <w:rFonts w:ascii="Arial" w:hAnsi="Arial" w:cs="Arial"/>
          <w:b/>
          <w:bCs/>
          <w:color w:val="1F497D" w:themeColor="text2"/>
          <w:sz w:val="20"/>
          <w:szCs w:val="20"/>
        </w:rPr>
        <w:t xml:space="preserve"> </w:t>
      </w:r>
      <w:r w:rsidRPr="007A3FF3">
        <w:rPr>
          <w:rFonts w:ascii="Arial" w:eastAsia="Calibri" w:hAnsi="Arial" w:cs="Arial"/>
          <w:b/>
          <w:i/>
          <w:iCs/>
          <w:color w:val="1F497D" w:themeColor="text2"/>
          <w:sz w:val="20"/>
          <w:szCs w:val="22"/>
          <w:lang w:val="es-CO" w:eastAsia="en-US"/>
        </w:rPr>
        <w:t xml:space="preserve">Ejecución </w:t>
      </w:r>
      <w:r w:rsidR="001411DF">
        <w:rPr>
          <w:rFonts w:ascii="Arial" w:eastAsia="Calibri" w:hAnsi="Arial" w:cs="Arial"/>
          <w:b/>
          <w:i/>
          <w:iCs/>
          <w:color w:val="1F497D" w:themeColor="text2"/>
          <w:sz w:val="20"/>
          <w:szCs w:val="22"/>
          <w:lang w:val="es-CO" w:eastAsia="en-US"/>
        </w:rPr>
        <w:t>p</w:t>
      </w:r>
      <w:r w:rsidRPr="007A3FF3">
        <w:rPr>
          <w:rFonts w:ascii="Arial" w:eastAsia="Calibri" w:hAnsi="Arial" w:cs="Arial"/>
          <w:b/>
          <w:i/>
          <w:iCs/>
          <w:color w:val="1F497D" w:themeColor="text2"/>
          <w:sz w:val="20"/>
          <w:szCs w:val="22"/>
          <w:lang w:val="es-CO" w:eastAsia="en-US"/>
        </w:rPr>
        <w:t xml:space="preserve">resupuestal </w:t>
      </w:r>
      <w:r w:rsidR="00D3182C" w:rsidRPr="007A3FF3">
        <w:rPr>
          <w:rFonts w:ascii="Arial" w:eastAsia="Calibri" w:hAnsi="Arial" w:cs="Arial"/>
          <w:b/>
          <w:i/>
          <w:iCs/>
          <w:color w:val="1F497D" w:themeColor="text2"/>
          <w:sz w:val="20"/>
          <w:szCs w:val="22"/>
          <w:lang w:val="es-CO" w:eastAsia="en-US"/>
        </w:rPr>
        <w:t xml:space="preserve">AESGPAE </w:t>
      </w:r>
      <w:r w:rsidRPr="007A3FF3">
        <w:rPr>
          <w:rFonts w:ascii="Arial" w:eastAsia="Calibri" w:hAnsi="Arial" w:cs="Arial"/>
          <w:b/>
          <w:i/>
          <w:iCs/>
          <w:color w:val="1F497D" w:themeColor="text2"/>
          <w:sz w:val="20"/>
          <w:szCs w:val="22"/>
          <w:lang w:val="es-CO" w:eastAsia="en-US"/>
        </w:rPr>
        <w:t xml:space="preserve">de </w:t>
      </w:r>
      <w:r w:rsidR="001411DF">
        <w:rPr>
          <w:rFonts w:ascii="Arial" w:eastAsia="Calibri" w:hAnsi="Arial" w:cs="Arial"/>
          <w:b/>
          <w:i/>
          <w:iCs/>
          <w:color w:val="1F497D" w:themeColor="text2"/>
          <w:sz w:val="20"/>
          <w:szCs w:val="22"/>
          <w:lang w:val="es-CO" w:eastAsia="en-US"/>
        </w:rPr>
        <w:t>i</w:t>
      </w:r>
      <w:r w:rsidRPr="007A3FF3">
        <w:rPr>
          <w:rFonts w:ascii="Arial" w:eastAsia="Calibri" w:hAnsi="Arial" w:cs="Arial"/>
          <w:b/>
          <w:i/>
          <w:iCs/>
          <w:color w:val="1F497D" w:themeColor="text2"/>
          <w:sz w:val="20"/>
          <w:szCs w:val="22"/>
          <w:lang w:val="es-CO" w:eastAsia="en-US"/>
        </w:rPr>
        <w:t xml:space="preserve">ngresos y </w:t>
      </w:r>
      <w:r w:rsidR="001411DF">
        <w:rPr>
          <w:rFonts w:ascii="Arial" w:eastAsia="Calibri" w:hAnsi="Arial" w:cs="Arial"/>
          <w:b/>
          <w:i/>
          <w:iCs/>
          <w:color w:val="1F497D" w:themeColor="text2"/>
          <w:sz w:val="20"/>
          <w:szCs w:val="22"/>
          <w:lang w:val="es-CO" w:eastAsia="en-US"/>
        </w:rPr>
        <w:t>g</w:t>
      </w:r>
      <w:r w:rsidRPr="007A3FF3">
        <w:rPr>
          <w:rFonts w:ascii="Arial" w:eastAsia="Calibri" w:hAnsi="Arial" w:cs="Arial"/>
          <w:b/>
          <w:i/>
          <w:iCs/>
          <w:color w:val="1F497D" w:themeColor="text2"/>
          <w:sz w:val="20"/>
          <w:szCs w:val="22"/>
          <w:lang w:val="es-CO" w:eastAsia="en-US"/>
        </w:rPr>
        <w:t xml:space="preserve">astos </w:t>
      </w:r>
      <w:r w:rsidR="004E008C" w:rsidRPr="007A3FF3">
        <w:rPr>
          <w:rFonts w:ascii="Arial" w:eastAsia="Calibri" w:hAnsi="Arial" w:cs="Arial"/>
          <w:b/>
          <w:i/>
          <w:iCs/>
          <w:color w:val="1F497D" w:themeColor="text2"/>
          <w:sz w:val="20"/>
          <w:szCs w:val="22"/>
          <w:lang w:val="es-CO" w:eastAsia="en-US"/>
        </w:rPr>
        <w:t>2021</w:t>
      </w:r>
      <w:r w:rsidRPr="007A3FF3">
        <w:rPr>
          <w:rFonts w:ascii="Arial" w:eastAsia="Calibri" w:hAnsi="Arial" w:cs="Arial"/>
          <w:b/>
          <w:i/>
          <w:iCs/>
          <w:color w:val="1F497D" w:themeColor="text2"/>
          <w:sz w:val="20"/>
          <w:szCs w:val="22"/>
          <w:lang w:val="es-CO" w:eastAsia="en-US"/>
        </w:rPr>
        <w:t xml:space="preserve"> a </w:t>
      </w:r>
      <w:r w:rsidR="004E008C" w:rsidRPr="007A3FF3">
        <w:rPr>
          <w:rFonts w:ascii="Arial" w:eastAsia="Calibri" w:hAnsi="Arial" w:cs="Arial"/>
          <w:b/>
          <w:i/>
          <w:iCs/>
          <w:color w:val="1F497D" w:themeColor="text2"/>
          <w:sz w:val="20"/>
          <w:szCs w:val="22"/>
          <w:lang w:val="es-CO" w:eastAsia="en-US"/>
        </w:rPr>
        <w:t>marzo 2022</w:t>
      </w:r>
    </w:p>
    <w:p w14:paraId="73F760E6" w14:textId="77777777" w:rsidR="00606169" w:rsidRPr="007A3FF3" w:rsidRDefault="00606169" w:rsidP="00835F25">
      <w:pPr>
        <w:keepNext/>
        <w:contextualSpacing/>
        <w:jc w:val="center"/>
        <w:rPr>
          <w:rFonts w:ascii="Arial" w:eastAsia="Calibri" w:hAnsi="Arial" w:cs="Arial"/>
          <w:b/>
          <w:i/>
          <w:iCs/>
          <w:color w:val="1F497D" w:themeColor="text2"/>
          <w:sz w:val="20"/>
          <w:szCs w:val="22"/>
          <w:lang w:val="es-CO" w:eastAsia="en-US"/>
        </w:rPr>
      </w:pPr>
      <w:r w:rsidRPr="007A3FF3">
        <w:rPr>
          <w:rFonts w:ascii="Arial" w:eastAsia="Calibri" w:hAnsi="Arial" w:cs="Arial"/>
          <w:b/>
          <w:i/>
          <w:iCs/>
          <w:color w:val="1F497D" w:themeColor="text2"/>
          <w:sz w:val="20"/>
          <w:szCs w:val="22"/>
          <w:lang w:val="es-CO" w:eastAsia="en-US"/>
        </w:rPr>
        <w:t>(cifras</w:t>
      </w:r>
      <w:r w:rsidR="00586C85" w:rsidRPr="007A3FF3">
        <w:rPr>
          <w:rFonts w:ascii="Arial" w:eastAsia="Calibri" w:hAnsi="Arial" w:cs="Arial"/>
          <w:b/>
          <w:i/>
          <w:iCs/>
          <w:color w:val="1F497D" w:themeColor="text2"/>
          <w:sz w:val="20"/>
          <w:szCs w:val="22"/>
          <w:lang w:val="es-CO" w:eastAsia="en-US"/>
        </w:rPr>
        <w:t xml:space="preserve"> </w:t>
      </w:r>
      <w:r w:rsidRPr="007A3FF3">
        <w:rPr>
          <w:rFonts w:ascii="Arial" w:eastAsia="Calibri" w:hAnsi="Arial" w:cs="Arial"/>
          <w:b/>
          <w:i/>
          <w:iCs/>
          <w:color w:val="1F497D" w:themeColor="text2"/>
          <w:sz w:val="20"/>
          <w:szCs w:val="22"/>
          <w:lang w:val="es-CO" w:eastAsia="en-US"/>
        </w:rPr>
        <w:t>en pesos)</w:t>
      </w:r>
    </w:p>
    <w:tbl>
      <w:tblPr>
        <w:tblStyle w:val="Tablaconcuadrcula"/>
        <w:tblW w:w="9640" w:type="dxa"/>
        <w:jc w:val="center"/>
        <w:tblLayout w:type="fixed"/>
        <w:tblLook w:val="06A0" w:firstRow="1" w:lastRow="0" w:firstColumn="1" w:lastColumn="0" w:noHBand="1" w:noVBand="1"/>
      </w:tblPr>
      <w:tblGrid>
        <w:gridCol w:w="279"/>
        <w:gridCol w:w="283"/>
        <w:gridCol w:w="2641"/>
        <w:gridCol w:w="1470"/>
        <w:gridCol w:w="1418"/>
        <w:gridCol w:w="283"/>
        <w:gridCol w:w="1559"/>
        <w:gridCol w:w="1418"/>
        <w:gridCol w:w="289"/>
      </w:tblGrid>
      <w:tr w:rsidR="004E008C" w:rsidRPr="006021DA" w14:paraId="3040AA0D" w14:textId="77777777" w:rsidTr="00B84C61">
        <w:trPr>
          <w:trHeight w:val="396"/>
          <w:jc w:val="center"/>
        </w:trPr>
        <w:tc>
          <w:tcPr>
            <w:tcW w:w="3203" w:type="dxa"/>
            <w:gridSpan w:val="3"/>
            <w:vMerge w:val="restart"/>
            <w:tcBorders>
              <w:top w:val="single" w:sz="4" w:space="0" w:color="auto"/>
              <w:left w:val="single" w:sz="4" w:space="0" w:color="auto"/>
              <w:bottom w:val="single" w:sz="4" w:space="0" w:color="auto"/>
              <w:right w:val="single" w:sz="4" w:space="0" w:color="auto"/>
            </w:tcBorders>
            <w:shd w:val="clear" w:color="auto" w:fill="666699"/>
            <w:vAlign w:val="center"/>
          </w:tcPr>
          <w:p w14:paraId="744D3F54" w14:textId="77777777" w:rsidR="004E008C" w:rsidRPr="006021DA" w:rsidRDefault="004E008C" w:rsidP="00835F25">
            <w:pPr>
              <w:contextualSpacing/>
              <w:jc w:val="center"/>
              <w:rPr>
                <w:rFonts w:ascii="Arial" w:hAnsi="Arial" w:cs="Arial"/>
                <w:sz w:val="16"/>
                <w:szCs w:val="16"/>
              </w:rPr>
            </w:pPr>
            <w:r w:rsidRPr="006021DA">
              <w:rPr>
                <w:rFonts w:ascii="Arial" w:eastAsia="Arial" w:hAnsi="Arial" w:cs="Arial"/>
                <w:b/>
                <w:bCs/>
                <w:color w:val="FFFFFF" w:themeColor="background1"/>
                <w:sz w:val="16"/>
                <w:szCs w:val="16"/>
              </w:rPr>
              <w:t>CUENTA PRESUPUESTAL</w:t>
            </w:r>
          </w:p>
        </w:tc>
        <w:tc>
          <w:tcPr>
            <w:tcW w:w="3171" w:type="dxa"/>
            <w:gridSpan w:val="3"/>
            <w:tcBorders>
              <w:top w:val="single" w:sz="4" w:space="0" w:color="auto"/>
              <w:left w:val="single" w:sz="4" w:space="0" w:color="auto"/>
              <w:bottom w:val="single" w:sz="4" w:space="0" w:color="auto"/>
              <w:right w:val="single" w:sz="4" w:space="0" w:color="auto"/>
            </w:tcBorders>
            <w:shd w:val="clear" w:color="auto" w:fill="666699"/>
            <w:vAlign w:val="center"/>
          </w:tcPr>
          <w:p w14:paraId="52836962" w14:textId="77777777" w:rsidR="004E008C" w:rsidRPr="006021DA" w:rsidRDefault="004E008C" w:rsidP="00835F25">
            <w:pPr>
              <w:contextualSpacing/>
              <w:jc w:val="center"/>
              <w:rPr>
                <w:rFonts w:ascii="Arial" w:hAnsi="Arial" w:cs="Arial"/>
                <w:color w:val="FFFFFF" w:themeColor="background1"/>
                <w:sz w:val="16"/>
                <w:szCs w:val="16"/>
              </w:rPr>
            </w:pPr>
            <w:r w:rsidRPr="006021DA">
              <w:rPr>
                <w:rFonts w:ascii="Arial" w:eastAsia="Arial" w:hAnsi="Arial" w:cs="Arial"/>
                <w:b/>
                <w:bCs/>
                <w:color w:val="FFFFFF" w:themeColor="background1"/>
                <w:sz w:val="16"/>
                <w:szCs w:val="16"/>
              </w:rPr>
              <w:t>202</w:t>
            </w:r>
            <w:r w:rsidR="00D92191">
              <w:rPr>
                <w:rFonts w:ascii="Arial" w:eastAsia="Arial" w:hAnsi="Arial" w:cs="Arial"/>
                <w:b/>
                <w:bCs/>
                <w:color w:val="FFFFFF" w:themeColor="background1"/>
                <w:sz w:val="16"/>
                <w:szCs w:val="16"/>
              </w:rPr>
              <w:t>1</w:t>
            </w:r>
          </w:p>
        </w:tc>
        <w:tc>
          <w:tcPr>
            <w:tcW w:w="3266" w:type="dxa"/>
            <w:gridSpan w:val="3"/>
            <w:tcBorders>
              <w:top w:val="single" w:sz="4" w:space="0" w:color="auto"/>
              <w:left w:val="single" w:sz="4" w:space="0" w:color="auto"/>
              <w:right w:val="single" w:sz="4" w:space="0" w:color="auto"/>
            </w:tcBorders>
            <w:shd w:val="clear" w:color="auto" w:fill="666699"/>
            <w:vAlign w:val="center"/>
          </w:tcPr>
          <w:p w14:paraId="166EB5C9" w14:textId="77777777" w:rsidR="004E008C" w:rsidRPr="006021DA" w:rsidRDefault="00D92191" w:rsidP="00835F25">
            <w:pPr>
              <w:contextualSpacing/>
              <w:jc w:val="center"/>
              <w:rPr>
                <w:rFonts w:ascii="Arial" w:eastAsia="Arial" w:hAnsi="Arial" w:cs="Arial"/>
                <w:b/>
                <w:bCs/>
                <w:color w:val="FFFFFF" w:themeColor="background1"/>
                <w:sz w:val="16"/>
                <w:szCs w:val="16"/>
              </w:rPr>
            </w:pPr>
            <w:r>
              <w:rPr>
                <w:rFonts w:ascii="Arial" w:eastAsia="Arial" w:hAnsi="Arial" w:cs="Arial"/>
                <w:b/>
                <w:bCs/>
                <w:color w:val="FFFFFF" w:themeColor="background1"/>
                <w:sz w:val="16"/>
                <w:szCs w:val="16"/>
              </w:rPr>
              <w:t xml:space="preserve">Marzo </w:t>
            </w:r>
            <w:r w:rsidR="004E008C" w:rsidRPr="006021DA">
              <w:rPr>
                <w:rFonts w:ascii="Arial" w:eastAsia="Arial" w:hAnsi="Arial" w:cs="Arial"/>
                <w:b/>
                <w:bCs/>
                <w:color w:val="FFFFFF" w:themeColor="background1"/>
                <w:sz w:val="16"/>
                <w:szCs w:val="16"/>
              </w:rPr>
              <w:t>202</w:t>
            </w:r>
            <w:r>
              <w:rPr>
                <w:rFonts w:ascii="Arial" w:eastAsia="Arial" w:hAnsi="Arial" w:cs="Arial"/>
                <w:b/>
                <w:bCs/>
                <w:color w:val="FFFFFF" w:themeColor="background1"/>
                <w:sz w:val="16"/>
                <w:szCs w:val="16"/>
              </w:rPr>
              <w:t>2</w:t>
            </w:r>
          </w:p>
        </w:tc>
      </w:tr>
      <w:tr w:rsidR="004E008C" w:rsidRPr="006021DA" w14:paraId="107BE072" w14:textId="77777777" w:rsidTr="006B15B3">
        <w:trPr>
          <w:trHeight w:val="360"/>
          <w:jc w:val="center"/>
        </w:trPr>
        <w:tc>
          <w:tcPr>
            <w:tcW w:w="3203" w:type="dxa"/>
            <w:gridSpan w:val="3"/>
            <w:vMerge/>
            <w:tcBorders>
              <w:left w:val="single" w:sz="0" w:space="0" w:color="auto"/>
              <w:bottom w:val="single" w:sz="0" w:space="0" w:color="auto"/>
              <w:right w:val="single" w:sz="0" w:space="0" w:color="auto"/>
            </w:tcBorders>
            <w:vAlign w:val="center"/>
          </w:tcPr>
          <w:p w14:paraId="3BC879E2" w14:textId="77777777" w:rsidR="004E008C" w:rsidRPr="006021DA" w:rsidRDefault="004E008C" w:rsidP="00835F25">
            <w:pPr>
              <w:contextualSpacing/>
              <w:jc w:val="center"/>
              <w:rPr>
                <w:rFonts w:ascii="Arial" w:hAnsi="Arial" w:cs="Arial"/>
                <w:sz w:val="16"/>
                <w:szCs w:val="16"/>
              </w:rPr>
            </w:pPr>
          </w:p>
        </w:tc>
        <w:tc>
          <w:tcPr>
            <w:tcW w:w="1470" w:type="dxa"/>
            <w:tcBorders>
              <w:top w:val="nil"/>
              <w:left w:val="single" w:sz="4" w:space="0" w:color="auto"/>
              <w:bottom w:val="single" w:sz="4" w:space="0" w:color="auto"/>
              <w:right w:val="single" w:sz="4" w:space="0" w:color="auto"/>
            </w:tcBorders>
            <w:shd w:val="clear" w:color="auto" w:fill="CCCCFF"/>
            <w:vAlign w:val="center"/>
          </w:tcPr>
          <w:p w14:paraId="14F89FAE" w14:textId="77777777" w:rsidR="004E008C" w:rsidRPr="006021DA" w:rsidRDefault="004E008C" w:rsidP="00835F25">
            <w:pPr>
              <w:contextualSpacing/>
              <w:jc w:val="center"/>
              <w:rPr>
                <w:rFonts w:ascii="Arial" w:hAnsi="Arial" w:cs="Arial"/>
                <w:sz w:val="16"/>
                <w:szCs w:val="16"/>
              </w:rPr>
            </w:pPr>
            <w:r w:rsidRPr="006021DA">
              <w:rPr>
                <w:rFonts w:ascii="Arial" w:eastAsia="Arial" w:hAnsi="Arial" w:cs="Arial"/>
                <w:b/>
                <w:bCs/>
                <w:sz w:val="16"/>
                <w:szCs w:val="16"/>
              </w:rPr>
              <w:t>Ejecución Presupuestal</w:t>
            </w:r>
          </w:p>
        </w:tc>
        <w:tc>
          <w:tcPr>
            <w:tcW w:w="1418" w:type="dxa"/>
            <w:tcBorders>
              <w:top w:val="nil"/>
              <w:left w:val="single" w:sz="4" w:space="0" w:color="auto"/>
              <w:bottom w:val="single" w:sz="4" w:space="0" w:color="auto"/>
              <w:right w:val="single" w:sz="4" w:space="0" w:color="auto"/>
            </w:tcBorders>
            <w:shd w:val="clear" w:color="auto" w:fill="CCCCFF"/>
            <w:vAlign w:val="center"/>
          </w:tcPr>
          <w:p w14:paraId="2112A21E" w14:textId="77777777" w:rsidR="004E008C" w:rsidRPr="006021DA" w:rsidRDefault="004E008C" w:rsidP="00835F25">
            <w:pPr>
              <w:contextualSpacing/>
              <w:jc w:val="center"/>
              <w:rPr>
                <w:rFonts w:ascii="Arial" w:hAnsi="Arial" w:cs="Arial"/>
                <w:sz w:val="16"/>
                <w:szCs w:val="16"/>
              </w:rPr>
            </w:pPr>
            <w:r w:rsidRPr="006021DA">
              <w:rPr>
                <w:rFonts w:ascii="Arial" w:eastAsia="Arial" w:hAnsi="Arial" w:cs="Arial"/>
                <w:b/>
                <w:bCs/>
                <w:sz w:val="16"/>
                <w:szCs w:val="16"/>
              </w:rPr>
              <w:t>FUT</w:t>
            </w:r>
          </w:p>
        </w:tc>
        <w:tc>
          <w:tcPr>
            <w:tcW w:w="283" w:type="dxa"/>
            <w:tcBorders>
              <w:top w:val="nil"/>
              <w:left w:val="single" w:sz="4" w:space="0" w:color="auto"/>
              <w:bottom w:val="single" w:sz="4" w:space="0" w:color="auto"/>
              <w:right w:val="single" w:sz="4" w:space="0" w:color="auto"/>
            </w:tcBorders>
            <w:shd w:val="clear" w:color="auto" w:fill="CCCCFF"/>
            <w:vAlign w:val="center"/>
          </w:tcPr>
          <w:p w14:paraId="62E20C73" w14:textId="77777777" w:rsidR="004E008C" w:rsidRPr="006021DA" w:rsidRDefault="004E008C" w:rsidP="00835F25">
            <w:pPr>
              <w:contextualSpacing/>
              <w:jc w:val="cente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shd w:val="clear" w:color="auto" w:fill="CCCCFF"/>
            <w:vAlign w:val="center"/>
          </w:tcPr>
          <w:p w14:paraId="1504706C" w14:textId="77777777" w:rsidR="004E008C" w:rsidRPr="006021DA" w:rsidRDefault="004E008C" w:rsidP="00835F25">
            <w:pPr>
              <w:contextualSpacing/>
              <w:jc w:val="center"/>
              <w:rPr>
                <w:rFonts w:ascii="Arial" w:hAnsi="Arial" w:cs="Arial"/>
                <w:sz w:val="16"/>
                <w:szCs w:val="16"/>
              </w:rPr>
            </w:pPr>
            <w:r w:rsidRPr="006021DA">
              <w:rPr>
                <w:rFonts w:ascii="Arial" w:eastAsia="Arial" w:hAnsi="Arial" w:cs="Arial"/>
                <w:b/>
                <w:bCs/>
                <w:sz w:val="16"/>
                <w:szCs w:val="16"/>
              </w:rPr>
              <w:t>Ejecución Presupuestal</w:t>
            </w:r>
          </w:p>
        </w:tc>
        <w:tc>
          <w:tcPr>
            <w:tcW w:w="1418" w:type="dxa"/>
            <w:tcBorders>
              <w:top w:val="nil"/>
              <w:left w:val="single" w:sz="4" w:space="0" w:color="auto"/>
              <w:bottom w:val="single" w:sz="4" w:space="0" w:color="auto"/>
              <w:right w:val="single" w:sz="4" w:space="0" w:color="auto"/>
            </w:tcBorders>
            <w:shd w:val="clear" w:color="auto" w:fill="CCCCFF"/>
            <w:vAlign w:val="center"/>
          </w:tcPr>
          <w:p w14:paraId="66598E23" w14:textId="77777777" w:rsidR="004E008C" w:rsidRPr="006021DA" w:rsidRDefault="00042451" w:rsidP="00835F25">
            <w:pPr>
              <w:contextualSpacing/>
              <w:jc w:val="center"/>
              <w:rPr>
                <w:rFonts w:ascii="Arial" w:hAnsi="Arial" w:cs="Arial"/>
                <w:b/>
                <w:bCs/>
                <w:sz w:val="16"/>
                <w:szCs w:val="16"/>
              </w:rPr>
            </w:pPr>
            <w:r>
              <w:rPr>
                <w:rFonts w:ascii="Arial" w:hAnsi="Arial" w:cs="Arial"/>
                <w:b/>
                <w:bCs/>
                <w:sz w:val="16"/>
                <w:szCs w:val="16"/>
              </w:rPr>
              <w:t>CUIPO</w:t>
            </w:r>
          </w:p>
        </w:tc>
        <w:tc>
          <w:tcPr>
            <w:tcW w:w="289" w:type="dxa"/>
            <w:tcBorders>
              <w:top w:val="nil"/>
              <w:left w:val="single" w:sz="4" w:space="0" w:color="auto"/>
              <w:bottom w:val="single" w:sz="4" w:space="0" w:color="auto"/>
              <w:right w:val="single" w:sz="4" w:space="0" w:color="auto"/>
            </w:tcBorders>
            <w:shd w:val="clear" w:color="auto" w:fill="CCCCFF"/>
          </w:tcPr>
          <w:p w14:paraId="14AEC9AE" w14:textId="77777777" w:rsidR="004E008C" w:rsidRPr="006021DA" w:rsidRDefault="004E008C" w:rsidP="00835F25">
            <w:pPr>
              <w:ind w:firstLine="64"/>
              <w:contextualSpacing/>
              <w:jc w:val="center"/>
              <w:rPr>
                <w:rFonts w:ascii="Arial" w:hAnsi="Arial" w:cs="Arial"/>
                <w:b/>
                <w:bCs/>
                <w:sz w:val="16"/>
                <w:szCs w:val="16"/>
              </w:rPr>
            </w:pPr>
          </w:p>
        </w:tc>
      </w:tr>
      <w:tr w:rsidR="004E008C" w:rsidRPr="006021DA" w14:paraId="4D4389EC" w14:textId="77777777" w:rsidTr="006B15B3">
        <w:trPr>
          <w:trHeight w:val="300"/>
          <w:jc w:val="center"/>
        </w:trPr>
        <w:tc>
          <w:tcPr>
            <w:tcW w:w="3203"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14:paraId="7B5E2CC8" w14:textId="77777777" w:rsidR="004E008C" w:rsidRPr="006021DA" w:rsidRDefault="004E008C" w:rsidP="00835F25">
            <w:pPr>
              <w:contextualSpacing/>
              <w:rPr>
                <w:rFonts w:ascii="Arial" w:hAnsi="Arial" w:cs="Arial"/>
                <w:sz w:val="16"/>
                <w:szCs w:val="16"/>
              </w:rPr>
            </w:pPr>
            <w:r w:rsidRPr="006021DA">
              <w:rPr>
                <w:rFonts w:ascii="Arial" w:eastAsia="Arial" w:hAnsi="Arial" w:cs="Arial"/>
                <w:b/>
                <w:bCs/>
                <w:sz w:val="16"/>
                <w:szCs w:val="16"/>
              </w:rPr>
              <w:t>Ingresos</w:t>
            </w:r>
          </w:p>
        </w:tc>
        <w:tc>
          <w:tcPr>
            <w:tcW w:w="1470" w:type="dxa"/>
            <w:tcBorders>
              <w:top w:val="single" w:sz="4" w:space="0" w:color="auto"/>
              <w:left w:val="single" w:sz="4" w:space="0" w:color="auto"/>
              <w:bottom w:val="single" w:sz="4" w:space="0" w:color="auto"/>
              <w:right w:val="single" w:sz="4" w:space="0" w:color="auto"/>
            </w:tcBorders>
            <w:shd w:val="clear" w:color="auto" w:fill="CCCCFF"/>
            <w:vAlign w:val="center"/>
          </w:tcPr>
          <w:p w14:paraId="66E8FDC6" w14:textId="77777777" w:rsidR="004E008C" w:rsidRPr="006021DA" w:rsidRDefault="00DE546A" w:rsidP="00835F25">
            <w:pPr>
              <w:contextualSpacing/>
              <w:jc w:val="center"/>
              <w:rPr>
                <w:rFonts w:ascii="Arial" w:hAnsi="Arial" w:cs="Arial"/>
                <w:b/>
                <w:bCs/>
                <w:sz w:val="16"/>
                <w:szCs w:val="16"/>
              </w:rPr>
            </w:pPr>
            <w:r>
              <w:rPr>
                <w:rFonts w:ascii="Arial" w:hAnsi="Arial" w:cs="Arial"/>
                <w:b/>
                <w:bCs/>
                <w:sz w:val="16"/>
                <w:szCs w:val="16"/>
              </w:rPr>
              <w:t>$3.509.</w:t>
            </w:r>
            <w:r w:rsidR="00186058">
              <w:rPr>
                <w:rFonts w:ascii="Arial" w:hAnsi="Arial" w:cs="Arial"/>
                <w:b/>
                <w:bCs/>
                <w:sz w:val="16"/>
                <w:szCs w:val="16"/>
              </w:rPr>
              <w:t>821.399</w:t>
            </w:r>
          </w:p>
        </w:tc>
        <w:tc>
          <w:tcPr>
            <w:tcW w:w="1418" w:type="dxa"/>
            <w:tcBorders>
              <w:top w:val="single" w:sz="4" w:space="0" w:color="auto"/>
              <w:left w:val="single" w:sz="4" w:space="0" w:color="auto"/>
              <w:bottom w:val="single" w:sz="4" w:space="0" w:color="auto"/>
              <w:right w:val="single" w:sz="4" w:space="0" w:color="auto"/>
            </w:tcBorders>
            <w:shd w:val="clear" w:color="auto" w:fill="CCCCFF"/>
            <w:vAlign w:val="center"/>
          </w:tcPr>
          <w:p w14:paraId="135C7E5B" w14:textId="77777777" w:rsidR="004E008C" w:rsidRPr="006021DA" w:rsidRDefault="00186058" w:rsidP="00835F25">
            <w:pPr>
              <w:contextualSpacing/>
              <w:jc w:val="center"/>
              <w:rPr>
                <w:rFonts w:ascii="Arial" w:hAnsi="Arial" w:cs="Arial"/>
                <w:b/>
                <w:bCs/>
                <w:sz w:val="16"/>
                <w:szCs w:val="16"/>
              </w:rPr>
            </w:pPr>
            <w:r>
              <w:rPr>
                <w:rFonts w:ascii="Arial" w:hAnsi="Arial" w:cs="Arial"/>
                <w:b/>
                <w:bCs/>
                <w:sz w:val="16"/>
                <w:szCs w:val="16"/>
              </w:rPr>
              <w:t>$3.509.821.399</w:t>
            </w:r>
          </w:p>
        </w:tc>
        <w:tc>
          <w:tcPr>
            <w:tcW w:w="283" w:type="dxa"/>
            <w:tcBorders>
              <w:top w:val="single" w:sz="4" w:space="0" w:color="auto"/>
              <w:left w:val="single" w:sz="4" w:space="0" w:color="auto"/>
              <w:bottom w:val="single" w:sz="4" w:space="0" w:color="auto"/>
              <w:right w:val="single" w:sz="4" w:space="0" w:color="auto"/>
            </w:tcBorders>
            <w:shd w:val="clear" w:color="auto" w:fill="CCCCFF"/>
            <w:vAlign w:val="center"/>
          </w:tcPr>
          <w:p w14:paraId="5E683256" w14:textId="77777777" w:rsidR="004E008C" w:rsidRPr="006021DA" w:rsidRDefault="004E008C" w:rsidP="00835F25">
            <w:pPr>
              <w:contextualSpacing/>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5E5FFFCE" w14:textId="77777777" w:rsidR="004E008C" w:rsidRPr="006021DA" w:rsidRDefault="003B3041" w:rsidP="00835F25">
            <w:pPr>
              <w:contextualSpacing/>
              <w:jc w:val="center"/>
              <w:rPr>
                <w:rFonts w:ascii="Arial" w:hAnsi="Arial" w:cs="Arial"/>
                <w:b/>
                <w:bCs/>
                <w:sz w:val="16"/>
                <w:szCs w:val="16"/>
              </w:rPr>
            </w:pPr>
            <w:r>
              <w:rPr>
                <w:rFonts w:ascii="Arial" w:hAnsi="Arial" w:cs="Arial"/>
                <w:b/>
                <w:bCs/>
                <w:sz w:val="16"/>
                <w:szCs w:val="16"/>
              </w:rPr>
              <w:t>$692.670.431</w:t>
            </w:r>
          </w:p>
        </w:tc>
        <w:tc>
          <w:tcPr>
            <w:tcW w:w="1418" w:type="dxa"/>
            <w:tcBorders>
              <w:top w:val="single" w:sz="4" w:space="0" w:color="auto"/>
              <w:left w:val="single" w:sz="4" w:space="0" w:color="auto"/>
              <w:bottom w:val="single" w:sz="4" w:space="0" w:color="auto"/>
              <w:right w:val="single" w:sz="4" w:space="0" w:color="auto"/>
            </w:tcBorders>
            <w:shd w:val="clear" w:color="auto" w:fill="CCCCFF"/>
            <w:vAlign w:val="center"/>
          </w:tcPr>
          <w:p w14:paraId="23E577A0" w14:textId="77777777" w:rsidR="004E008C" w:rsidRPr="006021DA" w:rsidRDefault="00433225" w:rsidP="00835F25">
            <w:pPr>
              <w:contextualSpacing/>
              <w:jc w:val="center"/>
              <w:rPr>
                <w:rFonts w:ascii="Arial" w:hAnsi="Arial" w:cs="Arial"/>
                <w:b/>
                <w:bCs/>
                <w:sz w:val="16"/>
                <w:szCs w:val="16"/>
              </w:rPr>
            </w:pPr>
            <w:r>
              <w:rPr>
                <w:rFonts w:ascii="Arial" w:hAnsi="Arial" w:cs="Arial"/>
                <w:b/>
                <w:bCs/>
                <w:sz w:val="16"/>
                <w:szCs w:val="16"/>
              </w:rPr>
              <w:t>$692.</w:t>
            </w:r>
            <w:r w:rsidR="006E213B">
              <w:rPr>
                <w:rFonts w:ascii="Arial" w:hAnsi="Arial" w:cs="Arial"/>
                <w:b/>
                <w:bCs/>
                <w:sz w:val="16"/>
                <w:szCs w:val="16"/>
              </w:rPr>
              <w:t>670.431</w:t>
            </w:r>
          </w:p>
        </w:tc>
        <w:tc>
          <w:tcPr>
            <w:tcW w:w="289" w:type="dxa"/>
            <w:tcBorders>
              <w:top w:val="single" w:sz="4" w:space="0" w:color="auto"/>
              <w:left w:val="single" w:sz="4" w:space="0" w:color="auto"/>
              <w:bottom w:val="single" w:sz="4" w:space="0" w:color="auto"/>
              <w:right w:val="single" w:sz="4" w:space="0" w:color="auto"/>
            </w:tcBorders>
            <w:shd w:val="clear" w:color="auto" w:fill="CCCCFF"/>
          </w:tcPr>
          <w:p w14:paraId="352AFD48" w14:textId="77777777" w:rsidR="004E008C" w:rsidRPr="006021DA" w:rsidRDefault="004E008C" w:rsidP="00835F25">
            <w:pPr>
              <w:contextualSpacing/>
              <w:jc w:val="center"/>
              <w:rPr>
                <w:rFonts w:ascii="Arial" w:hAnsi="Arial" w:cs="Arial"/>
                <w:b/>
                <w:bCs/>
                <w:sz w:val="16"/>
                <w:szCs w:val="16"/>
              </w:rPr>
            </w:pPr>
          </w:p>
        </w:tc>
      </w:tr>
      <w:tr w:rsidR="008339D3" w:rsidRPr="006021DA" w14:paraId="5AD2D5B2" w14:textId="77777777" w:rsidTr="007F7EE8">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330F099D" w14:textId="77777777" w:rsidR="008339D3" w:rsidRPr="006021DA" w:rsidRDefault="008339D3"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62F08E92" w14:textId="77777777" w:rsidR="008339D3" w:rsidRPr="006021DA" w:rsidRDefault="008339D3" w:rsidP="00835F25">
            <w:pPr>
              <w:contextualSpacing/>
              <w:rPr>
                <w:rFonts w:ascii="Arial" w:hAnsi="Arial" w:cs="Arial"/>
                <w:sz w:val="16"/>
                <w:szCs w:val="16"/>
              </w:rPr>
            </w:pPr>
            <w:r w:rsidRPr="006021DA">
              <w:rPr>
                <w:rFonts w:ascii="Arial" w:eastAsia="Arial" w:hAnsi="Arial" w:cs="Arial"/>
                <w:sz w:val="16"/>
                <w:szCs w:val="16"/>
              </w:rPr>
              <w:t>Ingresos corrientes</w:t>
            </w:r>
          </w:p>
        </w:tc>
        <w:tc>
          <w:tcPr>
            <w:tcW w:w="1470" w:type="dxa"/>
            <w:tcBorders>
              <w:top w:val="single" w:sz="4" w:space="0" w:color="auto"/>
              <w:left w:val="single" w:sz="4" w:space="0" w:color="auto"/>
              <w:bottom w:val="single" w:sz="4" w:space="0" w:color="auto"/>
              <w:right w:val="single" w:sz="4" w:space="0" w:color="auto"/>
            </w:tcBorders>
            <w:vAlign w:val="center"/>
          </w:tcPr>
          <w:p w14:paraId="419A5C44" w14:textId="77777777" w:rsidR="008339D3" w:rsidRPr="006021DA" w:rsidRDefault="008339D3" w:rsidP="00835F25">
            <w:pPr>
              <w:contextualSpacing/>
              <w:jc w:val="center"/>
              <w:rPr>
                <w:rFonts w:ascii="Arial" w:hAnsi="Arial" w:cs="Arial"/>
                <w:sz w:val="16"/>
                <w:szCs w:val="16"/>
              </w:rPr>
            </w:pPr>
            <w:r w:rsidRPr="006B15B3">
              <w:rPr>
                <w:rFonts w:ascii="Arial" w:hAnsi="Arial" w:cs="Arial"/>
                <w:sz w:val="16"/>
                <w:szCs w:val="16"/>
              </w:rPr>
              <w:t>$3.238.888.419</w:t>
            </w:r>
          </w:p>
        </w:tc>
        <w:tc>
          <w:tcPr>
            <w:tcW w:w="1418" w:type="dxa"/>
            <w:tcBorders>
              <w:top w:val="single" w:sz="4" w:space="0" w:color="auto"/>
              <w:left w:val="single" w:sz="4" w:space="0" w:color="auto"/>
              <w:bottom w:val="single" w:sz="4" w:space="0" w:color="auto"/>
              <w:right w:val="single" w:sz="4" w:space="0" w:color="auto"/>
            </w:tcBorders>
            <w:vAlign w:val="center"/>
          </w:tcPr>
          <w:p w14:paraId="59D285C0" w14:textId="77777777" w:rsidR="008339D3" w:rsidRPr="006021DA" w:rsidRDefault="008339D3" w:rsidP="00835F25">
            <w:pPr>
              <w:contextualSpacing/>
              <w:jc w:val="center"/>
              <w:rPr>
                <w:rFonts w:ascii="Arial" w:hAnsi="Arial" w:cs="Arial"/>
                <w:sz w:val="16"/>
                <w:szCs w:val="16"/>
              </w:rPr>
            </w:pPr>
            <w:r w:rsidRPr="006B15B3">
              <w:rPr>
                <w:rFonts w:ascii="Arial" w:hAnsi="Arial" w:cs="Arial"/>
                <w:sz w:val="16"/>
                <w:szCs w:val="16"/>
              </w:rPr>
              <w:t>$3.238.888.419</w:t>
            </w:r>
          </w:p>
        </w:tc>
        <w:tc>
          <w:tcPr>
            <w:tcW w:w="283" w:type="dxa"/>
            <w:tcBorders>
              <w:top w:val="single" w:sz="4" w:space="0" w:color="auto"/>
              <w:left w:val="single" w:sz="4" w:space="0" w:color="auto"/>
              <w:bottom w:val="single" w:sz="4" w:space="0" w:color="auto"/>
              <w:right w:val="single" w:sz="4" w:space="0" w:color="auto"/>
            </w:tcBorders>
            <w:vAlign w:val="center"/>
          </w:tcPr>
          <w:p w14:paraId="7C6209E9" w14:textId="77777777" w:rsidR="008339D3" w:rsidRPr="006021DA" w:rsidRDefault="008339D3" w:rsidP="00835F25">
            <w:pPr>
              <w:contextualSpacing/>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82336D0" w14:textId="77777777" w:rsidR="008339D3" w:rsidRPr="006021DA" w:rsidRDefault="003B3041" w:rsidP="00835F25">
            <w:pPr>
              <w:contextualSpacing/>
              <w:jc w:val="center"/>
              <w:rPr>
                <w:rFonts w:ascii="Arial" w:hAnsi="Arial" w:cs="Arial"/>
                <w:sz w:val="16"/>
                <w:szCs w:val="16"/>
              </w:rPr>
            </w:pPr>
            <w:r w:rsidRPr="00816BBE">
              <w:rPr>
                <w:rFonts w:ascii="Arial" w:hAnsi="Arial" w:cs="Arial"/>
                <w:sz w:val="16"/>
                <w:szCs w:val="16"/>
              </w:rPr>
              <w:t>$606.839.629</w:t>
            </w:r>
          </w:p>
        </w:tc>
        <w:tc>
          <w:tcPr>
            <w:tcW w:w="1418" w:type="dxa"/>
            <w:tcBorders>
              <w:top w:val="single" w:sz="4" w:space="0" w:color="auto"/>
              <w:left w:val="single" w:sz="4" w:space="0" w:color="auto"/>
              <w:bottom w:val="single" w:sz="4" w:space="0" w:color="auto"/>
              <w:right w:val="single" w:sz="4" w:space="0" w:color="auto"/>
            </w:tcBorders>
            <w:vAlign w:val="center"/>
          </w:tcPr>
          <w:p w14:paraId="59FABD7A" w14:textId="77777777" w:rsidR="008339D3" w:rsidRPr="006021DA" w:rsidRDefault="00816BBE" w:rsidP="00835F25">
            <w:pPr>
              <w:contextualSpacing/>
              <w:jc w:val="center"/>
              <w:rPr>
                <w:rFonts w:ascii="Arial" w:hAnsi="Arial" w:cs="Arial"/>
                <w:sz w:val="16"/>
                <w:szCs w:val="16"/>
              </w:rPr>
            </w:pPr>
            <w:r w:rsidRPr="00816BBE">
              <w:rPr>
                <w:rFonts w:ascii="Arial" w:hAnsi="Arial" w:cs="Arial"/>
                <w:sz w:val="16"/>
                <w:szCs w:val="16"/>
              </w:rPr>
              <w:t>$606.839.629</w:t>
            </w:r>
          </w:p>
        </w:tc>
        <w:tc>
          <w:tcPr>
            <w:tcW w:w="289" w:type="dxa"/>
            <w:tcBorders>
              <w:top w:val="single" w:sz="4" w:space="0" w:color="auto"/>
              <w:left w:val="single" w:sz="4" w:space="0" w:color="auto"/>
              <w:bottom w:val="single" w:sz="4" w:space="0" w:color="auto"/>
              <w:right w:val="single" w:sz="4" w:space="0" w:color="auto"/>
            </w:tcBorders>
            <w:vAlign w:val="center"/>
          </w:tcPr>
          <w:p w14:paraId="0343CB17" w14:textId="77777777" w:rsidR="008339D3" w:rsidRPr="00B33061" w:rsidRDefault="00DA6EF1" w:rsidP="00835F25">
            <w:pPr>
              <w:contextualSpacing/>
              <w:jc w:val="center"/>
              <w:rPr>
                <w:rFonts w:ascii="Arial" w:hAnsi="Arial" w:cs="Arial"/>
                <w:b/>
                <w:bCs/>
                <w:color w:val="FF0000"/>
                <w:sz w:val="16"/>
                <w:szCs w:val="16"/>
              </w:rPr>
            </w:pPr>
            <w:r w:rsidRPr="00B33061">
              <w:rPr>
                <w:rFonts w:ascii="Arial" w:hAnsi="Arial" w:cs="Arial"/>
                <w:b/>
                <w:bCs/>
                <w:color w:val="FF0000"/>
                <w:sz w:val="16"/>
                <w:szCs w:val="16"/>
              </w:rPr>
              <w:t>2</w:t>
            </w:r>
          </w:p>
        </w:tc>
      </w:tr>
      <w:tr w:rsidR="008339D3" w:rsidRPr="006021DA" w14:paraId="593A900A" w14:textId="77777777" w:rsidTr="006B15B3">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655CEB2D" w14:textId="77777777" w:rsidR="008339D3" w:rsidRPr="006021DA" w:rsidRDefault="008339D3"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38B70234" w14:textId="77777777" w:rsidR="008339D3" w:rsidRPr="006021DA" w:rsidRDefault="008339D3" w:rsidP="00835F25">
            <w:pPr>
              <w:contextualSpacing/>
              <w:rPr>
                <w:rFonts w:ascii="Arial" w:hAnsi="Arial" w:cs="Arial"/>
                <w:sz w:val="16"/>
                <w:szCs w:val="16"/>
              </w:rPr>
            </w:pPr>
            <w:r w:rsidRPr="006021DA">
              <w:rPr>
                <w:rFonts w:ascii="Arial" w:eastAsia="Arial" w:hAnsi="Arial" w:cs="Arial"/>
                <w:sz w:val="16"/>
                <w:szCs w:val="16"/>
              </w:rPr>
              <w:t>Recursos de capital</w:t>
            </w:r>
          </w:p>
        </w:tc>
        <w:tc>
          <w:tcPr>
            <w:tcW w:w="1470" w:type="dxa"/>
            <w:tcBorders>
              <w:top w:val="single" w:sz="4" w:space="0" w:color="auto"/>
              <w:left w:val="single" w:sz="4" w:space="0" w:color="auto"/>
              <w:bottom w:val="single" w:sz="4" w:space="0" w:color="auto"/>
              <w:right w:val="single" w:sz="4" w:space="0" w:color="auto"/>
            </w:tcBorders>
            <w:vAlign w:val="center"/>
          </w:tcPr>
          <w:p w14:paraId="5FDC4B19" w14:textId="77777777" w:rsidR="008339D3" w:rsidRPr="006021DA" w:rsidRDefault="003B3041" w:rsidP="00835F25">
            <w:pPr>
              <w:contextualSpacing/>
              <w:jc w:val="center"/>
              <w:rPr>
                <w:rFonts w:ascii="Arial" w:hAnsi="Arial" w:cs="Arial"/>
                <w:sz w:val="16"/>
                <w:szCs w:val="16"/>
              </w:rPr>
            </w:pPr>
            <w:r w:rsidRPr="00A8466F">
              <w:rPr>
                <w:rFonts w:ascii="Arial" w:hAnsi="Arial" w:cs="Arial"/>
                <w:sz w:val="16"/>
                <w:szCs w:val="16"/>
              </w:rPr>
              <w:t>$270.932.980</w:t>
            </w:r>
          </w:p>
        </w:tc>
        <w:tc>
          <w:tcPr>
            <w:tcW w:w="1418" w:type="dxa"/>
            <w:tcBorders>
              <w:top w:val="single" w:sz="4" w:space="0" w:color="auto"/>
              <w:left w:val="single" w:sz="4" w:space="0" w:color="auto"/>
              <w:bottom w:val="single" w:sz="4" w:space="0" w:color="auto"/>
              <w:right w:val="single" w:sz="4" w:space="0" w:color="auto"/>
            </w:tcBorders>
            <w:vAlign w:val="center"/>
          </w:tcPr>
          <w:p w14:paraId="2139DF7E" w14:textId="77777777" w:rsidR="008339D3" w:rsidRPr="006021DA" w:rsidRDefault="003B3041" w:rsidP="00835F25">
            <w:pPr>
              <w:contextualSpacing/>
              <w:jc w:val="center"/>
              <w:rPr>
                <w:rFonts w:ascii="Arial" w:hAnsi="Arial" w:cs="Arial"/>
                <w:sz w:val="16"/>
                <w:szCs w:val="16"/>
              </w:rPr>
            </w:pPr>
            <w:r w:rsidRPr="00A8466F">
              <w:rPr>
                <w:rFonts w:ascii="Arial" w:hAnsi="Arial" w:cs="Arial"/>
                <w:sz w:val="16"/>
                <w:szCs w:val="16"/>
              </w:rPr>
              <w:t>$270.932.980</w:t>
            </w:r>
          </w:p>
        </w:tc>
        <w:tc>
          <w:tcPr>
            <w:tcW w:w="283" w:type="dxa"/>
            <w:tcBorders>
              <w:top w:val="single" w:sz="4" w:space="0" w:color="auto"/>
              <w:left w:val="single" w:sz="4" w:space="0" w:color="auto"/>
              <w:bottom w:val="single" w:sz="4" w:space="0" w:color="auto"/>
              <w:right w:val="single" w:sz="4" w:space="0" w:color="auto"/>
            </w:tcBorders>
            <w:vAlign w:val="center"/>
          </w:tcPr>
          <w:p w14:paraId="443F9D58" w14:textId="77777777" w:rsidR="008339D3" w:rsidRPr="006021DA" w:rsidRDefault="008339D3" w:rsidP="00835F25">
            <w:pPr>
              <w:contextualSpacing/>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7841820" w14:textId="77777777" w:rsidR="008339D3" w:rsidRPr="006021DA" w:rsidRDefault="003B3041" w:rsidP="00835F25">
            <w:pPr>
              <w:contextualSpacing/>
              <w:jc w:val="center"/>
              <w:rPr>
                <w:rFonts w:ascii="Arial" w:hAnsi="Arial" w:cs="Arial"/>
                <w:sz w:val="16"/>
                <w:szCs w:val="16"/>
              </w:rPr>
            </w:pPr>
            <w:r w:rsidRPr="00416CCD">
              <w:rPr>
                <w:rFonts w:ascii="Arial" w:hAnsi="Arial" w:cs="Arial"/>
                <w:sz w:val="16"/>
                <w:szCs w:val="16"/>
              </w:rPr>
              <w:t>$85.830.802</w:t>
            </w:r>
          </w:p>
        </w:tc>
        <w:tc>
          <w:tcPr>
            <w:tcW w:w="1418" w:type="dxa"/>
            <w:tcBorders>
              <w:top w:val="single" w:sz="4" w:space="0" w:color="auto"/>
              <w:left w:val="single" w:sz="4" w:space="0" w:color="auto"/>
              <w:bottom w:val="single" w:sz="4" w:space="0" w:color="auto"/>
              <w:right w:val="single" w:sz="4" w:space="0" w:color="auto"/>
            </w:tcBorders>
            <w:vAlign w:val="center"/>
          </w:tcPr>
          <w:p w14:paraId="019E77B1" w14:textId="77777777" w:rsidR="008339D3" w:rsidRPr="006021DA" w:rsidRDefault="003B3041" w:rsidP="00835F25">
            <w:pPr>
              <w:contextualSpacing/>
              <w:jc w:val="center"/>
              <w:rPr>
                <w:rFonts w:ascii="Arial" w:hAnsi="Arial" w:cs="Arial"/>
                <w:sz w:val="16"/>
                <w:szCs w:val="16"/>
              </w:rPr>
            </w:pPr>
            <w:r w:rsidRPr="00416CCD">
              <w:rPr>
                <w:rFonts w:ascii="Arial" w:hAnsi="Arial" w:cs="Arial"/>
                <w:sz w:val="16"/>
                <w:szCs w:val="16"/>
              </w:rPr>
              <w:t>$85.830.802</w:t>
            </w:r>
          </w:p>
        </w:tc>
        <w:tc>
          <w:tcPr>
            <w:tcW w:w="289" w:type="dxa"/>
            <w:tcBorders>
              <w:top w:val="single" w:sz="4" w:space="0" w:color="auto"/>
              <w:left w:val="single" w:sz="4" w:space="0" w:color="auto"/>
              <w:bottom w:val="single" w:sz="4" w:space="0" w:color="auto"/>
              <w:right w:val="single" w:sz="4" w:space="0" w:color="auto"/>
            </w:tcBorders>
          </w:tcPr>
          <w:p w14:paraId="376282A4" w14:textId="77777777" w:rsidR="008339D3" w:rsidRPr="006021DA" w:rsidRDefault="008339D3" w:rsidP="00835F25">
            <w:pPr>
              <w:contextualSpacing/>
              <w:jc w:val="center"/>
              <w:rPr>
                <w:rFonts w:ascii="Arial" w:hAnsi="Arial" w:cs="Arial"/>
                <w:sz w:val="16"/>
                <w:szCs w:val="16"/>
              </w:rPr>
            </w:pPr>
          </w:p>
        </w:tc>
      </w:tr>
      <w:tr w:rsidR="003B3041" w:rsidRPr="006021DA" w14:paraId="2EED418C" w14:textId="77777777" w:rsidTr="0009288A">
        <w:trPr>
          <w:trHeight w:val="300"/>
          <w:jc w:val="center"/>
        </w:trPr>
        <w:tc>
          <w:tcPr>
            <w:tcW w:w="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4B95C" w14:textId="77777777" w:rsidR="003B3041" w:rsidRPr="006021DA" w:rsidRDefault="003B3041" w:rsidP="00835F25">
            <w:pPr>
              <w:contextualSpacing/>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7BD36" w14:textId="77777777" w:rsidR="003B3041" w:rsidRPr="006021DA" w:rsidRDefault="003B3041" w:rsidP="00835F25">
            <w:pPr>
              <w:contextualSpacing/>
              <w:jc w:val="center"/>
              <w:rPr>
                <w:rFonts w:ascii="Arial" w:hAnsi="Arial" w:cs="Arial"/>
                <w:sz w:val="16"/>
                <w:szCs w:val="16"/>
              </w:rPr>
            </w:pPr>
          </w:p>
        </w:tc>
        <w:tc>
          <w:tcPr>
            <w:tcW w:w="264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B62A2B3" w14:textId="77777777" w:rsidR="003B3041" w:rsidRPr="006021DA" w:rsidRDefault="003B3041" w:rsidP="00835F25">
            <w:pPr>
              <w:contextualSpacing/>
              <w:rPr>
                <w:rFonts w:ascii="Arial" w:hAnsi="Arial" w:cs="Arial"/>
                <w:sz w:val="16"/>
                <w:szCs w:val="16"/>
              </w:rPr>
            </w:pPr>
            <w:r w:rsidRPr="006021DA">
              <w:rPr>
                <w:rFonts w:ascii="Arial" w:eastAsia="Arial" w:hAnsi="Arial" w:cs="Arial"/>
                <w:sz w:val="16"/>
                <w:szCs w:val="16"/>
              </w:rPr>
              <w:t>Rendimientos financieros</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87DF4" w14:textId="77777777" w:rsidR="003B3041" w:rsidRPr="006021DA" w:rsidRDefault="003B3041" w:rsidP="00835F25">
            <w:pPr>
              <w:contextualSpacing/>
              <w:jc w:val="center"/>
              <w:rPr>
                <w:rFonts w:ascii="Arial" w:hAnsi="Arial" w:cs="Arial"/>
                <w:sz w:val="16"/>
                <w:szCs w:val="16"/>
              </w:rPr>
            </w:pPr>
            <w:r w:rsidRPr="00A8466F">
              <w:rPr>
                <w:rFonts w:ascii="Arial" w:hAnsi="Arial" w:cs="Arial"/>
                <w:sz w:val="16"/>
                <w:szCs w:val="16"/>
              </w:rPr>
              <w:t>$270.932.980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4B3B6" w14:textId="77777777" w:rsidR="003B3041" w:rsidRPr="006021DA" w:rsidRDefault="003B3041" w:rsidP="00835F25">
            <w:pPr>
              <w:contextualSpacing/>
              <w:jc w:val="center"/>
              <w:rPr>
                <w:rFonts w:ascii="Arial" w:hAnsi="Arial" w:cs="Arial"/>
                <w:sz w:val="16"/>
                <w:szCs w:val="16"/>
              </w:rPr>
            </w:pPr>
            <w:r w:rsidRPr="00A8466F">
              <w:rPr>
                <w:rFonts w:ascii="Arial" w:hAnsi="Arial" w:cs="Arial"/>
                <w:sz w:val="16"/>
                <w:szCs w:val="16"/>
              </w:rPr>
              <w:t>$270.932.980</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F1E31" w14:textId="77777777" w:rsidR="003B3041" w:rsidRPr="006021DA" w:rsidRDefault="003B3041" w:rsidP="00835F25">
            <w:pPr>
              <w:contextualSpacing/>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605CF" w14:textId="77777777" w:rsidR="003B3041" w:rsidRPr="006021DA" w:rsidRDefault="003B3041" w:rsidP="00835F25">
            <w:pPr>
              <w:contextualSpacing/>
              <w:jc w:val="center"/>
              <w:rPr>
                <w:rFonts w:ascii="Arial" w:hAnsi="Arial" w:cs="Arial"/>
                <w:sz w:val="16"/>
                <w:szCs w:val="16"/>
              </w:rPr>
            </w:pPr>
            <w:r w:rsidRPr="00416CCD">
              <w:rPr>
                <w:rFonts w:ascii="Arial" w:hAnsi="Arial" w:cs="Arial"/>
                <w:sz w:val="16"/>
                <w:szCs w:val="16"/>
              </w:rPr>
              <w:t>$85.830.802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99F07" w14:textId="77777777" w:rsidR="003B3041" w:rsidRPr="006021DA" w:rsidRDefault="003B3041" w:rsidP="00835F25">
            <w:pPr>
              <w:contextualSpacing/>
              <w:jc w:val="center"/>
              <w:rPr>
                <w:rFonts w:ascii="Arial" w:hAnsi="Arial" w:cs="Arial"/>
                <w:sz w:val="16"/>
                <w:szCs w:val="16"/>
              </w:rPr>
            </w:pPr>
            <w:r w:rsidRPr="00416CCD">
              <w:rPr>
                <w:rFonts w:ascii="Arial" w:hAnsi="Arial" w:cs="Arial"/>
                <w:sz w:val="16"/>
                <w:szCs w:val="16"/>
              </w:rPr>
              <w:t>$85.830.802</w:t>
            </w:r>
          </w:p>
        </w:tc>
        <w:tc>
          <w:tcPr>
            <w:tcW w:w="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A6BEAA" w14:textId="77777777" w:rsidR="003B3041" w:rsidRPr="006021DA" w:rsidRDefault="003B3041" w:rsidP="00835F25">
            <w:pPr>
              <w:contextualSpacing/>
              <w:jc w:val="center"/>
              <w:rPr>
                <w:rFonts w:ascii="Arial" w:hAnsi="Arial" w:cs="Arial"/>
                <w:sz w:val="16"/>
                <w:szCs w:val="16"/>
              </w:rPr>
            </w:pPr>
          </w:p>
        </w:tc>
      </w:tr>
      <w:tr w:rsidR="003B3041" w:rsidRPr="006021DA" w14:paraId="5AD51983" w14:textId="77777777" w:rsidTr="00B33061">
        <w:trPr>
          <w:trHeight w:val="300"/>
          <w:jc w:val="center"/>
        </w:trPr>
        <w:tc>
          <w:tcPr>
            <w:tcW w:w="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85DC4" w14:textId="77777777" w:rsidR="003B3041" w:rsidRPr="006021DA" w:rsidRDefault="003B3041" w:rsidP="00835F25">
            <w:pPr>
              <w:contextualSpacing/>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21419" w14:textId="77777777" w:rsidR="003B3041" w:rsidRPr="006021DA" w:rsidRDefault="003B3041" w:rsidP="00835F25">
            <w:pPr>
              <w:contextualSpacing/>
              <w:jc w:val="center"/>
              <w:rPr>
                <w:rFonts w:ascii="Arial" w:hAnsi="Arial" w:cs="Arial"/>
                <w:sz w:val="16"/>
                <w:szCs w:val="16"/>
              </w:rPr>
            </w:pPr>
          </w:p>
        </w:tc>
        <w:tc>
          <w:tcPr>
            <w:tcW w:w="2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9F281" w14:textId="77777777" w:rsidR="003B3041" w:rsidRPr="006021DA" w:rsidRDefault="003B3041" w:rsidP="00835F25">
            <w:pPr>
              <w:contextualSpacing/>
              <w:rPr>
                <w:rFonts w:ascii="Arial" w:hAnsi="Arial" w:cs="Arial"/>
                <w:sz w:val="16"/>
                <w:szCs w:val="16"/>
              </w:rPr>
            </w:pPr>
            <w:r w:rsidRPr="006021DA">
              <w:rPr>
                <w:rFonts w:ascii="Arial" w:eastAsia="Arial" w:hAnsi="Arial" w:cs="Arial"/>
                <w:sz w:val="16"/>
                <w:szCs w:val="16"/>
              </w:rPr>
              <w:t>Recursos del balance</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8F63B"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B3E8E"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B90A6" w14:textId="77777777" w:rsidR="003B3041" w:rsidRPr="006021DA" w:rsidRDefault="003B3041" w:rsidP="00835F25">
            <w:pPr>
              <w:contextualSpacing/>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8F996"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BBBB2"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C6B16" w14:textId="77777777" w:rsidR="003B3041" w:rsidRPr="006021DA" w:rsidRDefault="00B33061" w:rsidP="00835F25">
            <w:pPr>
              <w:contextualSpacing/>
              <w:jc w:val="center"/>
              <w:rPr>
                <w:rFonts w:ascii="Arial" w:hAnsi="Arial" w:cs="Arial"/>
                <w:sz w:val="16"/>
                <w:szCs w:val="16"/>
              </w:rPr>
            </w:pPr>
            <w:r>
              <w:rPr>
                <w:rFonts w:ascii="Arial" w:hAnsi="Arial" w:cs="Arial"/>
                <w:b/>
                <w:bCs/>
                <w:color w:val="FF0000"/>
                <w:sz w:val="16"/>
                <w:szCs w:val="16"/>
              </w:rPr>
              <w:t>3</w:t>
            </w:r>
          </w:p>
        </w:tc>
      </w:tr>
      <w:tr w:rsidR="003B3041" w:rsidRPr="006021DA" w14:paraId="525AF381" w14:textId="77777777" w:rsidTr="006B15B3">
        <w:trPr>
          <w:trHeight w:val="300"/>
          <w:jc w:val="center"/>
        </w:trPr>
        <w:tc>
          <w:tcPr>
            <w:tcW w:w="3203"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14:paraId="3C408D6F" w14:textId="77777777" w:rsidR="003B3041" w:rsidRPr="006021DA" w:rsidRDefault="003B3041" w:rsidP="00835F25">
            <w:pPr>
              <w:contextualSpacing/>
              <w:rPr>
                <w:rFonts w:ascii="Arial" w:hAnsi="Arial" w:cs="Arial"/>
                <w:sz w:val="16"/>
                <w:szCs w:val="16"/>
              </w:rPr>
            </w:pPr>
            <w:r w:rsidRPr="006021DA">
              <w:rPr>
                <w:rFonts w:ascii="Arial" w:eastAsia="Arial" w:hAnsi="Arial" w:cs="Arial"/>
                <w:b/>
                <w:bCs/>
                <w:sz w:val="16"/>
                <w:szCs w:val="16"/>
              </w:rPr>
              <w:t>Gastos de inversión</w:t>
            </w:r>
          </w:p>
        </w:tc>
        <w:tc>
          <w:tcPr>
            <w:tcW w:w="1470" w:type="dxa"/>
            <w:tcBorders>
              <w:top w:val="single" w:sz="4" w:space="0" w:color="auto"/>
              <w:left w:val="single" w:sz="4" w:space="0" w:color="auto"/>
              <w:bottom w:val="single" w:sz="4" w:space="0" w:color="auto"/>
              <w:right w:val="single" w:sz="4" w:space="0" w:color="auto"/>
            </w:tcBorders>
            <w:shd w:val="clear" w:color="auto" w:fill="CCCCFF"/>
            <w:vAlign w:val="center"/>
          </w:tcPr>
          <w:p w14:paraId="137EA2CF" w14:textId="77777777" w:rsidR="003B3041" w:rsidRPr="006021DA" w:rsidRDefault="003B3041" w:rsidP="00835F25">
            <w:pPr>
              <w:contextualSpacing/>
              <w:jc w:val="center"/>
              <w:rPr>
                <w:rFonts w:ascii="Arial" w:hAnsi="Arial" w:cs="Arial"/>
                <w:b/>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CCCCFF"/>
            <w:vAlign w:val="center"/>
          </w:tcPr>
          <w:p w14:paraId="7C389D9C" w14:textId="77777777" w:rsidR="003B3041" w:rsidRPr="006021DA" w:rsidRDefault="003B3041" w:rsidP="00835F25">
            <w:pPr>
              <w:contextualSpacing/>
              <w:jc w:val="center"/>
              <w:rPr>
                <w:rFonts w:ascii="Arial" w:hAnsi="Arial" w:cs="Arial"/>
                <w:b/>
                <w:bCs/>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CCCCFF"/>
            <w:vAlign w:val="center"/>
          </w:tcPr>
          <w:p w14:paraId="230375A4" w14:textId="77777777" w:rsidR="003B3041" w:rsidRPr="006021DA" w:rsidRDefault="003B3041" w:rsidP="00835F25">
            <w:pPr>
              <w:contextualSpacing/>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56C4D3BE" w14:textId="77777777" w:rsidR="003B3041" w:rsidRPr="006021DA" w:rsidRDefault="003B3041" w:rsidP="00835F25">
            <w:pPr>
              <w:contextualSpacing/>
              <w:jc w:val="center"/>
              <w:rPr>
                <w:rFonts w:ascii="Arial" w:hAnsi="Arial" w:cs="Arial"/>
                <w:b/>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CCCCFF"/>
            <w:vAlign w:val="center"/>
          </w:tcPr>
          <w:p w14:paraId="57FBFE95" w14:textId="77777777" w:rsidR="003B3041" w:rsidRPr="006021DA" w:rsidRDefault="003B3041" w:rsidP="00835F25">
            <w:pPr>
              <w:contextualSpacing/>
              <w:jc w:val="center"/>
              <w:rPr>
                <w:rFonts w:ascii="Arial" w:hAnsi="Arial" w:cs="Arial"/>
                <w:b/>
                <w:bCs/>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CCCCFF"/>
          </w:tcPr>
          <w:p w14:paraId="79627CCE" w14:textId="77777777" w:rsidR="003B3041" w:rsidRPr="006021DA" w:rsidRDefault="003B3041" w:rsidP="00835F25">
            <w:pPr>
              <w:contextualSpacing/>
              <w:jc w:val="center"/>
              <w:rPr>
                <w:rFonts w:ascii="Arial" w:hAnsi="Arial" w:cs="Arial"/>
                <w:b/>
                <w:bCs/>
                <w:sz w:val="16"/>
                <w:szCs w:val="16"/>
              </w:rPr>
            </w:pPr>
          </w:p>
        </w:tc>
      </w:tr>
      <w:tr w:rsidR="003B3041" w:rsidRPr="006021DA" w14:paraId="4F072A3A" w14:textId="77777777" w:rsidTr="006B15B3">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063C81B2" w14:textId="77777777" w:rsidR="003B3041" w:rsidRPr="006021DA" w:rsidRDefault="003B3041"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5A48375E" w14:textId="77777777" w:rsidR="003B3041" w:rsidRPr="006021DA" w:rsidRDefault="003B3041" w:rsidP="00835F25">
            <w:pPr>
              <w:contextualSpacing/>
              <w:rPr>
                <w:rFonts w:ascii="Arial" w:hAnsi="Arial" w:cs="Arial"/>
                <w:sz w:val="16"/>
                <w:szCs w:val="16"/>
              </w:rPr>
            </w:pPr>
            <w:r w:rsidRPr="006021DA">
              <w:rPr>
                <w:rFonts w:ascii="Arial" w:eastAsia="Arial" w:hAnsi="Arial" w:cs="Arial"/>
                <w:sz w:val="16"/>
                <w:szCs w:val="16"/>
              </w:rPr>
              <w:t>Compromisos</w:t>
            </w:r>
          </w:p>
        </w:tc>
        <w:tc>
          <w:tcPr>
            <w:tcW w:w="1470" w:type="dxa"/>
            <w:tcBorders>
              <w:top w:val="single" w:sz="4" w:space="0" w:color="auto"/>
              <w:left w:val="single" w:sz="4" w:space="0" w:color="auto"/>
              <w:bottom w:val="single" w:sz="4" w:space="0" w:color="auto"/>
              <w:right w:val="single" w:sz="4" w:space="0" w:color="auto"/>
            </w:tcBorders>
            <w:vAlign w:val="center"/>
          </w:tcPr>
          <w:p w14:paraId="1F8109B6"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$3.383.849.735</w:t>
            </w:r>
          </w:p>
        </w:tc>
        <w:tc>
          <w:tcPr>
            <w:tcW w:w="1418" w:type="dxa"/>
            <w:tcBorders>
              <w:top w:val="single" w:sz="4" w:space="0" w:color="auto"/>
              <w:left w:val="single" w:sz="4" w:space="0" w:color="auto"/>
              <w:bottom w:val="single" w:sz="4" w:space="0" w:color="auto"/>
              <w:right w:val="single" w:sz="4" w:space="0" w:color="auto"/>
            </w:tcBorders>
            <w:vAlign w:val="center"/>
          </w:tcPr>
          <w:p w14:paraId="345E488F"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$3.383.849.735</w:t>
            </w:r>
          </w:p>
        </w:tc>
        <w:tc>
          <w:tcPr>
            <w:tcW w:w="283" w:type="dxa"/>
            <w:tcBorders>
              <w:top w:val="single" w:sz="4" w:space="0" w:color="auto"/>
              <w:left w:val="single" w:sz="4" w:space="0" w:color="auto"/>
              <w:bottom w:val="single" w:sz="4" w:space="0" w:color="auto"/>
              <w:right w:val="single" w:sz="4" w:space="0" w:color="auto"/>
            </w:tcBorders>
            <w:vAlign w:val="center"/>
          </w:tcPr>
          <w:p w14:paraId="20126DB1" w14:textId="77777777" w:rsidR="003B3041" w:rsidRPr="006021DA" w:rsidRDefault="003B3041" w:rsidP="00835F25">
            <w:pPr>
              <w:contextualSpacing/>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E06EDAC" w14:textId="77777777" w:rsidR="003B3041" w:rsidRPr="006021DA" w:rsidRDefault="003B3041" w:rsidP="00835F25">
            <w:pPr>
              <w:contextualSpacing/>
              <w:jc w:val="center"/>
              <w:rPr>
                <w:rFonts w:ascii="Arial" w:eastAsia="Arial" w:hAnsi="Arial" w:cs="Arial"/>
                <w:sz w:val="16"/>
                <w:szCs w:val="16"/>
              </w:rPr>
            </w:pPr>
            <w:r>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14:paraId="6AD8DF89"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289" w:type="dxa"/>
            <w:tcBorders>
              <w:top w:val="single" w:sz="4" w:space="0" w:color="auto"/>
              <w:left w:val="single" w:sz="4" w:space="0" w:color="auto"/>
              <w:bottom w:val="single" w:sz="4" w:space="0" w:color="auto"/>
              <w:right w:val="single" w:sz="4" w:space="0" w:color="auto"/>
            </w:tcBorders>
          </w:tcPr>
          <w:p w14:paraId="1D0474F2" w14:textId="77777777" w:rsidR="003B3041" w:rsidRPr="006021DA" w:rsidRDefault="003B3041" w:rsidP="00835F25">
            <w:pPr>
              <w:contextualSpacing/>
              <w:jc w:val="center"/>
              <w:rPr>
                <w:rFonts w:ascii="Arial" w:hAnsi="Arial" w:cs="Arial"/>
                <w:sz w:val="16"/>
                <w:szCs w:val="16"/>
              </w:rPr>
            </w:pPr>
          </w:p>
        </w:tc>
      </w:tr>
      <w:tr w:rsidR="003B3041" w:rsidRPr="006021DA" w14:paraId="35263AA3" w14:textId="77777777" w:rsidTr="006B15B3">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60EBC364" w14:textId="77777777" w:rsidR="003B3041" w:rsidRPr="006021DA" w:rsidRDefault="003B3041"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4FB3C8BD" w14:textId="77777777" w:rsidR="003B3041" w:rsidRPr="006021DA" w:rsidRDefault="003B3041" w:rsidP="00835F25">
            <w:pPr>
              <w:contextualSpacing/>
              <w:rPr>
                <w:rFonts w:ascii="Arial" w:hAnsi="Arial" w:cs="Arial"/>
                <w:sz w:val="16"/>
                <w:szCs w:val="16"/>
              </w:rPr>
            </w:pPr>
            <w:r w:rsidRPr="006021DA">
              <w:rPr>
                <w:rFonts w:ascii="Arial" w:eastAsia="Arial" w:hAnsi="Arial" w:cs="Arial"/>
                <w:sz w:val="16"/>
                <w:szCs w:val="16"/>
              </w:rPr>
              <w:t>Obligaciones</w:t>
            </w:r>
          </w:p>
        </w:tc>
        <w:tc>
          <w:tcPr>
            <w:tcW w:w="1470" w:type="dxa"/>
            <w:tcBorders>
              <w:top w:val="single" w:sz="4" w:space="0" w:color="auto"/>
              <w:left w:val="single" w:sz="4" w:space="0" w:color="auto"/>
              <w:bottom w:val="single" w:sz="4" w:space="0" w:color="auto"/>
              <w:right w:val="single" w:sz="4" w:space="0" w:color="auto"/>
            </w:tcBorders>
            <w:vAlign w:val="center"/>
          </w:tcPr>
          <w:p w14:paraId="3F28ECB4" w14:textId="77777777" w:rsidR="003B3041" w:rsidRPr="006021DA" w:rsidRDefault="003B3041" w:rsidP="00835F25">
            <w:pPr>
              <w:contextualSpacing/>
              <w:jc w:val="center"/>
              <w:rPr>
                <w:rFonts w:ascii="Arial" w:hAnsi="Arial" w:cs="Arial"/>
                <w:sz w:val="16"/>
                <w:szCs w:val="16"/>
              </w:rPr>
            </w:pPr>
            <w:r w:rsidRPr="002D74A7">
              <w:rPr>
                <w:rFonts w:ascii="Arial" w:hAnsi="Arial" w:cs="Arial"/>
                <w:sz w:val="16"/>
                <w:szCs w:val="16"/>
              </w:rPr>
              <w:t>$3.138.413.472</w:t>
            </w:r>
          </w:p>
        </w:tc>
        <w:tc>
          <w:tcPr>
            <w:tcW w:w="1418" w:type="dxa"/>
            <w:tcBorders>
              <w:top w:val="single" w:sz="4" w:space="0" w:color="auto"/>
              <w:left w:val="single" w:sz="4" w:space="0" w:color="auto"/>
              <w:bottom w:val="single" w:sz="4" w:space="0" w:color="auto"/>
              <w:right w:val="single" w:sz="4" w:space="0" w:color="auto"/>
            </w:tcBorders>
            <w:vAlign w:val="center"/>
          </w:tcPr>
          <w:p w14:paraId="200D7A67" w14:textId="77777777" w:rsidR="003B3041" w:rsidRPr="006021DA" w:rsidRDefault="003B3041" w:rsidP="00835F25">
            <w:pPr>
              <w:contextualSpacing/>
              <w:jc w:val="center"/>
              <w:rPr>
                <w:rFonts w:ascii="Arial" w:hAnsi="Arial" w:cs="Arial"/>
                <w:sz w:val="16"/>
                <w:szCs w:val="16"/>
              </w:rPr>
            </w:pPr>
            <w:r w:rsidRPr="002D74A7">
              <w:rPr>
                <w:rFonts w:ascii="Arial" w:hAnsi="Arial" w:cs="Arial"/>
                <w:sz w:val="16"/>
                <w:szCs w:val="16"/>
              </w:rPr>
              <w:t>$3.138.413.472</w:t>
            </w:r>
          </w:p>
        </w:tc>
        <w:tc>
          <w:tcPr>
            <w:tcW w:w="283" w:type="dxa"/>
            <w:tcBorders>
              <w:top w:val="single" w:sz="4" w:space="0" w:color="auto"/>
              <w:left w:val="single" w:sz="4" w:space="0" w:color="auto"/>
              <w:bottom w:val="single" w:sz="4" w:space="0" w:color="auto"/>
              <w:right w:val="single" w:sz="4" w:space="0" w:color="auto"/>
            </w:tcBorders>
            <w:vAlign w:val="center"/>
          </w:tcPr>
          <w:p w14:paraId="401D800F" w14:textId="77777777" w:rsidR="003B3041" w:rsidRPr="006021DA" w:rsidRDefault="003B3041" w:rsidP="00835F25">
            <w:pPr>
              <w:contextualSpacing/>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6C69398"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14:paraId="4B190762"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289" w:type="dxa"/>
            <w:tcBorders>
              <w:top w:val="single" w:sz="4" w:space="0" w:color="auto"/>
              <w:left w:val="single" w:sz="4" w:space="0" w:color="auto"/>
              <w:bottom w:val="single" w:sz="4" w:space="0" w:color="auto"/>
              <w:right w:val="single" w:sz="4" w:space="0" w:color="auto"/>
            </w:tcBorders>
          </w:tcPr>
          <w:p w14:paraId="1A3D1A4A" w14:textId="77777777" w:rsidR="003B3041" w:rsidRPr="006021DA" w:rsidRDefault="003B3041" w:rsidP="00835F25">
            <w:pPr>
              <w:contextualSpacing/>
              <w:jc w:val="center"/>
              <w:rPr>
                <w:rFonts w:ascii="Arial" w:hAnsi="Arial" w:cs="Arial"/>
                <w:sz w:val="16"/>
                <w:szCs w:val="16"/>
              </w:rPr>
            </w:pPr>
          </w:p>
        </w:tc>
      </w:tr>
      <w:tr w:rsidR="003B3041" w:rsidRPr="006021DA" w14:paraId="6A593CE9" w14:textId="77777777" w:rsidTr="006B15B3">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16A44A12" w14:textId="77777777" w:rsidR="003B3041" w:rsidRPr="006021DA" w:rsidRDefault="003B3041"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37BA59A0" w14:textId="77777777" w:rsidR="003B3041" w:rsidRPr="006021DA" w:rsidRDefault="003B3041" w:rsidP="00835F25">
            <w:pPr>
              <w:contextualSpacing/>
              <w:rPr>
                <w:rFonts w:ascii="Arial" w:hAnsi="Arial" w:cs="Arial"/>
                <w:sz w:val="16"/>
                <w:szCs w:val="16"/>
              </w:rPr>
            </w:pPr>
            <w:r w:rsidRPr="006021DA">
              <w:rPr>
                <w:rFonts w:ascii="Arial" w:eastAsia="Arial" w:hAnsi="Arial" w:cs="Arial"/>
                <w:sz w:val="16"/>
                <w:szCs w:val="16"/>
              </w:rPr>
              <w:t>Pagos</w:t>
            </w:r>
          </w:p>
        </w:tc>
        <w:tc>
          <w:tcPr>
            <w:tcW w:w="1470" w:type="dxa"/>
            <w:tcBorders>
              <w:top w:val="single" w:sz="4" w:space="0" w:color="auto"/>
              <w:left w:val="single" w:sz="4" w:space="0" w:color="auto"/>
              <w:bottom w:val="single" w:sz="4" w:space="0" w:color="auto"/>
              <w:right w:val="single" w:sz="4" w:space="0" w:color="auto"/>
            </w:tcBorders>
            <w:vAlign w:val="center"/>
          </w:tcPr>
          <w:p w14:paraId="030D14BD" w14:textId="77777777" w:rsidR="003B3041" w:rsidRPr="006021DA" w:rsidRDefault="003B3041" w:rsidP="00835F25">
            <w:pPr>
              <w:contextualSpacing/>
              <w:jc w:val="center"/>
              <w:rPr>
                <w:rFonts w:ascii="Arial" w:hAnsi="Arial" w:cs="Arial"/>
                <w:sz w:val="16"/>
                <w:szCs w:val="16"/>
              </w:rPr>
            </w:pPr>
            <w:r w:rsidRPr="002D74A7">
              <w:rPr>
                <w:rFonts w:ascii="Arial" w:hAnsi="Arial" w:cs="Arial"/>
                <w:sz w:val="16"/>
                <w:szCs w:val="16"/>
              </w:rPr>
              <w:t>$3.138.413.472</w:t>
            </w:r>
          </w:p>
        </w:tc>
        <w:tc>
          <w:tcPr>
            <w:tcW w:w="1418" w:type="dxa"/>
            <w:tcBorders>
              <w:top w:val="single" w:sz="4" w:space="0" w:color="auto"/>
              <w:left w:val="single" w:sz="4" w:space="0" w:color="auto"/>
              <w:bottom w:val="single" w:sz="4" w:space="0" w:color="auto"/>
              <w:right w:val="single" w:sz="4" w:space="0" w:color="auto"/>
            </w:tcBorders>
            <w:vAlign w:val="center"/>
          </w:tcPr>
          <w:p w14:paraId="27E14052" w14:textId="77777777" w:rsidR="003B3041" w:rsidRPr="006021DA" w:rsidRDefault="003B3041" w:rsidP="00835F25">
            <w:pPr>
              <w:contextualSpacing/>
              <w:jc w:val="center"/>
              <w:rPr>
                <w:rFonts w:ascii="Arial" w:hAnsi="Arial" w:cs="Arial"/>
                <w:sz w:val="16"/>
                <w:szCs w:val="16"/>
              </w:rPr>
            </w:pPr>
            <w:r w:rsidRPr="002D74A7">
              <w:rPr>
                <w:rFonts w:ascii="Arial" w:hAnsi="Arial" w:cs="Arial"/>
                <w:sz w:val="16"/>
                <w:szCs w:val="16"/>
              </w:rPr>
              <w:t>$3.138.413.472</w:t>
            </w:r>
          </w:p>
        </w:tc>
        <w:tc>
          <w:tcPr>
            <w:tcW w:w="283" w:type="dxa"/>
            <w:tcBorders>
              <w:top w:val="single" w:sz="4" w:space="0" w:color="auto"/>
              <w:left w:val="single" w:sz="4" w:space="0" w:color="auto"/>
              <w:bottom w:val="single" w:sz="4" w:space="0" w:color="auto"/>
              <w:right w:val="single" w:sz="4" w:space="0" w:color="auto"/>
            </w:tcBorders>
            <w:vAlign w:val="center"/>
          </w:tcPr>
          <w:p w14:paraId="076D6356" w14:textId="77777777" w:rsidR="003B3041" w:rsidRPr="006021DA" w:rsidRDefault="003B3041" w:rsidP="00835F25">
            <w:pPr>
              <w:contextualSpacing/>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A8880AF"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14:paraId="31BD7405" w14:textId="77777777" w:rsidR="003B3041" w:rsidRPr="006021DA" w:rsidRDefault="003B3041" w:rsidP="00835F25">
            <w:pPr>
              <w:contextualSpacing/>
              <w:jc w:val="center"/>
              <w:rPr>
                <w:rFonts w:ascii="Arial" w:hAnsi="Arial" w:cs="Arial"/>
                <w:sz w:val="16"/>
                <w:szCs w:val="16"/>
              </w:rPr>
            </w:pPr>
            <w:r>
              <w:rPr>
                <w:rFonts w:ascii="Arial" w:hAnsi="Arial" w:cs="Arial"/>
                <w:sz w:val="16"/>
                <w:szCs w:val="16"/>
              </w:rPr>
              <w:t>$0</w:t>
            </w:r>
          </w:p>
        </w:tc>
        <w:tc>
          <w:tcPr>
            <w:tcW w:w="289" w:type="dxa"/>
            <w:tcBorders>
              <w:top w:val="single" w:sz="4" w:space="0" w:color="auto"/>
              <w:left w:val="single" w:sz="4" w:space="0" w:color="auto"/>
              <w:bottom w:val="single" w:sz="4" w:space="0" w:color="auto"/>
              <w:right w:val="single" w:sz="4" w:space="0" w:color="auto"/>
            </w:tcBorders>
          </w:tcPr>
          <w:p w14:paraId="4C18B15E" w14:textId="77777777" w:rsidR="003B3041" w:rsidRPr="006021DA" w:rsidRDefault="003B3041" w:rsidP="00835F25">
            <w:pPr>
              <w:contextualSpacing/>
              <w:jc w:val="center"/>
              <w:rPr>
                <w:rFonts w:ascii="Arial" w:hAnsi="Arial" w:cs="Arial"/>
                <w:sz w:val="16"/>
                <w:szCs w:val="16"/>
              </w:rPr>
            </w:pPr>
          </w:p>
        </w:tc>
      </w:tr>
      <w:tr w:rsidR="003B3041" w:rsidRPr="006021DA" w14:paraId="5A37B1BD" w14:textId="77777777" w:rsidTr="006B15B3">
        <w:trPr>
          <w:trHeight w:val="300"/>
          <w:jc w:val="center"/>
        </w:trPr>
        <w:tc>
          <w:tcPr>
            <w:tcW w:w="3203"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14:paraId="7C82A7B5" w14:textId="77777777" w:rsidR="003B3041" w:rsidRPr="006021DA" w:rsidRDefault="003B3041" w:rsidP="00835F25">
            <w:pPr>
              <w:contextualSpacing/>
              <w:rPr>
                <w:rFonts w:ascii="Arial" w:hAnsi="Arial" w:cs="Arial"/>
                <w:sz w:val="16"/>
                <w:szCs w:val="16"/>
              </w:rPr>
            </w:pPr>
            <w:r w:rsidRPr="006021DA">
              <w:rPr>
                <w:rFonts w:ascii="Arial" w:eastAsia="Arial" w:hAnsi="Arial" w:cs="Arial"/>
                <w:b/>
                <w:bCs/>
                <w:sz w:val="16"/>
                <w:szCs w:val="16"/>
              </w:rPr>
              <w:t>Cierre fiscal</w:t>
            </w:r>
          </w:p>
        </w:tc>
        <w:tc>
          <w:tcPr>
            <w:tcW w:w="1470" w:type="dxa"/>
            <w:tcBorders>
              <w:top w:val="single" w:sz="4" w:space="0" w:color="auto"/>
              <w:left w:val="single" w:sz="4" w:space="0" w:color="auto"/>
              <w:bottom w:val="single" w:sz="4" w:space="0" w:color="auto"/>
              <w:right w:val="single" w:sz="4" w:space="0" w:color="auto"/>
            </w:tcBorders>
            <w:shd w:val="clear" w:color="auto" w:fill="CCCCFF"/>
            <w:vAlign w:val="center"/>
          </w:tcPr>
          <w:p w14:paraId="3B68CEA1" w14:textId="77777777" w:rsidR="003B3041" w:rsidRPr="006021DA" w:rsidRDefault="003B3041" w:rsidP="00835F25">
            <w:pPr>
              <w:contextualSpacing/>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CCCCFF"/>
            <w:vAlign w:val="center"/>
          </w:tcPr>
          <w:p w14:paraId="3ECBC457" w14:textId="77777777" w:rsidR="003B3041" w:rsidRPr="006021DA" w:rsidRDefault="003B3041" w:rsidP="00835F25">
            <w:pPr>
              <w:contextualSpacing/>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CCCCFF"/>
            <w:vAlign w:val="center"/>
          </w:tcPr>
          <w:p w14:paraId="2A380CE2" w14:textId="77777777" w:rsidR="003B3041" w:rsidRPr="006021DA" w:rsidRDefault="003B3041" w:rsidP="00835F25">
            <w:pPr>
              <w:contextualSpacing/>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4352F452" w14:textId="77777777" w:rsidR="003B3041" w:rsidRPr="006021DA" w:rsidRDefault="003B3041" w:rsidP="00835F25">
            <w:pPr>
              <w:contextualSpacing/>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CCCCFF"/>
            <w:vAlign w:val="center"/>
          </w:tcPr>
          <w:p w14:paraId="6073CCCC" w14:textId="77777777" w:rsidR="003B3041" w:rsidRPr="006021DA" w:rsidRDefault="003B3041" w:rsidP="00835F25">
            <w:pPr>
              <w:contextualSpacing/>
              <w:jc w:val="center"/>
              <w:rPr>
                <w:rFonts w:ascii="Arial" w:hAnsi="Arial"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CCCCFF"/>
          </w:tcPr>
          <w:p w14:paraId="5584943C" w14:textId="77777777" w:rsidR="003B3041" w:rsidRPr="006021DA" w:rsidRDefault="003B3041" w:rsidP="00835F25">
            <w:pPr>
              <w:contextualSpacing/>
              <w:jc w:val="center"/>
              <w:rPr>
                <w:rFonts w:ascii="Arial" w:hAnsi="Arial" w:cs="Arial"/>
                <w:sz w:val="16"/>
                <w:szCs w:val="16"/>
              </w:rPr>
            </w:pPr>
          </w:p>
        </w:tc>
      </w:tr>
      <w:tr w:rsidR="00DA6EF1" w:rsidRPr="006021DA" w14:paraId="55178317" w14:textId="77777777" w:rsidTr="00D1684D">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25AA87BD" w14:textId="77777777" w:rsidR="00DA6EF1" w:rsidRPr="006021DA" w:rsidRDefault="00DA6EF1"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1A261C9A" w14:textId="77777777" w:rsidR="00DA6EF1" w:rsidRPr="006021DA" w:rsidRDefault="00DA6EF1" w:rsidP="00835F25">
            <w:pPr>
              <w:contextualSpacing/>
              <w:rPr>
                <w:rFonts w:ascii="Arial" w:hAnsi="Arial" w:cs="Arial"/>
                <w:sz w:val="16"/>
                <w:szCs w:val="16"/>
              </w:rPr>
            </w:pPr>
            <w:r w:rsidRPr="006021DA">
              <w:rPr>
                <w:rFonts w:ascii="Arial" w:eastAsia="Arial" w:hAnsi="Arial" w:cs="Arial"/>
                <w:sz w:val="16"/>
                <w:szCs w:val="16"/>
              </w:rPr>
              <w:t>Déficit o superávit</w:t>
            </w:r>
          </w:p>
        </w:tc>
        <w:tc>
          <w:tcPr>
            <w:tcW w:w="1470" w:type="dxa"/>
            <w:tcBorders>
              <w:top w:val="single" w:sz="4" w:space="0" w:color="auto"/>
              <w:left w:val="single" w:sz="4" w:space="0" w:color="auto"/>
              <w:bottom w:val="single" w:sz="4" w:space="0" w:color="auto"/>
              <w:right w:val="single" w:sz="4" w:space="0" w:color="auto"/>
            </w:tcBorders>
            <w:vAlign w:val="center"/>
          </w:tcPr>
          <w:p w14:paraId="4324099A" w14:textId="77777777" w:rsidR="00DA6EF1" w:rsidRPr="006021DA" w:rsidRDefault="00DA6EF1" w:rsidP="00835F25">
            <w:pPr>
              <w:contextualSpacing/>
              <w:jc w:val="center"/>
              <w:rPr>
                <w:rFonts w:ascii="Arial" w:hAnsi="Arial" w:cs="Arial"/>
                <w:sz w:val="16"/>
                <w:szCs w:val="16"/>
              </w:rPr>
            </w:pPr>
            <w:r>
              <w:rPr>
                <w:rFonts w:ascii="Arial" w:hAnsi="Arial" w:cs="Arial"/>
                <w:sz w:val="16"/>
                <w:szCs w:val="16"/>
              </w:rPr>
              <w:t>$</w:t>
            </w:r>
            <w:r w:rsidR="005D19A9">
              <w:rPr>
                <w:rFonts w:ascii="Arial" w:hAnsi="Arial" w:cs="Arial"/>
                <w:sz w:val="16"/>
                <w:szCs w:val="16"/>
              </w:rPr>
              <w:t>4.521.</w:t>
            </w:r>
            <w:r w:rsidR="0052527F">
              <w:rPr>
                <w:rFonts w:ascii="Arial" w:hAnsi="Arial" w:cs="Arial"/>
                <w:sz w:val="16"/>
                <w:szCs w:val="16"/>
              </w:rPr>
              <w:t>501</w:t>
            </w:r>
            <w:r>
              <w:rPr>
                <w:rFonts w:ascii="Arial" w:hAnsi="Arial" w:cs="Arial"/>
                <w:sz w:val="16"/>
                <w:szCs w:val="16"/>
              </w:rPr>
              <w:t>.</w:t>
            </w:r>
            <w:r w:rsidR="0052527F">
              <w:rPr>
                <w:rFonts w:ascii="Arial" w:hAnsi="Arial" w:cs="Arial"/>
                <w:sz w:val="16"/>
                <w:szCs w:val="16"/>
              </w:rPr>
              <w:t>636</w:t>
            </w:r>
          </w:p>
        </w:tc>
        <w:tc>
          <w:tcPr>
            <w:tcW w:w="1418" w:type="dxa"/>
            <w:tcBorders>
              <w:top w:val="single" w:sz="4" w:space="0" w:color="auto"/>
              <w:left w:val="single" w:sz="4" w:space="0" w:color="auto"/>
              <w:bottom w:val="single" w:sz="4" w:space="0" w:color="auto"/>
              <w:right w:val="single" w:sz="4" w:space="0" w:color="auto"/>
            </w:tcBorders>
            <w:vAlign w:val="center"/>
          </w:tcPr>
          <w:p w14:paraId="589121A0" w14:textId="77777777" w:rsidR="00DA6EF1" w:rsidRPr="006021DA" w:rsidRDefault="00DA6EF1" w:rsidP="00835F25">
            <w:pPr>
              <w:contextualSpacing/>
              <w:jc w:val="center"/>
              <w:rPr>
                <w:rFonts w:ascii="Arial" w:hAnsi="Arial" w:cs="Arial"/>
                <w:sz w:val="16"/>
                <w:szCs w:val="16"/>
              </w:rPr>
            </w:pPr>
            <w:r w:rsidRPr="008C4D89">
              <w:rPr>
                <w:rFonts w:ascii="Arial" w:hAnsi="Arial" w:cs="Arial"/>
                <w:sz w:val="16"/>
                <w:szCs w:val="16"/>
              </w:rPr>
              <w:t>$13.725.238.641</w:t>
            </w:r>
          </w:p>
        </w:tc>
        <w:tc>
          <w:tcPr>
            <w:tcW w:w="283" w:type="dxa"/>
            <w:vMerge w:val="restart"/>
            <w:tcBorders>
              <w:top w:val="single" w:sz="4" w:space="0" w:color="auto"/>
              <w:left w:val="single" w:sz="4" w:space="0" w:color="auto"/>
              <w:right w:val="single" w:sz="4" w:space="0" w:color="auto"/>
            </w:tcBorders>
            <w:vAlign w:val="center"/>
          </w:tcPr>
          <w:p w14:paraId="52C3D84E" w14:textId="77777777" w:rsidR="00DA6EF1" w:rsidRPr="006021DA" w:rsidRDefault="00E35C68" w:rsidP="00835F25">
            <w:pPr>
              <w:contextualSpacing/>
              <w:jc w:val="center"/>
              <w:rPr>
                <w:rFonts w:ascii="Arial" w:eastAsia="Arial" w:hAnsi="Arial" w:cs="Arial"/>
                <w:b/>
                <w:bCs/>
                <w:sz w:val="16"/>
                <w:szCs w:val="16"/>
              </w:rPr>
            </w:pPr>
            <w:r w:rsidRPr="00631028">
              <w:rPr>
                <w:rFonts w:ascii="Arial" w:eastAsia="Arial" w:hAnsi="Arial" w:cs="Arial"/>
                <w:b/>
                <w:bCs/>
                <w:color w:val="FF0000"/>
                <w:sz w:val="16"/>
                <w:szCs w:val="16"/>
              </w:rPr>
              <w:t>1</w:t>
            </w:r>
          </w:p>
        </w:tc>
        <w:tc>
          <w:tcPr>
            <w:tcW w:w="3266"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3E4E18BB" w14:textId="77777777" w:rsidR="00DA6EF1" w:rsidRPr="006021DA" w:rsidRDefault="00DA6EF1" w:rsidP="00835F25">
            <w:pPr>
              <w:contextualSpacing/>
              <w:jc w:val="center"/>
              <w:rPr>
                <w:rFonts w:ascii="Arial" w:hAnsi="Arial" w:cs="Arial"/>
                <w:b/>
                <w:bCs/>
                <w:sz w:val="16"/>
                <w:szCs w:val="16"/>
              </w:rPr>
            </w:pPr>
            <w:r>
              <w:rPr>
                <w:rFonts w:ascii="Arial" w:hAnsi="Arial" w:cs="Arial"/>
                <w:b/>
                <w:bCs/>
                <w:sz w:val="16"/>
                <w:szCs w:val="16"/>
              </w:rPr>
              <w:t>No Aplica.</w:t>
            </w:r>
          </w:p>
        </w:tc>
      </w:tr>
      <w:tr w:rsidR="00DA6EF1" w:rsidRPr="006021DA" w14:paraId="3D537A1F" w14:textId="77777777" w:rsidTr="00D1684D">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020CFC4D" w14:textId="77777777" w:rsidR="00DA6EF1" w:rsidRPr="006021DA" w:rsidRDefault="00DA6EF1"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4737BB83" w14:textId="77777777" w:rsidR="00DA6EF1" w:rsidRPr="006021DA" w:rsidRDefault="00DA6EF1" w:rsidP="00835F25">
            <w:pPr>
              <w:contextualSpacing/>
              <w:rPr>
                <w:rFonts w:ascii="Arial" w:hAnsi="Arial" w:cs="Arial"/>
                <w:sz w:val="16"/>
                <w:szCs w:val="16"/>
              </w:rPr>
            </w:pPr>
            <w:r w:rsidRPr="006021DA">
              <w:rPr>
                <w:rFonts w:ascii="Arial" w:eastAsia="Arial" w:hAnsi="Arial" w:cs="Arial"/>
                <w:sz w:val="16"/>
                <w:szCs w:val="16"/>
              </w:rPr>
              <w:t>Reservas</w:t>
            </w:r>
          </w:p>
        </w:tc>
        <w:tc>
          <w:tcPr>
            <w:tcW w:w="1470" w:type="dxa"/>
            <w:tcBorders>
              <w:top w:val="single" w:sz="4" w:space="0" w:color="auto"/>
              <w:left w:val="single" w:sz="4" w:space="0" w:color="auto"/>
              <w:bottom w:val="single" w:sz="4" w:space="0" w:color="auto"/>
              <w:right w:val="single" w:sz="4" w:space="0" w:color="auto"/>
            </w:tcBorders>
            <w:vAlign w:val="center"/>
          </w:tcPr>
          <w:p w14:paraId="40216A82" w14:textId="77777777" w:rsidR="00DA6EF1" w:rsidRPr="006021DA" w:rsidRDefault="00DA6EF1" w:rsidP="00835F25">
            <w:pPr>
              <w:contextualSpacing/>
              <w:jc w:val="center"/>
              <w:rPr>
                <w:rFonts w:ascii="Arial" w:hAnsi="Arial" w:cs="Arial"/>
                <w:sz w:val="16"/>
                <w:szCs w:val="16"/>
              </w:rPr>
            </w:pPr>
            <w:r>
              <w:rPr>
                <w:rFonts w:ascii="Arial" w:hAnsi="Arial" w:cs="Arial"/>
                <w:sz w:val="16"/>
                <w:szCs w:val="16"/>
              </w:rPr>
              <w:t>$245.436.263</w:t>
            </w:r>
          </w:p>
        </w:tc>
        <w:tc>
          <w:tcPr>
            <w:tcW w:w="1418" w:type="dxa"/>
            <w:tcBorders>
              <w:top w:val="single" w:sz="4" w:space="0" w:color="auto"/>
              <w:left w:val="single" w:sz="4" w:space="0" w:color="auto"/>
              <w:bottom w:val="single" w:sz="4" w:space="0" w:color="auto"/>
              <w:right w:val="single" w:sz="4" w:space="0" w:color="auto"/>
            </w:tcBorders>
            <w:vAlign w:val="center"/>
          </w:tcPr>
          <w:p w14:paraId="5CFFC681" w14:textId="77777777" w:rsidR="00DA6EF1" w:rsidRPr="006021DA" w:rsidRDefault="00DA6EF1" w:rsidP="00835F25">
            <w:pPr>
              <w:contextualSpacing/>
              <w:jc w:val="center"/>
              <w:rPr>
                <w:rFonts w:ascii="Arial" w:hAnsi="Arial" w:cs="Arial"/>
                <w:sz w:val="16"/>
                <w:szCs w:val="16"/>
              </w:rPr>
            </w:pPr>
            <w:r w:rsidRPr="00D323F4">
              <w:rPr>
                <w:rFonts w:ascii="Arial" w:hAnsi="Arial" w:cs="Arial"/>
                <w:sz w:val="16"/>
                <w:szCs w:val="16"/>
              </w:rPr>
              <w:t>$3.574.350.258</w:t>
            </w:r>
          </w:p>
        </w:tc>
        <w:tc>
          <w:tcPr>
            <w:tcW w:w="283" w:type="dxa"/>
            <w:vMerge/>
            <w:tcBorders>
              <w:left w:val="single" w:sz="4" w:space="0" w:color="auto"/>
              <w:right w:val="single" w:sz="4" w:space="0" w:color="auto"/>
            </w:tcBorders>
            <w:vAlign w:val="center"/>
          </w:tcPr>
          <w:p w14:paraId="5B6F356D" w14:textId="77777777" w:rsidR="00DA6EF1" w:rsidRPr="006021DA" w:rsidRDefault="00DA6EF1" w:rsidP="00835F25">
            <w:pPr>
              <w:contextualSpacing/>
              <w:jc w:val="center"/>
              <w:rPr>
                <w:rFonts w:ascii="Arial" w:hAnsi="Arial" w:cs="Arial"/>
                <w:sz w:val="16"/>
                <w:szCs w:val="16"/>
              </w:rPr>
            </w:pPr>
          </w:p>
        </w:tc>
        <w:tc>
          <w:tcPr>
            <w:tcW w:w="3266" w:type="dxa"/>
            <w:gridSpan w:val="3"/>
            <w:vMerge/>
            <w:tcBorders>
              <w:left w:val="single" w:sz="4" w:space="0" w:color="auto"/>
              <w:right w:val="single" w:sz="4" w:space="0" w:color="auto"/>
            </w:tcBorders>
            <w:shd w:val="clear" w:color="auto" w:fill="FFFFFF" w:themeFill="background1"/>
            <w:vAlign w:val="center"/>
          </w:tcPr>
          <w:p w14:paraId="54618C62" w14:textId="77777777" w:rsidR="00DA6EF1" w:rsidRPr="006021DA" w:rsidRDefault="00DA6EF1" w:rsidP="00835F25">
            <w:pPr>
              <w:contextualSpacing/>
              <w:jc w:val="center"/>
              <w:rPr>
                <w:rFonts w:ascii="Arial" w:hAnsi="Arial" w:cs="Arial"/>
                <w:sz w:val="16"/>
                <w:szCs w:val="16"/>
              </w:rPr>
            </w:pPr>
          </w:p>
        </w:tc>
      </w:tr>
      <w:tr w:rsidR="00DA6EF1" w:rsidRPr="006021DA" w14:paraId="5C7BCD73" w14:textId="77777777" w:rsidTr="00D1684D">
        <w:trPr>
          <w:trHeight w:val="300"/>
          <w:jc w:val="center"/>
        </w:trPr>
        <w:tc>
          <w:tcPr>
            <w:tcW w:w="279" w:type="dxa"/>
            <w:tcBorders>
              <w:top w:val="single" w:sz="4" w:space="0" w:color="auto"/>
              <w:left w:val="single" w:sz="4" w:space="0" w:color="auto"/>
              <w:bottom w:val="single" w:sz="4" w:space="0" w:color="auto"/>
              <w:right w:val="single" w:sz="4" w:space="0" w:color="auto"/>
            </w:tcBorders>
            <w:vAlign w:val="center"/>
          </w:tcPr>
          <w:p w14:paraId="4680CE07" w14:textId="77777777" w:rsidR="00DA6EF1" w:rsidRPr="006021DA" w:rsidRDefault="00DA6EF1"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566CC96B" w14:textId="77777777" w:rsidR="00DA6EF1" w:rsidRPr="006021DA" w:rsidRDefault="00DA6EF1" w:rsidP="00835F25">
            <w:pPr>
              <w:contextualSpacing/>
              <w:rPr>
                <w:rFonts w:ascii="Arial" w:hAnsi="Arial" w:cs="Arial"/>
                <w:sz w:val="16"/>
                <w:szCs w:val="16"/>
              </w:rPr>
            </w:pPr>
            <w:r w:rsidRPr="006021DA">
              <w:rPr>
                <w:rFonts w:ascii="Arial" w:eastAsia="Arial" w:hAnsi="Arial" w:cs="Arial"/>
                <w:sz w:val="16"/>
                <w:szCs w:val="16"/>
              </w:rPr>
              <w:t>Cuentas por pagar</w:t>
            </w:r>
          </w:p>
        </w:tc>
        <w:tc>
          <w:tcPr>
            <w:tcW w:w="1470" w:type="dxa"/>
            <w:tcBorders>
              <w:top w:val="single" w:sz="4" w:space="0" w:color="auto"/>
              <w:left w:val="single" w:sz="4" w:space="0" w:color="auto"/>
              <w:bottom w:val="single" w:sz="4" w:space="0" w:color="auto"/>
              <w:right w:val="single" w:sz="4" w:space="0" w:color="auto"/>
            </w:tcBorders>
            <w:vAlign w:val="center"/>
          </w:tcPr>
          <w:p w14:paraId="2677F6C6" w14:textId="77777777" w:rsidR="00DA6EF1" w:rsidRPr="006021DA" w:rsidRDefault="00DA6EF1" w:rsidP="00835F25">
            <w:pPr>
              <w:contextualSpacing/>
              <w:jc w:val="center"/>
              <w:rPr>
                <w:rFonts w:ascii="Arial" w:hAnsi="Arial" w:cs="Arial"/>
                <w:sz w:val="16"/>
                <w:szCs w:val="16"/>
              </w:rPr>
            </w:pPr>
            <w:r>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vAlign w:val="center"/>
          </w:tcPr>
          <w:p w14:paraId="6342C8CB" w14:textId="77777777" w:rsidR="00DA6EF1" w:rsidRPr="006021DA" w:rsidRDefault="00DA6EF1" w:rsidP="00835F25">
            <w:pPr>
              <w:contextualSpacing/>
              <w:jc w:val="center"/>
              <w:rPr>
                <w:rFonts w:ascii="Arial" w:hAnsi="Arial" w:cs="Arial"/>
                <w:sz w:val="16"/>
                <w:szCs w:val="16"/>
              </w:rPr>
            </w:pPr>
            <w:r>
              <w:rPr>
                <w:rFonts w:ascii="Arial" w:hAnsi="Arial" w:cs="Arial"/>
                <w:sz w:val="16"/>
                <w:szCs w:val="16"/>
              </w:rPr>
              <w:t>$0</w:t>
            </w:r>
          </w:p>
        </w:tc>
        <w:tc>
          <w:tcPr>
            <w:tcW w:w="283" w:type="dxa"/>
            <w:vMerge/>
            <w:tcBorders>
              <w:left w:val="single" w:sz="4" w:space="0" w:color="auto"/>
              <w:right w:val="single" w:sz="4" w:space="0" w:color="auto"/>
            </w:tcBorders>
            <w:vAlign w:val="center"/>
          </w:tcPr>
          <w:p w14:paraId="141DFCCC" w14:textId="77777777" w:rsidR="00DA6EF1" w:rsidRPr="006021DA" w:rsidRDefault="00DA6EF1" w:rsidP="00835F25">
            <w:pPr>
              <w:contextualSpacing/>
              <w:jc w:val="center"/>
              <w:rPr>
                <w:rFonts w:ascii="Arial" w:hAnsi="Arial" w:cs="Arial"/>
                <w:sz w:val="16"/>
                <w:szCs w:val="16"/>
              </w:rPr>
            </w:pPr>
          </w:p>
        </w:tc>
        <w:tc>
          <w:tcPr>
            <w:tcW w:w="3266" w:type="dxa"/>
            <w:gridSpan w:val="3"/>
            <w:vMerge/>
            <w:tcBorders>
              <w:left w:val="single" w:sz="4" w:space="0" w:color="auto"/>
              <w:right w:val="single" w:sz="4" w:space="0" w:color="auto"/>
            </w:tcBorders>
            <w:shd w:val="clear" w:color="auto" w:fill="FFFFFF" w:themeFill="background1"/>
            <w:vAlign w:val="center"/>
          </w:tcPr>
          <w:p w14:paraId="5D77EAE9" w14:textId="77777777" w:rsidR="00DA6EF1" w:rsidRPr="006021DA" w:rsidRDefault="00DA6EF1" w:rsidP="00835F25">
            <w:pPr>
              <w:contextualSpacing/>
              <w:jc w:val="center"/>
              <w:rPr>
                <w:rFonts w:ascii="Arial" w:hAnsi="Arial" w:cs="Arial"/>
                <w:sz w:val="16"/>
                <w:szCs w:val="16"/>
              </w:rPr>
            </w:pPr>
          </w:p>
        </w:tc>
      </w:tr>
      <w:tr w:rsidR="00DA6EF1" w:rsidRPr="006021DA" w14:paraId="01098B6E" w14:textId="77777777" w:rsidTr="00D1684D">
        <w:trPr>
          <w:trHeight w:val="390"/>
          <w:jc w:val="center"/>
        </w:trPr>
        <w:tc>
          <w:tcPr>
            <w:tcW w:w="279" w:type="dxa"/>
            <w:tcBorders>
              <w:top w:val="single" w:sz="4" w:space="0" w:color="auto"/>
              <w:left w:val="single" w:sz="4" w:space="0" w:color="auto"/>
              <w:bottom w:val="single" w:sz="4" w:space="0" w:color="auto"/>
              <w:right w:val="single" w:sz="4" w:space="0" w:color="auto"/>
            </w:tcBorders>
            <w:vAlign w:val="center"/>
          </w:tcPr>
          <w:p w14:paraId="1485A8B2" w14:textId="77777777" w:rsidR="00DA6EF1" w:rsidRPr="006021DA" w:rsidRDefault="00DA6EF1" w:rsidP="00835F25">
            <w:pPr>
              <w:contextualSpacing/>
              <w:jc w:val="center"/>
              <w:rPr>
                <w:rFonts w:ascii="Arial" w:hAnsi="Arial" w:cs="Arial"/>
                <w:sz w:val="16"/>
                <w:szCs w:val="16"/>
              </w:rPr>
            </w:pPr>
          </w:p>
        </w:tc>
        <w:tc>
          <w:tcPr>
            <w:tcW w:w="2924" w:type="dxa"/>
            <w:gridSpan w:val="2"/>
            <w:tcBorders>
              <w:top w:val="single" w:sz="4" w:space="0" w:color="auto"/>
              <w:left w:val="single" w:sz="4" w:space="0" w:color="auto"/>
              <w:bottom w:val="single" w:sz="4" w:space="0" w:color="auto"/>
              <w:right w:val="single" w:sz="4" w:space="0" w:color="auto"/>
            </w:tcBorders>
            <w:vAlign w:val="center"/>
          </w:tcPr>
          <w:p w14:paraId="66A56810" w14:textId="77777777" w:rsidR="00DA6EF1" w:rsidRPr="006021DA" w:rsidRDefault="00DA6EF1" w:rsidP="00835F25">
            <w:pPr>
              <w:contextualSpacing/>
              <w:rPr>
                <w:rFonts w:ascii="Arial" w:hAnsi="Arial" w:cs="Arial"/>
                <w:sz w:val="16"/>
                <w:szCs w:val="16"/>
              </w:rPr>
            </w:pPr>
            <w:r w:rsidRPr="006021DA">
              <w:rPr>
                <w:rFonts w:ascii="Arial" w:eastAsia="Arial" w:hAnsi="Arial" w:cs="Arial"/>
                <w:sz w:val="16"/>
                <w:szCs w:val="16"/>
              </w:rPr>
              <w:t>Saldo en caja y bancos</w:t>
            </w:r>
          </w:p>
        </w:tc>
        <w:tc>
          <w:tcPr>
            <w:tcW w:w="1470" w:type="dxa"/>
            <w:tcBorders>
              <w:top w:val="single" w:sz="4" w:space="0" w:color="auto"/>
              <w:left w:val="single" w:sz="4" w:space="0" w:color="auto"/>
              <w:bottom w:val="single" w:sz="4" w:space="0" w:color="auto"/>
              <w:right w:val="single" w:sz="4" w:space="0" w:color="auto"/>
            </w:tcBorders>
            <w:vAlign w:val="center"/>
          </w:tcPr>
          <w:p w14:paraId="72961EE0" w14:textId="77777777" w:rsidR="00DA6EF1" w:rsidRPr="006021DA" w:rsidRDefault="00DA6EF1" w:rsidP="00835F25">
            <w:pPr>
              <w:contextualSpacing/>
              <w:jc w:val="center"/>
              <w:rPr>
                <w:rFonts w:ascii="Arial" w:hAnsi="Arial" w:cs="Arial"/>
                <w:sz w:val="16"/>
                <w:szCs w:val="16"/>
              </w:rPr>
            </w:pPr>
            <w:r>
              <w:rPr>
                <w:rFonts w:ascii="Arial" w:hAnsi="Arial" w:cs="Arial"/>
                <w:sz w:val="16"/>
                <w:szCs w:val="16"/>
              </w:rPr>
              <w:t>$371.407.927</w:t>
            </w:r>
          </w:p>
        </w:tc>
        <w:tc>
          <w:tcPr>
            <w:tcW w:w="1418" w:type="dxa"/>
            <w:tcBorders>
              <w:top w:val="single" w:sz="4" w:space="0" w:color="auto"/>
              <w:left w:val="single" w:sz="4" w:space="0" w:color="auto"/>
              <w:bottom w:val="single" w:sz="4" w:space="0" w:color="auto"/>
              <w:right w:val="single" w:sz="4" w:space="0" w:color="auto"/>
            </w:tcBorders>
            <w:vAlign w:val="center"/>
          </w:tcPr>
          <w:p w14:paraId="042B7B41" w14:textId="77777777" w:rsidR="00DA6EF1" w:rsidRPr="006021DA" w:rsidRDefault="00DA6EF1" w:rsidP="00835F25">
            <w:pPr>
              <w:contextualSpacing/>
              <w:jc w:val="center"/>
              <w:rPr>
                <w:rFonts w:ascii="Arial" w:hAnsi="Arial" w:cs="Arial"/>
                <w:sz w:val="16"/>
                <w:szCs w:val="16"/>
              </w:rPr>
            </w:pPr>
            <w:r w:rsidRPr="005267D4">
              <w:rPr>
                <w:rFonts w:ascii="Arial" w:hAnsi="Arial" w:cs="Arial"/>
                <w:sz w:val="16"/>
                <w:szCs w:val="16"/>
              </w:rPr>
              <w:t>$17.299.588</w:t>
            </w:r>
          </w:p>
        </w:tc>
        <w:tc>
          <w:tcPr>
            <w:tcW w:w="283" w:type="dxa"/>
            <w:vMerge/>
            <w:tcBorders>
              <w:left w:val="single" w:sz="4" w:space="0" w:color="auto"/>
              <w:bottom w:val="single" w:sz="4" w:space="0" w:color="auto"/>
              <w:right w:val="single" w:sz="4" w:space="0" w:color="auto"/>
            </w:tcBorders>
            <w:vAlign w:val="center"/>
          </w:tcPr>
          <w:p w14:paraId="1324141B" w14:textId="77777777" w:rsidR="00DA6EF1" w:rsidRPr="006021DA" w:rsidRDefault="00DA6EF1" w:rsidP="00835F25">
            <w:pPr>
              <w:contextualSpacing/>
              <w:jc w:val="center"/>
              <w:rPr>
                <w:rFonts w:ascii="Arial" w:hAnsi="Arial" w:cs="Arial"/>
                <w:sz w:val="16"/>
                <w:szCs w:val="16"/>
              </w:rPr>
            </w:pPr>
          </w:p>
        </w:tc>
        <w:tc>
          <w:tcPr>
            <w:tcW w:w="3266" w:type="dxa"/>
            <w:gridSpan w:val="3"/>
            <w:vMerge/>
            <w:tcBorders>
              <w:left w:val="single" w:sz="4" w:space="0" w:color="auto"/>
              <w:bottom w:val="single" w:sz="0" w:space="0" w:color="auto"/>
              <w:right w:val="single" w:sz="4" w:space="0" w:color="auto"/>
            </w:tcBorders>
            <w:shd w:val="clear" w:color="auto" w:fill="FFFFFF" w:themeFill="background1"/>
            <w:vAlign w:val="center"/>
          </w:tcPr>
          <w:p w14:paraId="6A23F8B8" w14:textId="77777777" w:rsidR="00DA6EF1" w:rsidRPr="006021DA" w:rsidRDefault="00DA6EF1" w:rsidP="00835F25">
            <w:pPr>
              <w:contextualSpacing/>
              <w:jc w:val="center"/>
              <w:rPr>
                <w:rFonts w:ascii="Arial" w:hAnsi="Arial" w:cs="Arial"/>
                <w:sz w:val="16"/>
                <w:szCs w:val="16"/>
              </w:rPr>
            </w:pPr>
          </w:p>
        </w:tc>
      </w:tr>
    </w:tbl>
    <w:p w14:paraId="6636B39B" w14:textId="77777777" w:rsidR="00606169" w:rsidRPr="006021DA" w:rsidRDefault="00606169" w:rsidP="00835F25">
      <w:pPr>
        <w:pStyle w:val="Sinespaciado"/>
        <w:contextualSpacing/>
        <w:jc w:val="center"/>
        <w:rPr>
          <w:rFonts w:ascii="Arial" w:eastAsia="Arial" w:hAnsi="Arial" w:cs="Arial"/>
          <w:sz w:val="16"/>
          <w:szCs w:val="16"/>
        </w:rPr>
      </w:pPr>
      <w:r w:rsidRPr="006021DA">
        <w:rPr>
          <w:rFonts w:ascii="Arial" w:eastAsia="Arial" w:hAnsi="Arial" w:cs="Arial"/>
          <w:sz w:val="16"/>
          <w:szCs w:val="16"/>
        </w:rPr>
        <w:t xml:space="preserve">Fuente: Elaboración DAF con base en </w:t>
      </w:r>
      <w:r w:rsidR="00310D05" w:rsidRPr="006021DA">
        <w:rPr>
          <w:rFonts w:ascii="Arial" w:eastAsia="Arial" w:hAnsi="Arial" w:cs="Arial"/>
          <w:sz w:val="16"/>
          <w:szCs w:val="16"/>
        </w:rPr>
        <w:t>e</w:t>
      </w:r>
      <w:r w:rsidRPr="006021DA">
        <w:rPr>
          <w:rFonts w:ascii="Arial" w:eastAsia="Arial" w:hAnsi="Arial" w:cs="Arial"/>
          <w:sz w:val="16"/>
          <w:szCs w:val="16"/>
        </w:rPr>
        <w:t xml:space="preserve">jecuciones </w:t>
      </w:r>
      <w:r w:rsidR="00310D05" w:rsidRPr="006021DA">
        <w:rPr>
          <w:rFonts w:ascii="Arial" w:eastAsia="Arial" w:hAnsi="Arial" w:cs="Arial"/>
          <w:sz w:val="16"/>
          <w:szCs w:val="16"/>
        </w:rPr>
        <w:t>p</w:t>
      </w:r>
      <w:r w:rsidRPr="006021DA">
        <w:rPr>
          <w:rFonts w:ascii="Arial" w:eastAsia="Arial" w:hAnsi="Arial" w:cs="Arial"/>
          <w:sz w:val="16"/>
          <w:szCs w:val="16"/>
        </w:rPr>
        <w:t>resupuestales y el reporte FUT.</w:t>
      </w:r>
    </w:p>
    <w:p w14:paraId="5B952770" w14:textId="77777777" w:rsidR="00606169" w:rsidRPr="006021DA" w:rsidRDefault="00606169" w:rsidP="00835F25">
      <w:pPr>
        <w:pStyle w:val="Sinespaciado"/>
        <w:contextualSpacing/>
        <w:jc w:val="center"/>
        <w:rPr>
          <w:rFonts w:ascii="Arial" w:eastAsia="Arial" w:hAnsi="Arial" w:cs="Arial"/>
          <w:sz w:val="16"/>
          <w:szCs w:val="16"/>
        </w:rPr>
      </w:pPr>
      <w:r w:rsidRPr="006021DA">
        <w:rPr>
          <w:rFonts w:ascii="Arial" w:eastAsia="Arial" w:hAnsi="Arial" w:cs="Arial"/>
          <w:sz w:val="16"/>
          <w:szCs w:val="16"/>
        </w:rPr>
        <w:t xml:space="preserve">* Información obtenida en el ejercicio presupuestal con base en las ejecuciones presupuestales. </w:t>
      </w:r>
    </w:p>
    <w:p w14:paraId="0416C8BC" w14:textId="77777777" w:rsidR="00606169" w:rsidRPr="006021DA" w:rsidRDefault="00606169" w:rsidP="00835F25">
      <w:pPr>
        <w:pStyle w:val="Sinespaciado"/>
        <w:contextualSpacing/>
        <w:jc w:val="center"/>
        <w:rPr>
          <w:rFonts w:ascii="Arial" w:eastAsia="Arial" w:hAnsi="Arial" w:cs="Arial"/>
          <w:sz w:val="16"/>
          <w:szCs w:val="16"/>
        </w:rPr>
      </w:pPr>
      <w:r w:rsidRPr="006021DA">
        <w:rPr>
          <w:rFonts w:ascii="Arial" w:eastAsia="Arial" w:hAnsi="Arial" w:cs="Arial"/>
          <w:sz w:val="16"/>
          <w:szCs w:val="16"/>
        </w:rPr>
        <w:t>** Categoría de Cierre Fiscal del FUT.</w:t>
      </w:r>
    </w:p>
    <w:p w14:paraId="791F8DFD" w14:textId="77777777" w:rsidR="00606169" w:rsidRPr="006021DA" w:rsidRDefault="00606169" w:rsidP="00835F25">
      <w:pPr>
        <w:contextualSpacing/>
        <w:jc w:val="both"/>
        <w:rPr>
          <w:rFonts w:ascii="Arial" w:hAnsi="Arial" w:cs="Arial"/>
          <w:sz w:val="22"/>
          <w:szCs w:val="22"/>
          <w:lang w:val="es-CO" w:eastAsia="en-US"/>
        </w:rPr>
      </w:pPr>
    </w:p>
    <w:p w14:paraId="4A971DDE" w14:textId="77777777" w:rsidR="00DA6EF1" w:rsidRPr="006021DA" w:rsidRDefault="00DA6EF1" w:rsidP="00835F25">
      <w:pPr>
        <w:pStyle w:val="Prrafodelista"/>
        <w:numPr>
          <w:ilvl w:val="0"/>
          <w:numId w:val="17"/>
        </w:numPr>
        <w:jc w:val="both"/>
        <w:rPr>
          <w:rFonts w:ascii="Arial" w:eastAsia="Arial" w:hAnsi="Arial" w:cs="Arial"/>
          <w:sz w:val="22"/>
          <w:szCs w:val="22"/>
          <w:lang w:val="es-CO" w:eastAsia="en-US"/>
        </w:rPr>
      </w:pPr>
      <w:r w:rsidRPr="006021DA">
        <w:rPr>
          <w:rFonts w:ascii="Arial" w:eastAsia="Calibri" w:hAnsi="Arial" w:cs="Arial"/>
          <w:sz w:val="22"/>
          <w:szCs w:val="22"/>
          <w:lang w:val="es-CO" w:eastAsia="en-US"/>
        </w:rPr>
        <w:t xml:space="preserve">El valor de la Categoría de Cierre Fiscal del FUT no guarda coherencia con el ejercicio aritmético de la ejecución presupuestal, toda vez que en el valor del </w:t>
      </w:r>
      <w:r w:rsidR="00633218">
        <w:rPr>
          <w:rFonts w:ascii="Arial" w:eastAsia="Calibri" w:hAnsi="Arial" w:cs="Arial"/>
          <w:sz w:val="22"/>
          <w:szCs w:val="22"/>
          <w:lang w:val="es-CO" w:eastAsia="en-US"/>
        </w:rPr>
        <w:t>c</w:t>
      </w:r>
      <w:r w:rsidRPr="006021DA">
        <w:rPr>
          <w:rFonts w:ascii="Arial" w:eastAsia="Calibri" w:hAnsi="Arial" w:cs="Arial"/>
          <w:sz w:val="22"/>
          <w:szCs w:val="22"/>
          <w:lang w:val="es-CO" w:eastAsia="en-US"/>
        </w:rPr>
        <w:t>ierre del formulario FUT, incluye todas las fuentes de financiación desde la entrada en rigor de la Resolución 2248 de 2018</w:t>
      </w:r>
      <w:r w:rsidRPr="006021DA">
        <w:rPr>
          <w:rStyle w:val="Refdenotaalpie"/>
          <w:rFonts w:ascii="Arial" w:eastAsia="Calibri" w:hAnsi="Arial" w:cs="Arial"/>
          <w:sz w:val="22"/>
          <w:szCs w:val="22"/>
          <w:lang w:val="es-CO" w:eastAsia="en-US"/>
        </w:rPr>
        <w:footnoteReference w:id="3"/>
      </w:r>
      <w:r w:rsidRPr="006021DA">
        <w:rPr>
          <w:rFonts w:ascii="Arial" w:eastAsia="Calibri" w:hAnsi="Arial" w:cs="Arial"/>
          <w:sz w:val="22"/>
          <w:szCs w:val="22"/>
          <w:lang w:val="es-CO" w:eastAsia="en-US"/>
        </w:rPr>
        <w:t>, mientas la ejecución solo tiene en cuenta la fuente de</w:t>
      </w:r>
      <w:r w:rsidR="00E35C68">
        <w:rPr>
          <w:rFonts w:ascii="Arial" w:eastAsia="Calibri" w:hAnsi="Arial" w:cs="Arial"/>
          <w:sz w:val="22"/>
          <w:szCs w:val="22"/>
          <w:lang w:val="es-CO" w:eastAsia="en-US"/>
        </w:rPr>
        <w:t xml:space="preserve"> la</w:t>
      </w:r>
      <w:r w:rsidRPr="006021DA">
        <w:rPr>
          <w:rFonts w:ascii="Arial" w:eastAsia="Calibri" w:hAnsi="Arial" w:cs="Arial"/>
          <w:sz w:val="22"/>
          <w:szCs w:val="22"/>
          <w:lang w:val="es-CO" w:eastAsia="en-US"/>
        </w:rPr>
        <w:t xml:space="preserve"> AESGPAE.</w:t>
      </w:r>
    </w:p>
    <w:p w14:paraId="2261AA56" w14:textId="77777777" w:rsidR="00DA6EF1" w:rsidRPr="00DA6EF1" w:rsidRDefault="00DA6EF1" w:rsidP="00835F25">
      <w:pPr>
        <w:ind w:left="360"/>
        <w:contextualSpacing/>
        <w:jc w:val="both"/>
        <w:rPr>
          <w:rFonts w:ascii="Arial" w:eastAsia="Arial" w:hAnsi="Arial" w:cs="Arial"/>
          <w:sz w:val="22"/>
          <w:szCs w:val="22"/>
          <w:lang w:val="es-CO" w:eastAsia="en-US"/>
        </w:rPr>
      </w:pPr>
    </w:p>
    <w:p w14:paraId="17D0732C" w14:textId="77777777" w:rsidR="00406FA6" w:rsidRPr="00C12368" w:rsidRDefault="009A530D" w:rsidP="00835F25">
      <w:pPr>
        <w:pStyle w:val="Prrafodelista"/>
        <w:numPr>
          <w:ilvl w:val="0"/>
          <w:numId w:val="17"/>
        </w:numPr>
        <w:jc w:val="both"/>
        <w:rPr>
          <w:rFonts w:ascii="Arial" w:eastAsia="Arial" w:hAnsi="Arial" w:cs="Arial"/>
          <w:sz w:val="22"/>
          <w:szCs w:val="22"/>
          <w:lang w:val="es-CO" w:eastAsia="en-US"/>
        </w:rPr>
      </w:pPr>
      <w:r>
        <w:rPr>
          <w:rFonts w:ascii="Arial" w:eastAsia="Calibri" w:hAnsi="Arial" w:cs="Arial"/>
          <w:sz w:val="22"/>
          <w:szCs w:val="22"/>
          <w:lang w:val="es-CO" w:eastAsia="en-US"/>
        </w:rPr>
        <w:t xml:space="preserve">En cuanto al valor </w:t>
      </w:r>
      <w:r w:rsidR="00200AE4">
        <w:rPr>
          <w:rFonts w:ascii="Arial" w:eastAsia="Calibri" w:hAnsi="Arial" w:cs="Arial"/>
          <w:sz w:val="22"/>
          <w:szCs w:val="22"/>
          <w:lang w:val="es-CO" w:eastAsia="en-US"/>
        </w:rPr>
        <w:t xml:space="preserve">recaudado tanto en la </w:t>
      </w:r>
      <w:r w:rsidR="00D568E0">
        <w:rPr>
          <w:rFonts w:ascii="Arial" w:eastAsia="Calibri" w:hAnsi="Arial" w:cs="Arial"/>
          <w:sz w:val="22"/>
          <w:szCs w:val="22"/>
          <w:lang w:val="es-CO" w:eastAsia="en-US"/>
        </w:rPr>
        <w:t>e</w:t>
      </w:r>
      <w:r w:rsidR="00200AE4">
        <w:rPr>
          <w:rFonts w:ascii="Arial" w:eastAsia="Calibri" w:hAnsi="Arial" w:cs="Arial"/>
          <w:sz w:val="22"/>
          <w:szCs w:val="22"/>
          <w:lang w:val="es-CO" w:eastAsia="en-US"/>
        </w:rPr>
        <w:t xml:space="preserve">jecución </w:t>
      </w:r>
      <w:r w:rsidR="00D568E0">
        <w:rPr>
          <w:rFonts w:ascii="Arial" w:eastAsia="Calibri" w:hAnsi="Arial" w:cs="Arial"/>
          <w:sz w:val="22"/>
          <w:szCs w:val="22"/>
          <w:lang w:val="es-CO" w:eastAsia="en-US"/>
        </w:rPr>
        <w:t>p</w:t>
      </w:r>
      <w:r w:rsidR="00200AE4">
        <w:rPr>
          <w:rFonts w:ascii="Arial" w:eastAsia="Calibri" w:hAnsi="Arial" w:cs="Arial"/>
          <w:sz w:val="22"/>
          <w:szCs w:val="22"/>
          <w:lang w:val="es-CO" w:eastAsia="en-US"/>
        </w:rPr>
        <w:t xml:space="preserve">resupuestal de </w:t>
      </w:r>
      <w:r w:rsidR="00D568E0">
        <w:rPr>
          <w:rFonts w:ascii="Arial" w:eastAsia="Calibri" w:hAnsi="Arial" w:cs="Arial"/>
          <w:sz w:val="22"/>
          <w:szCs w:val="22"/>
          <w:lang w:val="es-CO" w:eastAsia="en-US"/>
        </w:rPr>
        <w:t>i</w:t>
      </w:r>
      <w:r w:rsidR="00200AE4">
        <w:rPr>
          <w:rFonts w:ascii="Arial" w:eastAsia="Calibri" w:hAnsi="Arial" w:cs="Arial"/>
          <w:sz w:val="22"/>
          <w:szCs w:val="22"/>
          <w:lang w:val="es-CO" w:eastAsia="en-US"/>
        </w:rPr>
        <w:t>ngresos como en la Categoría CUIPO</w:t>
      </w:r>
      <w:r w:rsidR="00366795">
        <w:rPr>
          <w:rStyle w:val="Refdenotaalpie"/>
          <w:rFonts w:ascii="Arial" w:eastAsia="Calibri" w:hAnsi="Arial" w:cs="Arial"/>
          <w:sz w:val="22"/>
          <w:szCs w:val="22"/>
          <w:lang w:val="es-CO" w:eastAsia="en-US"/>
        </w:rPr>
        <w:footnoteReference w:id="4"/>
      </w:r>
      <w:r w:rsidR="00200AE4">
        <w:rPr>
          <w:rFonts w:ascii="Arial" w:eastAsia="Calibri" w:hAnsi="Arial" w:cs="Arial"/>
          <w:sz w:val="22"/>
          <w:szCs w:val="22"/>
          <w:lang w:val="es-CO" w:eastAsia="en-US"/>
        </w:rPr>
        <w:t xml:space="preserve"> – Ejecución Ingresos con corte a marzo 31 de 2022, </w:t>
      </w:r>
      <w:r w:rsidR="004543E8">
        <w:rPr>
          <w:rFonts w:ascii="Arial" w:eastAsia="Calibri" w:hAnsi="Arial" w:cs="Arial"/>
          <w:sz w:val="22"/>
          <w:szCs w:val="22"/>
          <w:lang w:val="es-CO" w:eastAsia="en-US"/>
        </w:rPr>
        <w:t>no coincide con los giros que realizó el Ministerio de Hacienda y Crédito Público durante los primero tres (</w:t>
      </w:r>
      <w:r w:rsidR="00626179">
        <w:rPr>
          <w:rFonts w:ascii="Arial" w:eastAsia="Calibri" w:hAnsi="Arial" w:cs="Arial"/>
          <w:sz w:val="22"/>
          <w:szCs w:val="22"/>
          <w:lang w:val="es-CO" w:eastAsia="en-US"/>
        </w:rPr>
        <w:t>3) meses de la vigencia, los cuales asciende</w:t>
      </w:r>
      <w:r w:rsidR="00764D3F">
        <w:rPr>
          <w:rFonts w:ascii="Arial" w:eastAsia="Calibri" w:hAnsi="Arial" w:cs="Arial"/>
          <w:sz w:val="22"/>
          <w:szCs w:val="22"/>
          <w:lang w:val="es-CO" w:eastAsia="en-US"/>
        </w:rPr>
        <w:t>n</w:t>
      </w:r>
      <w:r w:rsidR="00626179">
        <w:rPr>
          <w:rFonts w:ascii="Arial" w:eastAsia="Calibri" w:hAnsi="Arial" w:cs="Arial"/>
          <w:sz w:val="22"/>
          <w:szCs w:val="22"/>
          <w:lang w:val="es-CO" w:eastAsia="en-US"/>
        </w:rPr>
        <w:t xml:space="preserve"> a $</w:t>
      </w:r>
      <w:r w:rsidR="00865FE7">
        <w:rPr>
          <w:rFonts w:ascii="Arial" w:eastAsia="Calibri" w:hAnsi="Arial" w:cs="Arial"/>
          <w:sz w:val="22"/>
          <w:szCs w:val="22"/>
          <w:lang w:val="es-CO" w:eastAsia="en-US"/>
        </w:rPr>
        <w:t>928.887.524</w:t>
      </w:r>
      <w:r w:rsidR="000308B7">
        <w:rPr>
          <w:rFonts w:ascii="Arial" w:eastAsia="Calibri" w:hAnsi="Arial" w:cs="Arial"/>
          <w:sz w:val="22"/>
          <w:szCs w:val="22"/>
          <w:lang w:val="es-CO" w:eastAsia="en-US"/>
        </w:rPr>
        <w:t>;</w:t>
      </w:r>
      <w:r w:rsidR="00865FE7">
        <w:rPr>
          <w:rFonts w:ascii="Arial" w:eastAsia="Calibri" w:hAnsi="Arial" w:cs="Arial"/>
          <w:sz w:val="22"/>
          <w:szCs w:val="22"/>
          <w:lang w:val="es-CO" w:eastAsia="en-US"/>
        </w:rPr>
        <w:t xml:space="preserve"> es decir, </w:t>
      </w:r>
      <w:r w:rsidR="00D876EE">
        <w:rPr>
          <w:rFonts w:ascii="Arial" w:eastAsia="Calibri" w:hAnsi="Arial" w:cs="Arial"/>
          <w:sz w:val="22"/>
          <w:szCs w:val="22"/>
          <w:lang w:val="es-CO" w:eastAsia="en-US"/>
        </w:rPr>
        <w:t xml:space="preserve">la Entidad </w:t>
      </w:r>
      <w:r w:rsidR="00D876EE">
        <w:rPr>
          <w:rFonts w:ascii="Arial" w:eastAsia="Calibri" w:hAnsi="Arial" w:cs="Arial"/>
          <w:sz w:val="22"/>
          <w:szCs w:val="22"/>
          <w:lang w:val="es-CO" w:eastAsia="en-US"/>
        </w:rPr>
        <w:lastRenderedPageBreak/>
        <w:t xml:space="preserve">Territorial omitió reportar el </w:t>
      </w:r>
      <w:r w:rsidR="00A44619">
        <w:rPr>
          <w:rFonts w:ascii="Arial" w:eastAsia="Calibri" w:hAnsi="Arial" w:cs="Arial"/>
          <w:sz w:val="22"/>
          <w:szCs w:val="22"/>
          <w:lang w:val="es-CO" w:eastAsia="en-US"/>
        </w:rPr>
        <w:t>recaudo</w:t>
      </w:r>
      <w:r w:rsidR="00D876EE">
        <w:rPr>
          <w:rFonts w:ascii="Arial" w:eastAsia="Calibri" w:hAnsi="Arial" w:cs="Arial"/>
          <w:sz w:val="22"/>
          <w:szCs w:val="22"/>
          <w:lang w:val="es-CO" w:eastAsia="en-US"/>
        </w:rPr>
        <w:t xml:space="preserve"> por $322.047.895 del </w:t>
      </w:r>
      <w:r w:rsidR="00A44619">
        <w:rPr>
          <w:rFonts w:ascii="Arial" w:eastAsia="Calibri" w:hAnsi="Arial" w:cs="Arial"/>
          <w:sz w:val="22"/>
          <w:szCs w:val="22"/>
          <w:lang w:val="es-CO" w:eastAsia="en-US"/>
        </w:rPr>
        <w:t xml:space="preserve">giro realizado por el Tesoro </w:t>
      </w:r>
      <w:r w:rsidR="00E4539A">
        <w:rPr>
          <w:rFonts w:ascii="Arial" w:eastAsia="Calibri" w:hAnsi="Arial" w:cs="Arial"/>
          <w:sz w:val="22"/>
          <w:szCs w:val="22"/>
          <w:lang w:val="es-CO" w:eastAsia="en-US"/>
        </w:rPr>
        <w:t>Nacional</w:t>
      </w:r>
      <w:r w:rsidR="00A44619">
        <w:rPr>
          <w:rFonts w:ascii="Arial" w:eastAsia="Calibri" w:hAnsi="Arial" w:cs="Arial"/>
          <w:sz w:val="22"/>
          <w:szCs w:val="22"/>
          <w:lang w:val="es-CO" w:eastAsia="en-US"/>
        </w:rPr>
        <w:t xml:space="preserve"> el </w:t>
      </w:r>
      <w:r w:rsidR="005F149E">
        <w:rPr>
          <w:rFonts w:ascii="Arial" w:eastAsia="Calibri" w:hAnsi="Arial" w:cs="Arial"/>
          <w:sz w:val="22"/>
          <w:szCs w:val="22"/>
          <w:lang w:val="es-CO" w:eastAsia="en-US"/>
        </w:rPr>
        <w:t>10 de marzo de 2022.</w:t>
      </w:r>
    </w:p>
    <w:p w14:paraId="32DF0EDD" w14:textId="77777777" w:rsidR="00C12368" w:rsidRPr="00C12368" w:rsidRDefault="00C12368" w:rsidP="00835F25">
      <w:pPr>
        <w:pStyle w:val="Prrafodelista"/>
        <w:rPr>
          <w:rFonts w:ascii="Arial" w:eastAsia="Arial" w:hAnsi="Arial" w:cs="Arial"/>
          <w:sz w:val="22"/>
          <w:szCs w:val="22"/>
          <w:lang w:val="es-CO" w:eastAsia="en-US"/>
        </w:rPr>
      </w:pPr>
    </w:p>
    <w:p w14:paraId="324A10BF" w14:textId="77777777" w:rsidR="00C12368" w:rsidRPr="006021DA" w:rsidRDefault="00C12368" w:rsidP="00835F25">
      <w:pPr>
        <w:pStyle w:val="Prrafodelista"/>
        <w:numPr>
          <w:ilvl w:val="0"/>
          <w:numId w:val="17"/>
        </w:numPr>
        <w:jc w:val="both"/>
        <w:rPr>
          <w:rFonts w:ascii="Arial" w:eastAsia="Arial" w:hAnsi="Arial" w:cs="Arial"/>
          <w:sz w:val="22"/>
          <w:szCs w:val="22"/>
          <w:lang w:val="es-CO" w:eastAsia="en-US"/>
        </w:rPr>
      </w:pPr>
      <w:r>
        <w:rPr>
          <w:rFonts w:ascii="Arial" w:eastAsia="Arial" w:hAnsi="Arial" w:cs="Arial"/>
          <w:sz w:val="22"/>
          <w:szCs w:val="22"/>
          <w:lang w:val="es-CO" w:eastAsia="en-US"/>
        </w:rPr>
        <w:t>La Entidad Territorial no incorpor</w:t>
      </w:r>
      <w:r w:rsidR="00AC2F38">
        <w:rPr>
          <w:rFonts w:ascii="Arial" w:eastAsia="Arial" w:hAnsi="Arial" w:cs="Arial"/>
          <w:sz w:val="22"/>
          <w:szCs w:val="22"/>
          <w:lang w:val="es-CO" w:eastAsia="en-US"/>
        </w:rPr>
        <w:t>ó</w:t>
      </w:r>
      <w:r>
        <w:rPr>
          <w:rFonts w:ascii="Arial" w:eastAsia="Arial" w:hAnsi="Arial" w:cs="Arial"/>
          <w:sz w:val="22"/>
          <w:szCs w:val="22"/>
          <w:lang w:val="es-CO" w:eastAsia="en-US"/>
        </w:rPr>
        <w:t xml:space="preserve"> </w:t>
      </w:r>
      <w:r w:rsidR="009B5F9B">
        <w:rPr>
          <w:rFonts w:ascii="Arial" w:eastAsia="Arial" w:hAnsi="Arial" w:cs="Arial"/>
          <w:sz w:val="22"/>
          <w:szCs w:val="22"/>
          <w:lang w:val="es-CO" w:eastAsia="en-US"/>
        </w:rPr>
        <w:t>los r</w:t>
      </w:r>
      <w:r>
        <w:rPr>
          <w:rFonts w:ascii="Arial" w:eastAsia="Arial" w:hAnsi="Arial" w:cs="Arial"/>
          <w:sz w:val="22"/>
          <w:szCs w:val="22"/>
          <w:lang w:val="es-CO" w:eastAsia="en-US"/>
        </w:rPr>
        <w:t xml:space="preserve">ecursos del </w:t>
      </w:r>
      <w:r w:rsidR="009B5F9B">
        <w:rPr>
          <w:rFonts w:ascii="Arial" w:eastAsia="Arial" w:hAnsi="Arial" w:cs="Arial"/>
          <w:sz w:val="22"/>
          <w:szCs w:val="22"/>
          <w:lang w:val="es-CO" w:eastAsia="en-US"/>
        </w:rPr>
        <w:t>b</w:t>
      </w:r>
      <w:r>
        <w:rPr>
          <w:rFonts w:ascii="Arial" w:eastAsia="Arial" w:hAnsi="Arial" w:cs="Arial"/>
          <w:sz w:val="22"/>
          <w:szCs w:val="22"/>
          <w:lang w:val="es-CO" w:eastAsia="en-US"/>
        </w:rPr>
        <w:t xml:space="preserve">alance por concepto del superávit presupuestal de la vigencia fiscal 2021, </w:t>
      </w:r>
      <w:r w:rsidR="00AC2F38">
        <w:rPr>
          <w:rFonts w:ascii="Arial" w:eastAsia="Arial" w:hAnsi="Arial" w:cs="Arial"/>
          <w:sz w:val="22"/>
          <w:szCs w:val="22"/>
          <w:lang w:val="es-CO" w:eastAsia="en-US"/>
        </w:rPr>
        <w:t>el</w:t>
      </w:r>
      <w:r>
        <w:rPr>
          <w:rFonts w:ascii="Arial" w:eastAsia="Arial" w:hAnsi="Arial" w:cs="Arial"/>
          <w:sz w:val="22"/>
          <w:szCs w:val="22"/>
          <w:lang w:val="es-CO" w:eastAsia="en-US"/>
        </w:rPr>
        <w:t xml:space="preserve"> cual según </w:t>
      </w:r>
      <w:r w:rsidR="006A7E75">
        <w:rPr>
          <w:rFonts w:ascii="Arial" w:eastAsia="Arial" w:hAnsi="Arial" w:cs="Arial"/>
          <w:sz w:val="22"/>
          <w:szCs w:val="22"/>
          <w:lang w:val="es-CO" w:eastAsia="en-US"/>
        </w:rPr>
        <w:t xml:space="preserve">lo </w:t>
      </w:r>
      <w:r>
        <w:rPr>
          <w:rFonts w:ascii="Arial" w:eastAsia="Arial" w:hAnsi="Arial" w:cs="Arial"/>
          <w:sz w:val="22"/>
          <w:szCs w:val="22"/>
          <w:lang w:val="es-CO" w:eastAsia="en-US"/>
        </w:rPr>
        <w:t xml:space="preserve">reportado </w:t>
      </w:r>
      <w:r w:rsidR="00B96914">
        <w:rPr>
          <w:rFonts w:ascii="Arial" w:eastAsia="Arial" w:hAnsi="Arial" w:cs="Arial"/>
          <w:sz w:val="22"/>
          <w:szCs w:val="22"/>
          <w:lang w:val="es-CO" w:eastAsia="en-US"/>
        </w:rPr>
        <w:t xml:space="preserve">en la </w:t>
      </w:r>
      <w:r w:rsidR="00AC2F38">
        <w:rPr>
          <w:rFonts w:ascii="Arial" w:eastAsia="Arial" w:hAnsi="Arial" w:cs="Arial"/>
          <w:sz w:val="22"/>
          <w:szCs w:val="22"/>
          <w:lang w:val="es-CO" w:eastAsia="en-US"/>
        </w:rPr>
        <w:t>C</w:t>
      </w:r>
      <w:r w:rsidR="00B96914">
        <w:rPr>
          <w:rFonts w:ascii="Arial" w:eastAsia="Arial" w:hAnsi="Arial" w:cs="Arial"/>
          <w:sz w:val="22"/>
          <w:szCs w:val="22"/>
          <w:lang w:val="es-CO" w:eastAsia="en-US"/>
        </w:rPr>
        <w:t xml:space="preserve">ategoría Cierre Fiscal del FUT, </w:t>
      </w:r>
      <w:r w:rsidR="00555073">
        <w:rPr>
          <w:rFonts w:ascii="Arial" w:eastAsia="Arial" w:hAnsi="Arial" w:cs="Arial"/>
          <w:sz w:val="22"/>
          <w:szCs w:val="22"/>
          <w:lang w:val="es-CO" w:eastAsia="en-US"/>
        </w:rPr>
        <w:t xml:space="preserve">ascendió </w:t>
      </w:r>
      <w:r w:rsidR="00B96914">
        <w:rPr>
          <w:rFonts w:ascii="Arial" w:eastAsia="Arial" w:hAnsi="Arial" w:cs="Arial"/>
          <w:sz w:val="22"/>
          <w:szCs w:val="22"/>
          <w:lang w:val="es-CO" w:eastAsia="en-US"/>
        </w:rPr>
        <w:t>a $13.725 millones.</w:t>
      </w:r>
    </w:p>
    <w:p w14:paraId="5E714EC5" w14:textId="77777777" w:rsidR="00123DAC" w:rsidRPr="00DA6EF1" w:rsidRDefault="00123DAC" w:rsidP="00835F25">
      <w:pPr>
        <w:ind w:left="360"/>
        <w:contextualSpacing/>
        <w:jc w:val="both"/>
        <w:rPr>
          <w:rFonts w:ascii="Arial" w:eastAsia="Arial" w:hAnsi="Arial" w:cs="Arial"/>
          <w:sz w:val="22"/>
          <w:szCs w:val="22"/>
          <w:lang w:val="es-CO" w:eastAsia="en-US"/>
        </w:rPr>
      </w:pPr>
    </w:p>
    <w:p w14:paraId="3BE7BE2C" w14:textId="77777777" w:rsidR="00992C34" w:rsidRPr="006021DA" w:rsidRDefault="00992C34" w:rsidP="00835F25">
      <w:pPr>
        <w:pStyle w:val="Ttulo2"/>
        <w:spacing w:before="240" w:line="240" w:lineRule="auto"/>
        <w:contextualSpacing/>
        <w:rPr>
          <w:rFonts w:ascii="Arial" w:eastAsia="Arial" w:hAnsi="Arial" w:cs="Arial"/>
          <w:b w:val="0"/>
          <w:bCs/>
          <w:color w:val="auto"/>
          <w:szCs w:val="22"/>
        </w:rPr>
      </w:pPr>
      <w:r w:rsidRPr="006021DA">
        <w:rPr>
          <w:rFonts w:ascii="Arial" w:eastAsia="Arial" w:hAnsi="Arial" w:cs="Arial"/>
          <w:bCs/>
          <w:color w:val="auto"/>
          <w:szCs w:val="22"/>
        </w:rPr>
        <w:t>Cuenta Maestra de 2021.</w:t>
      </w:r>
    </w:p>
    <w:p w14:paraId="44777952" w14:textId="77777777" w:rsidR="00992C34" w:rsidRPr="006021DA" w:rsidRDefault="00992C34" w:rsidP="00835F25">
      <w:pPr>
        <w:contextualSpacing/>
        <w:rPr>
          <w:rFonts w:ascii="Arial" w:hAnsi="Arial" w:cs="Arial"/>
          <w:sz w:val="22"/>
          <w:szCs w:val="22"/>
          <w:lang w:val="es-CO"/>
        </w:rPr>
      </w:pPr>
    </w:p>
    <w:p w14:paraId="367628BD" w14:textId="77777777" w:rsidR="00836C9D" w:rsidRDefault="00992C34" w:rsidP="00835F25">
      <w:pPr>
        <w:spacing w:before="240"/>
        <w:contextualSpacing/>
        <w:jc w:val="both"/>
        <w:rPr>
          <w:rFonts w:ascii="Arial" w:hAnsi="Arial" w:cs="Arial"/>
          <w:sz w:val="22"/>
          <w:szCs w:val="22"/>
          <w:lang w:val="es-CO" w:eastAsia="en-US"/>
        </w:rPr>
      </w:pPr>
      <w:r w:rsidRPr="006021DA">
        <w:rPr>
          <w:rFonts w:ascii="Arial" w:eastAsia="Arial" w:hAnsi="Arial" w:cs="Arial"/>
          <w:sz w:val="22"/>
          <w:szCs w:val="22"/>
          <w:lang w:val="es-CO"/>
        </w:rPr>
        <w:t xml:space="preserve">A continuación, se establece el estado de la Cuenta Maestra </w:t>
      </w:r>
      <w:r w:rsidR="00FD1F8E" w:rsidRPr="006021DA">
        <w:rPr>
          <w:rFonts w:ascii="Arial" w:eastAsia="Arial" w:hAnsi="Arial" w:cs="Arial"/>
          <w:sz w:val="22"/>
          <w:szCs w:val="22"/>
          <w:lang w:val="es-CO"/>
        </w:rPr>
        <w:t>ahorros</w:t>
      </w:r>
      <w:r w:rsidRPr="006021DA">
        <w:rPr>
          <w:rFonts w:ascii="Arial" w:eastAsia="Arial" w:hAnsi="Arial" w:cs="Arial"/>
          <w:sz w:val="22"/>
          <w:szCs w:val="22"/>
          <w:lang w:val="es-CO"/>
        </w:rPr>
        <w:t xml:space="preserve"> No. </w:t>
      </w:r>
      <w:r w:rsidR="001C3324">
        <w:rPr>
          <w:rFonts w:ascii="Arial" w:eastAsia="Arial" w:hAnsi="Arial" w:cs="Arial"/>
          <w:sz w:val="22"/>
          <w:szCs w:val="22"/>
          <w:lang w:val="es-CO"/>
        </w:rPr>
        <w:t>830967626</w:t>
      </w:r>
      <w:r w:rsidRPr="006021DA">
        <w:rPr>
          <w:rFonts w:ascii="Arial" w:eastAsia="Arial" w:hAnsi="Arial" w:cs="Arial"/>
          <w:sz w:val="22"/>
          <w:szCs w:val="22"/>
          <w:lang w:val="es-CO"/>
        </w:rPr>
        <w:t xml:space="preserve"> de </w:t>
      </w:r>
      <w:r w:rsidR="00FD1F8E" w:rsidRPr="006021DA">
        <w:rPr>
          <w:rFonts w:ascii="Arial" w:eastAsia="Arial" w:hAnsi="Arial" w:cs="Arial"/>
          <w:sz w:val="22"/>
          <w:szCs w:val="22"/>
          <w:lang w:val="es-CO"/>
        </w:rPr>
        <w:t xml:space="preserve">Banco de </w:t>
      </w:r>
      <w:r w:rsidR="001C3324">
        <w:rPr>
          <w:rFonts w:ascii="Arial" w:eastAsia="Arial" w:hAnsi="Arial" w:cs="Arial"/>
          <w:sz w:val="22"/>
          <w:szCs w:val="22"/>
          <w:lang w:val="es-CO"/>
        </w:rPr>
        <w:t>Occidente</w:t>
      </w:r>
      <w:r w:rsidR="001C3324">
        <w:rPr>
          <w:rStyle w:val="Refdenotaalpie"/>
          <w:rFonts w:ascii="Arial" w:eastAsia="Arial" w:hAnsi="Arial" w:cs="Arial"/>
          <w:sz w:val="22"/>
          <w:szCs w:val="22"/>
          <w:lang w:val="es-CO"/>
        </w:rPr>
        <w:footnoteReference w:id="5"/>
      </w:r>
      <w:r w:rsidRPr="006021DA">
        <w:rPr>
          <w:rFonts w:ascii="Arial" w:eastAsia="Arial" w:hAnsi="Arial" w:cs="Arial"/>
          <w:sz w:val="22"/>
          <w:szCs w:val="22"/>
          <w:lang w:val="es-CO"/>
        </w:rPr>
        <w:t xml:space="preserve"> del </w:t>
      </w:r>
      <w:r w:rsidR="00FD1F8E" w:rsidRPr="006021DA">
        <w:rPr>
          <w:rFonts w:ascii="Arial" w:eastAsia="Arial" w:hAnsi="Arial" w:cs="Arial"/>
          <w:sz w:val="22"/>
          <w:szCs w:val="22"/>
          <w:lang w:val="es-CO"/>
        </w:rPr>
        <w:t xml:space="preserve">Distrito </w:t>
      </w:r>
      <w:r w:rsidRPr="006021DA">
        <w:rPr>
          <w:rFonts w:ascii="Arial" w:eastAsia="Arial" w:hAnsi="Arial" w:cs="Arial"/>
          <w:sz w:val="22"/>
          <w:szCs w:val="22"/>
          <w:lang w:val="es-CO"/>
        </w:rPr>
        <w:t xml:space="preserve">de </w:t>
      </w:r>
      <w:r w:rsidR="00AC0429">
        <w:rPr>
          <w:rFonts w:ascii="Arial" w:eastAsia="Arial" w:hAnsi="Arial" w:cs="Arial"/>
          <w:sz w:val="22"/>
          <w:szCs w:val="22"/>
          <w:lang w:val="es-CO"/>
        </w:rPr>
        <w:t>Cartagena de Indias - Bolívar</w:t>
      </w:r>
      <w:r w:rsidRPr="006021DA">
        <w:rPr>
          <w:rFonts w:ascii="Arial" w:eastAsia="Arial" w:hAnsi="Arial" w:cs="Arial"/>
          <w:sz w:val="22"/>
          <w:szCs w:val="22"/>
          <w:lang w:val="es-CO"/>
        </w:rPr>
        <w:t xml:space="preserve"> con corte a 3</w:t>
      </w:r>
      <w:r w:rsidR="005D0987" w:rsidRPr="006021DA">
        <w:rPr>
          <w:rFonts w:ascii="Arial" w:eastAsia="Arial" w:hAnsi="Arial" w:cs="Arial"/>
          <w:sz w:val="22"/>
          <w:szCs w:val="22"/>
          <w:lang w:val="es-CO"/>
        </w:rPr>
        <w:t>1</w:t>
      </w:r>
      <w:r w:rsidRPr="006021DA">
        <w:rPr>
          <w:rFonts w:ascii="Arial" w:eastAsia="Arial" w:hAnsi="Arial" w:cs="Arial"/>
          <w:sz w:val="22"/>
          <w:szCs w:val="22"/>
          <w:lang w:val="es-CO"/>
        </w:rPr>
        <w:t xml:space="preserve"> de </w:t>
      </w:r>
      <w:r w:rsidR="001C3324">
        <w:rPr>
          <w:rFonts w:ascii="Arial" w:eastAsia="Arial" w:hAnsi="Arial" w:cs="Arial"/>
          <w:sz w:val="22"/>
          <w:szCs w:val="22"/>
          <w:lang w:val="es-CO"/>
        </w:rPr>
        <w:t>diciembre de</w:t>
      </w:r>
      <w:r w:rsidRPr="006021DA">
        <w:rPr>
          <w:rFonts w:ascii="Arial" w:eastAsia="Arial" w:hAnsi="Arial" w:cs="Arial"/>
          <w:sz w:val="22"/>
          <w:szCs w:val="22"/>
          <w:lang w:val="es-CO"/>
        </w:rPr>
        <w:t xml:space="preserve"> 2021:</w:t>
      </w:r>
    </w:p>
    <w:p w14:paraId="6E05AE5A" w14:textId="77777777" w:rsidR="00836C9D" w:rsidRPr="006021DA" w:rsidRDefault="00836C9D" w:rsidP="00835F25">
      <w:pPr>
        <w:spacing w:before="240"/>
        <w:contextualSpacing/>
        <w:jc w:val="both"/>
        <w:rPr>
          <w:rFonts w:ascii="Arial" w:hAnsi="Arial" w:cs="Arial"/>
          <w:sz w:val="22"/>
          <w:szCs w:val="22"/>
          <w:lang w:val="es-CO" w:eastAsia="en-US"/>
        </w:rPr>
      </w:pPr>
    </w:p>
    <w:p w14:paraId="6AFEAEC6" w14:textId="77777777" w:rsidR="00992C34" w:rsidRPr="007A3FF3" w:rsidRDefault="00992C34" w:rsidP="00835F25">
      <w:pPr>
        <w:keepNext/>
        <w:contextualSpacing/>
        <w:jc w:val="center"/>
        <w:rPr>
          <w:rFonts w:ascii="Arial" w:eastAsia="Calibri" w:hAnsi="Arial" w:cs="Arial"/>
          <w:b/>
          <w:i/>
          <w:iCs/>
          <w:color w:val="1F497D" w:themeColor="text2"/>
          <w:sz w:val="20"/>
          <w:szCs w:val="22"/>
          <w:lang w:val="es-CO" w:eastAsia="en-US"/>
        </w:rPr>
      </w:pPr>
      <w:r w:rsidRPr="007A3FF3">
        <w:rPr>
          <w:rFonts w:ascii="Arial" w:eastAsia="Calibri" w:hAnsi="Arial" w:cs="Arial"/>
          <w:b/>
          <w:i/>
          <w:iCs/>
          <w:color w:val="1F497D" w:themeColor="text2"/>
          <w:sz w:val="20"/>
          <w:szCs w:val="22"/>
          <w:lang w:val="es-CO" w:eastAsia="en-US"/>
        </w:rPr>
        <w:t xml:space="preserve">Tabla </w:t>
      </w:r>
      <w:r w:rsidR="00DB124B" w:rsidRPr="007A3FF3">
        <w:rPr>
          <w:rFonts w:ascii="Arial" w:eastAsia="Calibri" w:hAnsi="Arial" w:cs="Arial"/>
          <w:b/>
          <w:i/>
          <w:iCs/>
          <w:color w:val="1F497D" w:themeColor="text2"/>
          <w:sz w:val="20"/>
          <w:szCs w:val="22"/>
          <w:lang w:val="es-CO" w:eastAsia="en-US"/>
        </w:rPr>
        <w:t xml:space="preserve">No. </w:t>
      </w:r>
      <w:r w:rsidR="00EE0320" w:rsidRPr="00980ED4">
        <w:rPr>
          <w:rFonts w:ascii="Arial" w:hAnsi="Arial" w:cs="Arial"/>
          <w:b/>
          <w:bCs/>
          <w:color w:val="1F497D" w:themeColor="text2"/>
          <w:sz w:val="20"/>
          <w:szCs w:val="20"/>
        </w:rPr>
        <w:fldChar w:fldCharType="begin"/>
      </w:r>
      <w:r w:rsidR="00EE0320" w:rsidRPr="00980ED4">
        <w:rPr>
          <w:rFonts w:ascii="Arial" w:hAnsi="Arial" w:cs="Arial"/>
          <w:b/>
          <w:bCs/>
          <w:color w:val="1F497D" w:themeColor="text2"/>
          <w:sz w:val="20"/>
          <w:szCs w:val="20"/>
        </w:rPr>
        <w:instrText xml:space="preserve"> SEQ Ilustración \* ARABIC </w:instrText>
      </w:r>
      <w:r w:rsidR="00EE0320" w:rsidRPr="00980ED4">
        <w:rPr>
          <w:rFonts w:ascii="Arial" w:hAnsi="Arial" w:cs="Arial"/>
          <w:b/>
          <w:bCs/>
          <w:color w:val="1F497D" w:themeColor="text2"/>
          <w:sz w:val="20"/>
          <w:szCs w:val="20"/>
        </w:rPr>
        <w:fldChar w:fldCharType="separate"/>
      </w:r>
      <w:r w:rsidR="00EE0320">
        <w:rPr>
          <w:rFonts w:ascii="Arial" w:hAnsi="Arial" w:cs="Arial"/>
          <w:b/>
          <w:bCs/>
          <w:noProof/>
          <w:color w:val="1F497D" w:themeColor="text2"/>
          <w:sz w:val="20"/>
          <w:szCs w:val="20"/>
        </w:rPr>
        <w:t>5</w:t>
      </w:r>
      <w:r w:rsidR="00EE0320" w:rsidRPr="00980ED4">
        <w:rPr>
          <w:rFonts w:ascii="Arial" w:hAnsi="Arial" w:cs="Arial"/>
          <w:b/>
          <w:bCs/>
          <w:color w:val="1F497D" w:themeColor="text2"/>
          <w:sz w:val="20"/>
          <w:szCs w:val="20"/>
        </w:rPr>
        <w:fldChar w:fldCharType="end"/>
      </w:r>
      <w:r w:rsidRPr="007A3FF3">
        <w:rPr>
          <w:rFonts w:ascii="Arial" w:eastAsia="Calibri" w:hAnsi="Arial" w:cs="Arial"/>
          <w:b/>
          <w:i/>
          <w:iCs/>
          <w:color w:val="1F497D" w:themeColor="text2"/>
          <w:sz w:val="20"/>
          <w:szCs w:val="22"/>
          <w:lang w:val="es-CO" w:eastAsia="en-US"/>
        </w:rPr>
        <w:t xml:space="preserve"> Movimientos Cuenta Maestra PAE 2021</w:t>
      </w:r>
    </w:p>
    <w:tbl>
      <w:tblPr>
        <w:tblW w:w="7078" w:type="dxa"/>
        <w:jc w:val="center"/>
        <w:tblCellMar>
          <w:left w:w="70" w:type="dxa"/>
          <w:right w:w="70" w:type="dxa"/>
        </w:tblCellMar>
        <w:tblLook w:val="04A0" w:firstRow="1" w:lastRow="0" w:firstColumn="1" w:lastColumn="0" w:noHBand="0" w:noVBand="1"/>
      </w:tblPr>
      <w:tblGrid>
        <w:gridCol w:w="3567"/>
        <w:gridCol w:w="1526"/>
        <w:gridCol w:w="1985"/>
      </w:tblGrid>
      <w:tr w:rsidR="0097601E" w:rsidRPr="006021DA" w14:paraId="285C118D" w14:textId="77777777" w:rsidTr="0097601E">
        <w:trPr>
          <w:trHeight w:val="315"/>
          <w:jc w:val="center"/>
        </w:trPr>
        <w:tc>
          <w:tcPr>
            <w:tcW w:w="7078" w:type="dxa"/>
            <w:gridSpan w:val="3"/>
            <w:tcBorders>
              <w:top w:val="single" w:sz="8" w:space="0" w:color="auto"/>
              <w:left w:val="single" w:sz="8" w:space="0" w:color="auto"/>
              <w:bottom w:val="single" w:sz="8" w:space="0" w:color="auto"/>
              <w:right w:val="single" w:sz="8" w:space="0" w:color="000000"/>
            </w:tcBorders>
            <w:shd w:val="clear" w:color="000000" w:fill="666699"/>
            <w:vAlign w:val="center"/>
            <w:hideMark/>
          </w:tcPr>
          <w:p w14:paraId="4783DA57" w14:textId="77777777" w:rsidR="0097601E" w:rsidRPr="006021DA" w:rsidRDefault="0097601E"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color w:val="FFFFFF" w:themeColor="background1"/>
                <w:sz w:val="16"/>
                <w:szCs w:val="16"/>
                <w:lang w:eastAsia="es-CO"/>
              </w:rPr>
              <w:t>INFORMACIÓN CONSOLIDADA PRODUCTO CUENTA MAESTRA (cifras en pesos)</w:t>
            </w:r>
          </w:p>
        </w:tc>
      </w:tr>
      <w:tr w:rsidR="0097601E" w:rsidRPr="006021DA" w14:paraId="6A306C5B" w14:textId="77777777" w:rsidTr="0097601E">
        <w:trPr>
          <w:trHeight w:val="315"/>
          <w:jc w:val="center"/>
        </w:trPr>
        <w:tc>
          <w:tcPr>
            <w:tcW w:w="3567" w:type="dxa"/>
            <w:tcBorders>
              <w:top w:val="nil"/>
              <w:left w:val="single" w:sz="8" w:space="0" w:color="auto"/>
              <w:bottom w:val="single" w:sz="8" w:space="0" w:color="auto"/>
              <w:right w:val="single" w:sz="8" w:space="0" w:color="auto"/>
            </w:tcBorders>
            <w:shd w:val="clear" w:color="000000" w:fill="666699"/>
            <w:vAlign w:val="center"/>
            <w:hideMark/>
          </w:tcPr>
          <w:p w14:paraId="6F1A0ECF" w14:textId="77777777" w:rsidR="0097601E" w:rsidRPr="006021DA" w:rsidRDefault="0097601E"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xml:space="preserve"> </w:t>
            </w:r>
          </w:p>
        </w:tc>
        <w:tc>
          <w:tcPr>
            <w:tcW w:w="3511" w:type="dxa"/>
            <w:gridSpan w:val="2"/>
            <w:tcBorders>
              <w:top w:val="single" w:sz="8" w:space="0" w:color="auto"/>
              <w:left w:val="nil"/>
              <w:bottom w:val="single" w:sz="8" w:space="0" w:color="auto"/>
              <w:right w:val="single" w:sz="8" w:space="0" w:color="000000"/>
            </w:tcBorders>
            <w:shd w:val="clear" w:color="000000" w:fill="666699"/>
            <w:vAlign w:val="center"/>
            <w:hideMark/>
          </w:tcPr>
          <w:p w14:paraId="55B70B11" w14:textId="77777777" w:rsidR="0097601E" w:rsidRPr="00BF7628" w:rsidRDefault="007C7CEB" w:rsidP="00835F25">
            <w:pPr>
              <w:contextualSpacing/>
              <w:jc w:val="center"/>
              <w:rPr>
                <w:rFonts w:ascii="Arial" w:eastAsia="Times New Roman" w:hAnsi="Arial" w:cs="Arial"/>
                <w:b/>
                <w:bCs/>
                <w:color w:val="FFFFFF" w:themeColor="background1"/>
                <w:sz w:val="16"/>
                <w:szCs w:val="16"/>
                <w:lang w:val="es-CO" w:eastAsia="es-CO"/>
              </w:rPr>
            </w:pPr>
            <w:r>
              <w:rPr>
                <w:rFonts w:ascii="Arial" w:eastAsia="Times New Roman" w:hAnsi="Arial" w:cs="Arial"/>
                <w:b/>
                <w:bCs/>
                <w:color w:val="FFFFFF" w:themeColor="background1"/>
                <w:sz w:val="16"/>
                <w:szCs w:val="16"/>
                <w:lang w:eastAsia="es-CO"/>
              </w:rPr>
              <w:t xml:space="preserve">01 de enero a 31 diciembre de </w:t>
            </w:r>
            <w:r w:rsidR="0097601E" w:rsidRPr="00BF7628">
              <w:rPr>
                <w:rFonts w:ascii="Arial" w:eastAsia="Times New Roman" w:hAnsi="Arial" w:cs="Arial"/>
                <w:b/>
                <w:bCs/>
                <w:color w:val="FFFFFF" w:themeColor="background1"/>
                <w:sz w:val="16"/>
                <w:szCs w:val="16"/>
                <w:lang w:eastAsia="es-CO"/>
              </w:rPr>
              <w:t>2021</w:t>
            </w:r>
          </w:p>
        </w:tc>
      </w:tr>
      <w:tr w:rsidR="0097601E" w:rsidRPr="006021DA" w14:paraId="568DD520" w14:textId="77777777" w:rsidTr="0097601E">
        <w:trPr>
          <w:trHeight w:val="465"/>
          <w:jc w:val="center"/>
        </w:trPr>
        <w:tc>
          <w:tcPr>
            <w:tcW w:w="3567" w:type="dxa"/>
            <w:tcBorders>
              <w:top w:val="nil"/>
              <w:left w:val="single" w:sz="8" w:space="0" w:color="auto"/>
              <w:bottom w:val="single" w:sz="8" w:space="0" w:color="auto"/>
              <w:right w:val="single" w:sz="8" w:space="0" w:color="auto"/>
            </w:tcBorders>
            <w:shd w:val="clear" w:color="000000" w:fill="CCCCFF"/>
            <w:vAlign w:val="center"/>
            <w:hideMark/>
          </w:tcPr>
          <w:p w14:paraId="5EB9CF73" w14:textId="77777777" w:rsidR="0097601E" w:rsidRPr="006021DA" w:rsidRDefault="0097601E"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Concepto</w:t>
            </w:r>
          </w:p>
        </w:tc>
        <w:tc>
          <w:tcPr>
            <w:tcW w:w="1526" w:type="dxa"/>
            <w:tcBorders>
              <w:top w:val="nil"/>
              <w:left w:val="nil"/>
              <w:bottom w:val="single" w:sz="8" w:space="0" w:color="auto"/>
              <w:right w:val="single" w:sz="8" w:space="0" w:color="auto"/>
            </w:tcBorders>
            <w:shd w:val="clear" w:color="000000" w:fill="CCCCFF"/>
            <w:vAlign w:val="center"/>
            <w:hideMark/>
          </w:tcPr>
          <w:p w14:paraId="19585A4D" w14:textId="77777777" w:rsidR="0097601E" w:rsidRPr="006021DA" w:rsidRDefault="0097601E"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No. De operaciones</w:t>
            </w:r>
          </w:p>
        </w:tc>
        <w:tc>
          <w:tcPr>
            <w:tcW w:w="1985" w:type="dxa"/>
            <w:tcBorders>
              <w:top w:val="nil"/>
              <w:left w:val="nil"/>
              <w:bottom w:val="single" w:sz="8" w:space="0" w:color="auto"/>
              <w:right w:val="single" w:sz="8" w:space="0" w:color="auto"/>
            </w:tcBorders>
            <w:shd w:val="clear" w:color="000000" w:fill="CCCCFF"/>
            <w:vAlign w:val="center"/>
            <w:hideMark/>
          </w:tcPr>
          <w:p w14:paraId="6D8D088C" w14:textId="77777777" w:rsidR="0097601E" w:rsidRPr="006021DA" w:rsidRDefault="0097601E"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Valor Operaciones</w:t>
            </w:r>
          </w:p>
        </w:tc>
      </w:tr>
      <w:tr w:rsidR="0097601E" w:rsidRPr="006021DA" w14:paraId="7CF5F454" w14:textId="77777777" w:rsidTr="009136AF">
        <w:trPr>
          <w:trHeight w:val="317"/>
          <w:jc w:val="center"/>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1A36069E" w14:textId="77777777" w:rsidR="0097601E" w:rsidRPr="006021DA" w:rsidRDefault="0097601E"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Saldo inicial (500) - 1 de enero</w:t>
            </w:r>
          </w:p>
        </w:tc>
        <w:tc>
          <w:tcPr>
            <w:tcW w:w="1526" w:type="dxa"/>
            <w:tcBorders>
              <w:top w:val="nil"/>
              <w:left w:val="nil"/>
              <w:bottom w:val="single" w:sz="8" w:space="0" w:color="auto"/>
              <w:right w:val="single" w:sz="8" w:space="0" w:color="auto"/>
            </w:tcBorders>
            <w:shd w:val="clear" w:color="auto" w:fill="auto"/>
            <w:vAlign w:val="center"/>
            <w:hideMark/>
          </w:tcPr>
          <w:p w14:paraId="25A894A5" w14:textId="77777777" w:rsidR="0097601E" w:rsidRPr="006021DA" w:rsidRDefault="0097601E"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985" w:type="dxa"/>
            <w:tcBorders>
              <w:top w:val="nil"/>
              <w:left w:val="nil"/>
              <w:bottom w:val="single" w:sz="8" w:space="0" w:color="auto"/>
              <w:right w:val="single" w:sz="8" w:space="0" w:color="auto"/>
            </w:tcBorders>
            <w:shd w:val="clear" w:color="auto" w:fill="auto"/>
            <w:vAlign w:val="center"/>
            <w:hideMark/>
          </w:tcPr>
          <w:p w14:paraId="4F5B4F17" w14:textId="77777777" w:rsidR="0097601E" w:rsidRPr="0097601E" w:rsidRDefault="0097601E" w:rsidP="00835F25">
            <w:pPr>
              <w:contextualSpacing/>
              <w:jc w:val="center"/>
              <w:rPr>
                <w:rFonts w:ascii="Arial" w:eastAsia="Times New Roman" w:hAnsi="Arial" w:cs="Arial"/>
                <w:sz w:val="16"/>
                <w:szCs w:val="16"/>
                <w:lang w:eastAsia="es-CO"/>
              </w:rPr>
            </w:pPr>
            <w:r w:rsidRPr="0097601E">
              <w:rPr>
                <w:rFonts w:ascii="Arial" w:eastAsia="Times New Roman" w:hAnsi="Arial" w:cs="Arial"/>
                <w:sz w:val="16"/>
                <w:szCs w:val="16"/>
                <w:lang w:eastAsia="es-CO"/>
              </w:rPr>
              <w:t>$15.335.854.631</w:t>
            </w:r>
          </w:p>
        </w:tc>
      </w:tr>
      <w:tr w:rsidR="0097601E" w:rsidRPr="006021DA" w14:paraId="7B4348FB" w14:textId="77777777" w:rsidTr="0097601E">
        <w:trPr>
          <w:trHeight w:val="315"/>
          <w:jc w:val="center"/>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02AB2598" w14:textId="77777777" w:rsidR="0097601E" w:rsidRPr="006021DA" w:rsidRDefault="0097601E"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Ingresos (100)</w:t>
            </w:r>
          </w:p>
        </w:tc>
        <w:tc>
          <w:tcPr>
            <w:tcW w:w="1526" w:type="dxa"/>
            <w:tcBorders>
              <w:top w:val="nil"/>
              <w:left w:val="nil"/>
              <w:bottom w:val="single" w:sz="8" w:space="0" w:color="auto"/>
              <w:right w:val="single" w:sz="8" w:space="0" w:color="auto"/>
            </w:tcBorders>
            <w:shd w:val="clear" w:color="auto" w:fill="auto"/>
            <w:vAlign w:val="center"/>
            <w:hideMark/>
          </w:tcPr>
          <w:p w14:paraId="7ACDDB0F"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eastAsia="es-CO"/>
              </w:rPr>
              <w:t>32</w:t>
            </w:r>
          </w:p>
        </w:tc>
        <w:tc>
          <w:tcPr>
            <w:tcW w:w="1985" w:type="dxa"/>
            <w:tcBorders>
              <w:top w:val="nil"/>
              <w:left w:val="nil"/>
              <w:bottom w:val="single" w:sz="8" w:space="0" w:color="auto"/>
              <w:right w:val="single" w:sz="8" w:space="0" w:color="auto"/>
            </w:tcBorders>
            <w:shd w:val="clear" w:color="auto" w:fill="auto"/>
            <w:vAlign w:val="center"/>
            <w:hideMark/>
          </w:tcPr>
          <w:p w14:paraId="4659BA0C" w14:textId="77777777" w:rsidR="0097601E" w:rsidRPr="0097601E" w:rsidRDefault="0097601E" w:rsidP="00835F25">
            <w:pPr>
              <w:contextualSpacing/>
              <w:jc w:val="center"/>
              <w:rPr>
                <w:rFonts w:ascii="Arial" w:eastAsia="Times New Roman" w:hAnsi="Arial" w:cs="Arial"/>
                <w:sz w:val="16"/>
                <w:szCs w:val="16"/>
                <w:lang w:eastAsia="es-CO"/>
              </w:rPr>
            </w:pPr>
            <w:r w:rsidRPr="0097601E">
              <w:rPr>
                <w:rFonts w:ascii="Arial" w:eastAsia="Times New Roman" w:hAnsi="Arial" w:cs="Arial"/>
                <w:sz w:val="16"/>
                <w:szCs w:val="16"/>
                <w:lang w:eastAsia="es-CO"/>
              </w:rPr>
              <w:t>$20.394.878.460</w:t>
            </w:r>
          </w:p>
        </w:tc>
      </w:tr>
      <w:tr w:rsidR="0097601E" w:rsidRPr="006021DA" w14:paraId="5D999BAB" w14:textId="77777777" w:rsidTr="009136AF">
        <w:trPr>
          <w:trHeight w:val="317"/>
          <w:jc w:val="center"/>
        </w:trPr>
        <w:tc>
          <w:tcPr>
            <w:tcW w:w="3567" w:type="dxa"/>
            <w:tcBorders>
              <w:top w:val="nil"/>
              <w:left w:val="single" w:sz="8" w:space="0" w:color="auto"/>
              <w:bottom w:val="nil"/>
              <w:right w:val="single" w:sz="8" w:space="0" w:color="auto"/>
            </w:tcBorders>
            <w:shd w:val="clear" w:color="auto" w:fill="auto"/>
            <w:vAlign w:val="center"/>
            <w:hideMark/>
          </w:tcPr>
          <w:p w14:paraId="5F53B13B" w14:textId="77777777" w:rsidR="00836C9D" w:rsidRDefault="00836C9D" w:rsidP="00835F25">
            <w:pPr>
              <w:contextualSpacing/>
              <w:rPr>
                <w:rFonts w:ascii="Arial" w:eastAsia="Times New Roman" w:hAnsi="Arial" w:cs="Arial"/>
                <w:sz w:val="16"/>
                <w:szCs w:val="16"/>
                <w:lang w:eastAsia="es-CO"/>
              </w:rPr>
            </w:pPr>
          </w:p>
          <w:p w14:paraId="28C2FB94" w14:textId="77777777" w:rsidR="0097601E" w:rsidRPr="006021DA" w:rsidRDefault="0097601E"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Ingresos por rendimientos financieros (110)</w:t>
            </w:r>
          </w:p>
        </w:tc>
        <w:tc>
          <w:tcPr>
            <w:tcW w:w="1526" w:type="dxa"/>
            <w:tcBorders>
              <w:top w:val="nil"/>
              <w:left w:val="single" w:sz="8" w:space="0" w:color="auto"/>
              <w:bottom w:val="nil"/>
              <w:right w:val="single" w:sz="8" w:space="0" w:color="auto"/>
            </w:tcBorders>
            <w:shd w:val="clear" w:color="auto" w:fill="auto"/>
            <w:vAlign w:val="center"/>
            <w:hideMark/>
          </w:tcPr>
          <w:p w14:paraId="5B3A19C2"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eastAsia="es-CO"/>
              </w:rPr>
              <w:t>347</w:t>
            </w:r>
          </w:p>
        </w:tc>
        <w:tc>
          <w:tcPr>
            <w:tcW w:w="1985" w:type="dxa"/>
            <w:tcBorders>
              <w:top w:val="nil"/>
              <w:left w:val="nil"/>
              <w:bottom w:val="nil"/>
              <w:right w:val="single" w:sz="8" w:space="0" w:color="auto"/>
            </w:tcBorders>
            <w:shd w:val="clear" w:color="auto" w:fill="auto"/>
            <w:vAlign w:val="center"/>
            <w:hideMark/>
          </w:tcPr>
          <w:p w14:paraId="5EFAFBC5" w14:textId="77777777" w:rsidR="0097601E" w:rsidRPr="0097601E" w:rsidRDefault="0097601E" w:rsidP="00835F25">
            <w:pPr>
              <w:contextualSpacing/>
              <w:jc w:val="center"/>
              <w:rPr>
                <w:rFonts w:ascii="Arial" w:eastAsia="Times New Roman" w:hAnsi="Arial" w:cs="Arial"/>
                <w:sz w:val="16"/>
                <w:szCs w:val="16"/>
                <w:lang w:eastAsia="es-CO"/>
              </w:rPr>
            </w:pPr>
            <w:r w:rsidRPr="0097601E">
              <w:rPr>
                <w:rFonts w:ascii="Arial" w:eastAsia="Times New Roman" w:hAnsi="Arial" w:cs="Arial"/>
                <w:sz w:val="16"/>
                <w:szCs w:val="16"/>
                <w:lang w:eastAsia="es-CO"/>
              </w:rPr>
              <w:t>$272.731.658</w:t>
            </w:r>
          </w:p>
        </w:tc>
      </w:tr>
      <w:tr w:rsidR="0097601E" w:rsidRPr="006021DA" w14:paraId="293251EB" w14:textId="77777777" w:rsidTr="0097601E">
        <w:trPr>
          <w:trHeight w:val="328"/>
          <w:jc w:val="center"/>
        </w:trPr>
        <w:tc>
          <w:tcPr>
            <w:tcW w:w="3567" w:type="dxa"/>
            <w:tcBorders>
              <w:top w:val="single" w:sz="8" w:space="0" w:color="auto"/>
              <w:left w:val="single" w:sz="8" w:space="0" w:color="auto"/>
              <w:bottom w:val="single" w:sz="8" w:space="0" w:color="auto"/>
              <w:right w:val="single" w:sz="8" w:space="0" w:color="auto"/>
            </w:tcBorders>
            <w:shd w:val="clear" w:color="000000" w:fill="CCCCFF"/>
            <w:vAlign w:val="center"/>
            <w:hideMark/>
          </w:tcPr>
          <w:p w14:paraId="68F5C68F" w14:textId="77777777" w:rsidR="0097601E" w:rsidRPr="006021DA" w:rsidRDefault="0097601E" w:rsidP="00835F25">
            <w:pPr>
              <w:contextualSpacing/>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Total saldo en caja + ingresos</w:t>
            </w:r>
          </w:p>
        </w:tc>
        <w:tc>
          <w:tcPr>
            <w:tcW w:w="1526" w:type="dxa"/>
            <w:tcBorders>
              <w:top w:val="single" w:sz="8" w:space="0" w:color="auto"/>
              <w:left w:val="nil"/>
              <w:bottom w:val="single" w:sz="8" w:space="0" w:color="auto"/>
              <w:right w:val="single" w:sz="8" w:space="0" w:color="auto"/>
            </w:tcBorders>
            <w:shd w:val="clear" w:color="000000" w:fill="CCCCFF"/>
            <w:vAlign w:val="center"/>
            <w:hideMark/>
          </w:tcPr>
          <w:p w14:paraId="37CF5B2E" w14:textId="77777777" w:rsidR="0097601E" w:rsidRPr="006021DA" w:rsidRDefault="0097601E"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985" w:type="dxa"/>
            <w:tcBorders>
              <w:top w:val="single" w:sz="8" w:space="0" w:color="auto"/>
              <w:left w:val="nil"/>
              <w:bottom w:val="single" w:sz="8" w:space="0" w:color="auto"/>
              <w:right w:val="single" w:sz="8" w:space="0" w:color="auto"/>
            </w:tcBorders>
            <w:shd w:val="clear" w:color="000000" w:fill="CCCCFF"/>
            <w:vAlign w:val="center"/>
            <w:hideMark/>
          </w:tcPr>
          <w:p w14:paraId="28E9B786" w14:textId="77777777" w:rsidR="0097601E" w:rsidRPr="006021DA" w:rsidRDefault="0097601E" w:rsidP="00835F25">
            <w:pPr>
              <w:contextualSpacing/>
              <w:jc w:val="center"/>
              <w:rPr>
                <w:rFonts w:ascii="Arial" w:eastAsia="Times New Roman" w:hAnsi="Arial" w:cs="Arial"/>
                <w:b/>
                <w:bCs/>
                <w:sz w:val="16"/>
                <w:szCs w:val="16"/>
                <w:lang w:val="es-CO" w:eastAsia="es-CO"/>
              </w:rPr>
            </w:pPr>
            <w:r>
              <w:rPr>
                <w:rFonts w:ascii="Arial" w:eastAsia="Times New Roman" w:hAnsi="Arial" w:cs="Arial"/>
                <w:b/>
                <w:bCs/>
                <w:sz w:val="16"/>
                <w:szCs w:val="16"/>
                <w:lang w:eastAsia="es-CO"/>
              </w:rPr>
              <w:t>$36.003.464.750</w:t>
            </w:r>
          </w:p>
        </w:tc>
      </w:tr>
      <w:tr w:rsidR="0097601E" w:rsidRPr="006021DA" w14:paraId="4E27F60C" w14:textId="77777777" w:rsidTr="009136AF">
        <w:trPr>
          <w:trHeight w:val="317"/>
          <w:jc w:val="center"/>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0A7D6DBB" w14:textId="77777777" w:rsidR="0097601E" w:rsidRPr="006021DA" w:rsidRDefault="0097601E"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Egresos Libre Destinación (313)</w:t>
            </w:r>
          </w:p>
        </w:tc>
        <w:tc>
          <w:tcPr>
            <w:tcW w:w="1526" w:type="dxa"/>
            <w:tcBorders>
              <w:top w:val="nil"/>
              <w:left w:val="nil"/>
              <w:bottom w:val="single" w:sz="8" w:space="0" w:color="auto"/>
              <w:right w:val="single" w:sz="8" w:space="0" w:color="auto"/>
            </w:tcBorders>
            <w:shd w:val="clear" w:color="auto" w:fill="auto"/>
            <w:vAlign w:val="center"/>
            <w:hideMark/>
          </w:tcPr>
          <w:p w14:paraId="08E74BBF"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eastAsia="es-CO"/>
              </w:rPr>
              <w:t>-</w:t>
            </w:r>
          </w:p>
        </w:tc>
        <w:tc>
          <w:tcPr>
            <w:tcW w:w="1985" w:type="dxa"/>
            <w:tcBorders>
              <w:top w:val="nil"/>
              <w:left w:val="nil"/>
              <w:bottom w:val="single" w:sz="8" w:space="0" w:color="auto"/>
              <w:right w:val="single" w:sz="8" w:space="0" w:color="auto"/>
            </w:tcBorders>
            <w:shd w:val="clear" w:color="auto" w:fill="auto"/>
            <w:vAlign w:val="center"/>
            <w:hideMark/>
          </w:tcPr>
          <w:p w14:paraId="2C518354"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eastAsia="es-CO"/>
              </w:rPr>
              <w:t>$0</w:t>
            </w:r>
          </w:p>
        </w:tc>
      </w:tr>
      <w:tr w:rsidR="0097601E" w:rsidRPr="006021DA" w14:paraId="2FBB567F" w14:textId="77777777" w:rsidTr="009136AF">
        <w:trPr>
          <w:trHeight w:val="317"/>
          <w:jc w:val="center"/>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6E16FD9A" w14:textId="77777777" w:rsidR="0097601E" w:rsidRPr="006021DA" w:rsidRDefault="0097601E"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Egresos Asignaciones Especiales (320)</w:t>
            </w:r>
          </w:p>
        </w:tc>
        <w:tc>
          <w:tcPr>
            <w:tcW w:w="1526" w:type="dxa"/>
            <w:tcBorders>
              <w:top w:val="nil"/>
              <w:left w:val="nil"/>
              <w:bottom w:val="single" w:sz="8" w:space="0" w:color="auto"/>
              <w:right w:val="single" w:sz="8" w:space="0" w:color="auto"/>
            </w:tcBorders>
            <w:shd w:val="clear" w:color="auto" w:fill="auto"/>
            <w:vAlign w:val="center"/>
            <w:hideMark/>
          </w:tcPr>
          <w:p w14:paraId="030BF595"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c>
          <w:tcPr>
            <w:tcW w:w="1985" w:type="dxa"/>
            <w:tcBorders>
              <w:top w:val="nil"/>
              <w:left w:val="nil"/>
              <w:bottom w:val="single" w:sz="8" w:space="0" w:color="auto"/>
              <w:right w:val="single" w:sz="8" w:space="0" w:color="auto"/>
            </w:tcBorders>
            <w:shd w:val="clear" w:color="auto" w:fill="auto"/>
            <w:vAlign w:val="center"/>
            <w:hideMark/>
          </w:tcPr>
          <w:p w14:paraId="7CD919AF"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$303.221</w:t>
            </w:r>
          </w:p>
        </w:tc>
      </w:tr>
      <w:tr w:rsidR="0097601E" w:rsidRPr="006021DA" w14:paraId="7BD8D59E" w14:textId="77777777" w:rsidTr="009136AF">
        <w:trPr>
          <w:trHeight w:val="317"/>
          <w:jc w:val="center"/>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40F223B9" w14:textId="77777777" w:rsidR="0097601E" w:rsidRPr="006021DA" w:rsidRDefault="0097601E"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Egresos costos bancarios (360)</w:t>
            </w:r>
          </w:p>
        </w:tc>
        <w:tc>
          <w:tcPr>
            <w:tcW w:w="1526" w:type="dxa"/>
            <w:tcBorders>
              <w:top w:val="nil"/>
              <w:left w:val="nil"/>
              <w:bottom w:val="single" w:sz="8" w:space="0" w:color="auto"/>
              <w:right w:val="single" w:sz="8" w:space="0" w:color="auto"/>
            </w:tcBorders>
            <w:shd w:val="clear" w:color="auto" w:fill="auto"/>
            <w:vAlign w:val="center"/>
            <w:hideMark/>
          </w:tcPr>
          <w:p w14:paraId="24514507"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61</w:t>
            </w:r>
          </w:p>
        </w:tc>
        <w:tc>
          <w:tcPr>
            <w:tcW w:w="1985" w:type="dxa"/>
            <w:tcBorders>
              <w:top w:val="nil"/>
              <w:left w:val="nil"/>
              <w:bottom w:val="single" w:sz="8" w:space="0" w:color="auto"/>
              <w:right w:val="single" w:sz="8" w:space="0" w:color="auto"/>
            </w:tcBorders>
            <w:shd w:val="clear" w:color="auto" w:fill="auto"/>
            <w:vAlign w:val="center"/>
            <w:hideMark/>
          </w:tcPr>
          <w:p w14:paraId="5CD1E8B2"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$36.003.161.528</w:t>
            </w:r>
          </w:p>
        </w:tc>
      </w:tr>
      <w:tr w:rsidR="0097601E" w:rsidRPr="006021DA" w14:paraId="040122F7" w14:textId="77777777" w:rsidTr="0097601E">
        <w:trPr>
          <w:trHeight w:val="283"/>
          <w:jc w:val="center"/>
        </w:trPr>
        <w:tc>
          <w:tcPr>
            <w:tcW w:w="3567" w:type="dxa"/>
            <w:tcBorders>
              <w:top w:val="nil"/>
              <w:left w:val="single" w:sz="8" w:space="0" w:color="auto"/>
              <w:bottom w:val="single" w:sz="8" w:space="0" w:color="auto"/>
              <w:right w:val="single" w:sz="8" w:space="0" w:color="auto"/>
            </w:tcBorders>
            <w:shd w:val="clear" w:color="000000" w:fill="CCCCFF"/>
            <w:vAlign w:val="center"/>
            <w:hideMark/>
          </w:tcPr>
          <w:p w14:paraId="48881040" w14:textId="77777777" w:rsidR="0097601E" w:rsidRPr="006021DA" w:rsidRDefault="0097601E" w:rsidP="00835F25">
            <w:pPr>
              <w:contextualSpacing/>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Total egresos</w:t>
            </w:r>
          </w:p>
        </w:tc>
        <w:tc>
          <w:tcPr>
            <w:tcW w:w="1526" w:type="dxa"/>
            <w:tcBorders>
              <w:top w:val="nil"/>
              <w:left w:val="nil"/>
              <w:bottom w:val="single" w:sz="8" w:space="0" w:color="auto"/>
              <w:right w:val="single" w:sz="8" w:space="0" w:color="auto"/>
            </w:tcBorders>
            <w:shd w:val="clear" w:color="000000" w:fill="CCCCFF"/>
            <w:vAlign w:val="center"/>
            <w:hideMark/>
          </w:tcPr>
          <w:p w14:paraId="26E438D9" w14:textId="77777777" w:rsidR="0097601E" w:rsidRPr="006021DA" w:rsidRDefault="0097601E"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985" w:type="dxa"/>
            <w:tcBorders>
              <w:top w:val="nil"/>
              <w:left w:val="nil"/>
              <w:bottom w:val="single" w:sz="8" w:space="0" w:color="auto"/>
              <w:right w:val="single" w:sz="8" w:space="0" w:color="auto"/>
            </w:tcBorders>
            <w:shd w:val="clear" w:color="000000" w:fill="CCCCFF"/>
            <w:vAlign w:val="center"/>
            <w:hideMark/>
          </w:tcPr>
          <w:p w14:paraId="1C65AF41" w14:textId="77777777" w:rsidR="0097601E" w:rsidRPr="006021DA" w:rsidRDefault="0097601E" w:rsidP="00835F25">
            <w:pPr>
              <w:contextualSpacing/>
              <w:jc w:val="center"/>
              <w:rPr>
                <w:rFonts w:ascii="Arial" w:eastAsia="Times New Roman" w:hAnsi="Arial" w:cs="Arial"/>
                <w:b/>
                <w:bCs/>
                <w:sz w:val="16"/>
                <w:szCs w:val="16"/>
                <w:lang w:val="es-CO" w:eastAsia="es-CO"/>
              </w:rPr>
            </w:pPr>
            <w:r>
              <w:rPr>
                <w:rFonts w:ascii="Arial" w:eastAsia="Times New Roman" w:hAnsi="Arial" w:cs="Arial"/>
                <w:b/>
                <w:bCs/>
                <w:sz w:val="16"/>
                <w:szCs w:val="16"/>
                <w:lang w:eastAsia="es-CO"/>
              </w:rPr>
              <w:t>$36.003.464.750</w:t>
            </w:r>
          </w:p>
        </w:tc>
      </w:tr>
      <w:tr w:rsidR="0097601E" w:rsidRPr="006021DA" w14:paraId="2F088281" w14:textId="77777777" w:rsidTr="009136AF">
        <w:trPr>
          <w:trHeight w:val="317"/>
          <w:jc w:val="center"/>
        </w:trPr>
        <w:tc>
          <w:tcPr>
            <w:tcW w:w="3567" w:type="dxa"/>
            <w:tcBorders>
              <w:top w:val="nil"/>
              <w:left w:val="single" w:sz="8" w:space="0" w:color="auto"/>
              <w:bottom w:val="single" w:sz="8" w:space="0" w:color="auto"/>
              <w:right w:val="single" w:sz="8" w:space="0" w:color="auto"/>
            </w:tcBorders>
            <w:shd w:val="clear" w:color="auto" w:fill="auto"/>
            <w:vAlign w:val="center"/>
            <w:hideMark/>
          </w:tcPr>
          <w:p w14:paraId="3AA702BF" w14:textId="77777777" w:rsidR="0097601E" w:rsidRPr="006021DA" w:rsidRDefault="0097601E" w:rsidP="00835F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Saldo final (600) - 31 de diciembre</w:t>
            </w:r>
          </w:p>
        </w:tc>
        <w:tc>
          <w:tcPr>
            <w:tcW w:w="1526" w:type="dxa"/>
            <w:tcBorders>
              <w:top w:val="nil"/>
              <w:left w:val="nil"/>
              <w:bottom w:val="single" w:sz="8" w:space="0" w:color="auto"/>
              <w:right w:val="single" w:sz="8" w:space="0" w:color="auto"/>
            </w:tcBorders>
            <w:shd w:val="clear" w:color="auto" w:fill="auto"/>
            <w:vAlign w:val="center"/>
            <w:hideMark/>
          </w:tcPr>
          <w:p w14:paraId="342128E3" w14:textId="77777777" w:rsidR="0097601E" w:rsidRPr="006021DA" w:rsidRDefault="0097601E"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985" w:type="dxa"/>
            <w:tcBorders>
              <w:top w:val="nil"/>
              <w:left w:val="nil"/>
              <w:bottom w:val="single" w:sz="8" w:space="0" w:color="auto"/>
              <w:right w:val="single" w:sz="8" w:space="0" w:color="auto"/>
            </w:tcBorders>
            <w:shd w:val="clear" w:color="auto" w:fill="auto"/>
            <w:vAlign w:val="center"/>
            <w:hideMark/>
          </w:tcPr>
          <w:p w14:paraId="772A5B96" w14:textId="77777777" w:rsidR="0097601E" w:rsidRPr="006021DA" w:rsidRDefault="0097601E"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eastAsia="es-CO"/>
              </w:rPr>
              <w:t>$0</w:t>
            </w:r>
          </w:p>
        </w:tc>
      </w:tr>
      <w:tr w:rsidR="0097601E" w:rsidRPr="006021DA" w14:paraId="3BF4A39D" w14:textId="77777777" w:rsidTr="0097601E">
        <w:trPr>
          <w:trHeight w:val="309"/>
          <w:jc w:val="center"/>
        </w:trPr>
        <w:tc>
          <w:tcPr>
            <w:tcW w:w="3567" w:type="dxa"/>
            <w:tcBorders>
              <w:top w:val="nil"/>
              <w:left w:val="single" w:sz="8" w:space="0" w:color="auto"/>
              <w:bottom w:val="single" w:sz="8" w:space="0" w:color="auto"/>
              <w:right w:val="single" w:sz="8" w:space="0" w:color="auto"/>
            </w:tcBorders>
            <w:shd w:val="clear" w:color="000000" w:fill="CCCCFF"/>
            <w:vAlign w:val="center"/>
            <w:hideMark/>
          </w:tcPr>
          <w:p w14:paraId="74834FD3" w14:textId="77777777" w:rsidR="0097601E" w:rsidRPr="006021DA" w:rsidRDefault="0097601E" w:rsidP="00835F25">
            <w:pPr>
              <w:contextualSpacing/>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Ingresos – Egresos</w:t>
            </w:r>
          </w:p>
        </w:tc>
        <w:tc>
          <w:tcPr>
            <w:tcW w:w="1526" w:type="dxa"/>
            <w:tcBorders>
              <w:top w:val="nil"/>
              <w:left w:val="nil"/>
              <w:bottom w:val="single" w:sz="8" w:space="0" w:color="auto"/>
              <w:right w:val="single" w:sz="8" w:space="0" w:color="auto"/>
            </w:tcBorders>
            <w:shd w:val="clear" w:color="000000" w:fill="CCCCFF"/>
            <w:vAlign w:val="center"/>
            <w:hideMark/>
          </w:tcPr>
          <w:p w14:paraId="6C9A3DFF" w14:textId="77777777" w:rsidR="0097601E" w:rsidRPr="006021DA" w:rsidRDefault="0097601E" w:rsidP="00835F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985" w:type="dxa"/>
            <w:tcBorders>
              <w:top w:val="nil"/>
              <w:left w:val="nil"/>
              <w:bottom w:val="single" w:sz="8" w:space="0" w:color="auto"/>
              <w:right w:val="single" w:sz="8" w:space="0" w:color="auto"/>
            </w:tcBorders>
            <w:shd w:val="clear" w:color="000000" w:fill="CCCCFF"/>
            <w:vAlign w:val="center"/>
            <w:hideMark/>
          </w:tcPr>
          <w:p w14:paraId="744952A6" w14:textId="77777777" w:rsidR="0097601E" w:rsidRPr="006021DA" w:rsidRDefault="0097601E" w:rsidP="00835F25">
            <w:pPr>
              <w:contextualSpacing/>
              <w:jc w:val="center"/>
              <w:rPr>
                <w:rFonts w:ascii="Arial" w:eastAsia="Times New Roman" w:hAnsi="Arial" w:cs="Arial"/>
                <w:b/>
                <w:bCs/>
                <w:sz w:val="16"/>
                <w:szCs w:val="16"/>
                <w:lang w:val="es-CO" w:eastAsia="es-CO"/>
              </w:rPr>
            </w:pPr>
            <w:r>
              <w:rPr>
                <w:rFonts w:ascii="Arial" w:eastAsia="Times New Roman" w:hAnsi="Arial" w:cs="Arial"/>
                <w:b/>
                <w:bCs/>
                <w:sz w:val="16"/>
                <w:szCs w:val="16"/>
                <w:lang w:eastAsia="es-CO"/>
              </w:rPr>
              <w:t>$0</w:t>
            </w:r>
          </w:p>
        </w:tc>
      </w:tr>
    </w:tbl>
    <w:p w14:paraId="33359ADF" w14:textId="77777777" w:rsidR="00992C34" w:rsidRDefault="00992C34" w:rsidP="00835F25">
      <w:pPr>
        <w:contextualSpacing/>
        <w:jc w:val="center"/>
        <w:rPr>
          <w:rFonts w:ascii="Arial" w:eastAsia="Arial" w:hAnsi="Arial" w:cs="Arial"/>
          <w:sz w:val="16"/>
          <w:szCs w:val="16"/>
          <w:lang w:val="es-CO"/>
        </w:rPr>
      </w:pPr>
      <w:r w:rsidRPr="006021DA">
        <w:rPr>
          <w:rFonts w:ascii="Arial" w:eastAsia="Arial" w:hAnsi="Arial" w:cs="Arial"/>
          <w:sz w:val="16"/>
          <w:szCs w:val="16"/>
          <w:lang w:val="es-CO"/>
        </w:rPr>
        <w:t>Fuente:</w:t>
      </w:r>
      <w:r w:rsidRPr="006021DA">
        <w:rPr>
          <w:rFonts w:ascii="Arial" w:eastAsia="Arial" w:hAnsi="Arial" w:cs="Arial"/>
          <w:b/>
          <w:bCs/>
          <w:sz w:val="16"/>
          <w:szCs w:val="16"/>
          <w:lang w:val="es-CO"/>
        </w:rPr>
        <w:t xml:space="preserve"> </w:t>
      </w:r>
      <w:r w:rsidRPr="006021DA">
        <w:rPr>
          <w:rFonts w:ascii="Arial" w:eastAsia="Arial" w:hAnsi="Arial" w:cs="Arial"/>
          <w:sz w:val="16"/>
          <w:szCs w:val="16"/>
          <w:lang w:val="es-CO"/>
        </w:rPr>
        <w:t>Elaboración DAF con base en la Información del Sistema PISIS.</w:t>
      </w:r>
    </w:p>
    <w:p w14:paraId="2A8338E0" w14:textId="77777777" w:rsidR="005C788E" w:rsidRPr="00F86A18" w:rsidRDefault="005C788E" w:rsidP="00835F25">
      <w:pPr>
        <w:contextualSpacing/>
        <w:jc w:val="both"/>
        <w:rPr>
          <w:rFonts w:ascii="Arial" w:eastAsia="Arial" w:hAnsi="Arial" w:cs="Arial"/>
          <w:sz w:val="22"/>
          <w:szCs w:val="22"/>
          <w:lang w:val="es-CO"/>
        </w:rPr>
      </w:pPr>
    </w:p>
    <w:p w14:paraId="0729B761" w14:textId="77777777" w:rsidR="0097601E" w:rsidRDefault="0097601E" w:rsidP="00835F25">
      <w:pPr>
        <w:contextualSpacing/>
        <w:jc w:val="both"/>
        <w:rPr>
          <w:rFonts w:ascii="Arial" w:hAnsi="Arial" w:cs="Arial"/>
          <w:sz w:val="22"/>
          <w:szCs w:val="22"/>
          <w:lang w:val="es-CO" w:eastAsia="en-US"/>
        </w:rPr>
      </w:pPr>
      <w:r>
        <w:rPr>
          <w:rFonts w:ascii="Arial" w:hAnsi="Arial" w:cs="Arial"/>
          <w:sz w:val="22"/>
          <w:szCs w:val="22"/>
          <w:lang w:val="es-CO" w:eastAsia="en-US"/>
        </w:rPr>
        <w:t>A</w:t>
      </w:r>
      <w:r w:rsidRPr="0097601E">
        <w:rPr>
          <w:rFonts w:ascii="Arial" w:hAnsi="Arial" w:cs="Arial"/>
          <w:sz w:val="22"/>
          <w:szCs w:val="22"/>
          <w:lang w:val="es-CO" w:eastAsia="en-US"/>
        </w:rPr>
        <w:t xml:space="preserve"> partir del 15 de diciembre de 2021 la Cuenta Maestra de ahorros No. 830967626 aperturada en el Banco de Occidente reportó saldos en cero ($0) hasta mayo de 2022 debido a que para diciembre de 2021 se trasladaron los recursos hacia la nueva Cuenta Maestra No. 220230412017 </w:t>
      </w:r>
      <w:r w:rsidR="0071223A">
        <w:rPr>
          <w:rFonts w:ascii="Arial" w:hAnsi="Arial" w:cs="Arial"/>
          <w:sz w:val="22"/>
          <w:szCs w:val="22"/>
          <w:lang w:val="es-CO" w:eastAsia="en-US"/>
        </w:rPr>
        <w:t>aperturada</w:t>
      </w:r>
      <w:r w:rsidR="0071223A" w:rsidRPr="0097601E">
        <w:rPr>
          <w:rFonts w:ascii="Arial" w:hAnsi="Arial" w:cs="Arial"/>
          <w:sz w:val="22"/>
          <w:szCs w:val="22"/>
          <w:lang w:val="es-CO" w:eastAsia="en-US"/>
        </w:rPr>
        <w:t xml:space="preserve"> </w:t>
      </w:r>
      <w:r w:rsidRPr="0097601E">
        <w:rPr>
          <w:rFonts w:ascii="Arial" w:hAnsi="Arial" w:cs="Arial"/>
          <w:sz w:val="22"/>
          <w:szCs w:val="22"/>
          <w:lang w:val="es-CO" w:eastAsia="en-US"/>
        </w:rPr>
        <w:t>en el Banco Popular</w:t>
      </w:r>
      <w:r>
        <w:rPr>
          <w:rFonts w:ascii="Arial" w:hAnsi="Arial" w:cs="Arial"/>
          <w:sz w:val="22"/>
          <w:szCs w:val="22"/>
          <w:lang w:val="es-CO" w:eastAsia="en-US"/>
        </w:rPr>
        <w:t xml:space="preserve">. </w:t>
      </w:r>
      <w:r w:rsidRPr="0097601E">
        <w:rPr>
          <w:rFonts w:ascii="Arial" w:hAnsi="Arial" w:cs="Arial"/>
          <w:sz w:val="22"/>
          <w:szCs w:val="22"/>
          <w:lang w:val="es-CO" w:eastAsia="en-US"/>
        </w:rPr>
        <w:t xml:space="preserve">Respecto a la información de la nueva cuenta, es importante resaltar que el </w:t>
      </w:r>
      <w:r w:rsidR="005F7723">
        <w:rPr>
          <w:rFonts w:ascii="Arial" w:hAnsi="Arial" w:cs="Arial"/>
          <w:sz w:val="22"/>
          <w:szCs w:val="22"/>
          <w:lang w:val="es-CO" w:eastAsia="en-US"/>
        </w:rPr>
        <w:t>E</w:t>
      </w:r>
      <w:r w:rsidRPr="0097601E">
        <w:rPr>
          <w:rFonts w:ascii="Arial" w:hAnsi="Arial" w:cs="Arial"/>
          <w:sz w:val="22"/>
          <w:szCs w:val="22"/>
          <w:lang w:val="es-CO" w:eastAsia="en-US"/>
        </w:rPr>
        <w:t xml:space="preserve">stablecimiento </w:t>
      </w:r>
      <w:r w:rsidR="005F7723">
        <w:rPr>
          <w:rFonts w:ascii="Arial" w:hAnsi="Arial" w:cs="Arial"/>
          <w:sz w:val="22"/>
          <w:szCs w:val="22"/>
          <w:lang w:val="es-CO" w:eastAsia="en-US"/>
        </w:rPr>
        <w:t>B</w:t>
      </w:r>
      <w:r w:rsidRPr="0097601E">
        <w:rPr>
          <w:rFonts w:ascii="Arial" w:hAnsi="Arial" w:cs="Arial"/>
          <w:sz w:val="22"/>
          <w:szCs w:val="22"/>
          <w:lang w:val="es-CO" w:eastAsia="en-US"/>
        </w:rPr>
        <w:t>ancario no ha reportado información de esta a la fecha</w:t>
      </w:r>
      <w:r w:rsidR="005F7723">
        <w:rPr>
          <w:rFonts w:ascii="Arial" w:hAnsi="Arial" w:cs="Arial"/>
          <w:sz w:val="22"/>
          <w:szCs w:val="22"/>
          <w:lang w:val="es-CO" w:eastAsia="en-US"/>
        </w:rPr>
        <w:t xml:space="preserve"> de corte de este informe</w:t>
      </w:r>
      <w:r w:rsidRPr="0097601E">
        <w:rPr>
          <w:rFonts w:ascii="Arial" w:hAnsi="Arial" w:cs="Arial"/>
          <w:sz w:val="22"/>
          <w:szCs w:val="22"/>
          <w:lang w:val="es-CO" w:eastAsia="en-US"/>
        </w:rPr>
        <w:t xml:space="preserve">, situación que fue puesta en conocimiento de la Subdirección Financiera de este Ministerio </w:t>
      </w:r>
      <w:r w:rsidR="00CE0B9A">
        <w:rPr>
          <w:rFonts w:ascii="Arial" w:hAnsi="Arial" w:cs="Arial"/>
          <w:sz w:val="22"/>
          <w:szCs w:val="22"/>
          <w:lang w:val="es-CO" w:eastAsia="en-US"/>
        </w:rPr>
        <w:t>mediante el</w:t>
      </w:r>
      <w:r w:rsidRPr="0097601E">
        <w:rPr>
          <w:rFonts w:ascii="Arial" w:hAnsi="Arial" w:cs="Arial"/>
          <w:sz w:val="22"/>
          <w:szCs w:val="22"/>
          <w:lang w:val="es-CO" w:eastAsia="en-US"/>
        </w:rPr>
        <w:t xml:space="preserve"> Memorando No. 3-2022-008360 para </w:t>
      </w:r>
      <w:r w:rsidR="00F11707">
        <w:rPr>
          <w:rFonts w:ascii="Arial" w:hAnsi="Arial" w:cs="Arial"/>
          <w:sz w:val="22"/>
          <w:szCs w:val="22"/>
          <w:lang w:val="es-CO" w:eastAsia="en-US"/>
        </w:rPr>
        <w:t>los</w:t>
      </w:r>
      <w:r w:rsidR="00F11707" w:rsidRPr="0097601E">
        <w:rPr>
          <w:rFonts w:ascii="Arial" w:hAnsi="Arial" w:cs="Arial"/>
          <w:sz w:val="22"/>
          <w:szCs w:val="22"/>
          <w:lang w:val="es-CO" w:eastAsia="en-US"/>
        </w:rPr>
        <w:t xml:space="preserve"> </w:t>
      </w:r>
      <w:r w:rsidRPr="0097601E">
        <w:rPr>
          <w:rFonts w:ascii="Arial" w:hAnsi="Arial" w:cs="Arial"/>
          <w:sz w:val="22"/>
          <w:szCs w:val="22"/>
          <w:lang w:val="es-CO" w:eastAsia="en-US"/>
        </w:rPr>
        <w:t>fines pertinentes.</w:t>
      </w:r>
    </w:p>
    <w:p w14:paraId="666CBB15" w14:textId="77777777" w:rsidR="009136AF" w:rsidRPr="006021DA" w:rsidRDefault="009136AF" w:rsidP="00835F25">
      <w:pPr>
        <w:contextualSpacing/>
        <w:jc w:val="both"/>
        <w:rPr>
          <w:rFonts w:ascii="Arial" w:hAnsi="Arial" w:cs="Arial"/>
          <w:sz w:val="22"/>
          <w:szCs w:val="22"/>
          <w:lang w:val="es-CO" w:eastAsia="en-US"/>
        </w:rPr>
      </w:pPr>
    </w:p>
    <w:p w14:paraId="74521354" w14:textId="77777777" w:rsidR="00992C34" w:rsidRPr="007A3FF3" w:rsidRDefault="00992C34" w:rsidP="00835F25">
      <w:pPr>
        <w:keepNext/>
        <w:contextualSpacing/>
        <w:jc w:val="center"/>
        <w:rPr>
          <w:rFonts w:ascii="Arial" w:eastAsia="Calibri" w:hAnsi="Arial" w:cs="Arial"/>
          <w:b/>
          <w:i/>
          <w:iCs/>
          <w:color w:val="1F497D" w:themeColor="text2"/>
          <w:sz w:val="20"/>
          <w:szCs w:val="22"/>
          <w:lang w:val="es-CO" w:eastAsia="en-US"/>
        </w:rPr>
      </w:pPr>
      <w:r w:rsidRPr="007A3FF3">
        <w:rPr>
          <w:rFonts w:ascii="Arial" w:eastAsia="Calibri" w:hAnsi="Arial" w:cs="Arial"/>
          <w:b/>
          <w:i/>
          <w:iCs/>
          <w:color w:val="1F497D" w:themeColor="text2"/>
          <w:sz w:val="20"/>
          <w:szCs w:val="22"/>
          <w:lang w:val="es-CO" w:eastAsia="en-US"/>
        </w:rPr>
        <w:lastRenderedPageBreak/>
        <w:t xml:space="preserve">Grafica </w:t>
      </w:r>
      <w:r w:rsidR="00D20A0D" w:rsidRPr="007A3FF3">
        <w:rPr>
          <w:rFonts w:ascii="Arial" w:eastAsia="Calibri" w:hAnsi="Arial" w:cs="Arial"/>
          <w:b/>
          <w:i/>
          <w:iCs/>
          <w:color w:val="1F497D" w:themeColor="text2"/>
          <w:sz w:val="20"/>
          <w:szCs w:val="22"/>
          <w:lang w:val="es-CO" w:eastAsia="en-US"/>
        </w:rPr>
        <w:t xml:space="preserve">No. </w:t>
      </w:r>
      <w:r w:rsidR="00EE0320">
        <w:rPr>
          <w:rFonts w:ascii="Arial" w:eastAsia="Calibri" w:hAnsi="Arial" w:cs="Arial"/>
          <w:b/>
          <w:i/>
          <w:iCs/>
          <w:color w:val="1F497D" w:themeColor="text2"/>
          <w:sz w:val="20"/>
          <w:szCs w:val="22"/>
          <w:lang w:val="es-CO" w:eastAsia="en-US"/>
        </w:rPr>
        <w:t>2</w:t>
      </w:r>
      <w:r w:rsidR="00EE0320" w:rsidRPr="007A3FF3">
        <w:rPr>
          <w:rFonts w:ascii="Arial" w:eastAsia="Calibri" w:hAnsi="Arial" w:cs="Arial"/>
          <w:b/>
          <w:i/>
          <w:iCs/>
          <w:color w:val="1F497D" w:themeColor="text2"/>
          <w:sz w:val="20"/>
          <w:szCs w:val="22"/>
          <w:lang w:val="es-CO" w:eastAsia="en-US"/>
        </w:rPr>
        <w:t xml:space="preserve"> </w:t>
      </w:r>
      <w:r w:rsidRPr="007A3FF3">
        <w:rPr>
          <w:rFonts w:ascii="Arial" w:eastAsia="Calibri" w:hAnsi="Arial" w:cs="Arial"/>
          <w:b/>
          <w:i/>
          <w:iCs/>
          <w:color w:val="1F497D" w:themeColor="text2"/>
          <w:sz w:val="20"/>
          <w:szCs w:val="22"/>
          <w:lang w:val="es-CO" w:eastAsia="en-US"/>
        </w:rPr>
        <w:t xml:space="preserve">Comportamiento Cuenta Maestra PAE 1 enero </w:t>
      </w:r>
      <w:r w:rsidR="001C3324" w:rsidRPr="007A3FF3">
        <w:rPr>
          <w:rFonts w:ascii="Arial" w:eastAsia="Calibri" w:hAnsi="Arial" w:cs="Arial"/>
          <w:b/>
          <w:i/>
          <w:iCs/>
          <w:color w:val="1F497D" w:themeColor="text2"/>
          <w:sz w:val="20"/>
          <w:szCs w:val="22"/>
          <w:lang w:val="es-CO" w:eastAsia="en-US"/>
        </w:rPr>
        <w:t>a 31 de diciembre de</w:t>
      </w:r>
      <w:r w:rsidRPr="007A3FF3">
        <w:rPr>
          <w:rFonts w:ascii="Arial" w:eastAsia="Calibri" w:hAnsi="Arial" w:cs="Arial"/>
          <w:b/>
          <w:i/>
          <w:iCs/>
          <w:color w:val="1F497D" w:themeColor="text2"/>
          <w:sz w:val="20"/>
          <w:szCs w:val="22"/>
          <w:lang w:val="es-CO" w:eastAsia="en-US"/>
        </w:rPr>
        <w:t xml:space="preserve"> 202</w:t>
      </w:r>
      <w:r w:rsidR="00A516BF">
        <w:rPr>
          <w:rFonts w:ascii="Arial" w:eastAsia="Calibri" w:hAnsi="Arial" w:cs="Arial"/>
          <w:b/>
          <w:i/>
          <w:iCs/>
          <w:color w:val="1F497D" w:themeColor="text2"/>
          <w:sz w:val="20"/>
          <w:szCs w:val="22"/>
          <w:lang w:val="es-CO" w:eastAsia="en-US"/>
        </w:rPr>
        <w:t>1</w:t>
      </w:r>
      <w:r w:rsidRPr="007A3FF3">
        <w:rPr>
          <w:rFonts w:ascii="Arial" w:eastAsia="Calibri" w:hAnsi="Arial" w:cs="Arial"/>
          <w:b/>
          <w:i/>
          <w:iCs/>
          <w:color w:val="1F497D" w:themeColor="text2"/>
          <w:sz w:val="20"/>
          <w:szCs w:val="22"/>
          <w:lang w:val="es-CO" w:eastAsia="en-US"/>
        </w:rPr>
        <w:t>.</w:t>
      </w:r>
    </w:p>
    <w:p w14:paraId="0BBC83A4" w14:textId="77777777" w:rsidR="00992C34" w:rsidRPr="006021DA" w:rsidRDefault="001C3324" w:rsidP="00835F25">
      <w:pPr>
        <w:contextualSpacing/>
        <w:jc w:val="center"/>
        <w:rPr>
          <w:rFonts w:ascii="Arial" w:hAnsi="Arial" w:cs="Arial"/>
        </w:rPr>
      </w:pPr>
      <w:r>
        <w:rPr>
          <w:noProof/>
          <w:lang w:val="es-CO" w:eastAsia="es-CO"/>
        </w:rPr>
        <w:drawing>
          <wp:inline distT="0" distB="0" distL="0" distR="0" wp14:anchorId="043927BD" wp14:editId="1FB626F3">
            <wp:extent cx="5612130" cy="2858770"/>
            <wp:effectExtent l="0" t="0" r="762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a:blip r:embed="rId19"/>
                    <a:stretch>
                      <a:fillRect/>
                    </a:stretch>
                  </pic:blipFill>
                  <pic:spPr>
                    <a:xfrm>
                      <a:off x="0" y="0"/>
                      <a:ext cx="5612130" cy="2858770"/>
                    </a:xfrm>
                    <a:prstGeom prst="rect">
                      <a:avLst/>
                    </a:prstGeom>
                  </pic:spPr>
                </pic:pic>
              </a:graphicData>
            </a:graphic>
          </wp:inline>
        </w:drawing>
      </w:r>
    </w:p>
    <w:p w14:paraId="5A12E373" w14:textId="77777777" w:rsidR="00992C34" w:rsidRPr="006021DA" w:rsidRDefault="00992C34" w:rsidP="00835F25">
      <w:pPr>
        <w:spacing w:before="240"/>
        <w:contextualSpacing/>
        <w:jc w:val="center"/>
        <w:rPr>
          <w:rFonts w:ascii="Arial" w:eastAsia="Arial" w:hAnsi="Arial" w:cs="Arial"/>
          <w:sz w:val="16"/>
          <w:szCs w:val="16"/>
        </w:rPr>
      </w:pPr>
      <w:r w:rsidRPr="006021DA">
        <w:rPr>
          <w:rFonts w:ascii="Arial" w:eastAsia="Arial" w:hAnsi="Arial" w:cs="Arial"/>
          <w:sz w:val="16"/>
          <w:szCs w:val="16"/>
          <w:lang w:val="es-CO"/>
        </w:rPr>
        <w:t xml:space="preserve">Fuente: </w:t>
      </w:r>
      <w:proofErr w:type="spellStart"/>
      <w:r w:rsidRPr="006021DA">
        <w:rPr>
          <w:rFonts w:ascii="Arial" w:eastAsia="Arial" w:hAnsi="Arial" w:cs="Arial"/>
          <w:sz w:val="16"/>
          <w:szCs w:val="16"/>
          <w:lang w:val="es-CO"/>
        </w:rPr>
        <w:t>PowerBi</w:t>
      </w:r>
      <w:proofErr w:type="spellEnd"/>
      <w:r w:rsidRPr="006021DA">
        <w:rPr>
          <w:rFonts w:ascii="Arial" w:eastAsia="Arial" w:hAnsi="Arial" w:cs="Arial"/>
          <w:sz w:val="16"/>
          <w:szCs w:val="16"/>
          <w:lang w:val="es-CO"/>
        </w:rPr>
        <w:t xml:space="preserve"> – DAF.</w:t>
      </w:r>
    </w:p>
    <w:p w14:paraId="21AC8773" w14:textId="77777777" w:rsidR="00100493" w:rsidRPr="006021DA" w:rsidRDefault="00100493" w:rsidP="00835F25">
      <w:pPr>
        <w:spacing w:before="240"/>
        <w:contextualSpacing/>
        <w:jc w:val="both"/>
        <w:rPr>
          <w:rFonts w:ascii="Arial" w:eastAsia="Arial" w:hAnsi="Arial" w:cs="Arial"/>
          <w:sz w:val="22"/>
          <w:szCs w:val="22"/>
          <w:highlight w:val="yellow"/>
          <w:lang w:val="es-CO"/>
        </w:rPr>
      </w:pPr>
    </w:p>
    <w:p w14:paraId="72D503FE" w14:textId="77777777" w:rsidR="00701973" w:rsidRPr="00701973" w:rsidRDefault="00701973" w:rsidP="00835F25">
      <w:pPr>
        <w:spacing w:before="240"/>
        <w:contextualSpacing/>
        <w:jc w:val="both"/>
        <w:rPr>
          <w:rFonts w:ascii="Arial" w:eastAsia="Arial" w:hAnsi="Arial" w:cs="Arial"/>
          <w:sz w:val="22"/>
          <w:szCs w:val="22"/>
          <w:lang w:val="es-CO"/>
        </w:rPr>
      </w:pPr>
      <w:r w:rsidRPr="00701973">
        <w:rPr>
          <w:rFonts w:ascii="Arial" w:eastAsia="Arial" w:hAnsi="Arial" w:cs="Arial"/>
          <w:sz w:val="22"/>
          <w:szCs w:val="22"/>
          <w:lang w:val="es-CO"/>
        </w:rPr>
        <w:t xml:space="preserve">Del análisis de la información de los ingresos se evidencia que se realizaron </w:t>
      </w:r>
      <w:r w:rsidR="00B02E45">
        <w:rPr>
          <w:rFonts w:ascii="Arial" w:eastAsia="Arial" w:hAnsi="Arial" w:cs="Arial"/>
          <w:sz w:val="22"/>
          <w:szCs w:val="22"/>
          <w:lang w:val="es-CO"/>
        </w:rPr>
        <w:t>trescientas setenta y nueve (</w:t>
      </w:r>
      <w:r w:rsidRPr="00701973">
        <w:rPr>
          <w:rFonts w:ascii="Arial" w:eastAsia="Arial" w:hAnsi="Arial" w:cs="Arial"/>
          <w:sz w:val="22"/>
          <w:szCs w:val="22"/>
          <w:lang w:val="es-CO"/>
        </w:rPr>
        <w:t>379</w:t>
      </w:r>
      <w:r w:rsidR="00B02E45">
        <w:rPr>
          <w:rFonts w:ascii="Arial" w:eastAsia="Arial" w:hAnsi="Arial" w:cs="Arial"/>
          <w:sz w:val="22"/>
          <w:szCs w:val="22"/>
          <w:lang w:val="es-CO"/>
        </w:rPr>
        <w:t>)</w:t>
      </w:r>
      <w:r w:rsidRPr="00701973">
        <w:rPr>
          <w:rFonts w:ascii="Arial" w:eastAsia="Arial" w:hAnsi="Arial" w:cs="Arial"/>
          <w:sz w:val="22"/>
          <w:szCs w:val="22"/>
          <w:lang w:val="es-CO"/>
        </w:rPr>
        <w:t xml:space="preserve"> operaciones crédito por el tipo de movimiento 100 “</w:t>
      </w:r>
      <w:r w:rsidRPr="00B3648E">
        <w:rPr>
          <w:rFonts w:ascii="Arial" w:eastAsia="Arial" w:hAnsi="Arial" w:cs="Arial"/>
          <w:i/>
          <w:iCs/>
          <w:sz w:val="22"/>
          <w:szCs w:val="22"/>
          <w:lang w:val="es-CO"/>
        </w:rPr>
        <w:t>Ingresos</w:t>
      </w:r>
      <w:r w:rsidRPr="00701973">
        <w:rPr>
          <w:rFonts w:ascii="Arial" w:eastAsia="Arial" w:hAnsi="Arial" w:cs="Arial"/>
          <w:sz w:val="22"/>
          <w:szCs w:val="22"/>
          <w:lang w:val="es-CO"/>
        </w:rPr>
        <w:t>” y 110 “</w:t>
      </w:r>
      <w:r w:rsidRPr="00B3648E">
        <w:rPr>
          <w:rFonts w:ascii="Arial" w:eastAsia="Arial" w:hAnsi="Arial" w:cs="Arial"/>
          <w:i/>
          <w:iCs/>
          <w:sz w:val="22"/>
          <w:szCs w:val="22"/>
          <w:lang w:val="es-CO"/>
        </w:rPr>
        <w:t>Ingresos por Rendimientos Financieros</w:t>
      </w:r>
      <w:r w:rsidRPr="00701973">
        <w:rPr>
          <w:rFonts w:ascii="Arial" w:eastAsia="Arial" w:hAnsi="Arial" w:cs="Arial"/>
          <w:sz w:val="22"/>
          <w:szCs w:val="22"/>
          <w:lang w:val="es-CO"/>
        </w:rPr>
        <w:t xml:space="preserve">” de las cuales </w:t>
      </w:r>
      <w:r w:rsidR="004E19DD">
        <w:rPr>
          <w:rFonts w:ascii="Arial" w:eastAsia="Arial" w:hAnsi="Arial" w:cs="Arial"/>
          <w:sz w:val="22"/>
          <w:szCs w:val="22"/>
          <w:lang w:val="es-CO"/>
        </w:rPr>
        <w:t>treinta y dos (</w:t>
      </w:r>
      <w:r w:rsidRPr="00701973">
        <w:rPr>
          <w:rFonts w:ascii="Arial" w:eastAsia="Arial" w:hAnsi="Arial" w:cs="Arial"/>
          <w:sz w:val="22"/>
          <w:szCs w:val="22"/>
          <w:lang w:val="es-CO"/>
        </w:rPr>
        <w:t>32</w:t>
      </w:r>
      <w:r w:rsidR="004E19DD">
        <w:rPr>
          <w:rFonts w:ascii="Arial" w:eastAsia="Arial" w:hAnsi="Arial" w:cs="Arial"/>
          <w:sz w:val="22"/>
          <w:szCs w:val="22"/>
          <w:lang w:val="es-CO"/>
        </w:rPr>
        <w:t>)</w:t>
      </w:r>
      <w:r w:rsidRPr="00701973">
        <w:rPr>
          <w:rFonts w:ascii="Arial" w:eastAsia="Arial" w:hAnsi="Arial" w:cs="Arial"/>
          <w:sz w:val="22"/>
          <w:szCs w:val="22"/>
          <w:lang w:val="es-CO"/>
        </w:rPr>
        <w:t xml:space="preserve"> operaciones correspondieron a créditos por el tipo de movimiento 100 “</w:t>
      </w:r>
      <w:r w:rsidRPr="00B3648E">
        <w:rPr>
          <w:rFonts w:ascii="Arial" w:eastAsia="Arial" w:hAnsi="Arial" w:cs="Arial"/>
          <w:i/>
          <w:iCs/>
          <w:sz w:val="22"/>
          <w:szCs w:val="22"/>
          <w:lang w:val="es-CO"/>
        </w:rPr>
        <w:t>Ingresos</w:t>
      </w:r>
      <w:r w:rsidRPr="00701973">
        <w:rPr>
          <w:rFonts w:ascii="Arial" w:eastAsia="Arial" w:hAnsi="Arial" w:cs="Arial"/>
          <w:sz w:val="22"/>
          <w:szCs w:val="22"/>
          <w:lang w:val="es-CO"/>
        </w:rPr>
        <w:t>” por valor de $20.394.878.460 de los cuales, $6.689.240.543 (33</w:t>
      </w:r>
      <w:r w:rsidR="00046601">
        <w:rPr>
          <w:rFonts w:ascii="Arial" w:eastAsia="Arial" w:hAnsi="Arial" w:cs="Arial"/>
          <w:sz w:val="22"/>
          <w:szCs w:val="22"/>
          <w:lang w:val="es-CO"/>
        </w:rPr>
        <w:t xml:space="preserve"> </w:t>
      </w:r>
      <w:r w:rsidRPr="00701973">
        <w:rPr>
          <w:rFonts w:ascii="Arial" w:eastAsia="Arial" w:hAnsi="Arial" w:cs="Arial"/>
          <w:sz w:val="22"/>
          <w:szCs w:val="22"/>
          <w:lang w:val="es-CO"/>
        </w:rPr>
        <w:t>%) corresponden a las trasferencias que desde el Tesoro Nacional se realizan por concepto de la Asignación Especial Alimentación Escolar y del Programa de Alimentación Escolar, $140.081.378 (1</w:t>
      </w:r>
      <w:r w:rsidR="00046601">
        <w:rPr>
          <w:rFonts w:ascii="Arial" w:eastAsia="Arial" w:hAnsi="Arial" w:cs="Arial"/>
          <w:sz w:val="22"/>
          <w:szCs w:val="22"/>
          <w:lang w:val="es-CO"/>
        </w:rPr>
        <w:t xml:space="preserve"> </w:t>
      </w:r>
      <w:r w:rsidRPr="00701973">
        <w:rPr>
          <w:rFonts w:ascii="Arial" w:eastAsia="Arial" w:hAnsi="Arial" w:cs="Arial"/>
          <w:sz w:val="22"/>
          <w:szCs w:val="22"/>
          <w:lang w:val="es-CO"/>
        </w:rPr>
        <w:t>%) corresponden a una (1) operación crédito a nombre de “</w:t>
      </w:r>
      <w:r w:rsidRPr="00B3648E">
        <w:rPr>
          <w:rFonts w:ascii="Arial" w:eastAsia="Arial" w:hAnsi="Arial" w:cs="Arial"/>
          <w:i/>
          <w:iCs/>
          <w:sz w:val="22"/>
          <w:szCs w:val="22"/>
          <w:lang w:val="es-CO"/>
        </w:rPr>
        <w:t>BOLSA NACIONAL A</w:t>
      </w:r>
      <w:r w:rsidRPr="00701973">
        <w:rPr>
          <w:rFonts w:ascii="Arial" w:eastAsia="Arial" w:hAnsi="Arial" w:cs="Arial"/>
          <w:sz w:val="22"/>
          <w:szCs w:val="22"/>
          <w:lang w:val="es-CO"/>
        </w:rPr>
        <w:t>” el día 13 de diciembre de 2021 desde la cuenta No. 08018164. De esta operación es preciso indicar que, al consultar el número de identificación registrado para este beneficiario, el mismo aparece en su Registro Único Tributario – RUT como “</w:t>
      </w:r>
      <w:r w:rsidRPr="00B3648E">
        <w:rPr>
          <w:rFonts w:ascii="Arial" w:eastAsia="Arial" w:hAnsi="Arial" w:cs="Arial"/>
          <w:i/>
          <w:iCs/>
          <w:sz w:val="22"/>
          <w:szCs w:val="22"/>
          <w:lang w:val="es-CO"/>
        </w:rPr>
        <w:t>BMC BOLSA MERCANTIL DE COLOMBIA S.A</w:t>
      </w:r>
      <w:r w:rsidRPr="00701973">
        <w:rPr>
          <w:rFonts w:ascii="Arial" w:eastAsia="Arial" w:hAnsi="Arial" w:cs="Arial"/>
          <w:sz w:val="22"/>
          <w:szCs w:val="22"/>
          <w:lang w:val="es-CO"/>
        </w:rPr>
        <w:t>”</w:t>
      </w:r>
      <w:r w:rsidR="00F11707">
        <w:rPr>
          <w:rFonts w:ascii="Arial" w:eastAsia="Arial" w:hAnsi="Arial" w:cs="Arial"/>
          <w:sz w:val="22"/>
          <w:szCs w:val="22"/>
          <w:lang w:val="es-CO"/>
        </w:rPr>
        <w:t>,</w:t>
      </w:r>
      <w:r w:rsidRPr="00701973">
        <w:rPr>
          <w:rFonts w:ascii="Arial" w:eastAsia="Arial" w:hAnsi="Arial" w:cs="Arial"/>
          <w:sz w:val="22"/>
          <w:szCs w:val="22"/>
          <w:lang w:val="es-CO"/>
        </w:rPr>
        <w:t xml:space="preserve"> la cual es una sociedad </w:t>
      </w:r>
      <w:r w:rsidR="008024AB">
        <w:rPr>
          <w:rFonts w:ascii="Arial" w:eastAsia="Arial" w:hAnsi="Arial" w:cs="Arial"/>
          <w:sz w:val="22"/>
          <w:szCs w:val="22"/>
          <w:lang w:val="es-CO"/>
        </w:rPr>
        <w:t>de economía</w:t>
      </w:r>
      <w:r w:rsidRPr="00701973">
        <w:rPr>
          <w:rFonts w:ascii="Arial" w:eastAsia="Arial" w:hAnsi="Arial" w:cs="Arial"/>
          <w:sz w:val="22"/>
          <w:szCs w:val="22"/>
          <w:lang w:val="es-CO"/>
        </w:rPr>
        <w:t xml:space="preserve"> mixt</w:t>
      </w:r>
      <w:r w:rsidR="008024AB">
        <w:rPr>
          <w:rFonts w:ascii="Arial" w:eastAsia="Arial" w:hAnsi="Arial" w:cs="Arial"/>
          <w:sz w:val="22"/>
          <w:szCs w:val="22"/>
          <w:lang w:val="es-CO"/>
        </w:rPr>
        <w:t>a</w:t>
      </w:r>
      <w:r w:rsidRPr="00701973">
        <w:rPr>
          <w:rFonts w:ascii="Arial" w:eastAsia="Arial" w:hAnsi="Arial" w:cs="Arial"/>
          <w:sz w:val="22"/>
          <w:szCs w:val="22"/>
          <w:lang w:val="es-CO"/>
        </w:rPr>
        <w:t xml:space="preserve"> y $13.565.556.538 (67</w:t>
      </w:r>
      <w:r w:rsidR="0059705B">
        <w:rPr>
          <w:rFonts w:ascii="Arial" w:eastAsia="Arial" w:hAnsi="Arial" w:cs="Arial"/>
          <w:sz w:val="22"/>
          <w:szCs w:val="22"/>
          <w:lang w:val="es-CO"/>
        </w:rPr>
        <w:t xml:space="preserve"> </w:t>
      </w:r>
      <w:r w:rsidRPr="00701973">
        <w:rPr>
          <w:rFonts w:ascii="Arial" w:eastAsia="Arial" w:hAnsi="Arial" w:cs="Arial"/>
          <w:sz w:val="22"/>
          <w:szCs w:val="22"/>
          <w:lang w:val="es-CO"/>
        </w:rPr>
        <w:t>%) corresponden a ocho (8) operaciones crédito a nombre de “</w:t>
      </w:r>
      <w:r w:rsidRPr="00B3648E">
        <w:rPr>
          <w:rFonts w:ascii="Arial" w:eastAsia="Arial" w:hAnsi="Arial" w:cs="Arial"/>
          <w:i/>
          <w:iCs/>
          <w:sz w:val="22"/>
          <w:szCs w:val="22"/>
          <w:lang w:val="es-CO"/>
        </w:rPr>
        <w:t>EF 1469 DISTRITO DE CGENAPAGADORA</w:t>
      </w:r>
      <w:r w:rsidRPr="00701973">
        <w:rPr>
          <w:rFonts w:ascii="Arial" w:eastAsia="Arial" w:hAnsi="Arial" w:cs="Arial"/>
          <w:sz w:val="22"/>
          <w:szCs w:val="22"/>
          <w:lang w:val="es-CO"/>
        </w:rPr>
        <w:t>” desde la cuenta No. 830897922.</w:t>
      </w:r>
    </w:p>
    <w:p w14:paraId="71071078" w14:textId="77777777" w:rsidR="00701973" w:rsidRPr="00701973" w:rsidRDefault="00701973" w:rsidP="00835F25">
      <w:pPr>
        <w:spacing w:before="240"/>
        <w:contextualSpacing/>
        <w:jc w:val="both"/>
        <w:rPr>
          <w:rFonts w:ascii="Arial" w:eastAsia="Arial" w:hAnsi="Arial" w:cs="Arial"/>
          <w:sz w:val="22"/>
          <w:szCs w:val="22"/>
          <w:lang w:val="es-CO"/>
        </w:rPr>
      </w:pPr>
    </w:p>
    <w:p w14:paraId="370FCCB2" w14:textId="77777777" w:rsidR="00701973" w:rsidRPr="00701973" w:rsidRDefault="00701973" w:rsidP="00835F25">
      <w:pPr>
        <w:spacing w:before="240"/>
        <w:contextualSpacing/>
        <w:jc w:val="both"/>
        <w:rPr>
          <w:rFonts w:ascii="Arial" w:eastAsia="Arial" w:hAnsi="Arial" w:cs="Arial"/>
          <w:sz w:val="22"/>
          <w:szCs w:val="22"/>
          <w:lang w:val="es-CO"/>
        </w:rPr>
      </w:pPr>
      <w:r w:rsidRPr="00701973">
        <w:rPr>
          <w:rFonts w:ascii="Arial" w:eastAsia="Arial" w:hAnsi="Arial" w:cs="Arial"/>
          <w:sz w:val="22"/>
          <w:szCs w:val="22"/>
          <w:lang w:val="es-CO"/>
        </w:rPr>
        <w:t>Frente a esta última operación es preciso indicar que, al consultar el número de identificación registrado para este beneficiario, el mismo aparece en su Registro Único Tributario – RUT como “</w:t>
      </w:r>
      <w:r w:rsidRPr="00B3648E">
        <w:rPr>
          <w:rFonts w:ascii="Arial" w:eastAsia="Arial" w:hAnsi="Arial" w:cs="Arial"/>
          <w:i/>
          <w:iCs/>
          <w:sz w:val="22"/>
          <w:szCs w:val="22"/>
          <w:lang w:val="es-CO"/>
        </w:rPr>
        <w:t>FIDUCIARIA LA PREVISORA S.A</w:t>
      </w:r>
      <w:r w:rsidRPr="00701973">
        <w:rPr>
          <w:rFonts w:ascii="Arial" w:eastAsia="Arial" w:hAnsi="Arial" w:cs="Arial"/>
          <w:sz w:val="22"/>
          <w:szCs w:val="22"/>
          <w:lang w:val="es-CO"/>
        </w:rPr>
        <w:t>”</w:t>
      </w:r>
      <w:r w:rsidR="00151EDD">
        <w:rPr>
          <w:rFonts w:ascii="Arial" w:eastAsia="Arial" w:hAnsi="Arial" w:cs="Arial"/>
          <w:sz w:val="22"/>
          <w:szCs w:val="22"/>
          <w:lang w:val="es-CO"/>
        </w:rPr>
        <w:t>,</w:t>
      </w:r>
      <w:r w:rsidRPr="00701973">
        <w:rPr>
          <w:rFonts w:ascii="Arial" w:eastAsia="Arial" w:hAnsi="Arial" w:cs="Arial"/>
          <w:sz w:val="22"/>
          <w:szCs w:val="22"/>
          <w:lang w:val="es-CO"/>
        </w:rPr>
        <w:t xml:space="preserve"> </w:t>
      </w:r>
      <w:r w:rsidR="00151EDD">
        <w:rPr>
          <w:rFonts w:ascii="Arial" w:eastAsia="Arial" w:hAnsi="Arial" w:cs="Arial"/>
          <w:sz w:val="22"/>
          <w:szCs w:val="22"/>
          <w:lang w:val="es-CO"/>
        </w:rPr>
        <w:t xml:space="preserve">que corresponde a </w:t>
      </w:r>
      <w:r w:rsidRPr="00701973">
        <w:rPr>
          <w:rFonts w:ascii="Arial" w:eastAsia="Arial" w:hAnsi="Arial" w:cs="Arial"/>
          <w:sz w:val="22"/>
          <w:szCs w:val="22"/>
          <w:lang w:val="es-CO"/>
        </w:rPr>
        <w:t xml:space="preserve">una fiduciaria constituida por la Previsora S.A. Compañía de Seguros y otras entidades públicas, que tiene dentro de sus funciones administrar </w:t>
      </w:r>
      <w:r w:rsidR="00B953EC">
        <w:rPr>
          <w:rFonts w:ascii="Arial" w:eastAsia="Arial" w:hAnsi="Arial" w:cs="Arial"/>
          <w:sz w:val="22"/>
          <w:szCs w:val="22"/>
          <w:lang w:val="es-CO"/>
        </w:rPr>
        <w:t>r</w:t>
      </w:r>
      <w:r w:rsidRPr="00701973">
        <w:rPr>
          <w:rFonts w:ascii="Arial" w:eastAsia="Arial" w:hAnsi="Arial" w:cs="Arial"/>
          <w:sz w:val="22"/>
          <w:szCs w:val="22"/>
          <w:lang w:val="es-CO"/>
        </w:rPr>
        <w:t xml:space="preserve">ecursos </w:t>
      </w:r>
      <w:r w:rsidR="00B953EC">
        <w:rPr>
          <w:rFonts w:ascii="Arial" w:eastAsia="Arial" w:hAnsi="Arial" w:cs="Arial"/>
          <w:sz w:val="22"/>
          <w:szCs w:val="22"/>
          <w:lang w:val="es-CO"/>
        </w:rPr>
        <w:t>p</w:t>
      </w:r>
      <w:r w:rsidRPr="00701973">
        <w:rPr>
          <w:rFonts w:ascii="Arial" w:eastAsia="Arial" w:hAnsi="Arial" w:cs="Arial"/>
          <w:sz w:val="22"/>
          <w:szCs w:val="22"/>
          <w:lang w:val="es-CO"/>
        </w:rPr>
        <w:t xml:space="preserve">úblicos. </w:t>
      </w:r>
    </w:p>
    <w:p w14:paraId="742CA14D" w14:textId="77777777" w:rsidR="00701973" w:rsidRPr="00701973" w:rsidRDefault="00701973" w:rsidP="00835F25">
      <w:pPr>
        <w:spacing w:before="240"/>
        <w:contextualSpacing/>
        <w:jc w:val="both"/>
        <w:rPr>
          <w:rFonts w:ascii="Arial" w:eastAsia="Arial" w:hAnsi="Arial" w:cs="Arial"/>
          <w:sz w:val="22"/>
          <w:szCs w:val="22"/>
          <w:lang w:val="es-CO"/>
        </w:rPr>
      </w:pPr>
    </w:p>
    <w:p w14:paraId="6F35029A" w14:textId="77777777" w:rsidR="00701973" w:rsidRPr="00701973" w:rsidRDefault="00701973" w:rsidP="00835F25">
      <w:pPr>
        <w:spacing w:before="240"/>
        <w:contextualSpacing/>
        <w:jc w:val="both"/>
        <w:rPr>
          <w:rFonts w:ascii="Arial" w:eastAsia="Arial" w:hAnsi="Arial" w:cs="Arial"/>
          <w:sz w:val="22"/>
          <w:szCs w:val="22"/>
          <w:lang w:val="es-CO"/>
        </w:rPr>
      </w:pPr>
      <w:r w:rsidRPr="00701973">
        <w:rPr>
          <w:rFonts w:ascii="Arial" w:eastAsia="Arial" w:hAnsi="Arial" w:cs="Arial"/>
          <w:sz w:val="22"/>
          <w:szCs w:val="22"/>
          <w:lang w:val="es-CO"/>
        </w:rPr>
        <w:t>Respecto a los ingresos realizados por el tipo de movimiento 110 “</w:t>
      </w:r>
      <w:r w:rsidRPr="00B3648E">
        <w:rPr>
          <w:rFonts w:ascii="Arial" w:eastAsia="Arial" w:hAnsi="Arial" w:cs="Arial"/>
          <w:i/>
          <w:iCs/>
          <w:sz w:val="22"/>
          <w:szCs w:val="22"/>
          <w:lang w:val="es-CO"/>
        </w:rPr>
        <w:t>Ingresos por Rendimientos</w:t>
      </w:r>
      <w:r w:rsidRPr="00701973">
        <w:rPr>
          <w:rFonts w:ascii="Arial" w:eastAsia="Arial" w:hAnsi="Arial" w:cs="Arial"/>
          <w:sz w:val="22"/>
          <w:szCs w:val="22"/>
          <w:lang w:val="es-CO"/>
        </w:rPr>
        <w:t>”, se</w:t>
      </w:r>
      <w:r w:rsidR="00F662B3">
        <w:rPr>
          <w:rFonts w:ascii="Arial" w:eastAsia="Arial" w:hAnsi="Arial" w:cs="Arial"/>
          <w:sz w:val="22"/>
          <w:szCs w:val="22"/>
          <w:lang w:val="es-CO"/>
        </w:rPr>
        <w:t xml:space="preserve"> evidencia que se</w:t>
      </w:r>
      <w:r w:rsidRPr="00701973">
        <w:rPr>
          <w:rFonts w:ascii="Arial" w:eastAsia="Arial" w:hAnsi="Arial" w:cs="Arial"/>
          <w:sz w:val="22"/>
          <w:szCs w:val="22"/>
          <w:lang w:val="es-CO"/>
        </w:rPr>
        <w:t xml:space="preserve"> realizaron </w:t>
      </w:r>
      <w:r w:rsidR="00F662B3">
        <w:rPr>
          <w:rFonts w:ascii="Arial" w:eastAsia="Arial" w:hAnsi="Arial" w:cs="Arial"/>
          <w:sz w:val="22"/>
          <w:szCs w:val="22"/>
          <w:lang w:val="es-CO"/>
        </w:rPr>
        <w:t>trescientos cuarenta y siete (</w:t>
      </w:r>
      <w:r w:rsidRPr="00701973">
        <w:rPr>
          <w:rFonts w:ascii="Arial" w:eastAsia="Arial" w:hAnsi="Arial" w:cs="Arial"/>
          <w:sz w:val="22"/>
          <w:szCs w:val="22"/>
          <w:lang w:val="es-CO"/>
        </w:rPr>
        <w:t>347</w:t>
      </w:r>
      <w:r w:rsidR="00F662B3">
        <w:rPr>
          <w:rFonts w:ascii="Arial" w:eastAsia="Arial" w:hAnsi="Arial" w:cs="Arial"/>
          <w:sz w:val="22"/>
          <w:szCs w:val="22"/>
          <w:lang w:val="es-CO"/>
        </w:rPr>
        <w:t>)</w:t>
      </w:r>
      <w:r w:rsidRPr="00701973">
        <w:rPr>
          <w:rFonts w:ascii="Arial" w:eastAsia="Arial" w:hAnsi="Arial" w:cs="Arial"/>
          <w:sz w:val="22"/>
          <w:szCs w:val="22"/>
          <w:lang w:val="es-CO"/>
        </w:rPr>
        <w:t xml:space="preserve"> operaciones crédito por un valor total de $272.731.658, cumpliendo así con uno de los elementos fundamentales que tienen las Cuentas Maestras establecidos en el artículo 4 de la Resolución No. 2248 de 2018.</w:t>
      </w:r>
    </w:p>
    <w:p w14:paraId="5FB1C30E" w14:textId="77777777" w:rsidR="00701973" w:rsidRPr="00701973" w:rsidRDefault="00701973" w:rsidP="00835F25">
      <w:pPr>
        <w:spacing w:before="240"/>
        <w:contextualSpacing/>
        <w:jc w:val="both"/>
        <w:rPr>
          <w:rFonts w:ascii="Arial" w:eastAsia="Arial" w:hAnsi="Arial" w:cs="Arial"/>
          <w:sz w:val="22"/>
          <w:szCs w:val="22"/>
          <w:lang w:val="es-CO"/>
        </w:rPr>
      </w:pPr>
    </w:p>
    <w:p w14:paraId="4194ECB1" w14:textId="77777777" w:rsidR="00992C34" w:rsidRPr="006021DA" w:rsidRDefault="00701973" w:rsidP="00835F25">
      <w:pPr>
        <w:spacing w:before="240"/>
        <w:contextualSpacing/>
        <w:jc w:val="both"/>
        <w:rPr>
          <w:rFonts w:ascii="Arial" w:eastAsia="Arial" w:hAnsi="Arial" w:cs="Arial"/>
          <w:sz w:val="22"/>
          <w:szCs w:val="22"/>
          <w:lang w:val="es-CO"/>
        </w:rPr>
      </w:pPr>
      <w:r w:rsidRPr="00701973">
        <w:rPr>
          <w:rFonts w:ascii="Arial" w:eastAsia="Arial" w:hAnsi="Arial" w:cs="Arial"/>
          <w:sz w:val="22"/>
          <w:szCs w:val="22"/>
          <w:lang w:val="es-CO"/>
        </w:rPr>
        <w:lastRenderedPageBreak/>
        <w:t xml:space="preserve">Ahora bien, de acuerdo con la información de los egresos, </w:t>
      </w:r>
      <w:r w:rsidR="00F11707" w:rsidRPr="00701973">
        <w:rPr>
          <w:rFonts w:ascii="Arial" w:eastAsia="Arial" w:hAnsi="Arial" w:cs="Arial"/>
          <w:sz w:val="22"/>
          <w:szCs w:val="22"/>
          <w:lang w:val="es-CO"/>
        </w:rPr>
        <w:t>para el per</w:t>
      </w:r>
      <w:r w:rsidR="00F11707">
        <w:rPr>
          <w:rFonts w:ascii="Arial" w:eastAsia="Arial" w:hAnsi="Arial" w:cs="Arial"/>
          <w:sz w:val="22"/>
          <w:szCs w:val="22"/>
          <w:lang w:val="es-CO"/>
        </w:rPr>
        <w:t>í</w:t>
      </w:r>
      <w:r w:rsidR="00F11707" w:rsidRPr="00701973">
        <w:rPr>
          <w:rFonts w:ascii="Arial" w:eastAsia="Arial" w:hAnsi="Arial" w:cs="Arial"/>
          <w:sz w:val="22"/>
          <w:szCs w:val="22"/>
          <w:lang w:val="es-CO"/>
        </w:rPr>
        <w:t>odo analizado</w:t>
      </w:r>
      <w:r w:rsidR="00F11707">
        <w:rPr>
          <w:rFonts w:ascii="Arial" w:eastAsia="Arial" w:hAnsi="Arial" w:cs="Arial"/>
          <w:sz w:val="22"/>
          <w:szCs w:val="22"/>
          <w:lang w:val="es-CO"/>
        </w:rPr>
        <w:t>,</w:t>
      </w:r>
      <w:r w:rsidR="00F11707" w:rsidRPr="00701973">
        <w:rPr>
          <w:rFonts w:ascii="Arial" w:eastAsia="Arial" w:hAnsi="Arial" w:cs="Arial"/>
          <w:sz w:val="22"/>
          <w:szCs w:val="22"/>
          <w:lang w:val="es-CO"/>
        </w:rPr>
        <w:t xml:space="preserve"> </w:t>
      </w:r>
      <w:r w:rsidRPr="00701973">
        <w:rPr>
          <w:rFonts w:ascii="Arial" w:eastAsia="Arial" w:hAnsi="Arial" w:cs="Arial"/>
          <w:sz w:val="22"/>
          <w:szCs w:val="22"/>
          <w:lang w:val="es-CO"/>
        </w:rPr>
        <w:t xml:space="preserve">se evidenciaron un total de </w:t>
      </w:r>
      <w:r w:rsidR="003703BE">
        <w:rPr>
          <w:rFonts w:ascii="Arial" w:eastAsia="Arial" w:hAnsi="Arial" w:cs="Arial"/>
          <w:sz w:val="22"/>
          <w:szCs w:val="22"/>
          <w:lang w:val="es-CO"/>
        </w:rPr>
        <w:t>sesenta y dos (</w:t>
      </w:r>
      <w:r w:rsidRPr="00701973">
        <w:rPr>
          <w:rFonts w:ascii="Arial" w:eastAsia="Arial" w:hAnsi="Arial" w:cs="Arial"/>
          <w:sz w:val="22"/>
          <w:szCs w:val="22"/>
          <w:lang w:val="es-CO"/>
        </w:rPr>
        <w:t>62</w:t>
      </w:r>
      <w:r w:rsidR="003703BE">
        <w:rPr>
          <w:rFonts w:ascii="Arial" w:eastAsia="Arial" w:hAnsi="Arial" w:cs="Arial"/>
          <w:sz w:val="22"/>
          <w:szCs w:val="22"/>
          <w:lang w:val="es-CO"/>
        </w:rPr>
        <w:t>)</w:t>
      </w:r>
      <w:r w:rsidRPr="00701973">
        <w:rPr>
          <w:rFonts w:ascii="Arial" w:eastAsia="Arial" w:hAnsi="Arial" w:cs="Arial"/>
          <w:sz w:val="22"/>
          <w:szCs w:val="22"/>
          <w:lang w:val="es-CO"/>
        </w:rPr>
        <w:t xml:space="preserve"> operaciones débito por movimiento 320 “</w:t>
      </w:r>
      <w:r w:rsidRPr="00B3648E">
        <w:rPr>
          <w:rFonts w:ascii="Arial" w:eastAsia="Arial" w:hAnsi="Arial" w:cs="Arial"/>
          <w:i/>
          <w:iCs/>
          <w:sz w:val="22"/>
          <w:szCs w:val="22"/>
          <w:lang w:val="es-CO"/>
        </w:rPr>
        <w:t>Egresos Asignaciones Especiales Alimentación Escolar, Ribereños e Indígenas</w:t>
      </w:r>
      <w:r w:rsidRPr="00701973">
        <w:rPr>
          <w:rFonts w:ascii="Arial" w:eastAsia="Arial" w:hAnsi="Arial" w:cs="Arial"/>
          <w:sz w:val="22"/>
          <w:szCs w:val="22"/>
          <w:lang w:val="es-CO"/>
        </w:rPr>
        <w:t>” y 321 “</w:t>
      </w:r>
      <w:r w:rsidRPr="00B3648E">
        <w:rPr>
          <w:rFonts w:ascii="Arial" w:eastAsia="Arial" w:hAnsi="Arial" w:cs="Arial"/>
          <w:i/>
          <w:iCs/>
          <w:sz w:val="22"/>
          <w:szCs w:val="22"/>
          <w:lang w:val="es-CO"/>
        </w:rPr>
        <w:t>Egresos Programa de Alimentación Escolar</w:t>
      </w:r>
      <w:r w:rsidRPr="00701973">
        <w:rPr>
          <w:rFonts w:ascii="Arial" w:eastAsia="Arial" w:hAnsi="Arial" w:cs="Arial"/>
          <w:sz w:val="22"/>
          <w:szCs w:val="22"/>
          <w:lang w:val="es-CO"/>
        </w:rPr>
        <w:t>” por un valor total de $36.003.464.7</w:t>
      </w:r>
      <w:r w:rsidR="0071223A">
        <w:rPr>
          <w:rFonts w:ascii="Arial" w:eastAsia="Arial" w:hAnsi="Arial" w:cs="Arial"/>
          <w:sz w:val="22"/>
          <w:szCs w:val="22"/>
          <w:lang w:val="es-CO"/>
        </w:rPr>
        <w:t>50</w:t>
      </w:r>
      <w:r w:rsidRPr="00701973">
        <w:rPr>
          <w:rFonts w:ascii="Arial" w:eastAsia="Arial" w:hAnsi="Arial" w:cs="Arial"/>
          <w:sz w:val="22"/>
          <w:szCs w:val="22"/>
          <w:lang w:val="es-CO"/>
        </w:rPr>
        <w:t>.</w:t>
      </w:r>
    </w:p>
    <w:p w14:paraId="09491EC4" w14:textId="77777777" w:rsidR="00992C34" w:rsidRPr="006021DA" w:rsidRDefault="00992C34" w:rsidP="00835F25">
      <w:pPr>
        <w:spacing w:before="240"/>
        <w:contextualSpacing/>
        <w:jc w:val="both"/>
        <w:rPr>
          <w:rFonts w:ascii="Arial" w:eastAsia="Arial" w:hAnsi="Arial" w:cs="Arial"/>
          <w:sz w:val="22"/>
          <w:szCs w:val="22"/>
          <w:lang w:val="es-CO"/>
        </w:rPr>
      </w:pPr>
    </w:p>
    <w:p w14:paraId="552DFE39" w14:textId="77777777" w:rsidR="005D0987" w:rsidRPr="00B7692B" w:rsidRDefault="00992C34" w:rsidP="00835F25">
      <w:pPr>
        <w:spacing w:before="240"/>
        <w:contextualSpacing/>
        <w:jc w:val="center"/>
        <w:rPr>
          <w:rFonts w:ascii="Arial" w:eastAsia="Arial" w:hAnsi="Arial" w:cs="Arial"/>
          <w:b/>
          <w:bCs/>
          <w:i/>
          <w:iCs/>
          <w:color w:val="1F497D" w:themeColor="text2"/>
          <w:sz w:val="20"/>
          <w:szCs w:val="20"/>
        </w:rPr>
      </w:pPr>
      <w:r w:rsidRPr="00B7692B">
        <w:rPr>
          <w:rFonts w:ascii="Arial" w:eastAsia="Arial" w:hAnsi="Arial" w:cs="Arial"/>
          <w:b/>
          <w:bCs/>
          <w:i/>
          <w:iCs/>
          <w:color w:val="1F497D" w:themeColor="text2"/>
          <w:sz w:val="20"/>
          <w:szCs w:val="20"/>
        </w:rPr>
        <w:t>T</w:t>
      </w:r>
      <w:r w:rsidRPr="00B7692B">
        <w:rPr>
          <w:rFonts w:ascii="Arial" w:eastAsiaTheme="minorEastAsia" w:hAnsi="Arial" w:cs="Arial"/>
          <w:b/>
          <w:bCs/>
          <w:i/>
          <w:iCs/>
          <w:color w:val="1F497D" w:themeColor="text2"/>
          <w:sz w:val="20"/>
          <w:szCs w:val="20"/>
        </w:rPr>
        <w:t xml:space="preserve">abla </w:t>
      </w:r>
      <w:r w:rsidR="00A40227" w:rsidRPr="00B7692B">
        <w:rPr>
          <w:rFonts w:ascii="Arial" w:eastAsiaTheme="minorEastAsia" w:hAnsi="Arial" w:cs="Arial"/>
          <w:b/>
          <w:bCs/>
          <w:i/>
          <w:iCs/>
          <w:color w:val="1F497D" w:themeColor="text2"/>
          <w:sz w:val="20"/>
          <w:szCs w:val="20"/>
        </w:rPr>
        <w:t xml:space="preserve">No. </w:t>
      </w:r>
      <w:r w:rsidR="00EE0320" w:rsidRPr="00980ED4">
        <w:rPr>
          <w:rFonts w:ascii="Arial" w:hAnsi="Arial" w:cs="Arial"/>
          <w:b/>
          <w:bCs/>
          <w:color w:val="1F497D" w:themeColor="text2"/>
          <w:sz w:val="20"/>
          <w:szCs w:val="20"/>
        </w:rPr>
        <w:fldChar w:fldCharType="begin"/>
      </w:r>
      <w:r w:rsidR="00EE0320" w:rsidRPr="00980ED4">
        <w:rPr>
          <w:rFonts w:ascii="Arial" w:hAnsi="Arial" w:cs="Arial"/>
          <w:b/>
          <w:bCs/>
          <w:color w:val="1F497D" w:themeColor="text2"/>
          <w:sz w:val="20"/>
          <w:szCs w:val="20"/>
        </w:rPr>
        <w:instrText xml:space="preserve"> SEQ Ilustración \* ARABIC </w:instrText>
      </w:r>
      <w:r w:rsidR="00EE0320" w:rsidRPr="00980ED4">
        <w:rPr>
          <w:rFonts w:ascii="Arial" w:hAnsi="Arial" w:cs="Arial"/>
          <w:b/>
          <w:bCs/>
          <w:color w:val="1F497D" w:themeColor="text2"/>
          <w:sz w:val="20"/>
          <w:szCs w:val="20"/>
        </w:rPr>
        <w:fldChar w:fldCharType="separate"/>
      </w:r>
      <w:r w:rsidR="00EE0320">
        <w:rPr>
          <w:rFonts w:ascii="Arial" w:hAnsi="Arial" w:cs="Arial"/>
          <w:b/>
          <w:bCs/>
          <w:noProof/>
          <w:color w:val="1F497D" w:themeColor="text2"/>
          <w:sz w:val="20"/>
          <w:szCs w:val="20"/>
        </w:rPr>
        <w:t>6</w:t>
      </w:r>
      <w:r w:rsidR="00EE0320" w:rsidRPr="00980ED4">
        <w:rPr>
          <w:rFonts w:ascii="Arial" w:hAnsi="Arial" w:cs="Arial"/>
          <w:b/>
          <w:bCs/>
          <w:color w:val="1F497D" w:themeColor="text2"/>
          <w:sz w:val="20"/>
          <w:szCs w:val="20"/>
        </w:rPr>
        <w:fldChar w:fldCharType="end"/>
      </w:r>
      <w:r w:rsidRPr="00B7692B">
        <w:rPr>
          <w:rFonts w:ascii="Arial" w:eastAsiaTheme="minorEastAsia" w:hAnsi="Arial" w:cs="Arial"/>
          <w:b/>
          <w:bCs/>
          <w:i/>
          <w:iCs/>
          <w:color w:val="1F497D" w:themeColor="text2"/>
          <w:sz w:val="20"/>
          <w:szCs w:val="20"/>
        </w:rPr>
        <w:t xml:space="preserve"> E</w:t>
      </w:r>
      <w:r w:rsidRPr="00B7692B">
        <w:rPr>
          <w:rFonts w:ascii="Arial" w:eastAsia="Arial" w:hAnsi="Arial" w:cs="Arial"/>
          <w:b/>
          <w:bCs/>
          <w:i/>
          <w:iCs/>
          <w:color w:val="1F497D" w:themeColor="text2"/>
          <w:sz w:val="20"/>
          <w:szCs w:val="20"/>
        </w:rPr>
        <w:t xml:space="preserve">gresos de la Cuenta Maestra </w:t>
      </w:r>
      <w:r w:rsidR="00833F68" w:rsidRPr="00B7692B">
        <w:rPr>
          <w:rFonts w:ascii="Arial" w:eastAsia="Arial" w:hAnsi="Arial" w:cs="Arial"/>
          <w:b/>
          <w:bCs/>
          <w:i/>
          <w:iCs/>
          <w:color w:val="1F497D" w:themeColor="text2"/>
          <w:sz w:val="20"/>
          <w:szCs w:val="20"/>
        </w:rPr>
        <w:t>ahorros</w:t>
      </w:r>
      <w:r w:rsidRPr="00B7692B">
        <w:rPr>
          <w:rFonts w:ascii="Arial" w:eastAsia="Arial" w:hAnsi="Arial" w:cs="Arial"/>
          <w:b/>
          <w:bCs/>
          <w:i/>
          <w:iCs/>
          <w:color w:val="1F497D" w:themeColor="text2"/>
          <w:sz w:val="20"/>
          <w:szCs w:val="20"/>
        </w:rPr>
        <w:t xml:space="preserve"> No. </w:t>
      </w:r>
      <w:r w:rsidR="0097601E" w:rsidRPr="00B7692B">
        <w:rPr>
          <w:rFonts w:ascii="Arial" w:eastAsia="Arial" w:hAnsi="Arial" w:cs="Arial"/>
          <w:b/>
          <w:bCs/>
          <w:i/>
          <w:iCs/>
          <w:color w:val="1F497D" w:themeColor="text2"/>
          <w:sz w:val="20"/>
          <w:szCs w:val="20"/>
        </w:rPr>
        <w:t>830967626</w:t>
      </w:r>
      <w:r w:rsidR="00833F68" w:rsidRPr="00B7692B">
        <w:rPr>
          <w:rFonts w:ascii="Arial" w:eastAsia="Arial" w:hAnsi="Arial" w:cs="Arial"/>
          <w:b/>
          <w:bCs/>
          <w:i/>
          <w:iCs/>
          <w:color w:val="1F497D" w:themeColor="text2"/>
          <w:sz w:val="20"/>
          <w:szCs w:val="20"/>
        </w:rPr>
        <w:t xml:space="preserve"> </w:t>
      </w:r>
      <w:r w:rsidRPr="00B7692B">
        <w:rPr>
          <w:rFonts w:ascii="Arial" w:eastAsia="Arial" w:hAnsi="Arial" w:cs="Arial"/>
          <w:b/>
          <w:bCs/>
          <w:i/>
          <w:iCs/>
          <w:color w:val="1F497D" w:themeColor="text2"/>
          <w:sz w:val="20"/>
          <w:szCs w:val="20"/>
        </w:rPr>
        <w:t xml:space="preserve">del Banco de </w:t>
      </w:r>
      <w:r w:rsidR="0097601E" w:rsidRPr="00B7692B">
        <w:rPr>
          <w:rFonts w:ascii="Arial" w:eastAsia="Arial" w:hAnsi="Arial" w:cs="Arial"/>
          <w:b/>
          <w:bCs/>
          <w:i/>
          <w:iCs/>
          <w:color w:val="1F497D" w:themeColor="text2"/>
          <w:sz w:val="20"/>
          <w:szCs w:val="20"/>
        </w:rPr>
        <w:t>Occidente</w:t>
      </w:r>
      <w:r w:rsidRPr="00B7692B">
        <w:rPr>
          <w:rFonts w:ascii="Arial" w:eastAsia="Arial" w:hAnsi="Arial" w:cs="Arial"/>
          <w:b/>
          <w:bCs/>
          <w:i/>
          <w:iCs/>
          <w:color w:val="1F497D" w:themeColor="text2"/>
          <w:sz w:val="20"/>
          <w:szCs w:val="20"/>
        </w:rPr>
        <w:t xml:space="preserve"> del </w:t>
      </w:r>
      <w:r w:rsidR="00833F68" w:rsidRPr="00B7692B">
        <w:rPr>
          <w:rFonts w:ascii="Arial" w:eastAsia="Arial" w:hAnsi="Arial" w:cs="Arial"/>
          <w:b/>
          <w:bCs/>
          <w:i/>
          <w:iCs/>
          <w:color w:val="1F497D" w:themeColor="text2"/>
          <w:sz w:val="20"/>
          <w:szCs w:val="20"/>
        </w:rPr>
        <w:t xml:space="preserve">Distrito de </w:t>
      </w:r>
      <w:r w:rsidR="00AC0429" w:rsidRPr="00B7692B">
        <w:rPr>
          <w:rFonts w:ascii="Arial" w:eastAsia="Arial" w:hAnsi="Arial" w:cs="Arial"/>
          <w:b/>
          <w:bCs/>
          <w:i/>
          <w:iCs/>
          <w:color w:val="1F497D" w:themeColor="text2"/>
          <w:sz w:val="20"/>
          <w:szCs w:val="20"/>
        </w:rPr>
        <w:t>Cartagena de Indias - Bolívar</w:t>
      </w:r>
      <w:r w:rsidRPr="00B7692B">
        <w:rPr>
          <w:rFonts w:ascii="Arial" w:eastAsia="Arial" w:hAnsi="Arial" w:cs="Arial"/>
          <w:b/>
          <w:bCs/>
          <w:i/>
          <w:iCs/>
          <w:color w:val="1F497D" w:themeColor="text2"/>
          <w:sz w:val="20"/>
          <w:szCs w:val="20"/>
        </w:rPr>
        <w:t xml:space="preserve"> entre el 1 de enero</w:t>
      </w:r>
      <w:r w:rsidR="0097601E" w:rsidRPr="00B7692B">
        <w:rPr>
          <w:rFonts w:ascii="Arial" w:eastAsia="Arial" w:hAnsi="Arial" w:cs="Arial"/>
          <w:b/>
          <w:bCs/>
          <w:i/>
          <w:iCs/>
          <w:color w:val="1F497D" w:themeColor="text2"/>
          <w:sz w:val="20"/>
          <w:szCs w:val="20"/>
        </w:rPr>
        <w:t xml:space="preserve"> al</w:t>
      </w:r>
      <w:r w:rsidRPr="00B7692B">
        <w:rPr>
          <w:rFonts w:ascii="Arial" w:eastAsia="Arial" w:hAnsi="Arial" w:cs="Arial"/>
          <w:b/>
          <w:bCs/>
          <w:i/>
          <w:iCs/>
          <w:color w:val="1F497D" w:themeColor="text2"/>
          <w:sz w:val="20"/>
          <w:szCs w:val="20"/>
        </w:rPr>
        <w:t xml:space="preserve"> 3</w:t>
      </w:r>
      <w:r w:rsidR="00DB124B" w:rsidRPr="00B7692B">
        <w:rPr>
          <w:rFonts w:ascii="Arial" w:eastAsia="Arial" w:hAnsi="Arial" w:cs="Arial"/>
          <w:b/>
          <w:bCs/>
          <w:i/>
          <w:iCs/>
          <w:color w:val="1F497D" w:themeColor="text2"/>
          <w:sz w:val="20"/>
          <w:szCs w:val="20"/>
        </w:rPr>
        <w:t>1</w:t>
      </w:r>
      <w:r w:rsidRPr="00B7692B">
        <w:rPr>
          <w:rFonts w:ascii="Arial" w:eastAsia="Arial" w:hAnsi="Arial" w:cs="Arial"/>
          <w:b/>
          <w:bCs/>
          <w:i/>
          <w:iCs/>
          <w:color w:val="1F497D" w:themeColor="text2"/>
          <w:sz w:val="20"/>
          <w:szCs w:val="20"/>
        </w:rPr>
        <w:t xml:space="preserve"> de </w:t>
      </w:r>
      <w:r w:rsidR="00DB124B" w:rsidRPr="00B7692B">
        <w:rPr>
          <w:rFonts w:ascii="Arial" w:eastAsia="Arial" w:hAnsi="Arial" w:cs="Arial"/>
          <w:b/>
          <w:bCs/>
          <w:i/>
          <w:iCs/>
          <w:color w:val="1F497D" w:themeColor="text2"/>
          <w:sz w:val="20"/>
          <w:szCs w:val="20"/>
        </w:rPr>
        <w:t>diciembre</w:t>
      </w:r>
      <w:r w:rsidRPr="00B7692B">
        <w:rPr>
          <w:rFonts w:ascii="Arial" w:eastAsia="Arial" w:hAnsi="Arial" w:cs="Arial"/>
          <w:b/>
          <w:bCs/>
          <w:i/>
          <w:iCs/>
          <w:color w:val="1F497D" w:themeColor="text2"/>
          <w:sz w:val="20"/>
          <w:szCs w:val="20"/>
        </w:rPr>
        <w:t xml:space="preserve"> de 2021.</w:t>
      </w:r>
    </w:p>
    <w:tbl>
      <w:tblPr>
        <w:tblW w:w="9393" w:type="dxa"/>
        <w:jc w:val="center"/>
        <w:tblCellMar>
          <w:top w:w="15" w:type="dxa"/>
          <w:left w:w="70" w:type="dxa"/>
          <w:bottom w:w="15" w:type="dxa"/>
          <w:right w:w="70" w:type="dxa"/>
        </w:tblCellMar>
        <w:tblLook w:val="04A0" w:firstRow="1" w:lastRow="0" w:firstColumn="1" w:lastColumn="0" w:noHBand="0" w:noVBand="1"/>
      </w:tblPr>
      <w:tblGrid>
        <w:gridCol w:w="683"/>
        <w:gridCol w:w="1121"/>
        <w:gridCol w:w="3391"/>
        <w:gridCol w:w="1458"/>
        <w:gridCol w:w="1559"/>
        <w:gridCol w:w="1181"/>
      </w:tblGrid>
      <w:tr w:rsidR="006021DA" w:rsidRPr="006021DA" w14:paraId="77B1DF66" w14:textId="77777777" w:rsidTr="00D1684D">
        <w:trPr>
          <w:trHeight w:val="300"/>
          <w:tblHeader/>
          <w:jc w:val="center"/>
        </w:trPr>
        <w:tc>
          <w:tcPr>
            <w:tcW w:w="9393" w:type="dxa"/>
            <w:gridSpan w:val="6"/>
            <w:tcBorders>
              <w:top w:val="single" w:sz="8" w:space="0" w:color="auto"/>
              <w:left w:val="single" w:sz="8" w:space="0" w:color="auto"/>
              <w:bottom w:val="single" w:sz="8" w:space="0" w:color="auto"/>
              <w:right w:val="nil"/>
            </w:tcBorders>
            <w:shd w:val="clear" w:color="auto" w:fill="666699"/>
            <w:vAlign w:val="center"/>
            <w:hideMark/>
          </w:tcPr>
          <w:p w14:paraId="607EB350" w14:textId="77777777" w:rsidR="00992C34" w:rsidRPr="006021DA" w:rsidRDefault="00992C34"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color w:val="FFFFFF" w:themeColor="background1"/>
                <w:sz w:val="16"/>
                <w:szCs w:val="16"/>
                <w:lang w:val="es-CO" w:eastAsia="es-CO"/>
              </w:rPr>
              <w:t>INFORMACIÓN DISCRIMINADA DE EGRESOS</w:t>
            </w:r>
          </w:p>
        </w:tc>
      </w:tr>
      <w:tr w:rsidR="006021DA" w:rsidRPr="006021DA" w14:paraId="762889FF" w14:textId="77777777" w:rsidTr="00CD2F1D">
        <w:trPr>
          <w:trHeight w:val="480"/>
          <w:tblHeader/>
          <w:jc w:val="center"/>
        </w:trPr>
        <w:tc>
          <w:tcPr>
            <w:tcW w:w="683" w:type="dxa"/>
            <w:tcBorders>
              <w:top w:val="nil"/>
              <w:left w:val="single" w:sz="8" w:space="0" w:color="auto"/>
              <w:bottom w:val="single" w:sz="8" w:space="0" w:color="auto"/>
              <w:right w:val="single" w:sz="8" w:space="0" w:color="auto"/>
            </w:tcBorders>
            <w:shd w:val="clear" w:color="auto" w:fill="CCCCFF"/>
            <w:vAlign w:val="center"/>
            <w:hideMark/>
          </w:tcPr>
          <w:p w14:paraId="7DD43600" w14:textId="77777777" w:rsidR="00992C34" w:rsidRPr="006021DA" w:rsidRDefault="00992C34"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AÑO</w:t>
            </w:r>
          </w:p>
        </w:tc>
        <w:tc>
          <w:tcPr>
            <w:tcW w:w="1121" w:type="dxa"/>
            <w:tcBorders>
              <w:top w:val="nil"/>
              <w:left w:val="nil"/>
              <w:bottom w:val="single" w:sz="8" w:space="0" w:color="auto"/>
              <w:right w:val="single" w:sz="8" w:space="0" w:color="auto"/>
            </w:tcBorders>
            <w:shd w:val="clear" w:color="auto" w:fill="CCCCFF"/>
            <w:vAlign w:val="center"/>
            <w:hideMark/>
          </w:tcPr>
          <w:p w14:paraId="51289835" w14:textId="77777777" w:rsidR="00992C34" w:rsidRPr="006021DA" w:rsidRDefault="00992C34"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NIT / CC</w:t>
            </w:r>
          </w:p>
        </w:tc>
        <w:tc>
          <w:tcPr>
            <w:tcW w:w="3391" w:type="dxa"/>
            <w:tcBorders>
              <w:top w:val="nil"/>
              <w:left w:val="nil"/>
              <w:bottom w:val="single" w:sz="8" w:space="0" w:color="auto"/>
              <w:right w:val="single" w:sz="8" w:space="0" w:color="auto"/>
            </w:tcBorders>
            <w:shd w:val="clear" w:color="auto" w:fill="CCCCFF"/>
            <w:vAlign w:val="center"/>
            <w:hideMark/>
          </w:tcPr>
          <w:p w14:paraId="1D640CFC" w14:textId="77777777" w:rsidR="00992C34" w:rsidRPr="006021DA" w:rsidRDefault="00992C34"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Razón Social</w:t>
            </w:r>
          </w:p>
        </w:tc>
        <w:tc>
          <w:tcPr>
            <w:tcW w:w="1458" w:type="dxa"/>
            <w:tcBorders>
              <w:top w:val="nil"/>
              <w:left w:val="nil"/>
              <w:bottom w:val="single" w:sz="8" w:space="0" w:color="auto"/>
              <w:right w:val="single" w:sz="8" w:space="0" w:color="auto"/>
            </w:tcBorders>
            <w:shd w:val="clear" w:color="auto" w:fill="CCCCFF"/>
            <w:vAlign w:val="center"/>
            <w:hideMark/>
          </w:tcPr>
          <w:p w14:paraId="2252F052" w14:textId="77777777" w:rsidR="00992C34" w:rsidRPr="006021DA" w:rsidRDefault="00992C34"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Rubro Presupuestal</w:t>
            </w:r>
          </w:p>
        </w:tc>
        <w:tc>
          <w:tcPr>
            <w:tcW w:w="1559" w:type="dxa"/>
            <w:tcBorders>
              <w:top w:val="nil"/>
              <w:left w:val="nil"/>
              <w:bottom w:val="single" w:sz="8" w:space="0" w:color="auto"/>
              <w:right w:val="single" w:sz="8" w:space="0" w:color="auto"/>
            </w:tcBorders>
            <w:shd w:val="clear" w:color="auto" w:fill="CCCCFF"/>
            <w:vAlign w:val="center"/>
            <w:hideMark/>
          </w:tcPr>
          <w:p w14:paraId="62DA4C49" w14:textId="77777777" w:rsidR="00992C34" w:rsidRPr="006021DA" w:rsidRDefault="00992C34"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Valor Abonado</w:t>
            </w:r>
          </w:p>
        </w:tc>
        <w:tc>
          <w:tcPr>
            <w:tcW w:w="1181" w:type="dxa"/>
            <w:tcBorders>
              <w:top w:val="nil"/>
              <w:left w:val="nil"/>
              <w:bottom w:val="single" w:sz="8" w:space="0" w:color="auto"/>
              <w:right w:val="single" w:sz="8" w:space="0" w:color="auto"/>
            </w:tcBorders>
            <w:shd w:val="clear" w:color="auto" w:fill="CCCCFF"/>
            <w:vAlign w:val="center"/>
            <w:hideMark/>
          </w:tcPr>
          <w:p w14:paraId="6BAD65D5" w14:textId="77777777" w:rsidR="00992C34" w:rsidRPr="006021DA" w:rsidRDefault="00992C34"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No. </w:t>
            </w:r>
            <w:r w:rsidR="00B701A8" w:rsidRPr="006021DA">
              <w:rPr>
                <w:rFonts w:ascii="Arial" w:eastAsia="Times New Roman" w:hAnsi="Arial" w:cs="Arial"/>
                <w:b/>
                <w:bCs/>
                <w:sz w:val="16"/>
                <w:szCs w:val="16"/>
                <w:lang w:val="es-CO" w:eastAsia="es-CO"/>
              </w:rPr>
              <w:t>d</w:t>
            </w:r>
            <w:r w:rsidRPr="006021DA">
              <w:rPr>
                <w:rFonts w:ascii="Arial" w:eastAsia="Times New Roman" w:hAnsi="Arial" w:cs="Arial"/>
                <w:b/>
                <w:bCs/>
                <w:sz w:val="16"/>
                <w:szCs w:val="16"/>
                <w:lang w:val="es-CO" w:eastAsia="es-CO"/>
              </w:rPr>
              <w:t>e Abonos</w:t>
            </w:r>
          </w:p>
        </w:tc>
      </w:tr>
      <w:tr w:rsidR="00DE470C" w:rsidRPr="006021DA" w14:paraId="4DFB1F2A" w14:textId="77777777" w:rsidTr="00CD2F1D">
        <w:trPr>
          <w:trHeight w:val="283"/>
          <w:jc w:val="center"/>
        </w:trPr>
        <w:tc>
          <w:tcPr>
            <w:tcW w:w="683" w:type="dxa"/>
            <w:vMerge w:val="restart"/>
            <w:tcBorders>
              <w:top w:val="nil"/>
              <w:left w:val="single" w:sz="8" w:space="0" w:color="auto"/>
              <w:right w:val="single" w:sz="8" w:space="0" w:color="auto"/>
            </w:tcBorders>
            <w:vAlign w:val="center"/>
            <w:hideMark/>
          </w:tcPr>
          <w:p w14:paraId="0C42F1F4" w14:textId="77777777" w:rsidR="00DE470C" w:rsidRPr="006021DA" w:rsidRDefault="00DE470C" w:rsidP="00835F25">
            <w:pPr>
              <w:contextualSpacing/>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2021</w:t>
            </w:r>
          </w:p>
        </w:tc>
        <w:tc>
          <w:tcPr>
            <w:tcW w:w="1121" w:type="dxa"/>
            <w:tcBorders>
              <w:top w:val="nil"/>
              <w:left w:val="nil"/>
              <w:bottom w:val="single" w:sz="8" w:space="0" w:color="auto"/>
              <w:right w:val="single" w:sz="8" w:space="0" w:color="auto"/>
            </w:tcBorders>
            <w:vAlign w:val="center"/>
          </w:tcPr>
          <w:p w14:paraId="7F48C9EB" w14:textId="77777777" w:rsidR="00DE470C" w:rsidRPr="006021DA" w:rsidRDefault="00DE470C" w:rsidP="00835F25">
            <w:pPr>
              <w:contextualSpacing/>
              <w:jc w:val="center"/>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800</w:t>
            </w:r>
            <w:r w:rsidR="004E3AA2">
              <w:rPr>
                <w:rFonts w:ascii="Arial" w:eastAsia="Times New Roman" w:hAnsi="Arial" w:cs="Arial"/>
                <w:sz w:val="16"/>
                <w:szCs w:val="16"/>
                <w:lang w:val="es-CO" w:eastAsia="es-CO"/>
              </w:rPr>
              <w:t>.</w:t>
            </w:r>
            <w:r w:rsidRPr="00D1684D">
              <w:rPr>
                <w:rFonts w:ascii="Arial" w:eastAsia="Times New Roman" w:hAnsi="Arial" w:cs="Arial"/>
                <w:sz w:val="16"/>
                <w:szCs w:val="16"/>
                <w:lang w:val="es-CO" w:eastAsia="es-CO"/>
              </w:rPr>
              <w:t>095</w:t>
            </w:r>
            <w:r w:rsidR="004E3AA2">
              <w:rPr>
                <w:rFonts w:ascii="Arial" w:eastAsia="Times New Roman" w:hAnsi="Arial" w:cs="Arial"/>
                <w:sz w:val="16"/>
                <w:szCs w:val="16"/>
                <w:lang w:val="es-CO" w:eastAsia="es-CO"/>
              </w:rPr>
              <w:t>.</w:t>
            </w:r>
            <w:r w:rsidRPr="00D1684D">
              <w:rPr>
                <w:rFonts w:ascii="Arial" w:eastAsia="Times New Roman" w:hAnsi="Arial" w:cs="Arial"/>
                <w:sz w:val="16"/>
                <w:szCs w:val="16"/>
                <w:lang w:val="es-CO" w:eastAsia="es-CO"/>
              </w:rPr>
              <w:t>131</w:t>
            </w:r>
          </w:p>
        </w:tc>
        <w:tc>
          <w:tcPr>
            <w:tcW w:w="3391" w:type="dxa"/>
            <w:tcBorders>
              <w:top w:val="nil"/>
              <w:left w:val="nil"/>
              <w:bottom w:val="single" w:sz="8" w:space="0" w:color="auto"/>
              <w:right w:val="single" w:sz="8" w:space="0" w:color="auto"/>
            </w:tcBorders>
            <w:vAlign w:val="center"/>
          </w:tcPr>
          <w:p w14:paraId="267749FD" w14:textId="77777777" w:rsidR="00DE470C" w:rsidRPr="006021DA" w:rsidRDefault="00DE470C" w:rsidP="00835F25">
            <w:pPr>
              <w:contextualSpacing/>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MIGUEL QUIJANO Y CIA LTDA</w:t>
            </w:r>
          </w:p>
        </w:tc>
        <w:tc>
          <w:tcPr>
            <w:tcW w:w="1458" w:type="dxa"/>
            <w:tcBorders>
              <w:top w:val="nil"/>
              <w:left w:val="nil"/>
              <w:bottom w:val="single" w:sz="8" w:space="0" w:color="auto"/>
              <w:right w:val="single" w:sz="8" w:space="0" w:color="auto"/>
            </w:tcBorders>
            <w:vAlign w:val="center"/>
          </w:tcPr>
          <w:p w14:paraId="495E2E13"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3D1A6D76" w14:textId="77777777" w:rsidR="00DE470C" w:rsidRPr="006021DA" w:rsidRDefault="00DE470C" w:rsidP="00835F25">
            <w:pPr>
              <w:contextualSpacing/>
              <w:jc w:val="right"/>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$37.999.607</w:t>
            </w:r>
          </w:p>
        </w:tc>
        <w:tc>
          <w:tcPr>
            <w:tcW w:w="1181" w:type="dxa"/>
            <w:tcBorders>
              <w:top w:val="single" w:sz="8" w:space="0" w:color="auto"/>
              <w:left w:val="nil"/>
              <w:bottom w:val="single" w:sz="4" w:space="0" w:color="auto"/>
              <w:right w:val="single" w:sz="8" w:space="0" w:color="auto"/>
            </w:tcBorders>
            <w:vAlign w:val="center"/>
          </w:tcPr>
          <w:p w14:paraId="39E62A8C" w14:textId="77777777" w:rsidR="00DE470C" w:rsidRPr="006021DA" w:rsidRDefault="00FD0D89"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w:t>
            </w:r>
          </w:p>
        </w:tc>
      </w:tr>
      <w:tr w:rsidR="00DE470C" w:rsidRPr="006021DA" w14:paraId="61F59B66" w14:textId="77777777" w:rsidTr="00CD2F1D">
        <w:trPr>
          <w:trHeight w:val="283"/>
          <w:jc w:val="center"/>
        </w:trPr>
        <w:tc>
          <w:tcPr>
            <w:tcW w:w="683" w:type="dxa"/>
            <w:vMerge/>
            <w:tcBorders>
              <w:left w:val="single" w:sz="8" w:space="0" w:color="auto"/>
              <w:right w:val="single" w:sz="8" w:space="0" w:color="auto"/>
            </w:tcBorders>
            <w:vAlign w:val="center"/>
          </w:tcPr>
          <w:p w14:paraId="35E77416"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val="restart"/>
            <w:tcBorders>
              <w:top w:val="nil"/>
              <w:left w:val="nil"/>
              <w:right w:val="single" w:sz="8" w:space="0" w:color="auto"/>
            </w:tcBorders>
            <w:vAlign w:val="center"/>
          </w:tcPr>
          <w:p w14:paraId="0B5D4411" w14:textId="77777777" w:rsidR="00DE470C" w:rsidRPr="006021DA" w:rsidRDefault="00DE470C" w:rsidP="00835F25">
            <w:pPr>
              <w:contextualSpacing/>
              <w:jc w:val="center"/>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830</w:t>
            </w:r>
            <w:r w:rsidR="004E3AA2">
              <w:rPr>
                <w:rFonts w:ascii="Arial" w:eastAsia="Times New Roman" w:hAnsi="Arial" w:cs="Arial"/>
                <w:sz w:val="16"/>
                <w:szCs w:val="16"/>
                <w:lang w:val="es-CO" w:eastAsia="es-CO"/>
              </w:rPr>
              <w:t>.</w:t>
            </w:r>
            <w:r w:rsidRPr="00D1684D">
              <w:rPr>
                <w:rFonts w:ascii="Arial" w:eastAsia="Times New Roman" w:hAnsi="Arial" w:cs="Arial"/>
                <w:sz w:val="16"/>
                <w:szCs w:val="16"/>
                <w:lang w:val="es-CO" w:eastAsia="es-CO"/>
              </w:rPr>
              <w:t>054</w:t>
            </w:r>
            <w:r w:rsidR="004E3AA2">
              <w:rPr>
                <w:rFonts w:ascii="Arial" w:eastAsia="Times New Roman" w:hAnsi="Arial" w:cs="Arial"/>
                <w:sz w:val="16"/>
                <w:szCs w:val="16"/>
                <w:lang w:val="es-CO" w:eastAsia="es-CO"/>
              </w:rPr>
              <w:t>.</w:t>
            </w:r>
            <w:r w:rsidRPr="00D1684D">
              <w:rPr>
                <w:rFonts w:ascii="Arial" w:eastAsia="Times New Roman" w:hAnsi="Arial" w:cs="Arial"/>
                <w:sz w:val="16"/>
                <w:szCs w:val="16"/>
                <w:lang w:val="es-CO" w:eastAsia="es-CO"/>
              </w:rPr>
              <w:t>357</w:t>
            </w:r>
          </w:p>
        </w:tc>
        <w:tc>
          <w:tcPr>
            <w:tcW w:w="3391" w:type="dxa"/>
            <w:tcBorders>
              <w:top w:val="nil"/>
              <w:left w:val="nil"/>
              <w:bottom w:val="single" w:sz="8" w:space="0" w:color="auto"/>
              <w:right w:val="single" w:sz="8" w:space="0" w:color="auto"/>
            </w:tcBorders>
            <w:vAlign w:val="center"/>
          </w:tcPr>
          <w:p w14:paraId="1408EC03" w14:textId="77777777" w:rsidR="00DE470C" w:rsidRPr="006021DA" w:rsidRDefault="00DE470C" w:rsidP="00835F25">
            <w:pPr>
              <w:contextualSpacing/>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ESTAMP AOS DORADOS</w:t>
            </w:r>
          </w:p>
        </w:tc>
        <w:tc>
          <w:tcPr>
            <w:tcW w:w="1458" w:type="dxa"/>
            <w:tcBorders>
              <w:top w:val="nil"/>
              <w:left w:val="nil"/>
              <w:bottom w:val="single" w:sz="8" w:space="0" w:color="auto"/>
              <w:right w:val="single" w:sz="8" w:space="0" w:color="auto"/>
            </w:tcBorders>
            <w:vAlign w:val="center"/>
          </w:tcPr>
          <w:p w14:paraId="3552EC88"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4948F526" w14:textId="77777777" w:rsidR="00DE470C" w:rsidRPr="006021DA" w:rsidRDefault="00DE470C" w:rsidP="00835F25">
            <w:pPr>
              <w:contextualSpacing/>
              <w:jc w:val="right"/>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$251.794.806</w:t>
            </w:r>
          </w:p>
        </w:tc>
        <w:tc>
          <w:tcPr>
            <w:tcW w:w="1181" w:type="dxa"/>
            <w:tcBorders>
              <w:top w:val="single" w:sz="4" w:space="0" w:color="auto"/>
              <w:left w:val="nil"/>
              <w:bottom w:val="single" w:sz="4" w:space="0" w:color="auto"/>
              <w:right w:val="single" w:sz="8" w:space="0" w:color="auto"/>
            </w:tcBorders>
            <w:vAlign w:val="center"/>
          </w:tcPr>
          <w:p w14:paraId="0EF1812F" w14:textId="77777777" w:rsidR="00DE470C" w:rsidRPr="006021DA" w:rsidRDefault="004E3AA2"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r>
      <w:tr w:rsidR="00DE470C" w:rsidRPr="006021DA" w14:paraId="61BD8304" w14:textId="77777777" w:rsidTr="00CD2F1D">
        <w:trPr>
          <w:trHeight w:val="283"/>
          <w:jc w:val="center"/>
        </w:trPr>
        <w:tc>
          <w:tcPr>
            <w:tcW w:w="683" w:type="dxa"/>
            <w:vMerge/>
            <w:tcBorders>
              <w:left w:val="single" w:sz="8" w:space="0" w:color="auto"/>
              <w:right w:val="single" w:sz="8" w:space="0" w:color="auto"/>
            </w:tcBorders>
            <w:vAlign w:val="center"/>
          </w:tcPr>
          <w:p w14:paraId="26578228"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0628F3CE"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6C1DCCF2" w14:textId="77777777" w:rsidR="00DE470C" w:rsidRPr="006021DA" w:rsidRDefault="00DE470C" w:rsidP="00835F25">
            <w:pPr>
              <w:contextualSpacing/>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ESTAMP U DE C</w:t>
            </w:r>
          </w:p>
        </w:tc>
        <w:tc>
          <w:tcPr>
            <w:tcW w:w="1458" w:type="dxa"/>
            <w:tcBorders>
              <w:top w:val="nil"/>
              <w:left w:val="nil"/>
              <w:bottom w:val="single" w:sz="8" w:space="0" w:color="auto"/>
              <w:right w:val="single" w:sz="8" w:space="0" w:color="auto"/>
            </w:tcBorders>
            <w:vAlign w:val="center"/>
          </w:tcPr>
          <w:p w14:paraId="4E4C5913"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6201FCCD" w14:textId="77777777" w:rsidR="00DE470C" w:rsidRPr="006021DA" w:rsidRDefault="00DE470C" w:rsidP="00835F25">
            <w:pPr>
              <w:contextualSpacing/>
              <w:jc w:val="right"/>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$125.897.403</w:t>
            </w:r>
          </w:p>
        </w:tc>
        <w:tc>
          <w:tcPr>
            <w:tcW w:w="1181" w:type="dxa"/>
            <w:tcBorders>
              <w:top w:val="nil"/>
              <w:left w:val="nil"/>
              <w:bottom w:val="single" w:sz="8" w:space="0" w:color="auto"/>
              <w:right w:val="single" w:sz="8" w:space="0" w:color="auto"/>
            </w:tcBorders>
            <w:vAlign w:val="center"/>
          </w:tcPr>
          <w:p w14:paraId="014C2895" w14:textId="77777777" w:rsidR="00DE470C" w:rsidRPr="006021DA" w:rsidRDefault="004E3AA2"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r>
      <w:tr w:rsidR="00DE470C" w:rsidRPr="006021DA" w14:paraId="01224BE1" w14:textId="77777777" w:rsidTr="00CD2F1D">
        <w:trPr>
          <w:trHeight w:val="283"/>
          <w:jc w:val="center"/>
        </w:trPr>
        <w:tc>
          <w:tcPr>
            <w:tcW w:w="683" w:type="dxa"/>
            <w:vMerge/>
            <w:tcBorders>
              <w:left w:val="single" w:sz="8" w:space="0" w:color="auto"/>
              <w:right w:val="single" w:sz="8" w:space="0" w:color="auto"/>
            </w:tcBorders>
            <w:vAlign w:val="center"/>
          </w:tcPr>
          <w:p w14:paraId="3E5814B5"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541F4A68"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4F764BC6" w14:textId="77777777" w:rsidR="00DE470C" w:rsidRPr="006021DA" w:rsidRDefault="00DE470C" w:rsidP="00835F25">
            <w:pPr>
              <w:contextualSpacing/>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U DE CE</w:t>
            </w:r>
          </w:p>
        </w:tc>
        <w:tc>
          <w:tcPr>
            <w:tcW w:w="1458" w:type="dxa"/>
            <w:tcBorders>
              <w:top w:val="nil"/>
              <w:left w:val="nil"/>
              <w:bottom w:val="single" w:sz="8" w:space="0" w:color="auto"/>
              <w:right w:val="single" w:sz="8" w:space="0" w:color="auto"/>
            </w:tcBorders>
            <w:vAlign w:val="center"/>
          </w:tcPr>
          <w:p w14:paraId="0845DC86"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7B29C23D" w14:textId="77777777" w:rsidR="00DE470C" w:rsidRPr="006021DA" w:rsidRDefault="00DE470C" w:rsidP="00835F25">
            <w:pPr>
              <w:contextualSpacing/>
              <w:jc w:val="right"/>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$38.406.284</w:t>
            </w:r>
          </w:p>
        </w:tc>
        <w:tc>
          <w:tcPr>
            <w:tcW w:w="1181" w:type="dxa"/>
            <w:tcBorders>
              <w:top w:val="nil"/>
              <w:left w:val="nil"/>
              <w:bottom w:val="single" w:sz="8" w:space="0" w:color="auto"/>
              <w:right w:val="single" w:sz="8" w:space="0" w:color="auto"/>
            </w:tcBorders>
            <w:vAlign w:val="center"/>
          </w:tcPr>
          <w:p w14:paraId="0C0D9BE5" w14:textId="77777777" w:rsidR="00DE470C" w:rsidRPr="006021DA" w:rsidRDefault="004E3AA2"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w:t>
            </w:r>
          </w:p>
        </w:tc>
      </w:tr>
      <w:tr w:rsidR="00DE470C" w:rsidRPr="006021DA" w14:paraId="7448F5E6" w14:textId="77777777" w:rsidTr="00CD2F1D">
        <w:trPr>
          <w:trHeight w:val="283"/>
          <w:jc w:val="center"/>
        </w:trPr>
        <w:tc>
          <w:tcPr>
            <w:tcW w:w="683" w:type="dxa"/>
            <w:vMerge/>
            <w:tcBorders>
              <w:left w:val="single" w:sz="8" w:space="0" w:color="auto"/>
              <w:right w:val="single" w:sz="8" w:space="0" w:color="auto"/>
            </w:tcBorders>
            <w:vAlign w:val="center"/>
          </w:tcPr>
          <w:p w14:paraId="1BC5A63F"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bottom w:val="single" w:sz="8" w:space="0" w:color="auto"/>
              <w:right w:val="single" w:sz="8" w:space="0" w:color="auto"/>
            </w:tcBorders>
            <w:vAlign w:val="center"/>
          </w:tcPr>
          <w:p w14:paraId="08877883"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5026EC5A" w14:textId="77777777" w:rsidR="00DE470C" w:rsidRPr="006021DA" w:rsidRDefault="00DE470C" w:rsidP="00835F25">
            <w:pPr>
              <w:contextualSpacing/>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UDC FIDEICOMISO SERVITRUST</w:t>
            </w:r>
          </w:p>
        </w:tc>
        <w:tc>
          <w:tcPr>
            <w:tcW w:w="1458" w:type="dxa"/>
            <w:tcBorders>
              <w:top w:val="nil"/>
              <w:left w:val="nil"/>
              <w:bottom w:val="single" w:sz="8" w:space="0" w:color="auto"/>
              <w:right w:val="single" w:sz="8" w:space="0" w:color="auto"/>
            </w:tcBorders>
            <w:vAlign w:val="center"/>
          </w:tcPr>
          <w:p w14:paraId="00462815"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1E7C4E4D" w14:textId="77777777" w:rsidR="00DE470C" w:rsidRPr="006021DA" w:rsidRDefault="00DE470C" w:rsidP="00835F25">
            <w:pPr>
              <w:contextualSpacing/>
              <w:jc w:val="right"/>
              <w:rPr>
                <w:rFonts w:ascii="Arial" w:eastAsia="Times New Roman" w:hAnsi="Arial" w:cs="Arial"/>
                <w:sz w:val="16"/>
                <w:szCs w:val="16"/>
                <w:lang w:val="es-CO" w:eastAsia="es-CO"/>
              </w:rPr>
            </w:pPr>
            <w:r w:rsidRPr="00D1684D">
              <w:rPr>
                <w:rFonts w:ascii="Arial" w:eastAsia="Times New Roman" w:hAnsi="Arial" w:cs="Arial"/>
                <w:sz w:val="16"/>
                <w:szCs w:val="16"/>
                <w:lang w:val="es-CO" w:eastAsia="es-CO"/>
              </w:rPr>
              <w:t>$</w:t>
            </w:r>
            <w:r w:rsidR="001200F4">
              <w:rPr>
                <w:rFonts w:ascii="Arial" w:eastAsia="Times New Roman" w:hAnsi="Arial" w:cs="Arial"/>
                <w:sz w:val="16"/>
                <w:szCs w:val="16"/>
                <w:lang w:val="es-CO" w:eastAsia="es-CO"/>
              </w:rPr>
              <w:t>124.594.641</w:t>
            </w:r>
          </w:p>
        </w:tc>
        <w:tc>
          <w:tcPr>
            <w:tcW w:w="1181" w:type="dxa"/>
            <w:tcBorders>
              <w:top w:val="nil"/>
              <w:left w:val="nil"/>
              <w:bottom w:val="single" w:sz="8" w:space="0" w:color="auto"/>
              <w:right w:val="single" w:sz="8" w:space="0" w:color="auto"/>
            </w:tcBorders>
            <w:vAlign w:val="center"/>
          </w:tcPr>
          <w:p w14:paraId="21D49AF2" w14:textId="77777777" w:rsidR="00DE470C" w:rsidRPr="006021DA" w:rsidRDefault="001200F4"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w:t>
            </w:r>
          </w:p>
        </w:tc>
      </w:tr>
      <w:tr w:rsidR="00DE470C" w:rsidRPr="006021DA" w14:paraId="59913FAC" w14:textId="77777777" w:rsidTr="00CD2F1D">
        <w:trPr>
          <w:trHeight w:val="283"/>
          <w:jc w:val="center"/>
        </w:trPr>
        <w:tc>
          <w:tcPr>
            <w:tcW w:w="683" w:type="dxa"/>
            <w:vMerge/>
            <w:tcBorders>
              <w:left w:val="single" w:sz="8" w:space="0" w:color="auto"/>
              <w:right w:val="single" w:sz="8" w:space="0" w:color="auto"/>
            </w:tcBorders>
            <w:vAlign w:val="center"/>
          </w:tcPr>
          <w:p w14:paraId="2E0E7D67"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tcBorders>
              <w:top w:val="nil"/>
              <w:left w:val="nil"/>
              <w:bottom w:val="single" w:sz="8" w:space="0" w:color="auto"/>
              <w:right w:val="single" w:sz="8" w:space="0" w:color="auto"/>
            </w:tcBorders>
            <w:vAlign w:val="center"/>
          </w:tcPr>
          <w:p w14:paraId="7CEDB434" w14:textId="77777777" w:rsidR="00DE470C" w:rsidRPr="006021DA" w:rsidRDefault="00DE470C" w:rsidP="00835F25">
            <w:pPr>
              <w:contextualSpacing/>
              <w:jc w:val="center"/>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860</w:t>
            </w:r>
            <w:r w:rsidR="004E3AA2">
              <w:rPr>
                <w:rFonts w:ascii="Arial" w:eastAsia="Times New Roman" w:hAnsi="Arial" w:cs="Arial"/>
                <w:sz w:val="16"/>
                <w:szCs w:val="16"/>
                <w:lang w:val="es-CO" w:eastAsia="es-CO"/>
              </w:rPr>
              <w:t>.</w:t>
            </w:r>
            <w:r w:rsidRPr="00D45594">
              <w:rPr>
                <w:rFonts w:ascii="Arial" w:eastAsia="Times New Roman" w:hAnsi="Arial" w:cs="Arial"/>
                <w:sz w:val="16"/>
                <w:szCs w:val="16"/>
                <w:lang w:val="es-CO" w:eastAsia="es-CO"/>
              </w:rPr>
              <w:t>071</w:t>
            </w:r>
            <w:r w:rsidR="004E3AA2">
              <w:rPr>
                <w:rFonts w:ascii="Arial" w:eastAsia="Times New Roman" w:hAnsi="Arial" w:cs="Arial"/>
                <w:sz w:val="16"/>
                <w:szCs w:val="16"/>
                <w:lang w:val="es-CO" w:eastAsia="es-CO"/>
              </w:rPr>
              <w:t>.</w:t>
            </w:r>
            <w:r w:rsidRPr="00D45594">
              <w:rPr>
                <w:rFonts w:ascii="Arial" w:eastAsia="Times New Roman" w:hAnsi="Arial" w:cs="Arial"/>
                <w:sz w:val="16"/>
                <w:szCs w:val="16"/>
                <w:lang w:val="es-CO" w:eastAsia="es-CO"/>
              </w:rPr>
              <w:t>250</w:t>
            </w:r>
          </w:p>
        </w:tc>
        <w:tc>
          <w:tcPr>
            <w:tcW w:w="3391" w:type="dxa"/>
            <w:tcBorders>
              <w:top w:val="nil"/>
              <w:left w:val="nil"/>
              <w:bottom w:val="single" w:sz="8" w:space="0" w:color="auto"/>
              <w:right w:val="single" w:sz="8" w:space="0" w:color="auto"/>
            </w:tcBorders>
            <w:vAlign w:val="center"/>
          </w:tcPr>
          <w:p w14:paraId="46271C49"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BOLSA MERCANTIL DE COLOMBIA</w:t>
            </w:r>
          </w:p>
        </w:tc>
        <w:tc>
          <w:tcPr>
            <w:tcW w:w="1458" w:type="dxa"/>
            <w:tcBorders>
              <w:top w:val="nil"/>
              <w:left w:val="nil"/>
              <w:bottom w:val="single" w:sz="8" w:space="0" w:color="auto"/>
              <w:right w:val="single" w:sz="8" w:space="0" w:color="auto"/>
            </w:tcBorders>
            <w:vAlign w:val="center"/>
          </w:tcPr>
          <w:p w14:paraId="6574FDD9"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543B6C29" w14:textId="77777777" w:rsidR="00DE470C" w:rsidRPr="006021DA" w:rsidRDefault="00DE470C" w:rsidP="00835F25">
            <w:pPr>
              <w:contextualSpacing/>
              <w:jc w:val="right"/>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$16.044.094.620</w:t>
            </w:r>
          </w:p>
        </w:tc>
        <w:tc>
          <w:tcPr>
            <w:tcW w:w="1181" w:type="dxa"/>
            <w:tcBorders>
              <w:top w:val="nil"/>
              <w:left w:val="nil"/>
              <w:bottom w:val="single" w:sz="8" w:space="0" w:color="auto"/>
              <w:right w:val="single" w:sz="8" w:space="0" w:color="auto"/>
            </w:tcBorders>
            <w:vAlign w:val="center"/>
          </w:tcPr>
          <w:p w14:paraId="06B1442E" w14:textId="77777777" w:rsidR="00DE470C" w:rsidRPr="006021DA" w:rsidRDefault="001200F4"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21</w:t>
            </w:r>
          </w:p>
        </w:tc>
      </w:tr>
      <w:tr w:rsidR="00DE470C" w:rsidRPr="006021DA" w14:paraId="5A247AA6" w14:textId="77777777" w:rsidTr="00CD2F1D">
        <w:trPr>
          <w:trHeight w:val="283"/>
          <w:jc w:val="center"/>
        </w:trPr>
        <w:tc>
          <w:tcPr>
            <w:tcW w:w="683" w:type="dxa"/>
            <w:vMerge/>
            <w:tcBorders>
              <w:left w:val="single" w:sz="8" w:space="0" w:color="auto"/>
              <w:right w:val="single" w:sz="8" w:space="0" w:color="auto"/>
            </w:tcBorders>
            <w:vAlign w:val="center"/>
          </w:tcPr>
          <w:p w14:paraId="344494B5"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val="restart"/>
            <w:tcBorders>
              <w:top w:val="nil"/>
              <w:left w:val="nil"/>
              <w:right w:val="single" w:sz="8" w:space="0" w:color="auto"/>
            </w:tcBorders>
            <w:vAlign w:val="center"/>
          </w:tcPr>
          <w:p w14:paraId="4609BAD2" w14:textId="77777777" w:rsidR="00DE470C" w:rsidRPr="006021DA" w:rsidRDefault="00DE470C" w:rsidP="00835F25">
            <w:pPr>
              <w:contextualSpacing/>
              <w:jc w:val="center"/>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860</w:t>
            </w:r>
            <w:r w:rsidR="004E3AA2">
              <w:rPr>
                <w:rFonts w:ascii="Arial" w:eastAsia="Times New Roman" w:hAnsi="Arial" w:cs="Arial"/>
                <w:sz w:val="16"/>
                <w:szCs w:val="16"/>
                <w:lang w:val="es-CO" w:eastAsia="es-CO"/>
              </w:rPr>
              <w:t>.</w:t>
            </w:r>
            <w:r w:rsidRPr="00D45594">
              <w:rPr>
                <w:rFonts w:ascii="Arial" w:eastAsia="Times New Roman" w:hAnsi="Arial" w:cs="Arial"/>
                <w:sz w:val="16"/>
                <w:szCs w:val="16"/>
                <w:lang w:val="es-CO" w:eastAsia="es-CO"/>
              </w:rPr>
              <w:t>525</w:t>
            </w:r>
            <w:r w:rsidR="004E3AA2">
              <w:rPr>
                <w:rFonts w:ascii="Arial" w:eastAsia="Times New Roman" w:hAnsi="Arial" w:cs="Arial"/>
                <w:sz w:val="16"/>
                <w:szCs w:val="16"/>
                <w:lang w:val="es-CO" w:eastAsia="es-CO"/>
              </w:rPr>
              <w:t>.</w:t>
            </w:r>
            <w:r w:rsidRPr="00D45594">
              <w:rPr>
                <w:rFonts w:ascii="Arial" w:eastAsia="Times New Roman" w:hAnsi="Arial" w:cs="Arial"/>
                <w:sz w:val="16"/>
                <w:szCs w:val="16"/>
                <w:lang w:val="es-CO" w:eastAsia="es-CO"/>
              </w:rPr>
              <w:t>148</w:t>
            </w:r>
          </w:p>
        </w:tc>
        <w:tc>
          <w:tcPr>
            <w:tcW w:w="3391" w:type="dxa"/>
            <w:tcBorders>
              <w:top w:val="nil"/>
              <w:left w:val="nil"/>
              <w:bottom w:val="single" w:sz="8" w:space="0" w:color="auto"/>
              <w:right w:val="single" w:sz="8" w:space="0" w:color="auto"/>
            </w:tcBorders>
            <w:vAlign w:val="center"/>
          </w:tcPr>
          <w:p w14:paraId="7E50E6AC"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EEF1469DIST DE CGENA PAGADORA </w:t>
            </w:r>
          </w:p>
        </w:tc>
        <w:tc>
          <w:tcPr>
            <w:tcW w:w="1458" w:type="dxa"/>
            <w:tcBorders>
              <w:top w:val="nil"/>
              <w:left w:val="nil"/>
              <w:bottom w:val="single" w:sz="8" w:space="0" w:color="auto"/>
              <w:right w:val="single" w:sz="8" w:space="0" w:color="auto"/>
            </w:tcBorders>
            <w:vAlign w:val="center"/>
          </w:tcPr>
          <w:p w14:paraId="00AE5344"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3ABD1811" w14:textId="77777777" w:rsidR="00DE470C" w:rsidRPr="006021DA" w:rsidRDefault="00DE470C" w:rsidP="00835F25">
            <w:pPr>
              <w:contextualSpacing/>
              <w:jc w:val="right"/>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$499.506.702 </w:t>
            </w:r>
          </w:p>
        </w:tc>
        <w:tc>
          <w:tcPr>
            <w:tcW w:w="1181" w:type="dxa"/>
            <w:tcBorders>
              <w:top w:val="nil"/>
              <w:left w:val="nil"/>
              <w:bottom w:val="single" w:sz="8" w:space="0" w:color="auto"/>
              <w:right w:val="single" w:sz="8" w:space="0" w:color="auto"/>
            </w:tcBorders>
            <w:vAlign w:val="center"/>
          </w:tcPr>
          <w:p w14:paraId="03511F25"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w:t>
            </w:r>
          </w:p>
        </w:tc>
      </w:tr>
      <w:tr w:rsidR="00DE470C" w:rsidRPr="006021DA" w14:paraId="6B7E7B4F" w14:textId="77777777" w:rsidTr="00CD2F1D">
        <w:trPr>
          <w:trHeight w:val="283"/>
          <w:jc w:val="center"/>
        </w:trPr>
        <w:tc>
          <w:tcPr>
            <w:tcW w:w="683" w:type="dxa"/>
            <w:vMerge/>
            <w:tcBorders>
              <w:left w:val="single" w:sz="8" w:space="0" w:color="auto"/>
              <w:right w:val="single" w:sz="8" w:space="0" w:color="auto"/>
            </w:tcBorders>
            <w:vAlign w:val="center"/>
          </w:tcPr>
          <w:p w14:paraId="44821297"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4D1004FE"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7A9C71D1"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FIDUCIARIA LA PREVISORA ICA</w:t>
            </w:r>
          </w:p>
        </w:tc>
        <w:tc>
          <w:tcPr>
            <w:tcW w:w="1458" w:type="dxa"/>
            <w:tcBorders>
              <w:top w:val="nil"/>
              <w:left w:val="nil"/>
              <w:bottom w:val="single" w:sz="8" w:space="0" w:color="auto"/>
              <w:right w:val="single" w:sz="8" w:space="0" w:color="auto"/>
            </w:tcBorders>
            <w:vAlign w:val="center"/>
          </w:tcPr>
          <w:p w14:paraId="5EC74E31"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1F0FA3F7" w14:textId="77777777" w:rsidR="00DE470C" w:rsidRPr="006021DA" w:rsidRDefault="00DE470C" w:rsidP="00835F25">
            <w:pPr>
              <w:contextualSpacing/>
              <w:jc w:val="right"/>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$99.372.491 </w:t>
            </w:r>
          </w:p>
        </w:tc>
        <w:tc>
          <w:tcPr>
            <w:tcW w:w="1181" w:type="dxa"/>
            <w:tcBorders>
              <w:top w:val="nil"/>
              <w:left w:val="nil"/>
              <w:bottom w:val="single" w:sz="8" w:space="0" w:color="auto"/>
              <w:right w:val="single" w:sz="8" w:space="0" w:color="auto"/>
            </w:tcBorders>
            <w:vAlign w:val="center"/>
          </w:tcPr>
          <w:p w14:paraId="3611FF5E"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w:t>
            </w:r>
          </w:p>
        </w:tc>
      </w:tr>
      <w:tr w:rsidR="00DE470C" w:rsidRPr="006021DA" w14:paraId="2E4238A4" w14:textId="77777777" w:rsidTr="00CD2F1D">
        <w:trPr>
          <w:trHeight w:val="283"/>
          <w:jc w:val="center"/>
        </w:trPr>
        <w:tc>
          <w:tcPr>
            <w:tcW w:w="683" w:type="dxa"/>
            <w:vMerge/>
            <w:tcBorders>
              <w:left w:val="single" w:sz="8" w:space="0" w:color="auto"/>
              <w:right w:val="single" w:sz="8" w:space="0" w:color="auto"/>
            </w:tcBorders>
            <w:vAlign w:val="center"/>
          </w:tcPr>
          <w:p w14:paraId="6E4D6E72"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2B930938"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42D58249"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FIDUPREVISORA RETEFUENTE Y RTE IVA</w:t>
            </w:r>
          </w:p>
        </w:tc>
        <w:tc>
          <w:tcPr>
            <w:tcW w:w="1458" w:type="dxa"/>
            <w:tcBorders>
              <w:top w:val="nil"/>
              <w:left w:val="nil"/>
              <w:bottom w:val="single" w:sz="8" w:space="0" w:color="auto"/>
              <w:right w:val="single" w:sz="8" w:space="0" w:color="auto"/>
            </w:tcBorders>
            <w:vAlign w:val="center"/>
          </w:tcPr>
          <w:p w14:paraId="13F3F54D"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11164917" w14:textId="77777777" w:rsidR="00DE470C" w:rsidRPr="006021DA" w:rsidRDefault="00DE470C" w:rsidP="00835F25">
            <w:pPr>
              <w:contextualSpacing/>
              <w:jc w:val="right"/>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$315.654.539 </w:t>
            </w:r>
          </w:p>
        </w:tc>
        <w:tc>
          <w:tcPr>
            <w:tcW w:w="1181" w:type="dxa"/>
            <w:tcBorders>
              <w:top w:val="nil"/>
              <w:left w:val="nil"/>
              <w:bottom w:val="single" w:sz="8" w:space="0" w:color="auto"/>
              <w:right w:val="single" w:sz="8" w:space="0" w:color="auto"/>
            </w:tcBorders>
            <w:vAlign w:val="center"/>
          </w:tcPr>
          <w:p w14:paraId="1EFEC116"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r>
      <w:tr w:rsidR="00DE470C" w:rsidRPr="006021DA" w14:paraId="3F2B8656" w14:textId="77777777" w:rsidTr="00665413">
        <w:trPr>
          <w:trHeight w:val="283"/>
          <w:jc w:val="center"/>
        </w:trPr>
        <w:tc>
          <w:tcPr>
            <w:tcW w:w="683" w:type="dxa"/>
            <w:vMerge/>
            <w:tcBorders>
              <w:left w:val="single" w:sz="8" w:space="0" w:color="auto"/>
              <w:right w:val="single" w:sz="8" w:space="0" w:color="auto"/>
            </w:tcBorders>
            <w:vAlign w:val="center"/>
          </w:tcPr>
          <w:p w14:paraId="3D83C8A4"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03B505FC"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52B3562F"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ICA</w:t>
            </w:r>
          </w:p>
        </w:tc>
        <w:tc>
          <w:tcPr>
            <w:tcW w:w="1458" w:type="dxa"/>
            <w:tcBorders>
              <w:top w:val="nil"/>
              <w:left w:val="nil"/>
              <w:bottom w:val="single" w:sz="8" w:space="0" w:color="auto"/>
              <w:right w:val="single" w:sz="8" w:space="0" w:color="auto"/>
            </w:tcBorders>
            <w:vAlign w:val="center"/>
          </w:tcPr>
          <w:p w14:paraId="44FE2769"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0000000010003</w:t>
            </w:r>
          </w:p>
        </w:tc>
        <w:tc>
          <w:tcPr>
            <w:tcW w:w="1559" w:type="dxa"/>
            <w:tcBorders>
              <w:top w:val="nil"/>
              <w:left w:val="nil"/>
              <w:bottom w:val="single" w:sz="8" w:space="0" w:color="auto"/>
              <w:right w:val="single" w:sz="8" w:space="0" w:color="auto"/>
            </w:tcBorders>
            <w:vAlign w:val="center"/>
          </w:tcPr>
          <w:p w14:paraId="653AB4EB" w14:textId="77777777" w:rsidR="00DE470C" w:rsidRPr="006021DA" w:rsidRDefault="00DE470C" w:rsidP="00835F25">
            <w:pPr>
              <w:contextualSpacing/>
              <w:jc w:val="right"/>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$30.842.007 </w:t>
            </w:r>
          </w:p>
        </w:tc>
        <w:tc>
          <w:tcPr>
            <w:tcW w:w="1181" w:type="dxa"/>
            <w:tcBorders>
              <w:top w:val="nil"/>
              <w:left w:val="nil"/>
              <w:bottom w:val="single" w:sz="8" w:space="0" w:color="auto"/>
              <w:right w:val="single" w:sz="8" w:space="0" w:color="auto"/>
            </w:tcBorders>
            <w:vAlign w:val="center"/>
          </w:tcPr>
          <w:p w14:paraId="183B8A0B"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w:t>
            </w:r>
          </w:p>
        </w:tc>
      </w:tr>
      <w:tr w:rsidR="00DE470C" w:rsidRPr="006021DA" w14:paraId="1848E776" w14:textId="77777777" w:rsidTr="00665413">
        <w:trPr>
          <w:trHeight w:val="283"/>
          <w:jc w:val="center"/>
        </w:trPr>
        <w:tc>
          <w:tcPr>
            <w:tcW w:w="683" w:type="dxa"/>
            <w:vMerge/>
            <w:tcBorders>
              <w:left w:val="single" w:sz="8" w:space="0" w:color="auto"/>
              <w:right w:val="single" w:sz="8" w:space="0" w:color="auto"/>
            </w:tcBorders>
            <w:vAlign w:val="center"/>
          </w:tcPr>
          <w:p w14:paraId="03CD6FE1"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7B49CE05"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59719A5D"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RTE FTE Y RTE IVA FIDUPREVIS</w:t>
            </w:r>
          </w:p>
        </w:tc>
        <w:tc>
          <w:tcPr>
            <w:tcW w:w="1458" w:type="dxa"/>
            <w:tcBorders>
              <w:top w:val="nil"/>
              <w:left w:val="nil"/>
              <w:bottom w:val="single" w:sz="8" w:space="0" w:color="auto"/>
              <w:right w:val="single" w:sz="8" w:space="0" w:color="auto"/>
            </w:tcBorders>
            <w:vAlign w:val="center"/>
          </w:tcPr>
          <w:p w14:paraId="763BC80F"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6E76E554" w14:textId="77777777" w:rsidR="00DE470C" w:rsidRPr="006021DA" w:rsidRDefault="00DE470C" w:rsidP="00835F25">
            <w:pPr>
              <w:contextualSpacing/>
              <w:jc w:val="right"/>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$152.693.931 </w:t>
            </w:r>
          </w:p>
        </w:tc>
        <w:tc>
          <w:tcPr>
            <w:tcW w:w="1181" w:type="dxa"/>
            <w:tcBorders>
              <w:top w:val="nil"/>
              <w:left w:val="nil"/>
              <w:bottom w:val="single" w:sz="8" w:space="0" w:color="auto"/>
              <w:right w:val="single" w:sz="8" w:space="0" w:color="auto"/>
            </w:tcBorders>
            <w:vAlign w:val="center"/>
          </w:tcPr>
          <w:p w14:paraId="6248A759"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r>
      <w:tr w:rsidR="00DE470C" w:rsidRPr="006021DA" w14:paraId="0B978368" w14:textId="77777777" w:rsidTr="00665413">
        <w:trPr>
          <w:trHeight w:val="283"/>
          <w:jc w:val="center"/>
        </w:trPr>
        <w:tc>
          <w:tcPr>
            <w:tcW w:w="683" w:type="dxa"/>
            <w:vMerge/>
            <w:tcBorders>
              <w:left w:val="single" w:sz="8" w:space="0" w:color="auto"/>
              <w:right w:val="single" w:sz="8" w:space="0" w:color="auto"/>
            </w:tcBorders>
            <w:vAlign w:val="center"/>
          </w:tcPr>
          <w:p w14:paraId="3FE46372"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bottom w:val="single" w:sz="8" w:space="0" w:color="auto"/>
              <w:right w:val="single" w:sz="8" w:space="0" w:color="auto"/>
            </w:tcBorders>
            <w:vAlign w:val="center"/>
          </w:tcPr>
          <w:p w14:paraId="37C7F47E" w14:textId="77777777" w:rsidR="00DE470C" w:rsidRPr="006021DA"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vAlign w:val="center"/>
          </w:tcPr>
          <w:p w14:paraId="0CFB44B7"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RTE ICA</w:t>
            </w:r>
          </w:p>
        </w:tc>
        <w:tc>
          <w:tcPr>
            <w:tcW w:w="1458" w:type="dxa"/>
            <w:tcBorders>
              <w:top w:val="nil"/>
              <w:left w:val="nil"/>
              <w:bottom w:val="single" w:sz="8" w:space="0" w:color="auto"/>
              <w:right w:val="single" w:sz="8" w:space="0" w:color="auto"/>
            </w:tcBorders>
            <w:vAlign w:val="center"/>
          </w:tcPr>
          <w:p w14:paraId="1E87EA23"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5F2E0965" w14:textId="77777777" w:rsidR="00DE470C" w:rsidRPr="006021DA" w:rsidRDefault="00DE470C" w:rsidP="00835F25">
            <w:pPr>
              <w:contextualSpacing/>
              <w:jc w:val="right"/>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$88.128.182 </w:t>
            </w:r>
          </w:p>
        </w:tc>
        <w:tc>
          <w:tcPr>
            <w:tcW w:w="1181" w:type="dxa"/>
            <w:tcBorders>
              <w:top w:val="nil"/>
              <w:left w:val="nil"/>
              <w:bottom w:val="single" w:sz="8" w:space="0" w:color="auto"/>
              <w:right w:val="single" w:sz="8" w:space="0" w:color="auto"/>
            </w:tcBorders>
            <w:vAlign w:val="center"/>
          </w:tcPr>
          <w:p w14:paraId="042B48E1"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r>
      <w:tr w:rsidR="00DE470C" w:rsidRPr="006021DA" w14:paraId="2061B325" w14:textId="77777777" w:rsidTr="00665413">
        <w:trPr>
          <w:trHeight w:val="283"/>
          <w:jc w:val="center"/>
        </w:trPr>
        <w:tc>
          <w:tcPr>
            <w:tcW w:w="683" w:type="dxa"/>
            <w:vMerge/>
            <w:tcBorders>
              <w:left w:val="single" w:sz="8" w:space="0" w:color="auto"/>
              <w:right w:val="single" w:sz="8" w:space="0" w:color="auto"/>
            </w:tcBorders>
            <w:vAlign w:val="center"/>
          </w:tcPr>
          <w:p w14:paraId="4E98F1F1"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val="restart"/>
            <w:tcBorders>
              <w:top w:val="nil"/>
              <w:left w:val="nil"/>
              <w:right w:val="single" w:sz="8" w:space="0" w:color="auto"/>
            </w:tcBorders>
            <w:vAlign w:val="center"/>
          </w:tcPr>
          <w:p w14:paraId="5C867720" w14:textId="77777777" w:rsidR="00DE470C" w:rsidRPr="006021DA" w:rsidRDefault="00DE470C" w:rsidP="00835F25">
            <w:pPr>
              <w:contextualSpacing/>
              <w:jc w:val="center"/>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890</w:t>
            </w:r>
            <w:r w:rsidR="004E3AA2">
              <w:rPr>
                <w:rFonts w:ascii="Arial" w:eastAsia="Times New Roman" w:hAnsi="Arial" w:cs="Arial"/>
                <w:sz w:val="16"/>
                <w:szCs w:val="16"/>
                <w:lang w:val="es-CO" w:eastAsia="es-CO"/>
              </w:rPr>
              <w:t>.</w:t>
            </w:r>
            <w:r w:rsidRPr="00D45594">
              <w:rPr>
                <w:rFonts w:ascii="Arial" w:eastAsia="Times New Roman" w:hAnsi="Arial" w:cs="Arial"/>
                <w:sz w:val="16"/>
                <w:szCs w:val="16"/>
                <w:lang w:val="es-CO" w:eastAsia="es-CO"/>
              </w:rPr>
              <w:t>480</w:t>
            </w:r>
            <w:r w:rsidR="004E3AA2">
              <w:rPr>
                <w:rFonts w:ascii="Arial" w:eastAsia="Times New Roman" w:hAnsi="Arial" w:cs="Arial"/>
                <w:sz w:val="16"/>
                <w:szCs w:val="16"/>
                <w:lang w:val="es-CO" w:eastAsia="es-CO"/>
              </w:rPr>
              <w:t>.</w:t>
            </w:r>
            <w:r w:rsidRPr="00D45594">
              <w:rPr>
                <w:rFonts w:ascii="Arial" w:eastAsia="Times New Roman" w:hAnsi="Arial" w:cs="Arial"/>
                <w:sz w:val="16"/>
                <w:szCs w:val="16"/>
                <w:lang w:val="es-CO" w:eastAsia="es-CO"/>
              </w:rPr>
              <w:t>184</w:t>
            </w:r>
          </w:p>
        </w:tc>
        <w:tc>
          <w:tcPr>
            <w:tcW w:w="3391" w:type="dxa"/>
            <w:tcBorders>
              <w:top w:val="nil"/>
              <w:left w:val="nil"/>
              <w:bottom w:val="single" w:sz="8" w:space="0" w:color="auto"/>
              <w:right w:val="single" w:sz="8" w:space="0" w:color="auto"/>
            </w:tcBorders>
            <w:vAlign w:val="center"/>
          </w:tcPr>
          <w:p w14:paraId="2D94F8E4"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ALCALDIA DE CARTAGENA</w:t>
            </w:r>
          </w:p>
        </w:tc>
        <w:tc>
          <w:tcPr>
            <w:tcW w:w="1458" w:type="dxa"/>
            <w:tcBorders>
              <w:top w:val="nil"/>
              <w:left w:val="nil"/>
              <w:bottom w:val="single" w:sz="8" w:space="0" w:color="auto"/>
              <w:right w:val="single" w:sz="8" w:space="0" w:color="auto"/>
            </w:tcBorders>
            <w:vAlign w:val="center"/>
          </w:tcPr>
          <w:p w14:paraId="471D1CBE"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42E47DAA" w14:textId="77777777" w:rsidR="00DE470C" w:rsidRPr="006021DA" w:rsidRDefault="00DE470C" w:rsidP="00835F25">
            <w:pPr>
              <w:contextualSpacing/>
              <w:jc w:val="right"/>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 xml:space="preserve">$76.812.568 </w:t>
            </w:r>
          </w:p>
        </w:tc>
        <w:tc>
          <w:tcPr>
            <w:tcW w:w="1181" w:type="dxa"/>
            <w:tcBorders>
              <w:top w:val="nil"/>
              <w:left w:val="nil"/>
              <w:bottom w:val="single" w:sz="8" w:space="0" w:color="auto"/>
              <w:right w:val="single" w:sz="8" w:space="0" w:color="auto"/>
            </w:tcBorders>
            <w:vAlign w:val="center"/>
          </w:tcPr>
          <w:p w14:paraId="52B5B807"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w:t>
            </w:r>
          </w:p>
        </w:tc>
      </w:tr>
      <w:tr w:rsidR="00DE470C" w:rsidRPr="006021DA" w14:paraId="1385B70F" w14:textId="77777777" w:rsidTr="00665413">
        <w:trPr>
          <w:trHeight w:val="283"/>
          <w:jc w:val="center"/>
        </w:trPr>
        <w:tc>
          <w:tcPr>
            <w:tcW w:w="683" w:type="dxa"/>
            <w:vMerge/>
            <w:tcBorders>
              <w:left w:val="single" w:sz="8" w:space="0" w:color="auto"/>
              <w:right w:val="single" w:sz="8" w:space="0" w:color="auto"/>
            </w:tcBorders>
            <w:vAlign w:val="center"/>
          </w:tcPr>
          <w:p w14:paraId="5F225AAC"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43FD5638" w14:textId="77777777" w:rsidR="00DE470C" w:rsidRPr="00D45594"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tcPr>
          <w:p w14:paraId="68E18519"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DISTRITO TURISTCO Y CULTURA DE CARTAGENA TAS </w:t>
            </w:r>
            <w:r w:rsidR="0090336B" w:rsidRPr="00D45594">
              <w:rPr>
                <w:rFonts w:ascii="Arial" w:eastAsia="Times New Roman" w:hAnsi="Arial" w:cs="Arial"/>
                <w:sz w:val="16"/>
                <w:szCs w:val="16"/>
                <w:lang w:val="es-CO" w:eastAsia="es-CO"/>
              </w:rPr>
              <w:t>PRO-DEPORTE</w:t>
            </w:r>
            <w:r w:rsidRPr="00D45594">
              <w:rPr>
                <w:rFonts w:ascii="Arial" w:eastAsia="Times New Roman" w:hAnsi="Arial" w:cs="Arial"/>
                <w:sz w:val="16"/>
                <w:szCs w:val="16"/>
                <w:lang w:val="es-CO" w:eastAsia="es-CO"/>
              </w:rPr>
              <w:t xml:space="preserve"> Y RECREACION</w:t>
            </w:r>
          </w:p>
        </w:tc>
        <w:tc>
          <w:tcPr>
            <w:tcW w:w="1458" w:type="dxa"/>
            <w:tcBorders>
              <w:top w:val="nil"/>
              <w:left w:val="nil"/>
              <w:bottom w:val="single" w:sz="8" w:space="0" w:color="auto"/>
              <w:right w:val="single" w:sz="8" w:space="0" w:color="auto"/>
            </w:tcBorders>
            <w:vAlign w:val="center"/>
          </w:tcPr>
          <w:p w14:paraId="2EBBF95C"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7C59F9C3" w14:textId="77777777" w:rsidR="00DE470C" w:rsidRPr="006021DA" w:rsidRDefault="00DE470C" w:rsidP="00835F25">
            <w:pPr>
              <w:contextualSpacing/>
              <w:jc w:val="right"/>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 xml:space="preserve">$209.078.925 </w:t>
            </w:r>
          </w:p>
        </w:tc>
        <w:tc>
          <w:tcPr>
            <w:tcW w:w="1181" w:type="dxa"/>
            <w:tcBorders>
              <w:top w:val="nil"/>
              <w:left w:val="nil"/>
              <w:bottom w:val="single" w:sz="8" w:space="0" w:color="auto"/>
              <w:right w:val="single" w:sz="8" w:space="0" w:color="auto"/>
            </w:tcBorders>
            <w:vAlign w:val="center"/>
          </w:tcPr>
          <w:p w14:paraId="22CFA8A6"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w:t>
            </w:r>
          </w:p>
        </w:tc>
      </w:tr>
      <w:tr w:rsidR="00DE470C" w:rsidRPr="006021DA" w14:paraId="55428CD2" w14:textId="77777777" w:rsidTr="00665413">
        <w:trPr>
          <w:trHeight w:val="283"/>
          <w:jc w:val="center"/>
        </w:trPr>
        <w:tc>
          <w:tcPr>
            <w:tcW w:w="683" w:type="dxa"/>
            <w:vMerge/>
            <w:tcBorders>
              <w:left w:val="single" w:sz="8" w:space="0" w:color="auto"/>
              <w:right w:val="single" w:sz="8" w:space="0" w:color="auto"/>
            </w:tcBorders>
            <w:vAlign w:val="center"/>
          </w:tcPr>
          <w:p w14:paraId="0BCC6A42"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3C15151B" w14:textId="77777777" w:rsidR="00DE470C" w:rsidRPr="00D45594"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tcPr>
          <w:p w14:paraId="0FD79051"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DISTRITO TURISTICO Y CULTU DE CARTEGANA</w:t>
            </w:r>
          </w:p>
        </w:tc>
        <w:tc>
          <w:tcPr>
            <w:tcW w:w="1458" w:type="dxa"/>
            <w:tcBorders>
              <w:top w:val="nil"/>
              <w:left w:val="nil"/>
              <w:bottom w:val="single" w:sz="8" w:space="0" w:color="auto"/>
              <w:right w:val="single" w:sz="8" w:space="0" w:color="auto"/>
            </w:tcBorders>
            <w:vAlign w:val="center"/>
          </w:tcPr>
          <w:p w14:paraId="5BC82F4B"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29CB2F1B" w14:textId="77777777" w:rsidR="00DE470C" w:rsidRPr="006021DA" w:rsidRDefault="00DE470C" w:rsidP="00835F25">
            <w:pPr>
              <w:contextualSpacing/>
              <w:jc w:val="right"/>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 xml:space="preserve">$17.563.965.056 </w:t>
            </w:r>
          </w:p>
        </w:tc>
        <w:tc>
          <w:tcPr>
            <w:tcW w:w="1181" w:type="dxa"/>
            <w:tcBorders>
              <w:top w:val="nil"/>
              <w:left w:val="nil"/>
              <w:bottom w:val="single" w:sz="8" w:space="0" w:color="auto"/>
              <w:right w:val="single" w:sz="8" w:space="0" w:color="auto"/>
            </w:tcBorders>
            <w:vAlign w:val="center"/>
          </w:tcPr>
          <w:p w14:paraId="72DAF6FF"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r>
      <w:tr w:rsidR="00DE470C" w:rsidRPr="006021DA" w14:paraId="6C8C03E0" w14:textId="77777777" w:rsidTr="00665413">
        <w:trPr>
          <w:trHeight w:val="283"/>
          <w:jc w:val="center"/>
        </w:trPr>
        <w:tc>
          <w:tcPr>
            <w:tcW w:w="683" w:type="dxa"/>
            <w:vMerge/>
            <w:tcBorders>
              <w:left w:val="single" w:sz="8" w:space="0" w:color="auto"/>
              <w:right w:val="single" w:sz="8" w:space="0" w:color="auto"/>
            </w:tcBorders>
            <w:vAlign w:val="center"/>
          </w:tcPr>
          <w:p w14:paraId="75213B9D"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right w:val="single" w:sz="8" w:space="0" w:color="auto"/>
            </w:tcBorders>
            <w:vAlign w:val="center"/>
          </w:tcPr>
          <w:p w14:paraId="16F8E262" w14:textId="77777777" w:rsidR="00DE470C" w:rsidRPr="00D45594"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tcPr>
          <w:p w14:paraId="65119640"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ESTAMP AOS DORADOS</w:t>
            </w:r>
          </w:p>
        </w:tc>
        <w:tc>
          <w:tcPr>
            <w:tcW w:w="1458" w:type="dxa"/>
            <w:tcBorders>
              <w:top w:val="nil"/>
              <w:left w:val="nil"/>
              <w:bottom w:val="single" w:sz="8" w:space="0" w:color="auto"/>
              <w:right w:val="single" w:sz="8" w:space="0" w:color="auto"/>
            </w:tcBorders>
            <w:vAlign w:val="center"/>
          </w:tcPr>
          <w:p w14:paraId="6EBE0E7B"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0C3E80D8" w14:textId="77777777" w:rsidR="00DE470C" w:rsidRPr="006021DA" w:rsidRDefault="00DE470C" w:rsidP="00835F25">
            <w:pPr>
              <w:contextualSpacing/>
              <w:jc w:val="right"/>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 xml:space="preserve">$249.189.281 </w:t>
            </w:r>
          </w:p>
        </w:tc>
        <w:tc>
          <w:tcPr>
            <w:tcW w:w="1181" w:type="dxa"/>
            <w:tcBorders>
              <w:top w:val="nil"/>
              <w:left w:val="nil"/>
              <w:bottom w:val="single" w:sz="8" w:space="0" w:color="auto"/>
              <w:right w:val="single" w:sz="8" w:space="0" w:color="auto"/>
            </w:tcBorders>
            <w:vAlign w:val="center"/>
          </w:tcPr>
          <w:p w14:paraId="54E19132"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w:t>
            </w:r>
          </w:p>
        </w:tc>
      </w:tr>
      <w:tr w:rsidR="00DE470C" w:rsidRPr="006021DA" w14:paraId="02F3068D" w14:textId="77777777" w:rsidTr="00CD2F1D">
        <w:trPr>
          <w:trHeight w:val="283"/>
          <w:jc w:val="center"/>
        </w:trPr>
        <w:tc>
          <w:tcPr>
            <w:tcW w:w="683" w:type="dxa"/>
            <w:vMerge/>
            <w:tcBorders>
              <w:left w:val="single" w:sz="8" w:space="0" w:color="auto"/>
              <w:bottom w:val="single" w:sz="8" w:space="0" w:color="auto"/>
              <w:right w:val="single" w:sz="8" w:space="0" w:color="auto"/>
            </w:tcBorders>
            <w:vAlign w:val="center"/>
          </w:tcPr>
          <w:p w14:paraId="527DAAF9" w14:textId="77777777" w:rsidR="00DE470C" w:rsidRPr="006021DA" w:rsidRDefault="00DE470C" w:rsidP="00835F25">
            <w:pPr>
              <w:contextualSpacing/>
              <w:rPr>
                <w:rFonts w:ascii="Arial" w:eastAsia="Times New Roman" w:hAnsi="Arial" w:cs="Arial"/>
                <w:sz w:val="16"/>
                <w:szCs w:val="16"/>
                <w:lang w:val="es-CO" w:eastAsia="es-CO"/>
              </w:rPr>
            </w:pPr>
          </w:p>
        </w:tc>
        <w:tc>
          <w:tcPr>
            <w:tcW w:w="1121" w:type="dxa"/>
            <w:vMerge/>
            <w:tcBorders>
              <w:left w:val="nil"/>
              <w:bottom w:val="single" w:sz="8" w:space="0" w:color="auto"/>
              <w:right w:val="single" w:sz="8" w:space="0" w:color="auto"/>
            </w:tcBorders>
            <w:vAlign w:val="center"/>
          </w:tcPr>
          <w:p w14:paraId="3A150360" w14:textId="77777777" w:rsidR="00DE470C" w:rsidRPr="00D45594" w:rsidRDefault="00DE470C" w:rsidP="00835F25">
            <w:pPr>
              <w:contextualSpacing/>
              <w:jc w:val="center"/>
              <w:rPr>
                <w:rFonts w:ascii="Arial" w:eastAsia="Times New Roman" w:hAnsi="Arial" w:cs="Arial"/>
                <w:sz w:val="16"/>
                <w:szCs w:val="16"/>
                <w:lang w:val="es-CO" w:eastAsia="es-CO"/>
              </w:rPr>
            </w:pPr>
          </w:p>
        </w:tc>
        <w:tc>
          <w:tcPr>
            <w:tcW w:w="3391" w:type="dxa"/>
            <w:tcBorders>
              <w:top w:val="nil"/>
              <w:left w:val="nil"/>
              <w:bottom w:val="single" w:sz="8" w:space="0" w:color="auto"/>
              <w:right w:val="single" w:sz="8" w:space="0" w:color="auto"/>
            </w:tcBorders>
          </w:tcPr>
          <w:p w14:paraId="532F4973" w14:textId="77777777" w:rsidR="00DE470C" w:rsidRPr="006021DA" w:rsidRDefault="00DE470C" w:rsidP="00835F25">
            <w:pPr>
              <w:contextualSpacing/>
              <w:rPr>
                <w:rFonts w:ascii="Arial" w:eastAsia="Times New Roman" w:hAnsi="Arial" w:cs="Arial"/>
                <w:sz w:val="16"/>
                <w:szCs w:val="16"/>
                <w:lang w:val="es-CO" w:eastAsia="es-CO"/>
              </w:rPr>
            </w:pPr>
            <w:r w:rsidRPr="00D45594">
              <w:rPr>
                <w:rFonts w:ascii="Arial" w:eastAsia="Times New Roman" w:hAnsi="Arial" w:cs="Arial"/>
                <w:sz w:val="16"/>
                <w:szCs w:val="16"/>
                <w:lang w:val="es-CO" w:eastAsia="es-CO"/>
              </w:rPr>
              <w:t xml:space="preserve">TASA </w:t>
            </w:r>
            <w:r w:rsidR="0090336B" w:rsidRPr="00D45594">
              <w:rPr>
                <w:rFonts w:ascii="Arial" w:eastAsia="Times New Roman" w:hAnsi="Arial" w:cs="Arial"/>
                <w:sz w:val="16"/>
                <w:szCs w:val="16"/>
                <w:lang w:val="es-CO" w:eastAsia="es-CO"/>
              </w:rPr>
              <w:t>PRO-DEPORTE</w:t>
            </w:r>
            <w:r w:rsidRPr="00D45594">
              <w:rPr>
                <w:rFonts w:ascii="Arial" w:eastAsia="Times New Roman" w:hAnsi="Arial" w:cs="Arial"/>
                <w:sz w:val="16"/>
                <w:szCs w:val="16"/>
                <w:lang w:val="es-CO" w:eastAsia="es-CO"/>
              </w:rPr>
              <w:t xml:space="preserve"> Y RECREACION</w:t>
            </w:r>
          </w:p>
        </w:tc>
        <w:tc>
          <w:tcPr>
            <w:tcW w:w="1458" w:type="dxa"/>
            <w:tcBorders>
              <w:top w:val="nil"/>
              <w:left w:val="nil"/>
              <w:bottom w:val="single" w:sz="8" w:space="0" w:color="auto"/>
              <w:right w:val="single" w:sz="8" w:space="0" w:color="auto"/>
            </w:tcBorders>
            <w:vAlign w:val="center"/>
          </w:tcPr>
          <w:p w14:paraId="582196DE" w14:textId="77777777" w:rsidR="00DE470C" w:rsidRPr="006021DA" w:rsidRDefault="00DE470C" w:rsidP="00835F25">
            <w:pPr>
              <w:contextualSpacing/>
              <w:jc w:val="center"/>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0000032002001</w:t>
            </w:r>
          </w:p>
        </w:tc>
        <w:tc>
          <w:tcPr>
            <w:tcW w:w="1559" w:type="dxa"/>
            <w:tcBorders>
              <w:top w:val="nil"/>
              <w:left w:val="nil"/>
              <w:bottom w:val="single" w:sz="8" w:space="0" w:color="auto"/>
              <w:right w:val="single" w:sz="8" w:space="0" w:color="auto"/>
            </w:tcBorders>
            <w:vAlign w:val="center"/>
          </w:tcPr>
          <w:p w14:paraId="1BA5B78A" w14:textId="77777777" w:rsidR="00DE470C" w:rsidRPr="006021DA" w:rsidRDefault="00DE470C" w:rsidP="00835F25">
            <w:pPr>
              <w:contextualSpacing/>
              <w:jc w:val="right"/>
              <w:rPr>
                <w:rFonts w:ascii="Arial" w:eastAsia="Times New Roman" w:hAnsi="Arial" w:cs="Arial"/>
                <w:sz w:val="16"/>
                <w:szCs w:val="16"/>
                <w:lang w:val="es-CO" w:eastAsia="es-CO"/>
              </w:rPr>
            </w:pPr>
            <w:r w:rsidRPr="00CD2F1D">
              <w:rPr>
                <w:rFonts w:ascii="Arial" w:eastAsia="Times New Roman" w:hAnsi="Arial" w:cs="Arial"/>
                <w:sz w:val="16"/>
                <w:szCs w:val="16"/>
                <w:lang w:val="es-CO" w:eastAsia="es-CO"/>
              </w:rPr>
              <w:t xml:space="preserve">$95.433.707 </w:t>
            </w:r>
          </w:p>
        </w:tc>
        <w:tc>
          <w:tcPr>
            <w:tcW w:w="1181" w:type="dxa"/>
            <w:tcBorders>
              <w:top w:val="nil"/>
              <w:left w:val="nil"/>
              <w:bottom w:val="single" w:sz="8" w:space="0" w:color="auto"/>
              <w:right w:val="single" w:sz="8" w:space="0" w:color="auto"/>
            </w:tcBorders>
            <w:vAlign w:val="center"/>
          </w:tcPr>
          <w:p w14:paraId="3F7EEA65" w14:textId="77777777" w:rsidR="00DE470C" w:rsidRPr="006021DA" w:rsidRDefault="009B4038" w:rsidP="00835F2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p>
        </w:tc>
      </w:tr>
      <w:tr w:rsidR="006021DA" w:rsidRPr="006021DA" w14:paraId="6ACB5082" w14:textId="77777777" w:rsidTr="00CD2F1D">
        <w:trPr>
          <w:trHeight w:val="300"/>
          <w:jc w:val="center"/>
        </w:trPr>
        <w:tc>
          <w:tcPr>
            <w:tcW w:w="6653" w:type="dxa"/>
            <w:gridSpan w:val="4"/>
            <w:tcBorders>
              <w:top w:val="single" w:sz="8" w:space="0" w:color="auto"/>
              <w:left w:val="single" w:sz="8" w:space="0" w:color="auto"/>
              <w:bottom w:val="single" w:sz="8" w:space="0" w:color="auto"/>
              <w:right w:val="single" w:sz="4" w:space="0" w:color="auto"/>
            </w:tcBorders>
            <w:shd w:val="clear" w:color="auto" w:fill="CCCCFF"/>
            <w:vAlign w:val="center"/>
            <w:hideMark/>
          </w:tcPr>
          <w:p w14:paraId="404F0B3E" w14:textId="77777777" w:rsidR="00555328" w:rsidRPr="006021DA" w:rsidRDefault="003D1A46" w:rsidP="00835F25">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TOTAL</w:t>
            </w:r>
            <w:r w:rsidR="00555328" w:rsidRPr="006021DA">
              <w:rPr>
                <w:rFonts w:ascii="Arial" w:eastAsia="Times New Roman" w:hAnsi="Arial" w:cs="Arial"/>
                <w:b/>
                <w:bCs/>
                <w:sz w:val="16"/>
                <w:szCs w:val="16"/>
                <w:lang w:val="es-CO" w:eastAsia="es-CO"/>
              </w:rPr>
              <w:t xml:space="preserve"> </w:t>
            </w:r>
            <w:r w:rsidR="0097601E">
              <w:rPr>
                <w:rFonts w:ascii="Arial" w:eastAsia="Times New Roman" w:hAnsi="Arial" w:cs="Arial"/>
                <w:b/>
                <w:bCs/>
                <w:sz w:val="16"/>
                <w:szCs w:val="16"/>
                <w:lang w:val="es-CO" w:eastAsia="es-CO"/>
              </w:rPr>
              <w:t>2021</w:t>
            </w:r>
          </w:p>
        </w:tc>
        <w:tc>
          <w:tcPr>
            <w:tcW w:w="1559" w:type="dxa"/>
            <w:tcBorders>
              <w:top w:val="nil"/>
              <w:left w:val="single" w:sz="4" w:space="0" w:color="auto"/>
              <w:bottom w:val="single" w:sz="4" w:space="0" w:color="auto"/>
              <w:right w:val="single" w:sz="8" w:space="0" w:color="auto"/>
            </w:tcBorders>
            <w:shd w:val="clear" w:color="auto" w:fill="CCCCFF"/>
            <w:vAlign w:val="center"/>
          </w:tcPr>
          <w:p w14:paraId="336F0FF6" w14:textId="77777777" w:rsidR="00555328" w:rsidRPr="006021DA" w:rsidRDefault="00CD2F1D" w:rsidP="00835F25">
            <w:pPr>
              <w:contextualSpacing/>
              <w:jc w:val="right"/>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$36.003.464.750</w:t>
            </w:r>
          </w:p>
        </w:tc>
        <w:tc>
          <w:tcPr>
            <w:tcW w:w="1181" w:type="dxa"/>
            <w:tcBorders>
              <w:top w:val="nil"/>
              <w:left w:val="nil"/>
              <w:bottom w:val="single" w:sz="4" w:space="0" w:color="auto"/>
              <w:right w:val="single" w:sz="8" w:space="0" w:color="auto"/>
            </w:tcBorders>
            <w:shd w:val="clear" w:color="auto" w:fill="CCCCFF"/>
            <w:vAlign w:val="center"/>
          </w:tcPr>
          <w:p w14:paraId="46C410F5" w14:textId="77777777" w:rsidR="00555328" w:rsidRPr="006021DA" w:rsidRDefault="00555328" w:rsidP="00835F25">
            <w:pPr>
              <w:contextualSpacing/>
              <w:jc w:val="center"/>
              <w:rPr>
                <w:rFonts w:ascii="Arial" w:eastAsia="Times New Roman" w:hAnsi="Arial" w:cs="Arial"/>
                <w:b/>
                <w:bCs/>
                <w:sz w:val="16"/>
                <w:szCs w:val="16"/>
                <w:lang w:val="es-CO" w:eastAsia="es-CO"/>
              </w:rPr>
            </w:pPr>
          </w:p>
        </w:tc>
      </w:tr>
    </w:tbl>
    <w:p w14:paraId="14DC6C56" w14:textId="77777777" w:rsidR="00992C34" w:rsidRPr="006021DA" w:rsidRDefault="00992C34" w:rsidP="00835F25">
      <w:pPr>
        <w:ind w:right="59"/>
        <w:contextualSpacing/>
        <w:jc w:val="center"/>
        <w:rPr>
          <w:rFonts w:ascii="Arial" w:eastAsia="Times New Roman" w:hAnsi="Arial" w:cs="Arial"/>
          <w:sz w:val="22"/>
          <w:szCs w:val="22"/>
          <w:bdr w:val="none" w:sz="0" w:space="0" w:color="auto" w:frame="1"/>
          <w:lang w:val="es-CO" w:eastAsia="es-CO"/>
        </w:rPr>
      </w:pPr>
      <w:r w:rsidRPr="006021DA">
        <w:rPr>
          <w:rStyle w:val="normaltextrun"/>
          <w:rFonts w:ascii="Arial" w:eastAsia="Arial" w:hAnsi="Arial" w:cs="Arial"/>
          <w:sz w:val="16"/>
          <w:szCs w:val="16"/>
        </w:rPr>
        <w:t>Fuente: Elaboración DAF a través del reporte de información de la Plataforma de Integración de Información</w:t>
      </w:r>
      <w:r w:rsidR="001C6D73" w:rsidRPr="006021DA">
        <w:rPr>
          <w:rStyle w:val="normaltextrun"/>
          <w:rFonts w:ascii="Arial" w:eastAsia="Arial" w:hAnsi="Arial" w:cs="Arial"/>
          <w:sz w:val="16"/>
          <w:szCs w:val="16"/>
        </w:rPr>
        <w:t xml:space="preserve"> </w:t>
      </w:r>
      <w:r w:rsidRPr="006021DA">
        <w:rPr>
          <w:rStyle w:val="normaltextrun"/>
          <w:rFonts w:ascii="Arial" w:eastAsia="Arial" w:hAnsi="Arial" w:cs="Arial"/>
          <w:sz w:val="16"/>
          <w:szCs w:val="16"/>
        </w:rPr>
        <w:t xml:space="preserve">- PISIS de la Cuenta Maestra </w:t>
      </w:r>
      <w:r w:rsidR="00F4550A" w:rsidRPr="006021DA">
        <w:rPr>
          <w:rStyle w:val="normaltextrun"/>
          <w:rFonts w:ascii="Arial" w:eastAsia="Arial" w:hAnsi="Arial" w:cs="Arial"/>
          <w:sz w:val="16"/>
          <w:szCs w:val="16"/>
        </w:rPr>
        <w:t>P</w:t>
      </w:r>
      <w:r w:rsidRPr="006021DA">
        <w:rPr>
          <w:rStyle w:val="normaltextrun"/>
          <w:rFonts w:ascii="Arial" w:eastAsia="Arial" w:hAnsi="Arial" w:cs="Arial"/>
          <w:sz w:val="16"/>
          <w:szCs w:val="16"/>
        </w:rPr>
        <w:t>AE.</w:t>
      </w:r>
    </w:p>
    <w:p w14:paraId="6734E24D" w14:textId="77777777" w:rsidR="00992C34" w:rsidRDefault="00992C34"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72DA939D" w14:textId="77777777" w:rsid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Pr>
          <w:rFonts w:ascii="Arial" w:eastAsia="Times New Roman" w:hAnsi="Arial" w:cs="Arial"/>
          <w:sz w:val="22"/>
          <w:szCs w:val="22"/>
          <w:bdr w:val="none" w:sz="0" w:space="0" w:color="auto" w:frame="1"/>
          <w:lang w:val="es-CO" w:eastAsia="es-CO"/>
        </w:rPr>
        <w:t xml:space="preserve">Conforme a la tabla anterior, </w:t>
      </w:r>
      <w:r w:rsidRPr="00930A40">
        <w:rPr>
          <w:rFonts w:ascii="Arial" w:eastAsia="Times New Roman" w:hAnsi="Arial" w:cs="Arial"/>
          <w:sz w:val="22"/>
          <w:szCs w:val="22"/>
          <w:bdr w:val="none" w:sz="0" w:space="0" w:color="auto" w:frame="1"/>
          <w:lang w:val="es-CO" w:eastAsia="es-CO"/>
        </w:rPr>
        <w:t>se realizaron nueve (9) operaciones débito al beneficiario con NIT No. 830</w:t>
      </w:r>
      <w:r w:rsidR="004E3AA2">
        <w:rPr>
          <w:rFonts w:ascii="Arial" w:eastAsia="Times New Roman" w:hAnsi="Arial" w:cs="Arial"/>
          <w:sz w:val="22"/>
          <w:szCs w:val="22"/>
          <w:bdr w:val="none" w:sz="0" w:space="0" w:color="auto" w:frame="1"/>
          <w:lang w:val="es-CO" w:eastAsia="es-CO"/>
        </w:rPr>
        <w:t>.</w:t>
      </w:r>
      <w:r w:rsidRPr="00930A40">
        <w:rPr>
          <w:rFonts w:ascii="Arial" w:eastAsia="Times New Roman" w:hAnsi="Arial" w:cs="Arial"/>
          <w:sz w:val="22"/>
          <w:szCs w:val="22"/>
          <w:bdr w:val="none" w:sz="0" w:space="0" w:color="auto" w:frame="1"/>
          <w:lang w:val="es-CO" w:eastAsia="es-CO"/>
        </w:rPr>
        <w:t>054</w:t>
      </w:r>
      <w:r w:rsidR="004E3AA2">
        <w:rPr>
          <w:rFonts w:ascii="Arial" w:eastAsia="Times New Roman" w:hAnsi="Arial" w:cs="Arial"/>
          <w:sz w:val="22"/>
          <w:szCs w:val="22"/>
          <w:bdr w:val="none" w:sz="0" w:space="0" w:color="auto" w:frame="1"/>
          <w:lang w:val="es-CO" w:eastAsia="es-CO"/>
        </w:rPr>
        <w:t>.</w:t>
      </w:r>
      <w:r w:rsidRPr="00930A40">
        <w:rPr>
          <w:rFonts w:ascii="Arial" w:eastAsia="Times New Roman" w:hAnsi="Arial" w:cs="Arial"/>
          <w:sz w:val="22"/>
          <w:szCs w:val="22"/>
          <w:bdr w:val="none" w:sz="0" w:space="0" w:color="auto" w:frame="1"/>
          <w:lang w:val="es-CO" w:eastAsia="es-CO"/>
        </w:rPr>
        <w:t>357 que al buscar en el Registro Único Tributario - RUT corresponde a “</w:t>
      </w:r>
      <w:r w:rsidRPr="00B3648E">
        <w:rPr>
          <w:rFonts w:ascii="Arial" w:eastAsia="Times New Roman" w:hAnsi="Arial" w:cs="Arial"/>
          <w:i/>
          <w:iCs/>
          <w:sz w:val="22"/>
          <w:szCs w:val="22"/>
          <w:bdr w:val="none" w:sz="0" w:space="0" w:color="auto" w:frame="1"/>
          <w:lang w:val="es-CO" w:eastAsia="es-CO"/>
        </w:rPr>
        <w:t>FIDEICOMISOS SERVITRUST GNB SUDAMERIS S.A</w:t>
      </w:r>
      <w:r w:rsidRPr="00930A40">
        <w:rPr>
          <w:rFonts w:ascii="Arial" w:eastAsia="Times New Roman" w:hAnsi="Arial" w:cs="Arial"/>
          <w:sz w:val="22"/>
          <w:szCs w:val="22"/>
          <w:bdr w:val="none" w:sz="0" w:space="0" w:color="auto" w:frame="1"/>
          <w:lang w:val="es-CO" w:eastAsia="es-CO"/>
        </w:rPr>
        <w:t>”, los cuales se realizaron de la siguiente manera:</w:t>
      </w:r>
    </w:p>
    <w:p w14:paraId="465DE09A" w14:textId="77777777" w:rsid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1A7E4372" w14:textId="77777777" w:rsidR="00930A40" w:rsidRDefault="00930A40" w:rsidP="00835F25">
      <w:pPr>
        <w:pStyle w:val="Prrafodelista"/>
        <w:numPr>
          <w:ilvl w:val="0"/>
          <w:numId w:val="22"/>
        </w:numPr>
        <w:shd w:val="clear" w:color="auto" w:fill="FFFFFF" w:themeFill="background1"/>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A la cuenta No. 330783242 se realizaron ocho (8) débitos por un valor total de $288.898.327 (0,8</w:t>
      </w:r>
      <w:r w:rsidR="00EE771A">
        <w:rPr>
          <w:rFonts w:ascii="Arial" w:eastAsia="Times New Roman" w:hAnsi="Arial" w:cs="Arial"/>
          <w:sz w:val="22"/>
          <w:szCs w:val="22"/>
          <w:bdr w:val="none" w:sz="0" w:space="0" w:color="auto" w:frame="1"/>
          <w:lang w:val="es-CO" w:eastAsia="es-CO"/>
        </w:rPr>
        <w:t xml:space="preserve"> </w:t>
      </w:r>
      <w:r w:rsidRPr="00930A40">
        <w:rPr>
          <w:rFonts w:ascii="Arial" w:eastAsia="Times New Roman" w:hAnsi="Arial" w:cs="Arial"/>
          <w:sz w:val="22"/>
          <w:szCs w:val="22"/>
          <w:bdr w:val="none" w:sz="0" w:space="0" w:color="auto" w:frame="1"/>
          <w:lang w:val="es-CO" w:eastAsia="es-CO"/>
        </w:rPr>
        <w:t>%) con cuatro (4) formas diferentes de registro “</w:t>
      </w:r>
      <w:r w:rsidRPr="00B3648E">
        <w:rPr>
          <w:rFonts w:ascii="Arial" w:eastAsia="Times New Roman" w:hAnsi="Arial" w:cs="Arial"/>
          <w:i/>
          <w:iCs/>
          <w:sz w:val="22"/>
          <w:szCs w:val="22"/>
          <w:bdr w:val="none" w:sz="0" w:space="0" w:color="auto" w:frame="1"/>
          <w:lang w:val="es-CO" w:eastAsia="es-CO"/>
        </w:rPr>
        <w:t>ESTAMP U DE C</w:t>
      </w:r>
      <w:r w:rsidRPr="00930A40">
        <w:rPr>
          <w:rFonts w:ascii="Arial" w:eastAsia="Times New Roman" w:hAnsi="Arial" w:cs="Arial"/>
          <w:sz w:val="22"/>
          <w:szCs w:val="22"/>
          <w:bdr w:val="none" w:sz="0" w:space="0" w:color="auto" w:frame="1"/>
          <w:lang w:val="es-CO" w:eastAsia="es-CO"/>
        </w:rPr>
        <w:t>”, “</w:t>
      </w:r>
      <w:r w:rsidRPr="00B3648E">
        <w:rPr>
          <w:rFonts w:ascii="Arial" w:eastAsia="Times New Roman" w:hAnsi="Arial" w:cs="Arial"/>
          <w:i/>
          <w:iCs/>
          <w:sz w:val="22"/>
          <w:szCs w:val="22"/>
          <w:bdr w:val="none" w:sz="0" w:space="0" w:color="auto" w:frame="1"/>
          <w:lang w:val="es-CO" w:eastAsia="es-CO"/>
        </w:rPr>
        <w:t>U DE CE</w:t>
      </w:r>
      <w:r w:rsidRPr="00930A40">
        <w:rPr>
          <w:rFonts w:ascii="Arial" w:eastAsia="Times New Roman" w:hAnsi="Arial" w:cs="Arial"/>
          <w:sz w:val="22"/>
          <w:szCs w:val="22"/>
          <w:bdr w:val="none" w:sz="0" w:space="0" w:color="auto" w:frame="1"/>
          <w:lang w:val="es-CO" w:eastAsia="es-CO"/>
        </w:rPr>
        <w:t>”, “</w:t>
      </w:r>
      <w:r w:rsidRPr="00B3648E">
        <w:rPr>
          <w:rFonts w:ascii="Arial" w:eastAsia="Times New Roman" w:hAnsi="Arial" w:cs="Arial"/>
          <w:i/>
          <w:iCs/>
          <w:sz w:val="22"/>
          <w:szCs w:val="22"/>
          <w:bdr w:val="none" w:sz="0" w:space="0" w:color="auto" w:frame="1"/>
          <w:lang w:val="es-CO" w:eastAsia="es-CO"/>
        </w:rPr>
        <w:t>UDC FIDEICOMISO SERVITRUST</w:t>
      </w:r>
      <w:r w:rsidRPr="00930A40">
        <w:rPr>
          <w:rFonts w:ascii="Arial" w:eastAsia="Times New Roman" w:hAnsi="Arial" w:cs="Arial"/>
          <w:sz w:val="22"/>
          <w:szCs w:val="22"/>
          <w:bdr w:val="none" w:sz="0" w:space="0" w:color="auto" w:frame="1"/>
          <w:lang w:val="es-CO" w:eastAsia="es-CO"/>
        </w:rPr>
        <w:t>” y “</w:t>
      </w:r>
      <w:r w:rsidRPr="00B3648E">
        <w:rPr>
          <w:rFonts w:ascii="Arial" w:eastAsia="Times New Roman" w:hAnsi="Arial" w:cs="Arial"/>
          <w:i/>
          <w:iCs/>
          <w:sz w:val="22"/>
          <w:szCs w:val="22"/>
          <w:bdr w:val="none" w:sz="0" w:space="0" w:color="auto" w:frame="1"/>
          <w:lang w:val="es-CO" w:eastAsia="es-CO"/>
        </w:rPr>
        <w:t>UDC FIDEICOMISO SERVITRUST</w:t>
      </w:r>
      <w:r w:rsidRPr="00930A40">
        <w:rPr>
          <w:rFonts w:ascii="Arial" w:eastAsia="Times New Roman" w:hAnsi="Arial" w:cs="Arial"/>
          <w:sz w:val="22"/>
          <w:szCs w:val="22"/>
          <w:bdr w:val="none" w:sz="0" w:space="0" w:color="auto" w:frame="1"/>
          <w:lang w:val="es-CO" w:eastAsia="es-CO"/>
        </w:rPr>
        <w:t xml:space="preserve">”. Por </w:t>
      </w:r>
      <w:r w:rsidRPr="00930A40">
        <w:rPr>
          <w:rFonts w:ascii="Arial" w:eastAsia="Times New Roman" w:hAnsi="Arial" w:cs="Arial"/>
          <w:sz w:val="22"/>
          <w:szCs w:val="22"/>
          <w:bdr w:val="none" w:sz="0" w:space="0" w:color="auto" w:frame="1"/>
          <w:lang w:val="es-CO" w:eastAsia="es-CO"/>
        </w:rPr>
        <w:lastRenderedPageBreak/>
        <w:t xml:space="preserve">otro lado, se </w:t>
      </w:r>
      <w:r w:rsidR="002937C2">
        <w:rPr>
          <w:rFonts w:ascii="Arial" w:eastAsia="Times New Roman" w:hAnsi="Arial" w:cs="Arial"/>
          <w:sz w:val="22"/>
          <w:szCs w:val="22"/>
          <w:bdr w:val="none" w:sz="0" w:space="0" w:color="auto" w:frame="1"/>
          <w:lang w:val="es-CO" w:eastAsia="es-CO"/>
        </w:rPr>
        <w:t>constató</w:t>
      </w:r>
      <w:r w:rsidRPr="00930A40">
        <w:rPr>
          <w:rFonts w:ascii="Arial" w:eastAsia="Times New Roman" w:hAnsi="Arial" w:cs="Arial"/>
          <w:sz w:val="22"/>
          <w:szCs w:val="22"/>
          <w:bdr w:val="none" w:sz="0" w:space="0" w:color="auto" w:frame="1"/>
          <w:lang w:val="es-CO" w:eastAsia="es-CO"/>
        </w:rPr>
        <w:t xml:space="preserve"> que estos traslados corresponden a la “</w:t>
      </w:r>
      <w:r w:rsidRPr="00B3648E">
        <w:rPr>
          <w:rFonts w:ascii="Arial" w:eastAsia="Times New Roman" w:hAnsi="Arial" w:cs="Arial"/>
          <w:i/>
          <w:iCs/>
          <w:sz w:val="22"/>
          <w:szCs w:val="22"/>
          <w:bdr w:val="none" w:sz="0" w:space="0" w:color="auto" w:frame="1"/>
          <w:lang w:val="es-CO" w:eastAsia="es-CO"/>
        </w:rPr>
        <w:t>Estampilla pro-Universidad de Cartagena</w:t>
      </w:r>
      <w:r w:rsidRPr="00930A40">
        <w:rPr>
          <w:rFonts w:ascii="Arial" w:eastAsia="Times New Roman" w:hAnsi="Arial" w:cs="Arial"/>
          <w:sz w:val="22"/>
          <w:szCs w:val="22"/>
          <w:bdr w:val="none" w:sz="0" w:space="0" w:color="auto" w:frame="1"/>
          <w:lang w:val="es-CO" w:eastAsia="es-CO"/>
        </w:rPr>
        <w:t>”.</w:t>
      </w:r>
    </w:p>
    <w:p w14:paraId="78EE3B89" w14:textId="77777777" w:rsidR="00930A40" w:rsidRPr="00930A40" w:rsidRDefault="00930A40" w:rsidP="00835F25">
      <w:pPr>
        <w:pStyle w:val="Prrafodelista"/>
        <w:numPr>
          <w:ilvl w:val="0"/>
          <w:numId w:val="22"/>
        </w:numPr>
        <w:shd w:val="clear" w:color="auto" w:fill="FFFFFF" w:themeFill="background1"/>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A la cuenta No. 4252002489 se realizó un (1) débito por un valor de $251.794.806 (0,7</w:t>
      </w:r>
      <w:r w:rsidR="00AC4C36">
        <w:rPr>
          <w:rFonts w:ascii="Arial" w:eastAsia="Times New Roman" w:hAnsi="Arial" w:cs="Arial"/>
          <w:sz w:val="22"/>
          <w:szCs w:val="22"/>
          <w:bdr w:val="none" w:sz="0" w:space="0" w:color="auto" w:frame="1"/>
          <w:lang w:val="es-CO" w:eastAsia="es-CO"/>
        </w:rPr>
        <w:t xml:space="preserve"> </w:t>
      </w:r>
      <w:r w:rsidRPr="00930A40">
        <w:rPr>
          <w:rFonts w:ascii="Arial" w:eastAsia="Times New Roman" w:hAnsi="Arial" w:cs="Arial"/>
          <w:sz w:val="22"/>
          <w:szCs w:val="22"/>
          <w:bdr w:val="none" w:sz="0" w:space="0" w:color="auto" w:frame="1"/>
          <w:lang w:val="es-CO" w:eastAsia="es-CO"/>
        </w:rPr>
        <w:t>%) a nombre de “</w:t>
      </w:r>
      <w:r w:rsidRPr="00B3648E">
        <w:rPr>
          <w:rFonts w:ascii="Arial" w:eastAsia="Times New Roman" w:hAnsi="Arial" w:cs="Arial"/>
          <w:i/>
          <w:iCs/>
          <w:sz w:val="22"/>
          <w:szCs w:val="22"/>
          <w:bdr w:val="none" w:sz="0" w:space="0" w:color="auto" w:frame="1"/>
          <w:lang w:val="es-CO" w:eastAsia="es-CO"/>
        </w:rPr>
        <w:t>ESTAMP AOS DORADOS</w:t>
      </w:r>
      <w:r w:rsidRPr="00930A40">
        <w:rPr>
          <w:rFonts w:ascii="Arial" w:eastAsia="Times New Roman" w:hAnsi="Arial" w:cs="Arial"/>
          <w:sz w:val="22"/>
          <w:szCs w:val="22"/>
          <w:bdr w:val="none" w:sz="0" w:space="0" w:color="auto" w:frame="1"/>
          <w:lang w:val="es-CO" w:eastAsia="es-CO"/>
        </w:rPr>
        <w:t xml:space="preserve">” </w:t>
      </w:r>
      <w:r w:rsidR="009A3864">
        <w:rPr>
          <w:rFonts w:ascii="Arial" w:eastAsia="Times New Roman" w:hAnsi="Arial" w:cs="Arial"/>
          <w:sz w:val="22"/>
          <w:szCs w:val="22"/>
          <w:bdr w:val="none" w:sz="0" w:space="0" w:color="auto" w:frame="1"/>
          <w:lang w:val="es-CO" w:eastAsia="es-CO"/>
        </w:rPr>
        <w:t>siendo lo correcto</w:t>
      </w:r>
      <w:r w:rsidR="00AF0643">
        <w:rPr>
          <w:rFonts w:ascii="Arial" w:eastAsia="Times New Roman" w:hAnsi="Arial" w:cs="Arial"/>
          <w:sz w:val="22"/>
          <w:szCs w:val="22"/>
          <w:bdr w:val="none" w:sz="0" w:space="0" w:color="auto" w:frame="1"/>
          <w:lang w:val="es-CO" w:eastAsia="es-CO"/>
        </w:rPr>
        <w:t xml:space="preserve"> </w:t>
      </w:r>
      <w:r w:rsidRPr="00930A40">
        <w:rPr>
          <w:rFonts w:ascii="Arial" w:eastAsia="Times New Roman" w:hAnsi="Arial" w:cs="Arial"/>
          <w:sz w:val="22"/>
          <w:szCs w:val="22"/>
          <w:bdr w:val="none" w:sz="0" w:space="0" w:color="auto" w:frame="1"/>
          <w:lang w:val="es-CO" w:eastAsia="es-CO"/>
        </w:rPr>
        <w:t>“</w:t>
      </w:r>
      <w:r w:rsidRPr="00B3648E">
        <w:rPr>
          <w:rFonts w:ascii="Arial" w:eastAsia="Times New Roman" w:hAnsi="Arial" w:cs="Arial"/>
          <w:i/>
          <w:iCs/>
          <w:sz w:val="22"/>
          <w:szCs w:val="22"/>
          <w:bdr w:val="none" w:sz="0" w:space="0" w:color="auto" w:frame="1"/>
          <w:lang w:val="es-CO" w:eastAsia="es-CO"/>
        </w:rPr>
        <w:t>Estampilla para el bienestar del adulto mayor “Años Dorados”</w:t>
      </w:r>
      <w:r w:rsidRPr="00930A40">
        <w:rPr>
          <w:rFonts w:ascii="Arial" w:eastAsia="Times New Roman" w:hAnsi="Arial" w:cs="Arial"/>
          <w:sz w:val="22"/>
          <w:szCs w:val="22"/>
          <w:bdr w:val="none" w:sz="0" w:space="0" w:color="auto" w:frame="1"/>
          <w:lang w:val="es-CO" w:eastAsia="es-CO"/>
        </w:rPr>
        <w:t>”.</w:t>
      </w:r>
    </w:p>
    <w:p w14:paraId="666EEFC7" w14:textId="77777777" w:rsidR="00930A40" w:rsidRP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48F18C9E" w14:textId="77777777" w:rsid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 xml:space="preserve">Por otra parte, se realizaron </w:t>
      </w:r>
      <w:r w:rsidR="004E3AA2">
        <w:rPr>
          <w:rFonts w:ascii="Arial" w:eastAsia="Times New Roman" w:hAnsi="Arial" w:cs="Arial"/>
          <w:sz w:val="22"/>
          <w:szCs w:val="22"/>
          <w:bdr w:val="none" w:sz="0" w:space="0" w:color="auto" w:frame="1"/>
          <w:lang w:val="es-CO" w:eastAsia="es-CO"/>
        </w:rPr>
        <w:t>dieciséis (</w:t>
      </w:r>
      <w:r w:rsidRPr="00930A40">
        <w:rPr>
          <w:rFonts w:ascii="Arial" w:eastAsia="Times New Roman" w:hAnsi="Arial" w:cs="Arial"/>
          <w:sz w:val="22"/>
          <w:szCs w:val="22"/>
          <w:bdr w:val="none" w:sz="0" w:space="0" w:color="auto" w:frame="1"/>
          <w:lang w:val="es-CO" w:eastAsia="es-CO"/>
        </w:rPr>
        <w:t>16</w:t>
      </w:r>
      <w:r w:rsidR="004E3AA2">
        <w:rPr>
          <w:rFonts w:ascii="Arial" w:eastAsia="Times New Roman" w:hAnsi="Arial" w:cs="Arial"/>
          <w:sz w:val="22"/>
          <w:szCs w:val="22"/>
          <w:bdr w:val="none" w:sz="0" w:space="0" w:color="auto" w:frame="1"/>
          <w:lang w:val="es-CO" w:eastAsia="es-CO"/>
        </w:rPr>
        <w:t>)</w:t>
      </w:r>
      <w:r w:rsidRPr="00930A40">
        <w:rPr>
          <w:rFonts w:ascii="Arial" w:eastAsia="Times New Roman" w:hAnsi="Arial" w:cs="Arial"/>
          <w:sz w:val="22"/>
          <w:szCs w:val="22"/>
          <w:bdr w:val="none" w:sz="0" w:space="0" w:color="auto" w:frame="1"/>
          <w:lang w:val="es-CO" w:eastAsia="es-CO"/>
        </w:rPr>
        <w:t xml:space="preserve"> operaciones débito al beneficiario con NIT No. 860</w:t>
      </w:r>
      <w:r w:rsidR="004E3AA2">
        <w:rPr>
          <w:rFonts w:ascii="Arial" w:eastAsia="Times New Roman" w:hAnsi="Arial" w:cs="Arial"/>
          <w:sz w:val="22"/>
          <w:szCs w:val="22"/>
          <w:bdr w:val="none" w:sz="0" w:space="0" w:color="auto" w:frame="1"/>
          <w:lang w:val="es-CO" w:eastAsia="es-CO"/>
        </w:rPr>
        <w:t>.</w:t>
      </w:r>
      <w:r w:rsidRPr="00930A40">
        <w:rPr>
          <w:rFonts w:ascii="Arial" w:eastAsia="Times New Roman" w:hAnsi="Arial" w:cs="Arial"/>
          <w:sz w:val="22"/>
          <w:szCs w:val="22"/>
          <w:bdr w:val="none" w:sz="0" w:space="0" w:color="auto" w:frame="1"/>
          <w:lang w:val="es-CO" w:eastAsia="es-CO"/>
        </w:rPr>
        <w:t>525</w:t>
      </w:r>
      <w:r w:rsidR="004E3AA2">
        <w:rPr>
          <w:rFonts w:ascii="Arial" w:eastAsia="Times New Roman" w:hAnsi="Arial" w:cs="Arial"/>
          <w:sz w:val="22"/>
          <w:szCs w:val="22"/>
          <w:bdr w:val="none" w:sz="0" w:space="0" w:color="auto" w:frame="1"/>
          <w:lang w:val="es-CO" w:eastAsia="es-CO"/>
        </w:rPr>
        <w:t>.</w:t>
      </w:r>
      <w:r w:rsidRPr="00930A40">
        <w:rPr>
          <w:rFonts w:ascii="Arial" w:eastAsia="Times New Roman" w:hAnsi="Arial" w:cs="Arial"/>
          <w:sz w:val="22"/>
          <w:szCs w:val="22"/>
          <w:bdr w:val="none" w:sz="0" w:space="0" w:color="auto" w:frame="1"/>
          <w:lang w:val="es-CO" w:eastAsia="es-CO"/>
        </w:rPr>
        <w:t>148 que al buscar en el Registro Único Tributario - RUT corresponde a “</w:t>
      </w:r>
      <w:r w:rsidRPr="00B3648E">
        <w:rPr>
          <w:rFonts w:ascii="Arial" w:eastAsia="Times New Roman" w:hAnsi="Arial" w:cs="Arial"/>
          <w:i/>
          <w:iCs/>
          <w:sz w:val="22"/>
          <w:szCs w:val="22"/>
          <w:bdr w:val="none" w:sz="0" w:space="0" w:color="auto" w:frame="1"/>
          <w:lang w:val="es-CO" w:eastAsia="es-CO"/>
        </w:rPr>
        <w:t>FIDUCIARIA LA PREVISORA S.A</w:t>
      </w:r>
      <w:r w:rsidRPr="00930A40">
        <w:rPr>
          <w:rFonts w:ascii="Arial" w:eastAsia="Times New Roman" w:hAnsi="Arial" w:cs="Arial"/>
          <w:sz w:val="22"/>
          <w:szCs w:val="22"/>
          <w:bdr w:val="none" w:sz="0" w:space="0" w:color="auto" w:frame="1"/>
          <w:lang w:val="es-CO" w:eastAsia="es-CO"/>
        </w:rPr>
        <w:t>”, los cuales se realizaron de la siguiente manera:</w:t>
      </w:r>
    </w:p>
    <w:p w14:paraId="75AC75BE" w14:textId="77777777" w:rsid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742DECE3" w14:textId="77777777" w:rsidR="00930A40" w:rsidRDefault="00930A40" w:rsidP="00835F25">
      <w:pPr>
        <w:pStyle w:val="Prrafodelista"/>
        <w:numPr>
          <w:ilvl w:val="0"/>
          <w:numId w:val="23"/>
        </w:numPr>
        <w:shd w:val="clear" w:color="auto" w:fill="FFFFFF" w:themeFill="background1"/>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A la cuenta No. 756002291 se realizaron ocho (8) débitos por un valor total de $218.342.680 (0,6</w:t>
      </w:r>
      <w:r w:rsidR="007E4BA8">
        <w:rPr>
          <w:rFonts w:ascii="Arial" w:eastAsia="Times New Roman" w:hAnsi="Arial" w:cs="Arial"/>
          <w:sz w:val="22"/>
          <w:szCs w:val="22"/>
          <w:bdr w:val="none" w:sz="0" w:space="0" w:color="auto" w:frame="1"/>
          <w:lang w:val="es-CO" w:eastAsia="es-CO"/>
        </w:rPr>
        <w:t xml:space="preserve"> </w:t>
      </w:r>
      <w:r w:rsidRPr="00930A40">
        <w:rPr>
          <w:rFonts w:ascii="Arial" w:eastAsia="Times New Roman" w:hAnsi="Arial" w:cs="Arial"/>
          <w:sz w:val="22"/>
          <w:szCs w:val="22"/>
          <w:bdr w:val="none" w:sz="0" w:space="0" w:color="auto" w:frame="1"/>
          <w:lang w:val="es-CO" w:eastAsia="es-CO"/>
        </w:rPr>
        <w:t>%) con tres (3) formas diferentes de registro “</w:t>
      </w:r>
      <w:r w:rsidRPr="00B3648E">
        <w:rPr>
          <w:rFonts w:ascii="Arial" w:eastAsia="Times New Roman" w:hAnsi="Arial" w:cs="Arial"/>
          <w:i/>
          <w:iCs/>
          <w:sz w:val="22"/>
          <w:szCs w:val="22"/>
          <w:bdr w:val="none" w:sz="0" w:space="0" w:color="auto" w:frame="1"/>
          <w:lang w:val="es-CO" w:eastAsia="es-CO"/>
        </w:rPr>
        <w:t>FIDUCIARIA LA PREVISORA ICA</w:t>
      </w:r>
      <w:r w:rsidRPr="00930A40">
        <w:rPr>
          <w:rFonts w:ascii="Arial" w:eastAsia="Times New Roman" w:hAnsi="Arial" w:cs="Arial"/>
          <w:sz w:val="22"/>
          <w:szCs w:val="22"/>
          <w:bdr w:val="none" w:sz="0" w:space="0" w:color="auto" w:frame="1"/>
          <w:lang w:val="es-CO" w:eastAsia="es-CO"/>
        </w:rPr>
        <w:t>”, “</w:t>
      </w:r>
      <w:r w:rsidRPr="00B3648E">
        <w:rPr>
          <w:rFonts w:ascii="Arial" w:eastAsia="Times New Roman" w:hAnsi="Arial" w:cs="Arial"/>
          <w:i/>
          <w:iCs/>
          <w:sz w:val="22"/>
          <w:szCs w:val="22"/>
          <w:bdr w:val="none" w:sz="0" w:space="0" w:color="auto" w:frame="1"/>
          <w:lang w:val="es-CO" w:eastAsia="es-CO"/>
        </w:rPr>
        <w:t>ICA</w:t>
      </w:r>
      <w:r w:rsidRPr="00930A40">
        <w:rPr>
          <w:rFonts w:ascii="Arial" w:eastAsia="Times New Roman" w:hAnsi="Arial" w:cs="Arial"/>
          <w:sz w:val="22"/>
          <w:szCs w:val="22"/>
          <w:bdr w:val="none" w:sz="0" w:space="0" w:color="auto" w:frame="1"/>
          <w:lang w:val="es-CO" w:eastAsia="es-CO"/>
        </w:rPr>
        <w:t>” y “</w:t>
      </w:r>
      <w:r w:rsidRPr="00B3648E">
        <w:rPr>
          <w:rFonts w:ascii="Arial" w:eastAsia="Times New Roman" w:hAnsi="Arial" w:cs="Arial"/>
          <w:i/>
          <w:iCs/>
          <w:sz w:val="22"/>
          <w:szCs w:val="22"/>
          <w:bdr w:val="none" w:sz="0" w:space="0" w:color="auto" w:frame="1"/>
          <w:lang w:val="es-CO" w:eastAsia="es-CO"/>
        </w:rPr>
        <w:t>RTE ICA</w:t>
      </w:r>
      <w:r w:rsidRPr="00930A40">
        <w:rPr>
          <w:rFonts w:ascii="Arial" w:eastAsia="Times New Roman" w:hAnsi="Arial" w:cs="Arial"/>
          <w:sz w:val="22"/>
          <w:szCs w:val="22"/>
          <w:bdr w:val="none" w:sz="0" w:space="0" w:color="auto" w:frame="1"/>
          <w:lang w:val="es-CO" w:eastAsia="es-CO"/>
        </w:rPr>
        <w:t xml:space="preserve">”, los cuales </w:t>
      </w:r>
      <w:r w:rsidR="00626F81">
        <w:rPr>
          <w:rFonts w:ascii="Arial" w:eastAsia="Times New Roman" w:hAnsi="Arial" w:cs="Arial"/>
          <w:sz w:val="22"/>
          <w:szCs w:val="22"/>
          <w:bdr w:val="none" w:sz="0" w:space="0" w:color="auto" w:frame="1"/>
          <w:lang w:val="es-CO" w:eastAsia="es-CO"/>
        </w:rPr>
        <w:t>atienden a</w:t>
      </w:r>
      <w:r w:rsidRPr="00930A40">
        <w:rPr>
          <w:rFonts w:ascii="Arial" w:eastAsia="Times New Roman" w:hAnsi="Arial" w:cs="Arial"/>
          <w:sz w:val="22"/>
          <w:szCs w:val="22"/>
          <w:bdr w:val="none" w:sz="0" w:space="0" w:color="auto" w:frame="1"/>
          <w:lang w:val="es-CO" w:eastAsia="es-CO"/>
        </w:rPr>
        <w:t xml:space="preserve"> traslados </w:t>
      </w:r>
      <w:r w:rsidR="00653909">
        <w:rPr>
          <w:rFonts w:ascii="Arial" w:eastAsia="Times New Roman" w:hAnsi="Arial" w:cs="Arial"/>
          <w:sz w:val="22"/>
          <w:szCs w:val="22"/>
          <w:bdr w:val="none" w:sz="0" w:space="0" w:color="auto" w:frame="1"/>
          <w:lang w:val="es-CO" w:eastAsia="es-CO"/>
        </w:rPr>
        <w:t>por</w:t>
      </w:r>
      <w:r w:rsidRPr="00930A40">
        <w:rPr>
          <w:rFonts w:ascii="Arial" w:eastAsia="Times New Roman" w:hAnsi="Arial" w:cs="Arial"/>
          <w:sz w:val="22"/>
          <w:szCs w:val="22"/>
          <w:bdr w:val="none" w:sz="0" w:space="0" w:color="auto" w:frame="1"/>
          <w:lang w:val="es-CO" w:eastAsia="es-CO"/>
        </w:rPr>
        <w:t xml:space="preserve"> pagos del Impuesto de Industria y Comercio teniendo en cuenta sus registros.</w:t>
      </w:r>
    </w:p>
    <w:p w14:paraId="20E5ABD7" w14:textId="77777777" w:rsidR="00930A40" w:rsidRPr="00930A40" w:rsidRDefault="00930A40" w:rsidP="00835F25">
      <w:pPr>
        <w:pStyle w:val="Prrafodelista"/>
        <w:numPr>
          <w:ilvl w:val="0"/>
          <w:numId w:val="23"/>
        </w:numPr>
        <w:shd w:val="clear" w:color="auto" w:fill="FFFFFF" w:themeFill="background1"/>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A la cuenta No. 830902169 se realizaron ocho (8) débitos por un valor total de $967.855.171 (2,7</w:t>
      </w:r>
      <w:r w:rsidR="00F941D3">
        <w:rPr>
          <w:rFonts w:ascii="Arial" w:eastAsia="Times New Roman" w:hAnsi="Arial" w:cs="Arial"/>
          <w:sz w:val="22"/>
          <w:szCs w:val="22"/>
          <w:bdr w:val="none" w:sz="0" w:space="0" w:color="auto" w:frame="1"/>
          <w:lang w:val="es-CO" w:eastAsia="es-CO"/>
        </w:rPr>
        <w:t xml:space="preserve"> </w:t>
      </w:r>
      <w:r w:rsidRPr="00930A40">
        <w:rPr>
          <w:rFonts w:ascii="Arial" w:eastAsia="Times New Roman" w:hAnsi="Arial" w:cs="Arial"/>
          <w:sz w:val="22"/>
          <w:szCs w:val="22"/>
          <w:bdr w:val="none" w:sz="0" w:space="0" w:color="auto" w:frame="1"/>
          <w:lang w:val="es-CO" w:eastAsia="es-CO"/>
        </w:rPr>
        <w:t>%) con tres (3) formas diferentes de registro “</w:t>
      </w:r>
      <w:r w:rsidRPr="00B3648E">
        <w:rPr>
          <w:rFonts w:ascii="Arial" w:eastAsia="Times New Roman" w:hAnsi="Arial" w:cs="Arial"/>
          <w:i/>
          <w:iCs/>
          <w:sz w:val="22"/>
          <w:szCs w:val="22"/>
          <w:bdr w:val="none" w:sz="0" w:space="0" w:color="auto" w:frame="1"/>
          <w:lang w:val="es-CO" w:eastAsia="es-CO"/>
        </w:rPr>
        <w:t>EEF1469DIST DE CGENA PAGADORA DE C</w:t>
      </w:r>
      <w:r w:rsidRPr="00930A40">
        <w:rPr>
          <w:rFonts w:ascii="Arial" w:eastAsia="Times New Roman" w:hAnsi="Arial" w:cs="Arial"/>
          <w:sz w:val="22"/>
          <w:szCs w:val="22"/>
          <w:bdr w:val="none" w:sz="0" w:space="0" w:color="auto" w:frame="1"/>
          <w:lang w:val="es-CO" w:eastAsia="es-CO"/>
        </w:rPr>
        <w:t>”, “</w:t>
      </w:r>
      <w:r w:rsidRPr="00B3648E">
        <w:rPr>
          <w:rFonts w:ascii="Arial" w:eastAsia="Times New Roman" w:hAnsi="Arial" w:cs="Arial"/>
          <w:i/>
          <w:iCs/>
          <w:sz w:val="22"/>
          <w:szCs w:val="22"/>
          <w:bdr w:val="none" w:sz="0" w:space="0" w:color="auto" w:frame="1"/>
          <w:lang w:val="es-CO" w:eastAsia="es-CO"/>
        </w:rPr>
        <w:t>FIDUPREVISORA RETEFUENTE Y RTE IVA</w:t>
      </w:r>
      <w:r w:rsidRPr="00930A40">
        <w:rPr>
          <w:rFonts w:ascii="Arial" w:eastAsia="Times New Roman" w:hAnsi="Arial" w:cs="Arial"/>
          <w:sz w:val="22"/>
          <w:szCs w:val="22"/>
          <w:bdr w:val="none" w:sz="0" w:space="0" w:color="auto" w:frame="1"/>
          <w:lang w:val="es-CO" w:eastAsia="es-CO"/>
        </w:rPr>
        <w:t>” y “</w:t>
      </w:r>
      <w:r w:rsidRPr="00B3648E">
        <w:rPr>
          <w:rFonts w:ascii="Arial" w:eastAsia="Times New Roman" w:hAnsi="Arial" w:cs="Arial"/>
          <w:i/>
          <w:iCs/>
          <w:sz w:val="22"/>
          <w:szCs w:val="22"/>
          <w:bdr w:val="none" w:sz="0" w:space="0" w:color="auto" w:frame="1"/>
          <w:lang w:val="es-CO" w:eastAsia="es-CO"/>
        </w:rPr>
        <w:t>RTE FTE Y RTE IVA FIDUPREVIS</w:t>
      </w:r>
      <w:r w:rsidRPr="00930A40">
        <w:rPr>
          <w:rFonts w:ascii="Arial" w:eastAsia="Times New Roman" w:hAnsi="Arial" w:cs="Arial"/>
          <w:sz w:val="22"/>
          <w:szCs w:val="22"/>
          <w:bdr w:val="none" w:sz="0" w:space="0" w:color="auto" w:frame="1"/>
          <w:lang w:val="es-CO" w:eastAsia="es-CO"/>
        </w:rPr>
        <w:t xml:space="preserve">”. De estos egresos es importante indicar que de tratarse de pagos de impuestos nacionales correspondientes a </w:t>
      </w:r>
      <w:r w:rsidR="000E3B2D">
        <w:rPr>
          <w:rFonts w:ascii="Arial" w:eastAsia="Times New Roman" w:hAnsi="Arial" w:cs="Arial"/>
          <w:sz w:val="22"/>
          <w:szCs w:val="22"/>
          <w:bdr w:val="none" w:sz="0" w:space="0" w:color="auto" w:frame="1"/>
          <w:lang w:val="es-CO" w:eastAsia="es-CO"/>
        </w:rPr>
        <w:t>la r</w:t>
      </w:r>
      <w:r w:rsidRPr="00930A40">
        <w:rPr>
          <w:rFonts w:ascii="Arial" w:eastAsia="Times New Roman" w:hAnsi="Arial" w:cs="Arial"/>
          <w:sz w:val="22"/>
          <w:szCs w:val="22"/>
          <w:bdr w:val="none" w:sz="0" w:space="0" w:color="auto" w:frame="1"/>
          <w:lang w:val="es-CO" w:eastAsia="es-CO"/>
        </w:rPr>
        <w:t xml:space="preserve">etención en la </w:t>
      </w:r>
      <w:r w:rsidR="000E3B2D">
        <w:rPr>
          <w:rFonts w:ascii="Arial" w:eastAsia="Times New Roman" w:hAnsi="Arial" w:cs="Arial"/>
          <w:sz w:val="22"/>
          <w:szCs w:val="22"/>
          <w:bdr w:val="none" w:sz="0" w:space="0" w:color="auto" w:frame="1"/>
          <w:lang w:val="es-CO" w:eastAsia="es-CO"/>
        </w:rPr>
        <w:t>f</w:t>
      </w:r>
      <w:r w:rsidRPr="00930A40">
        <w:rPr>
          <w:rFonts w:ascii="Arial" w:eastAsia="Times New Roman" w:hAnsi="Arial" w:cs="Arial"/>
          <w:sz w:val="22"/>
          <w:szCs w:val="22"/>
          <w:bdr w:val="none" w:sz="0" w:space="0" w:color="auto" w:frame="1"/>
          <w:lang w:val="es-CO" w:eastAsia="es-CO"/>
        </w:rPr>
        <w:t xml:space="preserve">uente </w:t>
      </w:r>
      <w:r w:rsidR="000E3B2D">
        <w:rPr>
          <w:rFonts w:ascii="Arial" w:eastAsia="Times New Roman" w:hAnsi="Arial" w:cs="Arial"/>
          <w:sz w:val="22"/>
          <w:szCs w:val="22"/>
          <w:bdr w:val="none" w:sz="0" w:space="0" w:color="auto" w:frame="1"/>
          <w:lang w:val="es-CO" w:eastAsia="es-CO"/>
        </w:rPr>
        <w:t xml:space="preserve">que practica por ley la Entidad, </w:t>
      </w:r>
      <w:r w:rsidRPr="00930A40">
        <w:rPr>
          <w:rFonts w:ascii="Arial" w:eastAsia="Times New Roman" w:hAnsi="Arial" w:cs="Arial"/>
          <w:sz w:val="22"/>
          <w:szCs w:val="22"/>
          <w:bdr w:val="none" w:sz="0" w:space="0" w:color="auto" w:frame="1"/>
          <w:lang w:val="es-CO" w:eastAsia="es-CO"/>
        </w:rPr>
        <w:t>estos pagos deberían realizarse por medio de la Cuenta Maestra Pagadora tal y como indica el literal e</w:t>
      </w:r>
      <w:r>
        <w:rPr>
          <w:rFonts w:ascii="Arial" w:eastAsia="Times New Roman" w:hAnsi="Arial" w:cs="Arial"/>
          <w:sz w:val="22"/>
          <w:szCs w:val="22"/>
          <w:bdr w:val="none" w:sz="0" w:space="0" w:color="auto" w:frame="1"/>
          <w:lang w:val="es-CO" w:eastAsia="es-CO"/>
        </w:rPr>
        <w:t>)</w:t>
      </w:r>
      <w:r w:rsidRPr="00930A40">
        <w:rPr>
          <w:rFonts w:ascii="Arial" w:eastAsia="Times New Roman" w:hAnsi="Arial" w:cs="Arial"/>
          <w:sz w:val="22"/>
          <w:szCs w:val="22"/>
          <w:bdr w:val="none" w:sz="0" w:space="0" w:color="auto" w:frame="1"/>
          <w:lang w:val="es-CO" w:eastAsia="es-CO"/>
        </w:rPr>
        <w:t xml:space="preserve"> del </w:t>
      </w:r>
      <w:r w:rsidR="000E3B2D">
        <w:rPr>
          <w:rFonts w:ascii="Arial" w:eastAsia="Times New Roman" w:hAnsi="Arial" w:cs="Arial"/>
          <w:sz w:val="22"/>
          <w:szCs w:val="22"/>
          <w:bdr w:val="none" w:sz="0" w:space="0" w:color="auto" w:frame="1"/>
          <w:lang w:val="es-CO" w:eastAsia="es-CO"/>
        </w:rPr>
        <w:t>a</w:t>
      </w:r>
      <w:r w:rsidRPr="00930A40">
        <w:rPr>
          <w:rFonts w:ascii="Arial" w:eastAsia="Times New Roman" w:hAnsi="Arial" w:cs="Arial"/>
          <w:sz w:val="22"/>
          <w:szCs w:val="22"/>
          <w:bdr w:val="none" w:sz="0" w:space="0" w:color="auto" w:frame="1"/>
          <w:lang w:val="es-CO" w:eastAsia="es-CO"/>
        </w:rPr>
        <w:t>rtículo 7 de la Resolución 0660 de 2018.</w:t>
      </w:r>
    </w:p>
    <w:p w14:paraId="25FE15D3" w14:textId="77777777" w:rsidR="00930A40" w:rsidRP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1F97F467" w14:textId="77777777" w:rsid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Adicionalmente se evidencian tres (3) cuentas a nombre del Distrito Turístico y Cultural de Cartagena de Indias a las que se trasladaron recursos así:</w:t>
      </w:r>
    </w:p>
    <w:p w14:paraId="2387E877" w14:textId="77777777" w:rsidR="009136AF" w:rsidRDefault="009136AF"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2FEDD6ED" w14:textId="77777777" w:rsidR="009136AF" w:rsidRDefault="00930A40" w:rsidP="00835F25">
      <w:pPr>
        <w:pStyle w:val="Prrafodelista"/>
        <w:numPr>
          <w:ilvl w:val="0"/>
          <w:numId w:val="25"/>
        </w:numPr>
        <w:shd w:val="clear" w:color="auto" w:fill="FFFFFF" w:themeFill="background1"/>
        <w:jc w:val="both"/>
        <w:rPr>
          <w:rFonts w:ascii="Arial" w:eastAsia="Times New Roman" w:hAnsi="Arial" w:cs="Arial"/>
          <w:sz w:val="22"/>
          <w:szCs w:val="22"/>
          <w:bdr w:val="none" w:sz="0" w:space="0" w:color="auto" w:frame="1"/>
          <w:lang w:val="es-CO" w:eastAsia="es-CO"/>
        </w:rPr>
      </w:pPr>
      <w:r w:rsidRPr="009136AF">
        <w:rPr>
          <w:rFonts w:ascii="Arial" w:eastAsia="Times New Roman" w:hAnsi="Arial" w:cs="Arial"/>
          <w:sz w:val="22"/>
          <w:szCs w:val="22"/>
          <w:bdr w:val="none" w:sz="0" w:space="0" w:color="auto" w:frame="1"/>
          <w:lang w:val="es-CO" w:eastAsia="es-CO"/>
        </w:rPr>
        <w:t>A la cuenta No. 220230412017, la cual corresponde con la nueva Cuenta Maestra del Distrito, se le realizo un traslado por $17.563.965.056. De esta operación es preciso indicar que el beneficiario se encuentra registrado como “</w:t>
      </w:r>
      <w:r w:rsidRPr="00B3648E">
        <w:rPr>
          <w:rFonts w:ascii="Arial" w:eastAsia="Times New Roman" w:hAnsi="Arial" w:cs="Arial"/>
          <w:i/>
          <w:iCs/>
          <w:sz w:val="22"/>
          <w:szCs w:val="22"/>
          <w:bdr w:val="none" w:sz="0" w:space="0" w:color="auto" w:frame="1"/>
          <w:lang w:val="es-CO" w:eastAsia="es-CO"/>
        </w:rPr>
        <w:t>DISTRITO TURISTICO Y CULTU DE CARTEGANA</w:t>
      </w:r>
      <w:r w:rsidRPr="009136AF">
        <w:rPr>
          <w:rFonts w:ascii="Arial" w:eastAsia="Times New Roman" w:hAnsi="Arial" w:cs="Arial"/>
          <w:sz w:val="22"/>
          <w:szCs w:val="22"/>
          <w:bdr w:val="none" w:sz="0" w:space="0" w:color="auto" w:frame="1"/>
          <w:lang w:val="es-CO" w:eastAsia="es-CO"/>
        </w:rPr>
        <w:t>”</w:t>
      </w:r>
      <w:r w:rsidR="005A2712">
        <w:rPr>
          <w:rFonts w:ascii="Arial" w:eastAsia="Times New Roman" w:hAnsi="Arial" w:cs="Arial"/>
          <w:sz w:val="22"/>
          <w:szCs w:val="22"/>
          <w:bdr w:val="none" w:sz="0" w:space="0" w:color="auto" w:frame="1"/>
          <w:lang w:val="es-CO" w:eastAsia="es-CO"/>
        </w:rPr>
        <w:t>,</w:t>
      </w:r>
      <w:r w:rsidRPr="009136AF">
        <w:rPr>
          <w:rFonts w:ascii="Arial" w:eastAsia="Times New Roman" w:hAnsi="Arial" w:cs="Arial"/>
          <w:sz w:val="22"/>
          <w:szCs w:val="22"/>
          <w:bdr w:val="none" w:sz="0" w:space="0" w:color="auto" w:frame="1"/>
          <w:lang w:val="es-CO" w:eastAsia="es-CO"/>
        </w:rPr>
        <w:t xml:space="preserve"> cuando según el </w:t>
      </w:r>
      <w:r w:rsidR="00A267EB">
        <w:rPr>
          <w:rFonts w:ascii="Arial" w:eastAsia="Times New Roman" w:hAnsi="Arial" w:cs="Arial"/>
          <w:sz w:val="22"/>
          <w:szCs w:val="22"/>
          <w:bdr w:val="none" w:sz="0" w:space="0" w:color="auto" w:frame="1"/>
          <w:lang w:val="es-CO" w:eastAsia="es-CO"/>
        </w:rPr>
        <w:t>a</w:t>
      </w:r>
      <w:r w:rsidRPr="009136AF">
        <w:rPr>
          <w:rFonts w:ascii="Arial" w:eastAsia="Times New Roman" w:hAnsi="Arial" w:cs="Arial"/>
          <w:sz w:val="22"/>
          <w:szCs w:val="22"/>
          <w:bdr w:val="none" w:sz="0" w:space="0" w:color="auto" w:frame="1"/>
          <w:lang w:val="es-CO" w:eastAsia="es-CO"/>
        </w:rPr>
        <w:t>rtículo 5 de la Resolución No. 2248 de 2018 esta debería registrarse como “</w:t>
      </w:r>
      <w:r w:rsidRPr="00B3648E">
        <w:rPr>
          <w:rFonts w:ascii="Arial" w:eastAsia="Times New Roman" w:hAnsi="Arial" w:cs="Arial"/>
          <w:i/>
          <w:iCs/>
          <w:sz w:val="22"/>
          <w:szCs w:val="22"/>
          <w:bdr w:val="none" w:sz="0" w:space="0" w:color="auto" w:frame="1"/>
          <w:lang w:val="es-CO" w:eastAsia="es-CO"/>
        </w:rPr>
        <w:t>DISTRITO TURISTICO Y CULTURAL DE CARTEGANA DE INDIAS CUENTA MAESTRA AE</w:t>
      </w:r>
      <w:r w:rsidRPr="009136AF">
        <w:rPr>
          <w:rFonts w:ascii="Arial" w:eastAsia="Times New Roman" w:hAnsi="Arial" w:cs="Arial"/>
          <w:sz w:val="22"/>
          <w:szCs w:val="22"/>
          <w:bdr w:val="none" w:sz="0" w:space="0" w:color="auto" w:frame="1"/>
          <w:lang w:val="es-CO" w:eastAsia="es-CO"/>
        </w:rPr>
        <w:t>”.</w:t>
      </w:r>
    </w:p>
    <w:p w14:paraId="525B16B1" w14:textId="77777777" w:rsidR="00930A40" w:rsidRDefault="00930A40" w:rsidP="00835F25">
      <w:pPr>
        <w:pStyle w:val="Prrafodelista"/>
        <w:numPr>
          <w:ilvl w:val="0"/>
          <w:numId w:val="25"/>
        </w:numPr>
        <w:shd w:val="clear" w:color="auto" w:fill="FFFFFF" w:themeFill="background1"/>
        <w:jc w:val="both"/>
        <w:rPr>
          <w:rFonts w:ascii="Arial" w:eastAsia="Times New Roman" w:hAnsi="Arial" w:cs="Arial"/>
          <w:sz w:val="22"/>
          <w:szCs w:val="22"/>
          <w:bdr w:val="none" w:sz="0" w:space="0" w:color="auto" w:frame="1"/>
          <w:lang w:val="es-CO" w:eastAsia="es-CO"/>
        </w:rPr>
      </w:pPr>
      <w:r w:rsidRPr="009136AF">
        <w:rPr>
          <w:rFonts w:ascii="Arial" w:eastAsia="Times New Roman" w:hAnsi="Arial" w:cs="Arial"/>
          <w:sz w:val="22"/>
          <w:szCs w:val="22"/>
          <w:bdr w:val="none" w:sz="0" w:space="0" w:color="auto" w:frame="1"/>
          <w:lang w:val="es-CO" w:eastAsia="es-CO"/>
        </w:rPr>
        <w:t>A la cuenta No. 831807854 registrada de dos (2) formas diferentes como “</w:t>
      </w:r>
      <w:r w:rsidRPr="00B3648E">
        <w:rPr>
          <w:rFonts w:ascii="Arial" w:eastAsia="Times New Roman" w:hAnsi="Arial" w:cs="Arial"/>
          <w:i/>
          <w:iCs/>
          <w:sz w:val="22"/>
          <w:szCs w:val="22"/>
          <w:bdr w:val="none" w:sz="0" w:space="0" w:color="auto" w:frame="1"/>
          <w:lang w:val="es-CO" w:eastAsia="es-CO"/>
        </w:rPr>
        <w:t xml:space="preserve">DISTRITO TURISTCO Y CULTURA DE CARTAGENA TAS </w:t>
      </w:r>
      <w:proofErr w:type="gramStart"/>
      <w:r w:rsidRPr="00B3648E">
        <w:rPr>
          <w:rFonts w:ascii="Arial" w:eastAsia="Times New Roman" w:hAnsi="Arial" w:cs="Arial"/>
          <w:i/>
          <w:iCs/>
          <w:sz w:val="22"/>
          <w:szCs w:val="22"/>
          <w:bdr w:val="none" w:sz="0" w:space="0" w:color="auto" w:frame="1"/>
          <w:lang w:val="es-CO" w:eastAsia="es-CO"/>
        </w:rPr>
        <w:t>PRO DEPORTE</w:t>
      </w:r>
      <w:proofErr w:type="gramEnd"/>
      <w:r w:rsidRPr="00B3648E">
        <w:rPr>
          <w:rFonts w:ascii="Arial" w:eastAsia="Times New Roman" w:hAnsi="Arial" w:cs="Arial"/>
          <w:i/>
          <w:iCs/>
          <w:sz w:val="22"/>
          <w:szCs w:val="22"/>
          <w:bdr w:val="none" w:sz="0" w:space="0" w:color="auto" w:frame="1"/>
          <w:lang w:val="es-CO" w:eastAsia="es-CO"/>
        </w:rPr>
        <w:t xml:space="preserve"> Y RECREACION</w:t>
      </w:r>
      <w:r w:rsidRPr="009136AF">
        <w:rPr>
          <w:rFonts w:ascii="Arial" w:eastAsia="Times New Roman" w:hAnsi="Arial" w:cs="Arial"/>
          <w:sz w:val="22"/>
          <w:szCs w:val="22"/>
          <w:bdr w:val="none" w:sz="0" w:space="0" w:color="auto" w:frame="1"/>
          <w:lang w:val="es-CO" w:eastAsia="es-CO"/>
        </w:rPr>
        <w:t>” y “</w:t>
      </w:r>
      <w:r w:rsidRPr="00B3648E">
        <w:rPr>
          <w:rFonts w:ascii="Arial" w:eastAsia="Times New Roman" w:hAnsi="Arial" w:cs="Arial"/>
          <w:i/>
          <w:iCs/>
          <w:sz w:val="22"/>
          <w:szCs w:val="22"/>
          <w:bdr w:val="none" w:sz="0" w:space="0" w:color="auto" w:frame="1"/>
          <w:lang w:val="es-CO" w:eastAsia="es-CO"/>
        </w:rPr>
        <w:t>TASA PRO DEPORTE Y RECREACION</w:t>
      </w:r>
      <w:r w:rsidRPr="009136AF">
        <w:rPr>
          <w:rFonts w:ascii="Arial" w:eastAsia="Times New Roman" w:hAnsi="Arial" w:cs="Arial"/>
          <w:sz w:val="22"/>
          <w:szCs w:val="22"/>
          <w:bdr w:val="none" w:sz="0" w:space="0" w:color="auto" w:frame="1"/>
          <w:lang w:val="es-CO" w:eastAsia="es-CO"/>
        </w:rPr>
        <w:t>”</w:t>
      </w:r>
      <w:r w:rsidR="005A2712">
        <w:rPr>
          <w:rFonts w:ascii="Arial" w:eastAsia="Times New Roman" w:hAnsi="Arial" w:cs="Arial"/>
          <w:sz w:val="22"/>
          <w:szCs w:val="22"/>
          <w:bdr w:val="none" w:sz="0" w:space="0" w:color="auto" w:frame="1"/>
          <w:lang w:val="es-CO" w:eastAsia="es-CO"/>
        </w:rPr>
        <w:t>,</w:t>
      </w:r>
      <w:r w:rsidRPr="009136AF">
        <w:rPr>
          <w:rFonts w:ascii="Arial" w:eastAsia="Times New Roman" w:hAnsi="Arial" w:cs="Arial"/>
          <w:sz w:val="22"/>
          <w:szCs w:val="22"/>
          <w:bdr w:val="none" w:sz="0" w:space="0" w:color="auto" w:frame="1"/>
          <w:lang w:val="es-CO" w:eastAsia="es-CO"/>
        </w:rPr>
        <w:t xml:space="preserve"> se realizaron seis (6) débitos por un valor total de $304.512.63</w:t>
      </w:r>
      <w:r w:rsidR="00593A71">
        <w:rPr>
          <w:rFonts w:ascii="Arial" w:eastAsia="Times New Roman" w:hAnsi="Arial" w:cs="Arial"/>
          <w:sz w:val="22"/>
          <w:szCs w:val="22"/>
          <w:bdr w:val="none" w:sz="0" w:space="0" w:color="auto" w:frame="1"/>
          <w:lang w:val="es-CO" w:eastAsia="es-CO"/>
        </w:rPr>
        <w:t>1</w:t>
      </w:r>
      <w:r w:rsidRPr="009136AF">
        <w:rPr>
          <w:rFonts w:ascii="Arial" w:eastAsia="Times New Roman" w:hAnsi="Arial" w:cs="Arial"/>
          <w:sz w:val="22"/>
          <w:szCs w:val="22"/>
          <w:bdr w:val="none" w:sz="0" w:space="0" w:color="auto" w:frame="1"/>
          <w:lang w:val="es-CO" w:eastAsia="es-CO"/>
        </w:rPr>
        <w:t>, los cuales llaman la atención teniendo en cuenta que esta tasa debe ser recaudada en una Cuenta Maestra especial en el marco de la Ley 2023 de 2020, sin embargo, la misma no ha sido reglamentada por el Ministerio de</w:t>
      </w:r>
      <w:r w:rsidR="005A2712">
        <w:rPr>
          <w:rFonts w:ascii="Arial" w:eastAsia="Times New Roman" w:hAnsi="Arial" w:cs="Arial"/>
          <w:sz w:val="22"/>
          <w:szCs w:val="22"/>
          <w:bdr w:val="none" w:sz="0" w:space="0" w:color="auto" w:frame="1"/>
          <w:lang w:val="es-CO" w:eastAsia="es-CO"/>
        </w:rPr>
        <w:t>l</w:t>
      </w:r>
      <w:r w:rsidRPr="009136AF">
        <w:rPr>
          <w:rFonts w:ascii="Arial" w:eastAsia="Times New Roman" w:hAnsi="Arial" w:cs="Arial"/>
          <w:sz w:val="22"/>
          <w:szCs w:val="22"/>
          <w:bdr w:val="none" w:sz="0" w:space="0" w:color="auto" w:frame="1"/>
          <w:lang w:val="es-CO" w:eastAsia="es-CO"/>
        </w:rPr>
        <w:t xml:space="preserve"> Deporte. </w:t>
      </w:r>
    </w:p>
    <w:p w14:paraId="0B8260EA" w14:textId="77777777" w:rsidR="00930A40" w:rsidRPr="009136AF" w:rsidRDefault="00930A40" w:rsidP="00835F25">
      <w:pPr>
        <w:pStyle w:val="Prrafodelista"/>
        <w:numPr>
          <w:ilvl w:val="0"/>
          <w:numId w:val="25"/>
        </w:numPr>
        <w:shd w:val="clear" w:color="auto" w:fill="FFFFFF" w:themeFill="background1"/>
        <w:jc w:val="both"/>
        <w:rPr>
          <w:rFonts w:ascii="Arial" w:eastAsia="Times New Roman" w:hAnsi="Arial" w:cs="Arial"/>
          <w:sz w:val="22"/>
          <w:szCs w:val="22"/>
          <w:bdr w:val="none" w:sz="0" w:space="0" w:color="auto" w:frame="1"/>
          <w:lang w:val="es-CO" w:eastAsia="es-CO"/>
        </w:rPr>
      </w:pPr>
      <w:r w:rsidRPr="009136AF">
        <w:rPr>
          <w:rFonts w:ascii="Arial" w:eastAsia="Times New Roman" w:hAnsi="Arial" w:cs="Arial"/>
          <w:sz w:val="22"/>
          <w:szCs w:val="22"/>
          <w:bdr w:val="none" w:sz="0" w:space="0" w:color="auto" w:frame="1"/>
          <w:lang w:val="es-CO" w:eastAsia="es-CO"/>
        </w:rPr>
        <w:t>A la cuenta No. 220230404139 registrada como “</w:t>
      </w:r>
      <w:r w:rsidRPr="00B3648E">
        <w:rPr>
          <w:rFonts w:ascii="Arial" w:eastAsia="Times New Roman" w:hAnsi="Arial" w:cs="Arial"/>
          <w:i/>
          <w:iCs/>
          <w:sz w:val="22"/>
          <w:szCs w:val="22"/>
          <w:bdr w:val="none" w:sz="0" w:space="0" w:color="auto" w:frame="1"/>
          <w:lang w:val="es-CO" w:eastAsia="es-CO"/>
        </w:rPr>
        <w:t>ALCALDIA DE CARTAGENA</w:t>
      </w:r>
      <w:r w:rsidRPr="009136AF">
        <w:rPr>
          <w:rFonts w:ascii="Arial" w:eastAsia="Times New Roman" w:hAnsi="Arial" w:cs="Arial"/>
          <w:sz w:val="22"/>
          <w:szCs w:val="22"/>
          <w:bdr w:val="none" w:sz="0" w:space="0" w:color="auto" w:frame="1"/>
          <w:lang w:val="es-CO" w:eastAsia="es-CO"/>
        </w:rPr>
        <w:t>” y “</w:t>
      </w:r>
      <w:r w:rsidRPr="00B3648E">
        <w:rPr>
          <w:rFonts w:ascii="Arial" w:eastAsia="Times New Roman" w:hAnsi="Arial" w:cs="Arial"/>
          <w:i/>
          <w:iCs/>
          <w:sz w:val="22"/>
          <w:szCs w:val="22"/>
          <w:bdr w:val="none" w:sz="0" w:space="0" w:color="auto" w:frame="1"/>
          <w:lang w:val="es-CO" w:eastAsia="es-CO"/>
        </w:rPr>
        <w:t>ESTAMP AOS DORADOS</w:t>
      </w:r>
      <w:r w:rsidRPr="009136AF">
        <w:rPr>
          <w:rFonts w:ascii="Arial" w:eastAsia="Times New Roman" w:hAnsi="Arial" w:cs="Arial"/>
          <w:sz w:val="22"/>
          <w:szCs w:val="22"/>
          <w:bdr w:val="none" w:sz="0" w:space="0" w:color="auto" w:frame="1"/>
          <w:lang w:val="es-CO" w:eastAsia="es-CO"/>
        </w:rPr>
        <w:t>” se le trasladaron $326.001.848 en siete (7) débitos, sobre las cuales es preciso indicar que pueden tratarse de pagos a la “</w:t>
      </w:r>
      <w:r w:rsidRPr="00B3648E">
        <w:rPr>
          <w:rFonts w:ascii="Arial" w:eastAsia="Times New Roman" w:hAnsi="Arial" w:cs="Arial"/>
          <w:i/>
          <w:iCs/>
          <w:sz w:val="22"/>
          <w:szCs w:val="22"/>
          <w:bdr w:val="none" w:sz="0" w:space="0" w:color="auto" w:frame="1"/>
          <w:lang w:val="es-CO" w:eastAsia="es-CO"/>
        </w:rPr>
        <w:t>Estampilla para el bienestar del adulto mayor “Años Dorados</w:t>
      </w:r>
      <w:r w:rsidRPr="009136AF">
        <w:rPr>
          <w:rFonts w:ascii="Arial" w:eastAsia="Times New Roman" w:hAnsi="Arial" w:cs="Arial"/>
          <w:sz w:val="22"/>
          <w:szCs w:val="22"/>
          <w:bdr w:val="none" w:sz="0" w:space="0" w:color="auto" w:frame="1"/>
          <w:lang w:val="es-CO" w:eastAsia="es-CO"/>
        </w:rPr>
        <w:t>” y de ser así esta cuenta debería registrarse como se mencionó anteriormente “</w:t>
      </w:r>
      <w:r w:rsidRPr="00B3648E">
        <w:rPr>
          <w:rFonts w:ascii="Arial" w:eastAsia="Times New Roman" w:hAnsi="Arial" w:cs="Arial"/>
          <w:i/>
          <w:iCs/>
          <w:sz w:val="22"/>
          <w:szCs w:val="22"/>
          <w:bdr w:val="none" w:sz="0" w:space="0" w:color="auto" w:frame="1"/>
          <w:lang w:val="es-CO" w:eastAsia="es-CO"/>
        </w:rPr>
        <w:t>Estampilla para el bienestar del adulto mayor “Años Dorados” Distrito Turístico y Cultura de Cartagena de Indias</w:t>
      </w:r>
      <w:r w:rsidRPr="009136AF">
        <w:rPr>
          <w:rFonts w:ascii="Arial" w:eastAsia="Times New Roman" w:hAnsi="Arial" w:cs="Arial"/>
          <w:sz w:val="22"/>
          <w:szCs w:val="22"/>
          <w:bdr w:val="none" w:sz="0" w:space="0" w:color="auto" w:frame="1"/>
          <w:lang w:val="es-CO" w:eastAsia="es-CO"/>
        </w:rPr>
        <w:t>”. Sin embargo, se recomienda identificar plenamente la cuenta de recaudo de este tributo y a qu</w:t>
      </w:r>
      <w:r w:rsidR="00093D8A">
        <w:rPr>
          <w:rFonts w:ascii="Arial" w:eastAsia="Times New Roman" w:hAnsi="Arial" w:cs="Arial"/>
          <w:sz w:val="22"/>
          <w:szCs w:val="22"/>
          <w:bdr w:val="none" w:sz="0" w:space="0" w:color="auto" w:frame="1"/>
          <w:lang w:val="es-CO" w:eastAsia="es-CO"/>
        </w:rPr>
        <w:t>é</w:t>
      </w:r>
      <w:r w:rsidRPr="009136AF">
        <w:rPr>
          <w:rFonts w:ascii="Arial" w:eastAsia="Times New Roman" w:hAnsi="Arial" w:cs="Arial"/>
          <w:sz w:val="22"/>
          <w:szCs w:val="22"/>
          <w:bdr w:val="none" w:sz="0" w:space="0" w:color="auto" w:frame="1"/>
          <w:lang w:val="es-CO" w:eastAsia="es-CO"/>
        </w:rPr>
        <w:t xml:space="preserve"> corresponden estos egresos dado que como se evidencia se registra de dos formas diferentes.</w:t>
      </w:r>
    </w:p>
    <w:p w14:paraId="23CCB7F8" w14:textId="77777777" w:rsidR="00930A40" w:rsidRPr="00B3648E" w:rsidRDefault="00930A40" w:rsidP="00646700">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7FBA5917" w14:textId="77777777" w:rsidR="00930A40" w:rsidRP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Por otra parte, se evidenciaron dos (2) egresos a nombre del beneficiario “</w:t>
      </w:r>
      <w:r w:rsidRPr="00B3648E">
        <w:rPr>
          <w:rFonts w:ascii="Arial" w:eastAsia="Times New Roman" w:hAnsi="Arial" w:cs="Arial"/>
          <w:i/>
          <w:iCs/>
          <w:sz w:val="22"/>
          <w:szCs w:val="22"/>
          <w:bdr w:val="none" w:sz="0" w:space="0" w:color="auto" w:frame="1"/>
          <w:lang w:val="es-CO" w:eastAsia="es-CO"/>
        </w:rPr>
        <w:t>MIGUEL QUIJANO Y CIA LTDA</w:t>
      </w:r>
      <w:r w:rsidRPr="00930A40">
        <w:rPr>
          <w:rFonts w:ascii="Arial" w:eastAsia="Times New Roman" w:hAnsi="Arial" w:cs="Arial"/>
          <w:sz w:val="22"/>
          <w:szCs w:val="22"/>
          <w:bdr w:val="none" w:sz="0" w:space="0" w:color="auto" w:frame="1"/>
          <w:lang w:val="es-CO" w:eastAsia="es-CO"/>
        </w:rPr>
        <w:t xml:space="preserve">” por valores de $23.780.625 y $14.218.981 los días 12 de febrero y 4 de marzo de 2021 y </w:t>
      </w:r>
      <w:r w:rsidR="00093D8A">
        <w:rPr>
          <w:rFonts w:ascii="Arial" w:eastAsia="Times New Roman" w:hAnsi="Arial" w:cs="Arial"/>
          <w:sz w:val="22"/>
          <w:szCs w:val="22"/>
          <w:bdr w:val="none" w:sz="0" w:space="0" w:color="auto" w:frame="1"/>
          <w:lang w:val="es-CO" w:eastAsia="es-CO"/>
        </w:rPr>
        <w:t>veintiún (</w:t>
      </w:r>
      <w:r w:rsidRPr="00930A40">
        <w:rPr>
          <w:rFonts w:ascii="Arial" w:eastAsia="Times New Roman" w:hAnsi="Arial" w:cs="Arial"/>
          <w:sz w:val="22"/>
          <w:szCs w:val="22"/>
          <w:bdr w:val="none" w:sz="0" w:space="0" w:color="auto" w:frame="1"/>
          <w:lang w:val="es-CO" w:eastAsia="es-CO"/>
        </w:rPr>
        <w:t>21</w:t>
      </w:r>
      <w:r w:rsidR="00093D8A">
        <w:rPr>
          <w:rFonts w:ascii="Arial" w:eastAsia="Times New Roman" w:hAnsi="Arial" w:cs="Arial"/>
          <w:sz w:val="22"/>
          <w:szCs w:val="22"/>
          <w:bdr w:val="none" w:sz="0" w:space="0" w:color="auto" w:frame="1"/>
          <w:lang w:val="es-CO" w:eastAsia="es-CO"/>
        </w:rPr>
        <w:t>)</w:t>
      </w:r>
      <w:r w:rsidRPr="00930A40">
        <w:rPr>
          <w:rFonts w:ascii="Arial" w:eastAsia="Times New Roman" w:hAnsi="Arial" w:cs="Arial"/>
          <w:sz w:val="22"/>
          <w:szCs w:val="22"/>
          <w:bdr w:val="none" w:sz="0" w:space="0" w:color="auto" w:frame="1"/>
          <w:lang w:val="es-CO" w:eastAsia="es-CO"/>
        </w:rPr>
        <w:t xml:space="preserve"> egresos al beneficiario “</w:t>
      </w:r>
      <w:r w:rsidRPr="00B3648E">
        <w:rPr>
          <w:rFonts w:ascii="Arial" w:eastAsia="Times New Roman" w:hAnsi="Arial" w:cs="Arial"/>
          <w:i/>
          <w:iCs/>
          <w:sz w:val="22"/>
          <w:szCs w:val="22"/>
          <w:bdr w:val="none" w:sz="0" w:space="0" w:color="auto" w:frame="1"/>
          <w:lang w:val="es-CO" w:eastAsia="es-CO"/>
        </w:rPr>
        <w:t>BOLSA MERCANTIL DE COLOMBIA</w:t>
      </w:r>
      <w:r w:rsidRPr="00930A40">
        <w:rPr>
          <w:rFonts w:ascii="Arial" w:eastAsia="Times New Roman" w:hAnsi="Arial" w:cs="Arial"/>
          <w:sz w:val="22"/>
          <w:szCs w:val="22"/>
          <w:bdr w:val="none" w:sz="0" w:space="0" w:color="auto" w:frame="1"/>
          <w:lang w:val="es-CO" w:eastAsia="es-CO"/>
        </w:rPr>
        <w:t xml:space="preserve">”, distribuidos en nueve (9) fechas diferentes, por valor total de $16.044.094.619, los cuales pueden presumirse se dieron en el marco del </w:t>
      </w:r>
      <w:r w:rsidR="00093D8A">
        <w:rPr>
          <w:rFonts w:ascii="Arial" w:eastAsia="Times New Roman" w:hAnsi="Arial" w:cs="Arial"/>
          <w:sz w:val="22"/>
          <w:szCs w:val="22"/>
          <w:bdr w:val="none" w:sz="0" w:space="0" w:color="auto" w:frame="1"/>
          <w:lang w:val="es-CO" w:eastAsia="es-CO"/>
        </w:rPr>
        <w:t>C</w:t>
      </w:r>
      <w:r w:rsidRPr="00930A40">
        <w:rPr>
          <w:rFonts w:ascii="Arial" w:eastAsia="Times New Roman" w:hAnsi="Arial" w:cs="Arial"/>
          <w:sz w:val="22"/>
          <w:szCs w:val="22"/>
          <w:bdr w:val="none" w:sz="0" w:space="0" w:color="auto" w:frame="1"/>
          <w:lang w:val="es-CO" w:eastAsia="es-CO"/>
        </w:rPr>
        <w:t>ontrato 001-2021 teniendo en cuenta que parte de este se financia con recursos del Programa de Alimentación Escolar que administra el Distrito, así como con parte de los rendimientos financieros generados en la Cuenta Maestra del Programa de Alimentación Escolar.</w:t>
      </w:r>
    </w:p>
    <w:p w14:paraId="2AF8C9CF" w14:textId="77777777" w:rsidR="00930A40" w:rsidRP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2562C6D1" w14:textId="77777777" w:rsidR="00930A40" w:rsidRDefault="00930A40"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sidRPr="00930A40">
        <w:rPr>
          <w:rFonts w:ascii="Arial" w:eastAsia="Times New Roman" w:hAnsi="Arial" w:cs="Arial"/>
          <w:sz w:val="22"/>
          <w:szCs w:val="22"/>
          <w:bdr w:val="none" w:sz="0" w:space="0" w:color="auto" w:frame="1"/>
          <w:lang w:val="es-CO" w:eastAsia="es-CO"/>
        </w:rPr>
        <w:t>Del registro de los beneficiarios mencionados con anterioridad es pertinente concluir que el Distrito de Cartagena realiza más de un registro en la plataforma del Banco para los beneficiarios en lo que se señaló con anterioridad, evidenciando un inadecuado uso del producto Cuenta Maestra.</w:t>
      </w:r>
    </w:p>
    <w:p w14:paraId="597217BE" w14:textId="77777777" w:rsidR="00D35AF1" w:rsidRDefault="00D35AF1"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0905A95F" w14:textId="77777777" w:rsidR="00D35AF1" w:rsidRDefault="00D35AF1"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Pr>
          <w:rFonts w:ascii="Arial" w:eastAsia="Times New Roman" w:hAnsi="Arial" w:cs="Arial"/>
          <w:sz w:val="22"/>
          <w:szCs w:val="22"/>
          <w:bdr w:val="none" w:sz="0" w:space="0" w:color="auto" w:frame="1"/>
          <w:lang w:val="es-CO" w:eastAsia="es-CO"/>
        </w:rPr>
        <w:t xml:space="preserve">En este sentido, es menester señalar que </w:t>
      </w:r>
      <w:r w:rsidR="00AB7131">
        <w:rPr>
          <w:rFonts w:ascii="Arial" w:eastAsia="Times New Roman" w:hAnsi="Arial" w:cs="Arial"/>
          <w:sz w:val="22"/>
          <w:szCs w:val="22"/>
          <w:bdr w:val="none" w:sz="0" w:space="0" w:color="auto" w:frame="1"/>
          <w:lang w:val="es-CO" w:eastAsia="es-CO"/>
        </w:rPr>
        <w:t>en virtud de</w:t>
      </w:r>
      <w:r w:rsidR="000C44B8">
        <w:rPr>
          <w:rFonts w:ascii="Arial" w:eastAsia="Times New Roman" w:hAnsi="Arial" w:cs="Arial"/>
          <w:sz w:val="22"/>
          <w:szCs w:val="22"/>
          <w:bdr w:val="none" w:sz="0" w:space="0" w:color="auto" w:frame="1"/>
          <w:lang w:val="es-CO" w:eastAsia="es-CO"/>
        </w:rPr>
        <w:t xml:space="preserve">l </w:t>
      </w:r>
      <w:r w:rsidR="00835F25">
        <w:rPr>
          <w:rFonts w:ascii="Arial" w:eastAsia="Times New Roman" w:hAnsi="Arial" w:cs="Arial"/>
          <w:sz w:val="22"/>
          <w:szCs w:val="22"/>
          <w:bdr w:val="none" w:sz="0" w:space="0" w:color="auto" w:frame="1"/>
          <w:lang w:val="es-CO" w:eastAsia="es-CO"/>
        </w:rPr>
        <w:t>c</w:t>
      </w:r>
      <w:r w:rsidR="000C44B8">
        <w:rPr>
          <w:rFonts w:ascii="Arial" w:eastAsia="Times New Roman" w:hAnsi="Arial" w:cs="Arial"/>
          <w:sz w:val="22"/>
          <w:szCs w:val="22"/>
          <w:bdr w:val="none" w:sz="0" w:space="0" w:color="auto" w:frame="1"/>
          <w:lang w:val="es-CO" w:eastAsia="es-CO"/>
        </w:rPr>
        <w:t>ap</w:t>
      </w:r>
      <w:r w:rsidR="00835F25">
        <w:rPr>
          <w:rFonts w:ascii="Arial" w:eastAsia="Times New Roman" w:hAnsi="Arial" w:cs="Arial"/>
          <w:sz w:val="22"/>
          <w:szCs w:val="22"/>
          <w:bdr w:val="none" w:sz="0" w:space="0" w:color="auto" w:frame="1"/>
          <w:lang w:val="es-CO" w:eastAsia="es-CO"/>
        </w:rPr>
        <w:t>í</w:t>
      </w:r>
      <w:r w:rsidR="000C44B8">
        <w:rPr>
          <w:rFonts w:ascii="Arial" w:eastAsia="Times New Roman" w:hAnsi="Arial" w:cs="Arial"/>
          <w:sz w:val="22"/>
          <w:szCs w:val="22"/>
          <w:bdr w:val="none" w:sz="0" w:space="0" w:color="auto" w:frame="1"/>
          <w:lang w:val="es-CO" w:eastAsia="es-CO"/>
        </w:rPr>
        <w:t xml:space="preserve">tulo IV de la Resolución 2248 de 2018 </w:t>
      </w:r>
      <w:r w:rsidR="008C4929">
        <w:rPr>
          <w:rFonts w:ascii="Arial" w:eastAsia="Times New Roman" w:hAnsi="Arial" w:cs="Arial"/>
          <w:sz w:val="22"/>
          <w:szCs w:val="22"/>
          <w:bdr w:val="none" w:sz="0" w:space="0" w:color="auto" w:frame="1"/>
          <w:lang w:val="es-CO" w:eastAsia="es-CO"/>
        </w:rPr>
        <w:t xml:space="preserve">el Ministerio de Hacienda y Crédito Público de manera </w:t>
      </w:r>
      <w:r w:rsidR="002358ED">
        <w:rPr>
          <w:rFonts w:ascii="Arial" w:eastAsia="Times New Roman" w:hAnsi="Arial" w:cs="Arial"/>
          <w:sz w:val="22"/>
          <w:szCs w:val="22"/>
          <w:bdr w:val="none" w:sz="0" w:space="0" w:color="auto" w:frame="1"/>
          <w:lang w:val="es-CO" w:eastAsia="es-CO"/>
        </w:rPr>
        <w:t xml:space="preserve">unilateral </w:t>
      </w:r>
      <w:r w:rsidR="00986563">
        <w:rPr>
          <w:rFonts w:ascii="Arial" w:eastAsia="Times New Roman" w:hAnsi="Arial" w:cs="Arial"/>
          <w:sz w:val="22"/>
          <w:szCs w:val="22"/>
          <w:bdr w:val="none" w:sz="0" w:space="0" w:color="auto" w:frame="1"/>
          <w:lang w:val="es-CO" w:eastAsia="es-CO"/>
        </w:rPr>
        <w:t>solicitó la sustitución de la Cuenta Maestra</w:t>
      </w:r>
      <w:r w:rsidR="0098105E">
        <w:rPr>
          <w:rFonts w:ascii="Arial" w:eastAsia="Times New Roman" w:hAnsi="Arial" w:cs="Arial"/>
          <w:sz w:val="22"/>
          <w:szCs w:val="22"/>
          <w:bdr w:val="none" w:sz="0" w:space="0" w:color="auto" w:frame="1"/>
          <w:lang w:val="es-CO" w:eastAsia="es-CO"/>
        </w:rPr>
        <w:t xml:space="preserve"> del PAE</w:t>
      </w:r>
      <w:r w:rsidR="00986563">
        <w:rPr>
          <w:rFonts w:ascii="Arial" w:eastAsia="Times New Roman" w:hAnsi="Arial" w:cs="Arial"/>
          <w:sz w:val="22"/>
          <w:szCs w:val="22"/>
          <w:bdr w:val="none" w:sz="0" w:space="0" w:color="auto" w:frame="1"/>
          <w:lang w:val="es-CO" w:eastAsia="es-CO"/>
        </w:rPr>
        <w:t xml:space="preserve"> que la Entidad Territorial tenía con </w:t>
      </w:r>
      <w:r w:rsidR="00AD4FAA">
        <w:rPr>
          <w:rFonts w:ascii="Arial" w:eastAsia="Times New Roman" w:hAnsi="Arial" w:cs="Arial"/>
          <w:sz w:val="22"/>
          <w:szCs w:val="22"/>
          <w:bdr w:val="none" w:sz="0" w:space="0" w:color="auto" w:frame="1"/>
          <w:lang w:val="es-CO" w:eastAsia="es-CO"/>
        </w:rPr>
        <w:t>el Banco de Occidente</w:t>
      </w:r>
      <w:r w:rsidR="0098105E">
        <w:rPr>
          <w:rFonts w:ascii="Arial" w:eastAsia="Times New Roman" w:hAnsi="Arial" w:cs="Arial"/>
          <w:sz w:val="22"/>
          <w:szCs w:val="22"/>
          <w:bdr w:val="none" w:sz="0" w:space="0" w:color="auto" w:frame="1"/>
          <w:lang w:val="es-CO" w:eastAsia="es-CO"/>
        </w:rPr>
        <w:t xml:space="preserve"> y de esta manera el Distrito hizo la apertura de una nueva Cuenta Maestra en el mes de diciembre de 2021</w:t>
      </w:r>
      <w:r w:rsidR="00897F59">
        <w:rPr>
          <w:rFonts w:ascii="Arial" w:eastAsia="Times New Roman" w:hAnsi="Arial" w:cs="Arial"/>
          <w:sz w:val="22"/>
          <w:szCs w:val="22"/>
          <w:bdr w:val="none" w:sz="0" w:space="0" w:color="auto" w:frame="1"/>
          <w:lang w:val="es-CO" w:eastAsia="es-CO"/>
        </w:rPr>
        <w:t>, con el Banco Popular.</w:t>
      </w:r>
    </w:p>
    <w:p w14:paraId="393F50B8" w14:textId="77777777" w:rsidR="00885847" w:rsidRPr="00930A40" w:rsidRDefault="00885847"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4D0866F4" w14:textId="77777777" w:rsidR="00885847" w:rsidRDefault="000E3527"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Pr>
          <w:rFonts w:ascii="Arial" w:eastAsia="Times New Roman" w:hAnsi="Arial" w:cs="Arial"/>
          <w:sz w:val="22"/>
          <w:szCs w:val="22"/>
          <w:bdr w:val="none" w:sz="0" w:space="0" w:color="auto" w:frame="1"/>
          <w:lang w:val="es-CO" w:eastAsia="es-CO"/>
        </w:rPr>
        <w:t>Por lo anterior</w:t>
      </w:r>
      <w:r w:rsidR="00930A40" w:rsidRPr="00930A40">
        <w:rPr>
          <w:rFonts w:ascii="Arial" w:eastAsia="Times New Roman" w:hAnsi="Arial" w:cs="Arial"/>
          <w:sz w:val="22"/>
          <w:szCs w:val="22"/>
          <w:bdr w:val="none" w:sz="0" w:space="0" w:color="auto" w:frame="1"/>
          <w:lang w:val="es-CO" w:eastAsia="es-CO"/>
        </w:rPr>
        <w:t>,</w:t>
      </w:r>
      <w:r w:rsidR="00BD7CF7">
        <w:rPr>
          <w:rFonts w:ascii="Arial" w:eastAsia="Times New Roman" w:hAnsi="Arial" w:cs="Arial"/>
          <w:sz w:val="22"/>
          <w:szCs w:val="22"/>
          <w:bdr w:val="none" w:sz="0" w:space="0" w:color="auto" w:frame="1"/>
          <w:lang w:val="es-CO" w:eastAsia="es-CO"/>
        </w:rPr>
        <w:t xml:space="preserve"> después</w:t>
      </w:r>
      <w:r w:rsidR="00930A40" w:rsidRPr="00930A40">
        <w:rPr>
          <w:rFonts w:ascii="Arial" w:eastAsia="Times New Roman" w:hAnsi="Arial" w:cs="Arial"/>
          <w:sz w:val="22"/>
          <w:szCs w:val="22"/>
          <w:bdr w:val="none" w:sz="0" w:space="0" w:color="auto" w:frame="1"/>
          <w:lang w:val="es-CO" w:eastAsia="es-CO"/>
        </w:rPr>
        <w:t xml:space="preserve"> de la revisión de Cuentas </w:t>
      </w:r>
      <w:r w:rsidR="00930A40" w:rsidRPr="000E3527">
        <w:rPr>
          <w:rFonts w:ascii="Arial" w:eastAsia="Times New Roman" w:hAnsi="Arial" w:cs="Arial"/>
          <w:sz w:val="22"/>
          <w:szCs w:val="22"/>
          <w:bdr w:val="none" w:sz="0" w:space="0" w:color="auto" w:frame="1"/>
          <w:lang w:val="es-CO" w:eastAsia="es-CO"/>
        </w:rPr>
        <w:t xml:space="preserve">Maestras Pagadoras </w:t>
      </w:r>
      <w:r w:rsidR="008D4B7C" w:rsidRPr="000E3527">
        <w:rPr>
          <w:rFonts w:ascii="Arial" w:eastAsia="Times New Roman" w:hAnsi="Arial" w:cs="Arial"/>
          <w:sz w:val="22"/>
          <w:szCs w:val="22"/>
          <w:bdr w:val="none" w:sz="0" w:space="0" w:color="auto" w:frame="1"/>
          <w:lang w:val="es-CO" w:eastAsia="es-CO"/>
        </w:rPr>
        <w:t>abiertas</w:t>
      </w:r>
      <w:r w:rsidR="00930A40" w:rsidRPr="000E3527">
        <w:rPr>
          <w:rFonts w:ascii="Arial" w:eastAsia="Times New Roman" w:hAnsi="Arial" w:cs="Arial"/>
          <w:sz w:val="22"/>
          <w:szCs w:val="22"/>
          <w:bdr w:val="none" w:sz="0" w:space="0" w:color="auto" w:frame="1"/>
          <w:lang w:val="es-CO" w:eastAsia="es-CO"/>
        </w:rPr>
        <w:t xml:space="preserve"> a favor del Distrito de Cartagena</w:t>
      </w:r>
      <w:r>
        <w:rPr>
          <w:rFonts w:ascii="Arial" w:eastAsia="Times New Roman" w:hAnsi="Arial" w:cs="Arial"/>
          <w:sz w:val="22"/>
          <w:szCs w:val="22"/>
          <w:bdr w:val="none" w:sz="0" w:space="0" w:color="auto" w:frame="1"/>
          <w:lang w:val="es-CO" w:eastAsia="es-CO"/>
        </w:rPr>
        <w:t>,</w:t>
      </w:r>
      <w:r w:rsidR="00930A40" w:rsidRPr="000E3527">
        <w:rPr>
          <w:rFonts w:ascii="Arial" w:eastAsia="Times New Roman" w:hAnsi="Arial" w:cs="Arial"/>
          <w:sz w:val="22"/>
          <w:szCs w:val="22"/>
          <w:bdr w:val="none" w:sz="0" w:space="0" w:color="auto" w:frame="1"/>
          <w:lang w:val="es-CO" w:eastAsia="es-CO"/>
        </w:rPr>
        <w:t xml:space="preserve"> se identificó que no se registra una cuenta asociada a la Cuenta Maestra Principal </w:t>
      </w:r>
      <w:r w:rsidR="00D14326" w:rsidRPr="000E3527">
        <w:rPr>
          <w:rFonts w:ascii="Arial" w:eastAsia="Times New Roman" w:hAnsi="Arial" w:cs="Arial"/>
          <w:sz w:val="22"/>
          <w:szCs w:val="22"/>
          <w:bdr w:val="none" w:sz="0" w:space="0" w:color="auto" w:frame="1"/>
          <w:lang w:val="es-CO" w:eastAsia="es-CO"/>
        </w:rPr>
        <w:t xml:space="preserve">del Programa de Alimentación Escolar </w:t>
      </w:r>
      <w:r w:rsidR="00930A40" w:rsidRPr="000E3527">
        <w:rPr>
          <w:rFonts w:ascii="Arial" w:eastAsia="Times New Roman" w:hAnsi="Arial" w:cs="Arial"/>
          <w:sz w:val="22"/>
          <w:szCs w:val="22"/>
          <w:bdr w:val="none" w:sz="0" w:space="0" w:color="auto" w:frame="1"/>
          <w:lang w:val="es-CO" w:eastAsia="es-CO"/>
        </w:rPr>
        <w:t xml:space="preserve">aperturada en el Banco Popular, siendo un incumplimiento a la Resolución No. 0660 de 2018. Por otro lado, se registra una cuenta a favor del </w:t>
      </w:r>
      <w:r w:rsidR="00422B1E" w:rsidRPr="000E3527">
        <w:rPr>
          <w:rFonts w:ascii="Arial" w:eastAsia="Times New Roman" w:hAnsi="Arial" w:cs="Arial"/>
          <w:sz w:val="22"/>
          <w:szCs w:val="22"/>
          <w:bdr w:val="none" w:sz="0" w:space="0" w:color="auto" w:frame="1"/>
          <w:lang w:val="es-CO" w:eastAsia="es-CO"/>
        </w:rPr>
        <w:t>Distrito</w:t>
      </w:r>
      <w:r w:rsidR="00930A40" w:rsidRPr="000E3527">
        <w:rPr>
          <w:rFonts w:ascii="Arial" w:eastAsia="Times New Roman" w:hAnsi="Arial" w:cs="Arial"/>
          <w:sz w:val="22"/>
          <w:szCs w:val="22"/>
          <w:bdr w:val="none" w:sz="0" w:space="0" w:color="auto" w:frame="1"/>
          <w:lang w:val="es-CO" w:eastAsia="es-CO"/>
        </w:rPr>
        <w:t xml:space="preserve"> en el Banco de Occidente con No. 830976858</w:t>
      </w:r>
      <w:r>
        <w:rPr>
          <w:rFonts w:ascii="Arial" w:eastAsia="Times New Roman" w:hAnsi="Arial" w:cs="Arial"/>
          <w:sz w:val="22"/>
          <w:szCs w:val="22"/>
          <w:bdr w:val="none" w:sz="0" w:space="0" w:color="auto" w:frame="1"/>
          <w:lang w:val="es-CO" w:eastAsia="es-CO"/>
        </w:rPr>
        <w:t>,</w:t>
      </w:r>
      <w:r w:rsidR="00930A40" w:rsidRPr="000E3527">
        <w:rPr>
          <w:rFonts w:ascii="Arial" w:eastAsia="Times New Roman" w:hAnsi="Arial" w:cs="Arial"/>
          <w:sz w:val="22"/>
          <w:szCs w:val="22"/>
          <w:bdr w:val="none" w:sz="0" w:space="0" w:color="auto" w:frame="1"/>
          <w:lang w:val="es-CO" w:eastAsia="es-CO"/>
        </w:rPr>
        <w:t xml:space="preserve"> la cual </w:t>
      </w:r>
      <w:r w:rsidR="005E5833" w:rsidRPr="000E3527">
        <w:rPr>
          <w:rFonts w:ascii="Arial" w:eastAsia="Times New Roman" w:hAnsi="Arial" w:cs="Arial"/>
          <w:sz w:val="22"/>
          <w:szCs w:val="22"/>
          <w:bdr w:val="none" w:sz="0" w:space="0" w:color="auto" w:frame="1"/>
          <w:lang w:val="es-CO" w:eastAsia="es-CO"/>
        </w:rPr>
        <w:t>se le dio apertura</w:t>
      </w:r>
      <w:r w:rsidR="00930A40" w:rsidRPr="000E3527">
        <w:rPr>
          <w:rFonts w:ascii="Arial" w:eastAsia="Times New Roman" w:hAnsi="Arial" w:cs="Arial"/>
          <w:sz w:val="22"/>
          <w:szCs w:val="22"/>
          <w:bdr w:val="none" w:sz="0" w:space="0" w:color="auto" w:frame="1"/>
          <w:lang w:val="es-CO" w:eastAsia="es-CO"/>
        </w:rPr>
        <w:t xml:space="preserve"> el 26 de junio de 2018</w:t>
      </w:r>
      <w:r w:rsidR="00093868" w:rsidRPr="000E3527">
        <w:rPr>
          <w:rStyle w:val="Refdenotaalpie"/>
          <w:rFonts w:ascii="Arial" w:eastAsia="Times New Roman" w:hAnsi="Arial" w:cs="Arial"/>
          <w:sz w:val="22"/>
          <w:szCs w:val="22"/>
          <w:bdr w:val="none" w:sz="0" w:space="0" w:color="auto" w:frame="1"/>
          <w:lang w:val="es-CO" w:eastAsia="es-CO"/>
        </w:rPr>
        <w:footnoteReference w:id="6"/>
      </w:r>
      <w:r w:rsidR="00930A40" w:rsidRPr="000E3527">
        <w:rPr>
          <w:rFonts w:ascii="Arial" w:eastAsia="Times New Roman" w:hAnsi="Arial" w:cs="Arial"/>
          <w:sz w:val="22"/>
          <w:szCs w:val="22"/>
          <w:bdr w:val="none" w:sz="0" w:space="0" w:color="auto" w:frame="1"/>
          <w:lang w:val="es-CO" w:eastAsia="es-CO"/>
        </w:rPr>
        <w:t xml:space="preserve"> y reporta saldos en cero ($0) hasta la fecha a pesar de estar reportada como “</w:t>
      </w:r>
      <w:r w:rsidR="00930A40" w:rsidRPr="000E3527">
        <w:rPr>
          <w:rFonts w:ascii="Arial" w:eastAsia="Times New Roman" w:hAnsi="Arial" w:cs="Arial"/>
          <w:i/>
          <w:iCs/>
          <w:sz w:val="22"/>
          <w:szCs w:val="22"/>
          <w:bdr w:val="none" w:sz="0" w:space="0" w:color="auto" w:frame="1"/>
          <w:lang w:val="es-CO" w:eastAsia="es-CO"/>
        </w:rPr>
        <w:t>Terminada</w:t>
      </w:r>
      <w:r w:rsidR="00930A40" w:rsidRPr="000E3527">
        <w:rPr>
          <w:rFonts w:ascii="Arial" w:eastAsia="Times New Roman" w:hAnsi="Arial" w:cs="Arial"/>
          <w:sz w:val="22"/>
          <w:szCs w:val="22"/>
          <w:bdr w:val="none" w:sz="0" w:space="0" w:color="auto" w:frame="1"/>
          <w:lang w:val="es-CO" w:eastAsia="es-CO"/>
        </w:rPr>
        <w:t>” teniendo en cuenta su sustitución.</w:t>
      </w:r>
    </w:p>
    <w:p w14:paraId="56627CC0" w14:textId="77777777" w:rsidR="00BD7CF7" w:rsidRDefault="00BD7CF7"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1B58B0FD" w14:textId="77777777" w:rsidR="00BD7CF7" w:rsidRDefault="00BD7CF7" w:rsidP="00835F25">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Pr>
          <w:rFonts w:ascii="Arial" w:eastAsia="Times New Roman" w:hAnsi="Arial" w:cs="Arial"/>
          <w:sz w:val="22"/>
          <w:szCs w:val="22"/>
          <w:bdr w:val="none" w:sz="0" w:space="0" w:color="auto" w:frame="1"/>
          <w:lang w:val="es-CO" w:eastAsia="es-CO"/>
        </w:rPr>
        <w:t xml:space="preserve">Finalmente, esta Dirección encontró problemáticas asociadas al uso adecuado de las Cuentas Maestras, así: i) </w:t>
      </w:r>
      <w:r w:rsidR="001869D1">
        <w:rPr>
          <w:rFonts w:ascii="Arial" w:eastAsia="Times New Roman" w:hAnsi="Arial" w:cs="Arial"/>
          <w:sz w:val="22"/>
          <w:szCs w:val="22"/>
          <w:bdr w:val="none" w:sz="0" w:space="0" w:color="auto" w:frame="1"/>
          <w:lang w:val="es-CO" w:eastAsia="es-CO"/>
        </w:rPr>
        <w:t>r</w:t>
      </w:r>
      <w:r>
        <w:rPr>
          <w:rFonts w:ascii="Arial" w:eastAsia="Times New Roman" w:hAnsi="Arial" w:cs="Arial"/>
          <w:sz w:val="22"/>
          <w:szCs w:val="22"/>
          <w:bdr w:val="none" w:sz="0" w:space="0" w:color="auto" w:frame="1"/>
          <w:lang w:val="es-CO" w:eastAsia="es-CO"/>
        </w:rPr>
        <w:t xml:space="preserve">egistro </w:t>
      </w:r>
      <w:r w:rsidR="00C01FEC">
        <w:rPr>
          <w:rFonts w:ascii="Arial" w:eastAsia="Times New Roman" w:hAnsi="Arial" w:cs="Arial"/>
          <w:sz w:val="22"/>
          <w:szCs w:val="22"/>
          <w:bdr w:val="none" w:sz="0" w:space="0" w:color="auto" w:frame="1"/>
          <w:lang w:val="es-CO" w:eastAsia="es-CO"/>
        </w:rPr>
        <w:t>inconsistente</w:t>
      </w:r>
      <w:r>
        <w:rPr>
          <w:rFonts w:ascii="Arial" w:eastAsia="Times New Roman" w:hAnsi="Arial" w:cs="Arial"/>
          <w:sz w:val="22"/>
          <w:szCs w:val="22"/>
          <w:bdr w:val="none" w:sz="0" w:space="0" w:color="auto" w:frame="1"/>
          <w:lang w:val="es-CO" w:eastAsia="es-CO"/>
        </w:rPr>
        <w:t xml:space="preserve"> de los</w:t>
      </w:r>
      <w:r w:rsidR="00D9149E">
        <w:rPr>
          <w:rFonts w:ascii="Arial" w:eastAsia="Times New Roman" w:hAnsi="Arial" w:cs="Arial"/>
          <w:sz w:val="22"/>
          <w:szCs w:val="22"/>
          <w:bdr w:val="none" w:sz="0" w:space="0" w:color="auto" w:frame="1"/>
          <w:lang w:val="es-CO" w:eastAsia="es-CO"/>
        </w:rPr>
        <w:t xml:space="preserve"> nombres de los</w:t>
      </w:r>
      <w:r>
        <w:rPr>
          <w:rFonts w:ascii="Arial" w:eastAsia="Times New Roman" w:hAnsi="Arial" w:cs="Arial"/>
          <w:sz w:val="22"/>
          <w:szCs w:val="22"/>
          <w:bdr w:val="none" w:sz="0" w:space="0" w:color="auto" w:frame="1"/>
          <w:lang w:val="es-CO" w:eastAsia="es-CO"/>
        </w:rPr>
        <w:t xml:space="preserve"> beneficiarios</w:t>
      </w:r>
      <w:r w:rsidR="00A468F6">
        <w:rPr>
          <w:rFonts w:ascii="Arial" w:eastAsia="Times New Roman" w:hAnsi="Arial" w:cs="Arial"/>
          <w:sz w:val="22"/>
          <w:szCs w:val="22"/>
          <w:bdr w:val="none" w:sz="0" w:space="0" w:color="auto" w:frame="1"/>
          <w:lang w:val="es-CO" w:eastAsia="es-CO"/>
        </w:rPr>
        <w:t xml:space="preserve">, ii) </w:t>
      </w:r>
      <w:r w:rsidR="001869D1">
        <w:rPr>
          <w:rFonts w:ascii="Arial" w:eastAsia="Times New Roman" w:hAnsi="Arial" w:cs="Arial"/>
          <w:sz w:val="22"/>
          <w:szCs w:val="22"/>
          <w:bdr w:val="none" w:sz="0" w:space="0" w:color="auto" w:frame="1"/>
          <w:lang w:val="es-CO" w:eastAsia="es-CO"/>
        </w:rPr>
        <w:t>p</w:t>
      </w:r>
      <w:r w:rsidR="00A468F6">
        <w:rPr>
          <w:rFonts w:ascii="Arial" w:eastAsia="Times New Roman" w:hAnsi="Arial" w:cs="Arial"/>
          <w:sz w:val="22"/>
          <w:szCs w:val="22"/>
          <w:bdr w:val="none" w:sz="0" w:space="0" w:color="auto" w:frame="1"/>
          <w:lang w:val="es-CO" w:eastAsia="es-CO"/>
        </w:rPr>
        <w:t xml:space="preserve">rocedimiento </w:t>
      </w:r>
      <w:r w:rsidR="00C01FEC">
        <w:rPr>
          <w:rFonts w:ascii="Arial" w:eastAsia="Times New Roman" w:hAnsi="Arial" w:cs="Arial"/>
          <w:sz w:val="22"/>
          <w:szCs w:val="22"/>
          <w:bdr w:val="none" w:sz="0" w:space="0" w:color="auto" w:frame="1"/>
          <w:lang w:val="es-CO" w:eastAsia="es-CO"/>
        </w:rPr>
        <w:t xml:space="preserve">inadecuado </w:t>
      </w:r>
      <w:r w:rsidR="00A468F6">
        <w:rPr>
          <w:rFonts w:ascii="Arial" w:eastAsia="Times New Roman" w:hAnsi="Arial" w:cs="Arial"/>
          <w:sz w:val="22"/>
          <w:szCs w:val="22"/>
          <w:bdr w:val="none" w:sz="0" w:space="0" w:color="auto" w:frame="1"/>
          <w:lang w:val="es-CO" w:eastAsia="es-CO"/>
        </w:rPr>
        <w:t xml:space="preserve">en el pago de </w:t>
      </w:r>
      <w:r w:rsidR="000A5FD9">
        <w:rPr>
          <w:rFonts w:ascii="Arial" w:eastAsia="Times New Roman" w:hAnsi="Arial" w:cs="Arial"/>
          <w:sz w:val="22"/>
          <w:szCs w:val="22"/>
          <w:bdr w:val="none" w:sz="0" w:space="0" w:color="auto" w:frame="1"/>
          <w:lang w:val="es-CO" w:eastAsia="es-CO"/>
        </w:rPr>
        <w:t>las retenciones en la fuente practicadas por el ente territorial como agente retenedor de los diferentes tributos</w:t>
      </w:r>
      <w:r w:rsidR="00C56F75">
        <w:rPr>
          <w:rFonts w:ascii="Arial" w:eastAsia="Times New Roman" w:hAnsi="Arial" w:cs="Arial"/>
          <w:sz w:val="22"/>
          <w:szCs w:val="22"/>
          <w:bdr w:val="none" w:sz="0" w:space="0" w:color="auto" w:frame="1"/>
          <w:lang w:val="es-CO" w:eastAsia="es-CO"/>
        </w:rPr>
        <w:t>,</w:t>
      </w:r>
      <w:r w:rsidR="000A5FD9">
        <w:rPr>
          <w:rFonts w:ascii="Arial" w:eastAsia="Times New Roman" w:hAnsi="Arial" w:cs="Arial"/>
          <w:sz w:val="22"/>
          <w:szCs w:val="22"/>
          <w:bdr w:val="none" w:sz="0" w:space="0" w:color="auto" w:frame="1"/>
          <w:lang w:val="es-CO" w:eastAsia="es-CO"/>
        </w:rPr>
        <w:t xml:space="preserve"> iii)</w:t>
      </w:r>
      <w:r w:rsidR="00C56F75">
        <w:rPr>
          <w:rFonts w:ascii="Arial" w:eastAsia="Times New Roman" w:hAnsi="Arial" w:cs="Arial"/>
          <w:sz w:val="22"/>
          <w:szCs w:val="22"/>
          <w:bdr w:val="none" w:sz="0" w:space="0" w:color="auto" w:frame="1"/>
          <w:lang w:val="es-CO" w:eastAsia="es-CO"/>
        </w:rPr>
        <w:t xml:space="preserve"> </w:t>
      </w:r>
      <w:r w:rsidR="001869D1">
        <w:rPr>
          <w:rFonts w:ascii="Arial" w:eastAsia="Times New Roman" w:hAnsi="Arial" w:cs="Arial"/>
          <w:sz w:val="22"/>
          <w:szCs w:val="22"/>
          <w:bdr w:val="none" w:sz="0" w:space="0" w:color="auto" w:frame="1"/>
          <w:lang w:val="es-CO" w:eastAsia="es-CO"/>
        </w:rPr>
        <w:t>u</w:t>
      </w:r>
      <w:r w:rsidR="00C56F75">
        <w:rPr>
          <w:rFonts w:ascii="Arial" w:eastAsia="Times New Roman" w:hAnsi="Arial" w:cs="Arial"/>
          <w:sz w:val="22"/>
          <w:szCs w:val="22"/>
          <w:bdr w:val="none" w:sz="0" w:space="0" w:color="auto" w:frame="1"/>
          <w:lang w:val="es-CO" w:eastAsia="es-CO"/>
        </w:rPr>
        <w:t xml:space="preserve">so erróneo de los códigos de los egresos y iv) </w:t>
      </w:r>
      <w:r w:rsidR="001869D1">
        <w:rPr>
          <w:rFonts w:ascii="Arial" w:eastAsia="Times New Roman" w:hAnsi="Arial" w:cs="Arial"/>
          <w:sz w:val="22"/>
          <w:szCs w:val="22"/>
          <w:bdr w:val="none" w:sz="0" w:space="0" w:color="auto" w:frame="1"/>
          <w:lang w:val="es-CO" w:eastAsia="es-CO"/>
        </w:rPr>
        <w:t>o</w:t>
      </w:r>
      <w:r w:rsidR="00FC4C09">
        <w:rPr>
          <w:rFonts w:ascii="Arial" w:eastAsia="Times New Roman" w:hAnsi="Arial" w:cs="Arial"/>
          <w:sz w:val="22"/>
          <w:szCs w:val="22"/>
          <w:bdr w:val="none" w:sz="0" w:space="0" w:color="auto" w:frame="1"/>
          <w:lang w:val="es-CO" w:eastAsia="es-CO"/>
        </w:rPr>
        <w:t>misión en el uso de la Cuenta Maestra Pagadora.</w:t>
      </w:r>
    </w:p>
    <w:p w14:paraId="348A8838" w14:textId="77777777" w:rsidR="00D14326" w:rsidRDefault="00D14326" w:rsidP="00835F25">
      <w:pPr>
        <w:shd w:val="clear" w:color="auto" w:fill="FFFFFF" w:themeFill="background1"/>
        <w:contextualSpacing/>
        <w:rPr>
          <w:rFonts w:ascii="Arial" w:eastAsia="Times New Roman" w:hAnsi="Arial" w:cs="Arial"/>
          <w:sz w:val="22"/>
          <w:szCs w:val="22"/>
          <w:bdr w:val="none" w:sz="0" w:space="0" w:color="auto" w:frame="1"/>
          <w:lang w:val="es-CO" w:eastAsia="es-CO"/>
        </w:rPr>
      </w:pPr>
    </w:p>
    <w:p w14:paraId="4198898F" w14:textId="77777777" w:rsidR="008F095B" w:rsidRPr="006021DA" w:rsidRDefault="00C833A5" w:rsidP="00835F25">
      <w:pPr>
        <w:pStyle w:val="Ttulo1"/>
        <w:numPr>
          <w:ilvl w:val="0"/>
          <w:numId w:val="8"/>
        </w:numPr>
        <w:spacing w:line="240" w:lineRule="auto"/>
        <w:contextualSpacing/>
        <w:rPr>
          <w:rFonts w:ascii="Arial" w:hAnsi="Arial" w:cs="Arial"/>
          <w:color w:val="auto"/>
          <w:sz w:val="22"/>
        </w:rPr>
      </w:pPr>
      <w:r w:rsidRPr="006021DA">
        <w:rPr>
          <w:rFonts w:ascii="Arial" w:hAnsi="Arial" w:cs="Arial"/>
          <w:color w:val="auto"/>
          <w:sz w:val="22"/>
        </w:rPr>
        <w:t xml:space="preserve">RESULTADOS DEL SEGUIMIENTO </w:t>
      </w:r>
      <w:r w:rsidR="001F094C" w:rsidRPr="006021DA">
        <w:rPr>
          <w:rFonts w:ascii="Arial" w:hAnsi="Arial" w:cs="Arial"/>
          <w:color w:val="auto"/>
          <w:sz w:val="22"/>
        </w:rPr>
        <w:t xml:space="preserve">AL AVANCE DE ACTIVIDADES CONTEMPLADAS </w:t>
      </w:r>
      <w:r w:rsidR="001301E2" w:rsidRPr="006021DA">
        <w:rPr>
          <w:rFonts w:ascii="Arial" w:hAnsi="Arial" w:cs="Arial"/>
          <w:color w:val="auto"/>
          <w:sz w:val="22"/>
        </w:rPr>
        <w:t>EN</w:t>
      </w:r>
      <w:r w:rsidRPr="006021DA">
        <w:rPr>
          <w:rFonts w:ascii="Arial" w:hAnsi="Arial" w:cs="Arial"/>
          <w:color w:val="auto"/>
          <w:sz w:val="22"/>
        </w:rPr>
        <w:t xml:space="preserve"> </w:t>
      </w:r>
      <w:r w:rsidR="001F094C" w:rsidRPr="006021DA">
        <w:rPr>
          <w:rFonts w:ascii="Arial" w:hAnsi="Arial" w:cs="Arial"/>
          <w:color w:val="auto"/>
          <w:sz w:val="22"/>
        </w:rPr>
        <w:t>LA</w:t>
      </w:r>
      <w:r w:rsidR="003865DC" w:rsidRPr="006021DA">
        <w:rPr>
          <w:rFonts w:ascii="Arial" w:hAnsi="Arial" w:cs="Arial"/>
          <w:color w:val="auto"/>
          <w:sz w:val="22"/>
        </w:rPr>
        <w:t xml:space="preserve"> </w:t>
      </w:r>
      <w:r w:rsidRPr="006021DA">
        <w:rPr>
          <w:rFonts w:ascii="Arial" w:hAnsi="Arial" w:cs="Arial"/>
          <w:color w:val="auto"/>
          <w:sz w:val="22"/>
        </w:rPr>
        <w:t>MEDIDA</w:t>
      </w:r>
      <w:r w:rsidR="003A1943" w:rsidRPr="006021DA">
        <w:rPr>
          <w:rFonts w:ascii="Arial" w:hAnsi="Arial" w:cs="Arial"/>
          <w:color w:val="auto"/>
          <w:sz w:val="22"/>
        </w:rPr>
        <w:t xml:space="preserve"> </w:t>
      </w:r>
      <w:r w:rsidR="00211A22" w:rsidRPr="006021DA">
        <w:rPr>
          <w:rFonts w:ascii="Arial" w:hAnsi="Arial" w:cs="Arial"/>
          <w:color w:val="auto"/>
          <w:sz w:val="22"/>
        </w:rPr>
        <w:t>PREVENTIVA DE PLAN DE DESEMPEÑO</w:t>
      </w:r>
      <w:r w:rsidR="00494EB6" w:rsidRPr="006021DA">
        <w:rPr>
          <w:rFonts w:ascii="Arial" w:hAnsi="Arial" w:cs="Arial"/>
          <w:color w:val="auto"/>
          <w:sz w:val="22"/>
        </w:rPr>
        <w:t>.</w:t>
      </w:r>
    </w:p>
    <w:p w14:paraId="13E21C27" w14:textId="77777777" w:rsidR="008F095B" w:rsidRPr="006021DA" w:rsidRDefault="008F095B" w:rsidP="00835F25">
      <w:pPr>
        <w:pStyle w:val="Sinespaciado"/>
        <w:contextualSpacing/>
        <w:rPr>
          <w:rFonts w:ascii="Arial" w:hAnsi="Arial" w:cs="Arial"/>
          <w:sz w:val="20"/>
        </w:rPr>
      </w:pPr>
    </w:p>
    <w:p w14:paraId="645EB88A" w14:textId="77777777" w:rsidR="00141487" w:rsidRPr="006021DA" w:rsidRDefault="00141487" w:rsidP="00835F25">
      <w:pPr>
        <w:contextualSpacing/>
        <w:jc w:val="both"/>
        <w:rPr>
          <w:rFonts w:ascii="Arial" w:eastAsia="Arial" w:hAnsi="Arial" w:cs="Arial"/>
          <w:sz w:val="22"/>
          <w:szCs w:val="22"/>
          <w:lang w:val="es-CO"/>
        </w:rPr>
      </w:pPr>
      <w:r w:rsidRPr="006021DA">
        <w:rPr>
          <w:rFonts w:ascii="Arial" w:eastAsia="Arial" w:hAnsi="Arial" w:cs="Arial"/>
          <w:sz w:val="22"/>
          <w:szCs w:val="22"/>
          <w:lang w:val="es-CO"/>
        </w:rPr>
        <w:t xml:space="preserve">A continuación, se evalúan las actividades establecidas en </w:t>
      </w:r>
      <w:r w:rsidR="00C12E7A">
        <w:rPr>
          <w:rFonts w:ascii="Arial" w:hAnsi="Arial" w:cs="Arial"/>
          <w:bCs/>
          <w:sz w:val="22"/>
          <w:szCs w:val="22"/>
        </w:rPr>
        <w:t>la</w:t>
      </w:r>
      <w:r w:rsidRPr="006021DA">
        <w:rPr>
          <w:rFonts w:ascii="Arial" w:hAnsi="Arial" w:cs="Arial"/>
          <w:bCs/>
          <w:sz w:val="22"/>
          <w:szCs w:val="22"/>
        </w:rPr>
        <w:t xml:space="preserve"> </w:t>
      </w:r>
      <w:r w:rsidR="008B566F">
        <w:rPr>
          <w:rFonts w:ascii="Arial" w:hAnsi="Arial" w:cs="Arial"/>
          <w:bCs/>
          <w:sz w:val="22"/>
          <w:szCs w:val="22"/>
        </w:rPr>
        <w:t>Resolución 4389</w:t>
      </w:r>
      <w:r w:rsidRPr="006021DA">
        <w:rPr>
          <w:rFonts w:ascii="Arial" w:hAnsi="Arial" w:cs="Arial"/>
          <w:bCs/>
          <w:sz w:val="22"/>
          <w:szCs w:val="22"/>
        </w:rPr>
        <w:t xml:space="preserve"> </w:t>
      </w:r>
      <w:r w:rsidR="00825201">
        <w:rPr>
          <w:rFonts w:ascii="Arial" w:hAnsi="Arial" w:cs="Arial"/>
          <w:bCs/>
          <w:sz w:val="22"/>
          <w:szCs w:val="22"/>
        </w:rPr>
        <w:t>del 05 de agosto de 202</w:t>
      </w:r>
      <w:r w:rsidR="00C12E7A">
        <w:rPr>
          <w:rFonts w:ascii="Arial" w:hAnsi="Arial" w:cs="Arial"/>
          <w:bCs/>
          <w:sz w:val="22"/>
          <w:szCs w:val="22"/>
        </w:rPr>
        <w:t xml:space="preserve">1 </w:t>
      </w:r>
      <w:r w:rsidRPr="006021DA">
        <w:rPr>
          <w:rFonts w:ascii="Arial" w:hAnsi="Arial" w:cs="Arial"/>
          <w:bCs/>
          <w:sz w:val="22"/>
          <w:szCs w:val="22"/>
        </w:rPr>
        <w:t>expedid</w:t>
      </w:r>
      <w:r w:rsidR="00C12E7A">
        <w:rPr>
          <w:rFonts w:ascii="Arial" w:hAnsi="Arial" w:cs="Arial"/>
          <w:bCs/>
          <w:sz w:val="22"/>
          <w:szCs w:val="22"/>
        </w:rPr>
        <w:t>a</w:t>
      </w:r>
      <w:r w:rsidRPr="006021DA">
        <w:rPr>
          <w:rFonts w:ascii="Arial" w:hAnsi="Arial" w:cs="Arial"/>
          <w:bCs/>
          <w:sz w:val="22"/>
          <w:szCs w:val="22"/>
        </w:rPr>
        <w:t xml:space="preserve"> por el </w:t>
      </w:r>
      <w:r w:rsidR="002A47CD" w:rsidRPr="006021DA">
        <w:rPr>
          <w:rFonts w:ascii="Arial" w:hAnsi="Arial" w:cs="Arial"/>
          <w:bCs/>
          <w:sz w:val="22"/>
          <w:szCs w:val="22"/>
        </w:rPr>
        <w:t xml:space="preserve">Distrito de </w:t>
      </w:r>
      <w:r w:rsidR="00825201">
        <w:rPr>
          <w:rFonts w:ascii="Arial" w:hAnsi="Arial" w:cs="Arial"/>
          <w:bCs/>
          <w:sz w:val="22"/>
          <w:szCs w:val="22"/>
        </w:rPr>
        <w:t xml:space="preserve">Cartagena de Indias – Bolívar </w:t>
      </w:r>
      <w:r w:rsidRPr="006021DA">
        <w:rPr>
          <w:rFonts w:ascii="Arial" w:eastAsia="Arial" w:hAnsi="Arial" w:cs="Arial"/>
          <w:sz w:val="22"/>
          <w:szCs w:val="22"/>
          <w:lang w:val="es-CO"/>
        </w:rPr>
        <w:t xml:space="preserve">en la Asignación Especial para Alimentación Escolar del </w:t>
      </w:r>
      <w:r w:rsidR="002A47CD" w:rsidRPr="006021DA">
        <w:rPr>
          <w:rFonts w:ascii="Arial" w:eastAsia="Arial" w:hAnsi="Arial" w:cs="Arial"/>
          <w:sz w:val="22"/>
          <w:szCs w:val="22"/>
          <w:lang w:val="es-CO"/>
        </w:rPr>
        <w:t>SGP</w:t>
      </w:r>
      <w:r w:rsidR="0061520A">
        <w:rPr>
          <w:rFonts w:ascii="Arial" w:eastAsia="Arial" w:hAnsi="Arial" w:cs="Arial"/>
          <w:sz w:val="22"/>
          <w:szCs w:val="22"/>
          <w:lang w:val="es-CO"/>
        </w:rPr>
        <w:t xml:space="preserve"> en cumplimiento de lo ordenado por esta Dirección a través de la Resolución 1413 del 22 de junio de 2021</w:t>
      </w:r>
      <w:r w:rsidR="002A47CD" w:rsidRPr="006021DA">
        <w:rPr>
          <w:rFonts w:ascii="Arial" w:eastAsia="Arial" w:hAnsi="Arial" w:cs="Arial"/>
          <w:sz w:val="22"/>
          <w:szCs w:val="22"/>
          <w:lang w:val="es-CO"/>
        </w:rPr>
        <w:t>.</w:t>
      </w:r>
      <w:r w:rsidRPr="006021DA">
        <w:rPr>
          <w:rFonts w:ascii="Arial" w:eastAsia="Arial" w:hAnsi="Arial" w:cs="Arial"/>
          <w:sz w:val="22"/>
          <w:szCs w:val="22"/>
          <w:lang w:val="es-CO"/>
        </w:rPr>
        <w:t xml:space="preserve"> Las actividades se encuentran clasificadas en </w:t>
      </w:r>
      <w:r w:rsidR="003E7AB3" w:rsidRPr="006021DA">
        <w:rPr>
          <w:rFonts w:ascii="Arial" w:eastAsia="Arial" w:hAnsi="Arial" w:cs="Arial"/>
          <w:sz w:val="22"/>
          <w:szCs w:val="22"/>
          <w:lang w:val="es-CO"/>
        </w:rPr>
        <w:t>tres (03)</w:t>
      </w:r>
      <w:r w:rsidRPr="006021DA">
        <w:rPr>
          <w:rFonts w:ascii="Arial" w:eastAsia="Arial" w:hAnsi="Arial" w:cs="Arial"/>
          <w:sz w:val="22"/>
          <w:szCs w:val="22"/>
          <w:lang w:val="es-CO"/>
        </w:rPr>
        <w:t xml:space="preserve"> categorías, a saber: </w:t>
      </w:r>
      <w:r w:rsidR="00620E74" w:rsidRPr="006021DA">
        <w:rPr>
          <w:rFonts w:ascii="Arial" w:eastAsia="Arial" w:hAnsi="Arial" w:cs="Arial"/>
          <w:sz w:val="22"/>
          <w:szCs w:val="22"/>
          <w:lang w:val="es-CO"/>
        </w:rPr>
        <w:t>F</w:t>
      </w:r>
      <w:r w:rsidRPr="006021DA">
        <w:rPr>
          <w:rFonts w:ascii="Arial" w:eastAsia="Arial" w:hAnsi="Arial" w:cs="Arial"/>
          <w:sz w:val="22"/>
          <w:szCs w:val="22"/>
          <w:lang w:val="es-CO"/>
        </w:rPr>
        <w:t xml:space="preserve">inanciera y </w:t>
      </w:r>
      <w:r w:rsidR="00620E74" w:rsidRPr="006021DA">
        <w:rPr>
          <w:rFonts w:ascii="Arial" w:eastAsia="Arial" w:hAnsi="Arial" w:cs="Arial"/>
          <w:sz w:val="22"/>
          <w:szCs w:val="22"/>
          <w:lang w:val="es-CO"/>
        </w:rPr>
        <w:t>F</w:t>
      </w:r>
      <w:r w:rsidRPr="006021DA">
        <w:rPr>
          <w:rFonts w:ascii="Arial" w:eastAsia="Arial" w:hAnsi="Arial" w:cs="Arial"/>
          <w:sz w:val="22"/>
          <w:szCs w:val="22"/>
          <w:lang w:val="es-CO"/>
        </w:rPr>
        <w:t xml:space="preserve">iscal, </w:t>
      </w:r>
      <w:r w:rsidR="00620E74" w:rsidRPr="006021DA">
        <w:rPr>
          <w:rFonts w:ascii="Arial" w:eastAsia="Arial" w:hAnsi="Arial" w:cs="Arial"/>
          <w:sz w:val="22"/>
          <w:szCs w:val="22"/>
          <w:lang w:val="es-CO"/>
        </w:rPr>
        <w:t>C</w:t>
      </w:r>
      <w:r w:rsidRPr="006021DA">
        <w:rPr>
          <w:rFonts w:ascii="Arial" w:eastAsia="Arial" w:hAnsi="Arial" w:cs="Arial"/>
          <w:sz w:val="22"/>
          <w:szCs w:val="22"/>
          <w:lang w:val="es-CO"/>
        </w:rPr>
        <w:t>ontractual</w:t>
      </w:r>
      <w:r w:rsidR="003E7AB3" w:rsidRPr="006021DA">
        <w:rPr>
          <w:rFonts w:ascii="Arial" w:eastAsia="Arial" w:hAnsi="Arial" w:cs="Arial"/>
          <w:sz w:val="22"/>
          <w:szCs w:val="22"/>
          <w:lang w:val="es-CO"/>
        </w:rPr>
        <w:t xml:space="preserve"> </w:t>
      </w:r>
      <w:r w:rsidRPr="006021DA">
        <w:rPr>
          <w:rFonts w:ascii="Arial" w:eastAsia="Arial" w:hAnsi="Arial" w:cs="Arial"/>
          <w:sz w:val="22"/>
          <w:szCs w:val="22"/>
          <w:lang w:val="es-CO"/>
        </w:rPr>
        <w:t xml:space="preserve">y </w:t>
      </w:r>
      <w:r w:rsidR="00620E74" w:rsidRPr="006021DA">
        <w:rPr>
          <w:rFonts w:ascii="Arial" w:eastAsia="Arial" w:hAnsi="Arial" w:cs="Arial"/>
          <w:sz w:val="22"/>
          <w:szCs w:val="22"/>
          <w:lang w:val="es-CO"/>
        </w:rPr>
        <w:t>P</w:t>
      </w:r>
      <w:r w:rsidRPr="006021DA">
        <w:rPr>
          <w:rFonts w:ascii="Arial" w:eastAsia="Arial" w:hAnsi="Arial" w:cs="Arial"/>
          <w:sz w:val="22"/>
          <w:szCs w:val="22"/>
          <w:lang w:val="es-CO"/>
        </w:rPr>
        <w:t xml:space="preserve">restación del </w:t>
      </w:r>
      <w:r w:rsidR="00620E74" w:rsidRPr="006021DA">
        <w:rPr>
          <w:rFonts w:ascii="Arial" w:eastAsia="Arial" w:hAnsi="Arial" w:cs="Arial"/>
          <w:sz w:val="22"/>
          <w:szCs w:val="22"/>
          <w:lang w:val="es-CO"/>
        </w:rPr>
        <w:t>S</w:t>
      </w:r>
      <w:r w:rsidRPr="006021DA">
        <w:rPr>
          <w:rFonts w:ascii="Arial" w:eastAsia="Arial" w:hAnsi="Arial" w:cs="Arial"/>
          <w:sz w:val="22"/>
          <w:szCs w:val="22"/>
          <w:lang w:val="es-CO"/>
        </w:rPr>
        <w:t>ervicio</w:t>
      </w:r>
      <w:r w:rsidR="00A86A5A" w:rsidRPr="006021DA">
        <w:rPr>
          <w:rFonts w:ascii="Arial" w:eastAsia="Arial" w:hAnsi="Arial" w:cs="Arial"/>
          <w:sz w:val="22"/>
          <w:szCs w:val="22"/>
          <w:lang w:val="es-CO"/>
        </w:rPr>
        <w:t>.</w:t>
      </w:r>
    </w:p>
    <w:p w14:paraId="20DA8510" w14:textId="77777777" w:rsidR="008F095B" w:rsidRPr="006021DA" w:rsidRDefault="008F095B" w:rsidP="00835F25">
      <w:pPr>
        <w:pStyle w:val="Sinespaciado"/>
        <w:contextualSpacing/>
        <w:rPr>
          <w:rFonts w:ascii="Arial" w:hAnsi="Arial" w:cs="Arial"/>
        </w:rPr>
      </w:pPr>
    </w:p>
    <w:p w14:paraId="7A2F851C" w14:textId="77777777" w:rsidR="008F095B" w:rsidRPr="006021DA" w:rsidRDefault="008F095B" w:rsidP="00835F25">
      <w:pPr>
        <w:numPr>
          <w:ilvl w:val="0"/>
          <w:numId w:val="9"/>
        </w:numPr>
        <w:spacing w:after="20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Categoría Financiera y Fiscal.</w:t>
      </w:r>
    </w:p>
    <w:p w14:paraId="0C127C42" w14:textId="77777777" w:rsidR="008F095B" w:rsidRPr="006021DA" w:rsidRDefault="008F095B" w:rsidP="00835F25">
      <w:pPr>
        <w:spacing w:after="200"/>
        <w:ind w:left="720"/>
        <w:contextualSpacing/>
        <w:jc w:val="both"/>
        <w:rPr>
          <w:rFonts w:ascii="Arial" w:eastAsia="Calibri" w:hAnsi="Arial" w:cs="Arial"/>
          <w:b/>
          <w:sz w:val="22"/>
          <w:szCs w:val="22"/>
          <w:lang w:val="es-CO" w:eastAsia="en-US"/>
        </w:rPr>
      </w:pPr>
    </w:p>
    <w:p w14:paraId="3C35B7D5" w14:textId="77777777" w:rsidR="008F095B" w:rsidRPr="006021DA" w:rsidRDefault="008F095B" w:rsidP="00835F25">
      <w:pPr>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Objetivo:</w:t>
      </w:r>
      <w:r w:rsidRPr="006021DA">
        <w:rPr>
          <w:rFonts w:ascii="Arial" w:eastAsia="Calibri" w:hAnsi="Arial" w:cs="Arial"/>
          <w:sz w:val="22"/>
          <w:szCs w:val="22"/>
          <w:lang w:val="es-CO" w:eastAsia="en-US"/>
        </w:rPr>
        <w:t xml:space="preserve"> Garantizar la articulación adecuada del proceso fiscal - financiero del </w:t>
      </w:r>
      <w:r w:rsidR="000C72C4" w:rsidRPr="006021DA">
        <w:rPr>
          <w:rFonts w:ascii="Arial" w:eastAsia="Calibri" w:hAnsi="Arial" w:cs="Arial"/>
          <w:sz w:val="22"/>
          <w:szCs w:val="22"/>
          <w:lang w:val="es-CO" w:eastAsia="en-US"/>
        </w:rPr>
        <w:t xml:space="preserve">Distrito </w:t>
      </w:r>
      <w:r w:rsidRPr="006021DA">
        <w:rPr>
          <w:rFonts w:ascii="Arial" w:eastAsia="Calibri" w:hAnsi="Arial" w:cs="Arial"/>
          <w:sz w:val="22"/>
          <w:szCs w:val="22"/>
          <w:lang w:val="es-CO" w:eastAsia="en-US"/>
        </w:rPr>
        <w:t>respecto a los recursos de la Asignación Especial para Alimentación Escolar - AESGPAE para realizar el reporte de información en los Sistemas de Información dispuestos por la Nación con criterios de calidad, consistencia y oportunidad.</w:t>
      </w:r>
    </w:p>
    <w:p w14:paraId="73DA47A2" w14:textId="77777777" w:rsidR="008F095B" w:rsidRPr="006021DA" w:rsidRDefault="008F095B" w:rsidP="00835F25">
      <w:pPr>
        <w:contextualSpacing/>
        <w:jc w:val="both"/>
        <w:rPr>
          <w:rFonts w:ascii="Arial" w:eastAsia="Calibri" w:hAnsi="Arial" w:cs="Arial"/>
          <w:sz w:val="22"/>
          <w:szCs w:val="22"/>
          <w:lang w:val="es-CO" w:eastAsia="en-US"/>
        </w:rPr>
      </w:pPr>
    </w:p>
    <w:p w14:paraId="17FB0937" w14:textId="77777777" w:rsidR="008F095B" w:rsidRPr="006021DA" w:rsidRDefault="008F095B" w:rsidP="00835F25">
      <w:pPr>
        <w:spacing w:before="24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2074D9" w:rsidRPr="006021DA">
        <w:rPr>
          <w:rFonts w:ascii="Arial" w:eastAsia="Calibri" w:hAnsi="Arial" w:cs="Arial"/>
          <w:b/>
          <w:sz w:val="22"/>
          <w:szCs w:val="22"/>
          <w:lang w:val="es-CO" w:eastAsia="en-US"/>
        </w:rPr>
        <w:t xml:space="preserve">1.1.1. Reportar las </w:t>
      </w:r>
      <w:r w:rsidR="002352AF" w:rsidRPr="006021DA">
        <w:rPr>
          <w:rFonts w:ascii="Arial" w:eastAsia="Calibri" w:hAnsi="Arial" w:cs="Arial"/>
          <w:b/>
          <w:sz w:val="22"/>
          <w:szCs w:val="22"/>
          <w:lang w:val="es-CO" w:eastAsia="en-US"/>
        </w:rPr>
        <w:t>C</w:t>
      </w:r>
      <w:r w:rsidR="002074D9" w:rsidRPr="006021DA">
        <w:rPr>
          <w:rFonts w:ascii="Arial" w:eastAsia="Calibri" w:hAnsi="Arial" w:cs="Arial"/>
          <w:b/>
          <w:sz w:val="22"/>
          <w:szCs w:val="22"/>
          <w:lang w:val="es-CO" w:eastAsia="en-US"/>
        </w:rPr>
        <w:t>ategorías de Ingresos, Gastos, Cierre Fiscal, Reservas, Vigencias Futuras y cuentas por pagar del Formulario Único Territorial – FUT.</w:t>
      </w:r>
    </w:p>
    <w:p w14:paraId="149D4419" w14:textId="77777777" w:rsidR="008F095B" w:rsidRPr="006021DA" w:rsidRDefault="008F095B" w:rsidP="00835F25">
      <w:pPr>
        <w:contextualSpacing/>
        <w:jc w:val="both"/>
        <w:rPr>
          <w:rFonts w:ascii="Arial" w:eastAsia="Calibri" w:hAnsi="Arial" w:cs="Arial"/>
          <w:sz w:val="22"/>
          <w:szCs w:val="22"/>
          <w:lang w:val="es-CO" w:eastAsia="en-US"/>
        </w:rPr>
      </w:pPr>
    </w:p>
    <w:p w14:paraId="704A20A3" w14:textId="77777777" w:rsidR="008F095B" w:rsidRDefault="008F095B"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Calidad y Consistencia:</w:t>
      </w:r>
    </w:p>
    <w:p w14:paraId="66D2F7D6" w14:textId="77777777" w:rsidR="00181DB7" w:rsidRDefault="00181DB7" w:rsidP="00835F25">
      <w:pPr>
        <w:contextualSpacing/>
        <w:jc w:val="both"/>
        <w:rPr>
          <w:rFonts w:ascii="Arial" w:eastAsia="Calibri" w:hAnsi="Arial" w:cs="Arial"/>
          <w:b/>
          <w:sz w:val="22"/>
          <w:szCs w:val="22"/>
          <w:lang w:val="es-CO" w:eastAsia="en-US"/>
        </w:rPr>
      </w:pPr>
    </w:p>
    <w:p w14:paraId="467AB8DD" w14:textId="77777777" w:rsidR="00181DB7" w:rsidRPr="00837684" w:rsidRDefault="00181DB7" w:rsidP="00835F25">
      <w:pPr>
        <w:contextualSpacing/>
        <w:jc w:val="center"/>
        <w:rPr>
          <w:rFonts w:ascii="Arial" w:eastAsiaTheme="minorEastAsia" w:hAnsi="Arial" w:cstheme="minorBidi"/>
          <w:b/>
          <w:bCs/>
          <w:i/>
          <w:color w:val="1F497D" w:themeColor="text2"/>
          <w:sz w:val="20"/>
          <w:szCs w:val="20"/>
          <w:lang w:eastAsia="en-US"/>
        </w:rPr>
      </w:pPr>
      <w:r w:rsidRPr="00837684">
        <w:rPr>
          <w:rFonts w:ascii="Arial" w:eastAsiaTheme="minorEastAsia" w:hAnsi="Arial" w:cstheme="minorBidi"/>
          <w:b/>
          <w:bCs/>
          <w:i/>
          <w:iCs/>
          <w:color w:val="1F497D" w:themeColor="text2"/>
          <w:sz w:val="20"/>
          <w:szCs w:val="20"/>
          <w:lang w:eastAsia="en-US"/>
        </w:rPr>
        <w:t xml:space="preserve">Tabla </w:t>
      </w:r>
      <w:r w:rsidR="00B81D1E">
        <w:rPr>
          <w:rFonts w:ascii="Arial" w:eastAsiaTheme="minorEastAsia" w:hAnsi="Arial" w:cstheme="minorBidi"/>
          <w:b/>
          <w:bCs/>
          <w:i/>
          <w:iCs/>
          <w:color w:val="1F497D" w:themeColor="text2"/>
          <w:sz w:val="20"/>
          <w:szCs w:val="20"/>
          <w:lang w:eastAsia="en-US"/>
        </w:rPr>
        <w:t xml:space="preserve">No. </w:t>
      </w:r>
      <w:r w:rsidR="00EE0320" w:rsidRPr="00980ED4">
        <w:rPr>
          <w:rFonts w:ascii="Arial" w:hAnsi="Arial" w:cs="Arial"/>
          <w:b/>
          <w:bCs/>
          <w:color w:val="1F497D" w:themeColor="text2"/>
          <w:sz w:val="20"/>
          <w:szCs w:val="20"/>
        </w:rPr>
        <w:fldChar w:fldCharType="begin"/>
      </w:r>
      <w:r w:rsidR="00EE0320" w:rsidRPr="00980ED4">
        <w:rPr>
          <w:rFonts w:ascii="Arial" w:hAnsi="Arial" w:cs="Arial"/>
          <w:b/>
          <w:bCs/>
          <w:color w:val="1F497D" w:themeColor="text2"/>
          <w:sz w:val="20"/>
          <w:szCs w:val="20"/>
        </w:rPr>
        <w:instrText xml:space="preserve"> SEQ Ilustración \* ARABIC </w:instrText>
      </w:r>
      <w:r w:rsidR="00EE0320" w:rsidRPr="00980ED4">
        <w:rPr>
          <w:rFonts w:ascii="Arial" w:hAnsi="Arial" w:cs="Arial"/>
          <w:b/>
          <w:bCs/>
          <w:color w:val="1F497D" w:themeColor="text2"/>
          <w:sz w:val="20"/>
          <w:szCs w:val="20"/>
        </w:rPr>
        <w:fldChar w:fldCharType="separate"/>
      </w:r>
      <w:r w:rsidR="00EE0320">
        <w:rPr>
          <w:rFonts w:ascii="Arial" w:hAnsi="Arial" w:cs="Arial"/>
          <w:b/>
          <w:bCs/>
          <w:noProof/>
          <w:color w:val="1F497D" w:themeColor="text2"/>
          <w:sz w:val="20"/>
          <w:szCs w:val="20"/>
        </w:rPr>
        <w:t>7</w:t>
      </w:r>
      <w:r w:rsidR="00EE0320" w:rsidRPr="00980ED4">
        <w:rPr>
          <w:rFonts w:ascii="Arial" w:hAnsi="Arial" w:cs="Arial"/>
          <w:b/>
          <w:bCs/>
          <w:color w:val="1F497D" w:themeColor="text2"/>
          <w:sz w:val="20"/>
          <w:szCs w:val="20"/>
        </w:rPr>
        <w:fldChar w:fldCharType="end"/>
      </w:r>
      <w:r w:rsidRPr="00837684">
        <w:rPr>
          <w:rFonts w:ascii="Arial" w:eastAsiaTheme="minorEastAsia" w:hAnsi="Arial" w:cstheme="minorBidi"/>
          <w:b/>
          <w:bCs/>
          <w:i/>
          <w:iCs/>
          <w:color w:val="1F497D" w:themeColor="text2"/>
          <w:sz w:val="20"/>
          <w:szCs w:val="20"/>
          <w:lang w:eastAsia="en-US"/>
        </w:rPr>
        <w:t xml:space="preserve"> Diferencias entre </w:t>
      </w:r>
      <w:r>
        <w:rPr>
          <w:rFonts w:ascii="Arial" w:eastAsiaTheme="minorEastAsia" w:hAnsi="Arial" w:cstheme="minorBidi"/>
          <w:b/>
          <w:bCs/>
          <w:i/>
          <w:iCs/>
          <w:color w:val="1F497D" w:themeColor="text2"/>
          <w:sz w:val="20"/>
          <w:szCs w:val="20"/>
          <w:lang w:eastAsia="en-US"/>
        </w:rPr>
        <w:t>e</w:t>
      </w:r>
      <w:r w:rsidRPr="00837684">
        <w:rPr>
          <w:rFonts w:ascii="Arial" w:eastAsiaTheme="minorEastAsia" w:hAnsi="Arial" w:cstheme="minorBidi"/>
          <w:b/>
          <w:bCs/>
          <w:i/>
          <w:iCs/>
          <w:color w:val="1F497D" w:themeColor="text2"/>
          <w:sz w:val="20"/>
          <w:szCs w:val="20"/>
          <w:lang w:eastAsia="en-US"/>
        </w:rPr>
        <w:t xml:space="preserve">jecución </w:t>
      </w:r>
      <w:r>
        <w:rPr>
          <w:rFonts w:ascii="Arial" w:eastAsiaTheme="minorEastAsia" w:hAnsi="Arial" w:cstheme="minorBidi"/>
          <w:b/>
          <w:bCs/>
          <w:i/>
          <w:iCs/>
          <w:color w:val="1F497D" w:themeColor="text2"/>
          <w:sz w:val="20"/>
          <w:szCs w:val="20"/>
          <w:lang w:eastAsia="en-US"/>
        </w:rPr>
        <w:t>p</w:t>
      </w:r>
      <w:r w:rsidRPr="00837684">
        <w:rPr>
          <w:rFonts w:ascii="Arial" w:eastAsiaTheme="minorEastAsia" w:hAnsi="Arial" w:cstheme="minorBidi"/>
          <w:b/>
          <w:bCs/>
          <w:i/>
          <w:iCs/>
          <w:color w:val="1F497D" w:themeColor="text2"/>
          <w:sz w:val="20"/>
          <w:szCs w:val="20"/>
          <w:lang w:eastAsia="en-US"/>
        </w:rPr>
        <w:t>resupuestal y FUT</w:t>
      </w:r>
      <w:r>
        <w:rPr>
          <w:rFonts w:ascii="Arial" w:eastAsiaTheme="minorEastAsia" w:hAnsi="Arial" w:cstheme="minorBidi"/>
          <w:b/>
          <w:bCs/>
          <w:i/>
          <w:iCs/>
          <w:color w:val="1F497D" w:themeColor="text2"/>
          <w:sz w:val="20"/>
          <w:szCs w:val="20"/>
          <w:lang w:eastAsia="en-US"/>
        </w:rPr>
        <w:t>.</w:t>
      </w:r>
    </w:p>
    <w:tbl>
      <w:tblPr>
        <w:tblStyle w:val="Tablaconcuadrcula"/>
        <w:tblW w:w="8873" w:type="dxa"/>
        <w:jc w:val="center"/>
        <w:tblLayout w:type="fixed"/>
        <w:tblLook w:val="06A0" w:firstRow="1" w:lastRow="0" w:firstColumn="1" w:lastColumn="0" w:noHBand="1" w:noVBand="1"/>
      </w:tblPr>
      <w:tblGrid>
        <w:gridCol w:w="1691"/>
        <w:gridCol w:w="1985"/>
        <w:gridCol w:w="1843"/>
        <w:gridCol w:w="1842"/>
        <w:gridCol w:w="1512"/>
      </w:tblGrid>
      <w:tr w:rsidR="00181DB7" w:rsidRPr="004D7FD4" w14:paraId="06654630" w14:textId="77777777" w:rsidTr="00B3648E">
        <w:trPr>
          <w:trHeight w:val="315"/>
          <w:tblHeader/>
          <w:jc w:val="center"/>
        </w:trPr>
        <w:tc>
          <w:tcPr>
            <w:tcW w:w="8873" w:type="dxa"/>
            <w:gridSpan w:val="5"/>
            <w:tcBorders>
              <w:top w:val="single" w:sz="8" w:space="0" w:color="auto"/>
              <w:left w:val="single" w:sz="8" w:space="0" w:color="auto"/>
              <w:bottom w:val="nil"/>
              <w:right w:val="nil"/>
            </w:tcBorders>
            <w:shd w:val="clear" w:color="auto" w:fill="666699"/>
            <w:vAlign w:val="center"/>
          </w:tcPr>
          <w:p w14:paraId="6D12D43E" w14:textId="77777777" w:rsidR="00181DB7" w:rsidRPr="00411A5A" w:rsidRDefault="00181DB7" w:rsidP="00835F25">
            <w:pPr>
              <w:contextualSpacing/>
              <w:jc w:val="center"/>
              <w:rPr>
                <w:rFonts w:ascii="Arial" w:hAnsi="Arial" w:cs="Arial"/>
                <w:sz w:val="16"/>
                <w:szCs w:val="16"/>
              </w:rPr>
            </w:pPr>
            <w:r w:rsidRPr="00411A5A">
              <w:rPr>
                <w:rFonts w:ascii="Arial" w:eastAsia="Calibri" w:hAnsi="Arial" w:cs="Arial"/>
                <w:b/>
                <w:bCs/>
                <w:color w:val="FFFFFF" w:themeColor="background1"/>
                <w:sz w:val="16"/>
                <w:szCs w:val="16"/>
              </w:rPr>
              <w:t xml:space="preserve">DIFERENCIAS ENTRE EJECUCIÓN PRESUPUESTAL Y FUT DEL 1 DE ENERO DE </w:t>
            </w:r>
            <w:r w:rsidR="002677EC">
              <w:rPr>
                <w:rFonts w:ascii="Arial" w:eastAsia="Calibri" w:hAnsi="Arial" w:cs="Arial"/>
                <w:b/>
                <w:bCs/>
                <w:color w:val="FFFFFF" w:themeColor="background1"/>
                <w:sz w:val="16"/>
                <w:szCs w:val="16"/>
              </w:rPr>
              <w:t>2021</w:t>
            </w:r>
            <w:r w:rsidRPr="00411A5A">
              <w:rPr>
                <w:rFonts w:ascii="Arial" w:eastAsia="Calibri" w:hAnsi="Arial" w:cs="Arial"/>
                <w:b/>
                <w:bCs/>
                <w:color w:val="FFFFFF" w:themeColor="background1"/>
                <w:sz w:val="16"/>
                <w:szCs w:val="16"/>
              </w:rPr>
              <w:t xml:space="preserve"> A 3</w:t>
            </w:r>
            <w:r w:rsidR="002677EC">
              <w:rPr>
                <w:rFonts w:ascii="Arial" w:eastAsia="Calibri" w:hAnsi="Arial" w:cs="Arial"/>
                <w:b/>
                <w:bCs/>
                <w:color w:val="FFFFFF" w:themeColor="background1"/>
                <w:sz w:val="16"/>
                <w:szCs w:val="16"/>
              </w:rPr>
              <w:t>1</w:t>
            </w:r>
            <w:r w:rsidRPr="00411A5A">
              <w:rPr>
                <w:rFonts w:ascii="Arial" w:eastAsia="Calibri" w:hAnsi="Arial" w:cs="Arial"/>
                <w:b/>
                <w:bCs/>
                <w:color w:val="FFFFFF" w:themeColor="background1"/>
                <w:sz w:val="16"/>
                <w:szCs w:val="16"/>
              </w:rPr>
              <w:t xml:space="preserve"> DE </w:t>
            </w:r>
            <w:r w:rsidR="002677EC">
              <w:rPr>
                <w:rFonts w:ascii="Arial" w:eastAsia="Calibri" w:hAnsi="Arial" w:cs="Arial"/>
                <w:b/>
                <w:bCs/>
                <w:color w:val="FFFFFF" w:themeColor="background1"/>
                <w:sz w:val="16"/>
                <w:szCs w:val="16"/>
              </w:rPr>
              <w:t xml:space="preserve">MARZO </w:t>
            </w:r>
            <w:r w:rsidRPr="00411A5A">
              <w:rPr>
                <w:rFonts w:ascii="Arial" w:eastAsia="Calibri" w:hAnsi="Arial" w:cs="Arial"/>
                <w:b/>
                <w:bCs/>
                <w:color w:val="FFFFFF" w:themeColor="background1"/>
                <w:sz w:val="16"/>
                <w:szCs w:val="16"/>
              </w:rPr>
              <w:t>DE 202</w:t>
            </w:r>
            <w:r w:rsidR="002677EC">
              <w:rPr>
                <w:rFonts w:ascii="Arial" w:eastAsia="Calibri" w:hAnsi="Arial" w:cs="Arial"/>
                <w:b/>
                <w:bCs/>
                <w:color w:val="FFFFFF" w:themeColor="background1"/>
                <w:sz w:val="16"/>
                <w:szCs w:val="16"/>
              </w:rPr>
              <w:t>2</w:t>
            </w:r>
          </w:p>
        </w:tc>
      </w:tr>
      <w:tr w:rsidR="00575513" w:rsidRPr="004D7FD4" w14:paraId="2D41C802" w14:textId="77777777" w:rsidTr="00B3648E">
        <w:trPr>
          <w:trHeight w:val="300"/>
          <w:tblHeader/>
          <w:jc w:val="center"/>
        </w:trPr>
        <w:tc>
          <w:tcPr>
            <w:tcW w:w="5519" w:type="dxa"/>
            <w:gridSpan w:val="3"/>
            <w:tcBorders>
              <w:top w:val="single" w:sz="4" w:space="0" w:color="auto"/>
              <w:left w:val="single" w:sz="8" w:space="0" w:color="auto"/>
              <w:bottom w:val="single" w:sz="4" w:space="0" w:color="auto"/>
              <w:right w:val="single" w:sz="12" w:space="0" w:color="auto"/>
            </w:tcBorders>
            <w:shd w:val="clear" w:color="auto" w:fill="666699"/>
            <w:vAlign w:val="center"/>
          </w:tcPr>
          <w:p w14:paraId="7642560F" w14:textId="77777777" w:rsidR="00575513" w:rsidRPr="00411A5A" w:rsidRDefault="00575513" w:rsidP="00835F25">
            <w:pPr>
              <w:contextualSpacing/>
              <w:jc w:val="center"/>
              <w:rPr>
                <w:rFonts w:ascii="Arial" w:hAnsi="Arial" w:cs="Arial"/>
                <w:sz w:val="16"/>
                <w:szCs w:val="16"/>
              </w:rPr>
            </w:pPr>
            <w:r w:rsidRPr="00411A5A">
              <w:rPr>
                <w:rFonts w:ascii="Arial" w:eastAsia="Calibri" w:hAnsi="Arial" w:cs="Arial"/>
                <w:b/>
                <w:bCs/>
                <w:color w:val="FFFFFF" w:themeColor="background1"/>
                <w:sz w:val="16"/>
                <w:szCs w:val="16"/>
              </w:rPr>
              <w:t xml:space="preserve">VIGENCIA </w:t>
            </w:r>
            <w:r>
              <w:rPr>
                <w:rFonts w:ascii="Arial" w:eastAsia="Calibri" w:hAnsi="Arial" w:cs="Arial"/>
                <w:b/>
                <w:bCs/>
                <w:color w:val="FFFFFF" w:themeColor="background1"/>
                <w:sz w:val="16"/>
                <w:szCs w:val="16"/>
              </w:rPr>
              <w:t>2021</w:t>
            </w:r>
          </w:p>
        </w:tc>
        <w:tc>
          <w:tcPr>
            <w:tcW w:w="3354" w:type="dxa"/>
            <w:gridSpan w:val="2"/>
            <w:tcBorders>
              <w:top w:val="single" w:sz="4" w:space="0" w:color="auto"/>
              <w:left w:val="single" w:sz="12" w:space="0" w:color="auto"/>
              <w:bottom w:val="single" w:sz="4" w:space="0" w:color="auto"/>
              <w:right w:val="nil"/>
            </w:tcBorders>
            <w:shd w:val="clear" w:color="auto" w:fill="666699"/>
            <w:vAlign w:val="center"/>
          </w:tcPr>
          <w:p w14:paraId="69EC673F" w14:textId="77777777" w:rsidR="00575513" w:rsidRPr="00411A5A" w:rsidRDefault="00575513" w:rsidP="00835F25">
            <w:pPr>
              <w:contextualSpacing/>
              <w:jc w:val="center"/>
              <w:rPr>
                <w:rFonts w:ascii="Arial" w:hAnsi="Arial" w:cs="Arial"/>
                <w:sz w:val="16"/>
                <w:szCs w:val="16"/>
              </w:rPr>
            </w:pPr>
            <w:r w:rsidRPr="00411A5A">
              <w:rPr>
                <w:rFonts w:ascii="Arial" w:eastAsia="Calibri" w:hAnsi="Arial" w:cs="Arial"/>
                <w:b/>
                <w:bCs/>
                <w:color w:val="FFFFFF" w:themeColor="background1"/>
                <w:sz w:val="16"/>
                <w:szCs w:val="16"/>
              </w:rPr>
              <w:t>VIGENCIA 20</w:t>
            </w:r>
            <w:r>
              <w:rPr>
                <w:rFonts w:ascii="Arial" w:eastAsia="Calibri" w:hAnsi="Arial" w:cs="Arial"/>
                <w:b/>
                <w:bCs/>
                <w:color w:val="FFFFFF" w:themeColor="background1"/>
                <w:sz w:val="16"/>
                <w:szCs w:val="16"/>
              </w:rPr>
              <w:t>22</w:t>
            </w:r>
          </w:p>
        </w:tc>
      </w:tr>
      <w:tr w:rsidR="00EC5DAD" w:rsidRPr="004D7FD4" w14:paraId="6C4E0D18" w14:textId="77777777" w:rsidTr="00B3648E">
        <w:trPr>
          <w:trHeight w:val="675"/>
          <w:tblHeader/>
          <w:jc w:val="center"/>
        </w:trPr>
        <w:tc>
          <w:tcPr>
            <w:tcW w:w="1691" w:type="dxa"/>
            <w:tcBorders>
              <w:top w:val="single" w:sz="4" w:space="0" w:color="auto"/>
              <w:left w:val="single" w:sz="8" w:space="0" w:color="auto"/>
              <w:bottom w:val="nil"/>
              <w:right w:val="single" w:sz="8" w:space="0" w:color="auto"/>
            </w:tcBorders>
            <w:shd w:val="clear" w:color="auto" w:fill="CCCCFF"/>
            <w:vAlign w:val="center"/>
          </w:tcPr>
          <w:p w14:paraId="4FA2D2B0" w14:textId="77777777" w:rsidR="00EC5DAD" w:rsidRPr="00411A5A" w:rsidRDefault="00EC5DAD" w:rsidP="00835F25">
            <w:pPr>
              <w:contextualSpacing/>
              <w:jc w:val="center"/>
              <w:rPr>
                <w:rFonts w:ascii="Arial" w:hAnsi="Arial" w:cs="Arial"/>
                <w:sz w:val="16"/>
                <w:szCs w:val="16"/>
              </w:rPr>
            </w:pPr>
            <w:r w:rsidRPr="00411A5A">
              <w:rPr>
                <w:rFonts w:ascii="Arial" w:eastAsia="Calibri" w:hAnsi="Arial" w:cs="Arial"/>
                <w:b/>
                <w:bCs/>
                <w:color w:val="000000" w:themeColor="text1"/>
                <w:sz w:val="16"/>
                <w:szCs w:val="16"/>
              </w:rPr>
              <w:t>CONCEPTO</w:t>
            </w:r>
          </w:p>
        </w:tc>
        <w:tc>
          <w:tcPr>
            <w:tcW w:w="1985" w:type="dxa"/>
            <w:tcBorders>
              <w:top w:val="nil"/>
              <w:left w:val="single" w:sz="8" w:space="0" w:color="auto"/>
              <w:bottom w:val="nil"/>
              <w:right w:val="single" w:sz="12" w:space="0" w:color="auto"/>
            </w:tcBorders>
            <w:shd w:val="clear" w:color="auto" w:fill="CCCCFF"/>
            <w:vAlign w:val="center"/>
          </w:tcPr>
          <w:p w14:paraId="34797B3C" w14:textId="77777777" w:rsidR="00EC5DAD" w:rsidRPr="00411A5A" w:rsidRDefault="00EC5DAD" w:rsidP="00835F25">
            <w:pPr>
              <w:contextualSpacing/>
              <w:jc w:val="center"/>
              <w:rPr>
                <w:rFonts w:ascii="Arial" w:hAnsi="Arial" w:cs="Arial"/>
                <w:sz w:val="16"/>
                <w:szCs w:val="16"/>
              </w:rPr>
            </w:pPr>
            <w:r w:rsidRPr="00411A5A">
              <w:rPr>
                <w:rFonts w:ascii="Arial" w:eastAsia="Calibri" w:hAnsi="Arial" w:cs="Arial"/>
                <w:b/>
                <w:bCs/>
                <w:color w:val="000000" w:themeColor="text1"/>
                <w:sz w:val="16"/>
                <w:szCs w:val="16"/>
              </w:rPr>
              <w:t>EJECUCION PRESUPUESTAL Y CIERRE DE TESORERÍA</w:t>
            </w:r>
          </w:p>
        </w:tc>
        <w:tc>
          <w:tcPr>
            <w:tcW w:w="1843" w:type="dxa"/>
            <w:tcBorders>
              <w:top w:val="single" w:sz="4" w:space="0" w:color="auto"/>
              <w:left w:val="single" w:sz="12" w:space="0" w:color="auto"/>
              <w:bottom w:val="nil"/>
              <w:right w:val="single" w:sz="12" w:space="0" w:color="auto"/>
            </w:tcBorders>
            <w:shd w:val="clear" w:color="auto" w:fill="CCCCFF"/>
            <w:vAlign w:val="center"/>
          </w:tcPr>
          <w:p w14:paraId="337989B6" w14:textId="77777777" w:rsidR="00EC5DAD" w:rsidRPr="00411A5A" w:rsidRDefault="00EC5DAD" w:rsidP="00835F25">
            <w:pPr>
              <w:contextualSpacing/>
              <w:jc w:val="center"/>
              <w:rPr>
                <w:rFonts w:ascii="Arial" w:hAnsi="Arial" w:cs="Arial"/>
                <w:sz w:val="16"/>
                <w:szCs w:val="16"/>
              </w:rPr>
            </w:pPr>
            <w:r w:rsidRPr="00411A5A">
              <w:rPr>
                <w:rFonts w:ascii="Arial" w:eastAsia="Calibri" w:hAnsi="Arial" w:cs="Arial"/>
                <w:b/>
                <w:bCs/>
                <w:color w:val="000000" w:themeColor="text1"/>
                <w:sz w:val="16"/>
                <w:szCs w:val="16"/>
              </w:rPr>
              <w:t xml:space="preserve">FUT </w:t>
            </w:r>
          </w:p>
        </w:tc>
        <w:tc>
          <w:tcPr>
            <w:tcW w:w="1842" w:type="dxa"/>
            <w:tcBorders>
              <w:top w:val="single" w:sz="4" w:space="0" w:color="auto"/>
              <w:left w:val="single" w:sz="12" w:space="0" w:color="auto"/>
              <w:right w:val="single" w:sz="8" w:space="0" w:color="auto"/>
            </w:tcBorders>
            <w:shd w:val="clear" w:color="auto" w:fill="CCCCFF"/>
            <w:vAlign w:val="center"/>
          </w:tcPr>
          <w:p w14:paraId="58A4C795" w14:textId="77777777" w:rsidR="00EC5DAD" w:rsidRPr="00411A5A" w:rsidRDefault="00EC5DAD" w:rsidP="00835F25">
            <w:pPr>
              <w:contextualSpacing/>
              <w:jc w:val="center"/>
              <w:rPr>
                <w:rFonts w:ascii="Arial" w:hAnsi="Arial" w:cs="Arial"/>
                <w:sz w:val="16"/>
                <w:szCs w:val="16"/>
              </w:rPr>
            </w:pPr>
            <w:r w:rsidRPr="00411A5A">
              <w:rPr>
                <w:rFonts w:ascii="Arial" w:eastAsia="Calibri" w:hAnsi="Arial" w:cs="Arial"/>
                <w:b/>
                <w:bCs/>
                <w:color w:val="000000" w:themeColor="text1"/>
                <w:sz w:val="16"/>
                <w:szCs w:val="16"/>
              </w:rPr>
              <w:t>EJECUCION PRESUPUESTAL Y CIERRE DE TESORERÍA</w:t>
            </w:r>
          </w:p>
        </w:tc>
        <w:tc>
          <w:tcPr>
            <w:tcW w:w="1512" w:type="dxa"/>
            <w:tcBorders>
              <w:top w:val="single" w:sz="4" w:space="0" w:color="auto"/>
              <w:left w:val="single" w:sz="12" w:space="0" w:color="auto"/>
              <w:right w:val="single" w:sz="8" w:space="0" w:color="auto"/>
            </w:tcBorders>
            <w:shd w:val="clear" w:color="auto" w:fill="CCCCFF"/>
            <w:vAlign w:val="center"/>
          </w:tcPr>
          <w:p w14:paraId="44898F5F" w14:textId="77777777" w:rsidR="00EC5DAD" w:rsidRPr="00411A5A" w:rsidRDefault="00A44835" w:rsidP="00835F25">
            <w:pPr>
              <w:contextualSpacing/>
              <w:jc w:val="center"/>
              <w:rPr>
                <w:rFonts w:ascii="Arial" w:hAnsi="Arial" w:cs="Arial"/>
                <w:sz w:val="16"/>
                <w:szCs w:val="16"/>
              </w:rPr>
            </w:pPr>
            <w:r>
              <w:rPr>
                <w:rFonts w:ascii="Arial" w:eastAsia="Calibri" w:hAnsi="Arial" w:cs="Arial"/>
                <w:b/>
                <w:bCs/>
                <w:color w:val="000000" w:themeColor="text1"/>
                <w:sz w:val="16"/>
                <w:szCs w:val="16"/>
              </w:rPr>
              <w:t>CUIPO</w:t>
            </w:r>
          </w:p>
        </w:tc>
      </w:tr>
      <w:tr w:rsidR="00832A05" w:rsidRPr="004D7FD4" w14:paraId="44DD79A1"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09594CE8" w14:textId="77777777" w:rsidR="00832A05" w:rsidRPr="00411A5A" w:rsidRDefault="00832A05"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Ingresos Corrientes</w:t>
            </w:r>
          </w:p>
        </w:tc>
        <w:tc>
          <w:tcPr>
            <w:tcW w:w="1985" w:type="dxa"/>
            <w:tcBorders>
              <w:top w:val="single" w:sz="4" w:space="0" w:color="auto"/>
              <w:left w:val="single" w:sz="4" w:space="0" w:color="auto"/>
              <w:bottom w:val="single" w:sz="4" w:space="0" w:color="auto"/>
              <w:right w:val="single" w:sz="12" w:space="0" w:color="auto"/>
            </w:tcBorders>
            <w:vAlign w:val="center"/>
          </w:tcPr>
          <w:p w14:paraId="41E80512" w14:textId="77777777" w:rsidR="00832A05" w:rsidRPr="00411A5A" w:rsidRDefault="00832A05" w:rsidP="00835F25">
            <w:pPr>
              <w:contextualSpacing/>
              <w:jc w:val="center"/>
              <w:rPr>
                <w:rFonts w:ascii="Arial" w:hAnsi="Arial" w:cs="Arial"/>
                <w:sz w:val="16"/>
                <w:szCs w:val="16"/>
              </w:rPr>
            </w:pPr>
            <w:r w:rsidRPr="006B15B3">
              <w:rPr>
                <w:rFonts w:ascii="Arial" w:hAnsi="Arial" w:cs="Arial"/>
                <w:sz w:val="16"/>
                <w:szCs w:val="16"/>
              </w:rPr>
              <w:t>$3.238.888.419</w:t>
            </w:r>
          </w:p>
        </w:tc>
        <w:tc>
          <w:tcPr>
            <w:tcW w:w="1843" w:type="dxa"/>
            <w:tcBorders>
              <w:top w:val="single" w:sz="4" w:space="0" w:color="auto"/>
              <w:left w:val="single" w:sz="12" w:space="0" w:color="auto"/>
              <w:bottom w:val="single" w:sz="4" w:space="0" w:color="auto"/>
              <w:right w:val="single" w:sz="12" w:space="0" w:color="auto"/>
            </w:tcBorders>
            <w:vAlign w:val="center"/>
          </w:tcPr>
          <w:p w14:paraId="7D17647E" w14:textId="77777777" w:rsidR="00832A05" w:rsidRPr="00411A5A" w:rsidRDefault="00832A05" w:rsidP="00835F25">
            <w:pPr>
              <w:contextualSpacing/>
              <w:jc w:val="center"/>
              <w:rPr>
                <w:rFonts w:ascii="Arial" w:hAnsi="Arial" w:cs="Arial"/>
                <w:sz w:val="16"/>
                <w:szCs w:val="16"/>
              </w:rPr>
            </w:pPr>
            <w:r w:rsidRPr="006B15B3">
              <w:rPr>
                <w:rFonts w:ascii="Arial" w:hAnsi="Arial" w:cs="Arial"/>
                <w:sz w:val="16"/>
                <w:szCs w:val="16"/>
              </w:rPr>
              <w:t>$3.238.888.419</w:t>
            </w:r>
          </w:p>
        </w:tc>
        <w:tc>
          <w:tcPr>
            <w:tcW w:w="1842" w:type="dxa"/>
            <w:tcBorders>
              <w:left w:val="single" w:sz="12" w:space="0" w:color="auto"/>
              <w:right w:val="single" w:sz="8" w:space="0" w:color="auto"/>
            </w:tcBorders>
            <w:shd w:val="clear" w:color="auto" w:fill="auto"/>
            <w:vAlign w:val="center"/>
          </w:tcPr>
          <w:p w14:paraId="057737A1" w14:textId="77777777" w:rsidR="00832A05" w:rsidRPr="00EC5DAD" w:rsidRDefault="00832A05" w:rsidP="00835F25">
            <w:pPr>
              <w:contextualSpacing/>
              <w:jc w:val="center"/>
              <w:rPr>
                <w:rFonts w:ascii="Arial" w:hAnsi="Arial" w:cs="Arial"/>
                <w:color w:val="FFFFFF" w:themeColor="background1"/>
                <w:sz w:val="16"/>
                <w:szCs w:val="16"/>
              </w:rPr>
            </w:pPr>
            <w:r w:rsidRPr="00816BBE">
              <w:rPr>
                <w:rFonts w:ascii="Arial" w:hAnsi="Arial" w:cs="Arial"/>
                <w:sz w:val="16"/>
                <w:szCs w:val="16"/>
              </w:rPr>
              <w:t>$606.839.629</w:t>
            </w:r>
          </w:p>
        </w:tc>
        <w:tc>
          <w:tcPr>
            <w:tcW w:w="1512" w:type="dxa"/>
            <w:tcBorders>
              <w:left w:val="single" w:sz="12" w:space="0" w:color="auto"/>
              <w:right w:val="single" w:sz="8" w:space="0" w:color="auto"/>
            </w:tcBorders>
            <w:shd w:val="clear" w:color="auto" w:fill="auto"/>
            <w:vAlign w:val="center"/>
          </w:tcPr>
          <w:p w14:paraId="499DC6B9" w14:textId="77777777" w:rsidR="00832A05" w:rsidRPr="00EC5DAD" w:rsidRDefault="00832A05" w:rsidP="00835F25">
            <w:pPr>
              <w:contextualSpacing/>
              <w:jc w:val="center"/>
              <w:rPr>
                <w:rFonts w:ascii="Arial" w:hAnsi="Arial" w:cs="Arial"/>
                <w:color w:val="FFFFFF" w:themeColor="background1"/>
                <w:sz w:val="16"/>
                <w:szCs w:val="16"/>
              </w:rPr>
            </w:pPr>
            <w:r w:rsidRPr="00816BBE">
              <w:rPr>
                <w:rFonts w:ascii="Arial" w:hAnsi="Arial" w:cs="Arial"/>
                <w:sz w:val="16"/>
                <w:szCs w:val="16"/>
              </w:rPr>
              <w:t>$606.839.629</w:t>
            </w:r>
          </w:p>
        </w:tc>
      </w:tr>
      <w:tr w:rsidR="00832A05" w:rsidRPr="004D7FD4" w14:paraId="671CB388"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7F8FE7D5" w14:textId="77777777" w:rsidR="00832A05" w:rsidRPr="00411A5A" w:rsidRDefault="00832A05"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Rendimientos Financieros</w:t>
            </w:r>
          </w:p>
        </w:tc>
        <w:tc>
          <w:tcPr>
            <w:tcW w:w="1985" w:type="dxa"/>
            <w:tcBorders>
              <w:top w:val="single" w:sz="4" w:space="0" w:color="auto"/>
              <w:left w:val="single" w:sz="4" w:space="0" w:color="auto"/>
              <w:bottom w:val="single" w:sz="4" w:space="0" w:color="auto"/>
              <w:right w:val="single" w:sz="12" w:space="0" w:color="auto"/>
            </w:tcBorders>
            <w:vAlign w:val="center"/>
          </w:tcPr>
          <w:p w14:paraId="4EBDC81F" w14:textId="77777777" w:rsidR="00832A05" w:rsidRPr="00411A5A" w:rsidRDefault="00832A05" w:rsidP="00835F25">
            <w:pPr>
              <w:contextualSpacing/>
              <w:jc w:val="center"/>
              <w:rPr>
                <w:rFonts w:ascii="Arial" w:hAnsi="Arial" w:cs="Arial"/>
                <w:sz w:val="16"/>
                <w:szCs w:val="16"/>
              </w:rPr>
            </w:pPr>
            <w:r w:rsidRPr="00A8466F">
              <w:rPr>
                <w:rFonts w:ascii="Arial" w:hAnsi="Arial" w:cs="Arial"/>
                <w:sz w:val="16"/>
                <w:szCs w:val="16"/>
              </w:rPr>
              <w:t>$270.932.980</w:t>
            </w:r>
          </w:p>
        </w:tc>
        <w:tc>
          <w:tcPr>
            <w:tcW w:w="1843" w:type="dxa"/>
            <w:tcBorders>
              <w:top w:val="single" w:sz="4" w:space="0" w:color="auto"/>
              <w:left w:val="single" w:sz="12" w:space="0" w:color="auto"/>
              <w:bottom w:val="single" w:sz="4" w:space="0" w:color="auto"/>
              <w:right w:val="single" w:sz="12" w:space="0" w:color="auto"/>
            </w:tcBorders>
            <w:vAlign w:val="center"/>
          </w:tcPr>
          <w:p w14:paraId="61B31CE9" w14:textId="77777777" w:rsidR="00832A05" w:rsidRPr="00411A5A" w:rsidRDefault="00832A05" w:rsidP="00835F25">
            <w:pPr>
              <w:contextualSpacing/>
              <w:jc w:val="center"/>
              <w:rPr>
                <w:rFonts w:ascii="Arial" w:hAnsi="Arial" w:cs="Arial"/>
                <w:sz w:val="16"/>
                <w:szCs w:val="16"/>
              </w:rPr>
            </w:pPr>
            <w:r w:rsidRPr="00A8466F">
              <w:rPr>
                <w:rFonts w:ascii="Arial" w:hAnsi="Arial" w:cs="Arial"/>
                <w:sz w:val="16"/>
                <w:szCs w:val="16"/>
              </w:rPr>
              <w:t>$270.932.980</w:t>
            </w:r>
          </w:p>
        </w:tc>
        <w:tc>
          <w:tcPr>
            <w:tcW w:w="1842" w:type="dxa"/>
            <w:tcBorders>
              <w:left w:val="single" w:sz="12" w:space="0" w:color="auto"/>
              <w:right w:val="single" w:sz="8" w:space="0" w:color="auto"/>
            </w:tcBorders>
            <w:shd w:val="clear" w:color="auto" w:fill="auto"/>
            <w:vAlign w:val="center"/>
          </w:tcPr>
          <w:p w14:paraId="2F68F3B5" w14:textId="77777777" w:rsidR="00832A05" w:rsidRPr="00EC5DAD" w:rsidRDefault="00832A05" w:rsidP="00835F25">
            <w:pPr>
              <w:contextualSpacing/>
              <w:jc w:val="center"/>
              <w:rPr>
                <w:rFonts w:ascii="Arial" w:hAnsi="Arial" w:cs="Arial"/>
                <w:color w:val="FFFFFF" w:themeColor="background1"/>
                <w:sz w:val="16"/>
                <w:szCs w:val="16"/>
              </w:rPr>
            </w:pPr>
            <w:r w:rsidRPr="00416CCD">
              <w:rPr>
                <w:rFonts w:ascii="Arial" w:hAnsi="Arial" w:cs="Arial"/>
                <w:sz w:val="16"/>
                <w:szCs w:val="16"/>
              </w:rPr>
              <w:t>$85.830.802</w:t>
            </w:r>
          </w:p>
        </w:tc>
        <w:tc>
          <w:tcPr>
            <w:tcW w:w="1512" w:type="dxa"/>
            <w:tcBorders>
              <w:left w:val="single" w:sz="12" w:space="0" w:color="auto"/>
              <w:right w:val="single" w:sz="8" w:space="0" w:color="auto"/>
            </w:tcBorders>
            <w:shd w:val="clear" w:color="auto" w:fill="auto"/>
            <w:vAlign w:val="center"/>
          </w:tcPr>
          <w:p w14:paraId="685A3128" w14:textId="77777777" w:rsidR="00832A05" w:rsidRPr="00EC5DAD" w:rsidRDefault="00832A05" w:rsidP="00835F25">
            <w:pPr>
              <w:contextualSpacing/>
              <w:jc w:val="center"/>
              <w:rPr>
                <w:rFonts w:ascii="Arial" w:hAnsi="Arial" w:cs="Arial"/>
                <w:color w:val="FFFFFF" w:themeColor="background1"/>
                <w:sz w:val="16"/>
                <w:szCs w:val="16"/>
              </w:rPr>
            </w:pPr>
            <w:r w:rsidRPr="00416CCD">
              <w:rPr>
                <w:rFonts w:ascii="Arial" w:hAnsi="Arial" w:cs="Arial"/>
                <w:sz w:val="16"/>
                <w:szCs w:val="16"/>
              </w:rPr>
              <w:t>$85.830.802</w:t>
            </w:r>
          </w:p>
        </w:tc>
      </w:tr>
      <w:tr w:rsidR="00B33061" w:rsidRPr="004D7FD4" w14:paraId="00A93BCB"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532046BD" w14:textId="77777777" w:rsidR="00B33061" w:rsidRPr="00411A5A" w:rsidRDefault="00B33061"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Superávit</w:t>
            </w:r>
          </w:p>
        </w:tc>
        <w:tc>
          <w:tcPr>
            <w:tcW w:w="1985" w:type="dxa"/>
            <w:tcBorders>
              <w:top w:val="single" w:sz="4" w:space="0" w:color="auto"/>
              <w:left w:val="single" w:sz="4" w:space="0" w:color="auto"/>
              <w:bottom w:val="single" w:sz="4" w:space="0" w:color="auto"/>
              <w:right w:val="single" w:sz="12" w:space="0" w:color="auto"/>
            </w:tcBorders>
            <w:vAlign w:val="center"/>
          </w:tcPr>
          <w:p w14:paraId="1846B4CD" w14:textId="77777777" w:rsidR="00B33061" w:rsidRPr="00411A5A" w:rsidRDefault="00B33061" w:rsidP="00835F25">
            <w:pPr>
              <w:contextualSpacing/>
              <w:jc w:val="center"/>
              <w:rPr>
                <w:rFonts w:ascii="Arial" w:hAnsi="Arial" w:cs="Arial"/>
                <w:sz w:val="16"/>
                <w:szCs w:val="16"/>
              </w:rPr>
            </w:pPr>
            <w:r>
              <w:rPr>
                <w:rFonts w:ascii="Arial" w:hAnsi="Arial" w:cs="Arial"/>
                <w:sz w:val="16"/>
                <w:szCs w:val="16"/>
              </w:rPr>
              <w:t>$</w:t>
            </w:r>
            <w:r w:rsidRPr="00D455AA">
              <w:rPr>
                <w:rFonts w:ascii="Arial" w:hAnsi="Arial" w:cs="Arial"/>
                <w:sz w:val="16"/>
                <w:szCs w:val="16"/>
              </w:rPr>
              <w:t>0</w:t>
            </w:r>
          </w:p>
        </w:tc>
        <w:tc>
          <w:tcPr>
            <w:tcW w:w="1843" w:type="dxa"/>
            <w:tcBorders>
              <w:top w:val="single" w:sz="4" w:space="0" w:color="auto"/>
              <w:left w:val="single" w:sz="12" w:space="0" w:color="auto"/>
              <w:bottom w:val="single" w:sz="4" w:space="0" w:color="auto"/>
              <w:right w:val="single" w:sz="12" w:space="0" w:color="auto"/>
            </w:tcBorders>
            <w:vAlign w:val="center"/>
          </w:tcPr>
          <w:p w14:paraId="6B92E4C7" w14:textId="77777777" w:rsidR="00B33061" w:rsidRPr="00411A5A" w:rsidRDefault="00B33061" w:rsidP="00835F25">
            <w:pPr>
              <w:contextualSpacing/>
              <w:jc w:val="center"/>
              <w:rPr>
                <w:rFonts w:ascii="Arial" w:hAnsi="Arial" w:cs="Arial"/>
                <w:sz w:val="16"/>
                <w:szCs w:val="16"/>
              </w:rPr>
            </w:pPr>
            <w:r>
              <w:rPr>
                <w:rFonts w:ascii="Arial" w:hAnsi="Arial" w:cs="Arial"/>
                <w:sz w:val="16"/>
                <w:szCs w:val="16"/>
              </w:rPr>
              <w:t>$</w:t>
            </w:r>
            <w:r w:rsidRPr="00D455AA">
              <w:rPr>
                <w:rFonts w:ascii="Arial" w:hAnsi="Arial" w:cs="Arial"/>
                <w:sz w:val="16"/>
                <w:szCs w:val="16"/>
              </w:rPr>
              <w:t>0</w:t>
            </w:r>
          </w:p>
        </w:tc>
        <w:tc>
          <w:tcPr>
            <w:tcW w:w="1842" w:type="dxa"/>
            <w:tcBorders>
              <w:left w:val="single" w:sz="12" w:space="0" w:color="auto"/>
              <w:right w:val="single" w:sz="8" w:space="0" w:color="auto"/>
            </w:tcBorders>
            <w:shd w:val="clear" w:color="auto" w:fill="auto"/>
            <w:vAlign w:val="center"/>
          </w:tcPr>
          <w:p w14:paraId="7D5F8AFE" w14:textId="77777777" w:rsidR="00B33061" w:rsidRPr="00EC5DAD" w:rsidRDefault="00B33061"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c>
          <w:tcPr>
            <w:tcW w:w="1512" w:type="dxa"/>
            <w:tcBorders>
              <w:left w:val="single" w:sz="12" w:space="0" w:color="auto"/>
              <w:right w:val="single" w:sz="8" w:space="0" w:color="auto"/>
            </w:tcBorders>
            <w:shd w:val="clear" w:color="auto" w:fill="auto"/>
            <w:vAlign w:val="center"/>
          </w:tcPr>
          <w:p w14:paraId="55643745" w14:textId="77777777" w:rsidR="00B33061" w:rsidRPr="00EC5DAD" w:rsidRDefault="00B33061"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r>
      <w:tr w:rsidR="009023DD" w:rsidRPr="004D7FD4" w14:paraId="4BF08226"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77679988" w14:textId="77777777" w:rsidR="009023DD" w:rsidRPr="00411A5A" w:rsidRDefault="009023DD"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Gastos (Comprometidos)</w:t>
            </w:r>
          </w:p>
        </w:tc>
        <w:tc>
          <w:tcPr>
            <w:tcW w:w="1985" w:type="dxa"/>
            <w:tcBorders>
              <w:top w:val="single" w:sz="4" w:space="0" w:color="auto"/>
              <w:left w:val="single" w:sz="4" w:space="0" w:color="auto"/>
              <w:bottom w:val="single" w:sz="4" w:space="0" w:color="auto"/>
              <w:right w:val="single" w:sz="12" w:space="0" w:color="auto"/>
            </w:tcBorders>
            <w:vAlign w:val="center"/>
          </w:tcPr>
          <w:p w14:paraId="5C79FEDA" w14:textId="77777777" w:rsidR="009023DD" w:rsidRPr="00411A5A" w:rsidRDefault="009023DD" w:rsidP="00835F25">
            <w:pPr>
              <w:contextualSpacing/>
              <w:jc w:val="center"/>
              <w:rPr>
                <w:rFonts w:ascii="Arial" w:hAnsi="Arial" w:cs="Arial"/>
                <w:sz w:val="16"/>
                <w:szCs w:val="16"/>
              </w:rPr>
            </w:pPr>
            <w:r>
              <w:rPr>
                <w:rFonts w:ascii="Arial" w:hAnsi="Arial" w:cs="Arial"/>
                <w:sz w:val="16"/>
                <w:szCs w:val="16"/>
              </w:rPr>
              <w:t>$3.383.849.735</w:t>
            </w:r>
          </w:p>
        </w:tc>
        <w:tc>
          <w:tcPr>
            <w:tcW w:w="1843" w:type="dxa"/>
            <w:tcBorders>
              <w:top w:val="single" w:sz="4" w:space="0" w:color="auto"/>
              <w:left w:val="single" w:sz="12" w:space="0" w:color="auto"/>
              <w:bottom w:val="single" w:sz="4" w:space="0" w:color="auto"/>
              <w:right w:val="single" w:sz="12" w:space="0" w:color="auto"/>
            </w:tcBorders>
            <w:vAlign w:val="center"/>
          </w:tcPr>
          <w:p w14:paraId="4F32CDBB" w14:textId="77777777" w:rsidR="009023DD" w:rsidRPr="00411A5A" w:rsidRDefault="009023DD" w:rsidP="00835F25">
            <w:pPr>
              <w:contextualSpacing/>
              <w:jc w:val="center"/>
              <w:rPr>
                <w:rFonts w:ascii="Arial" w:hAnsi="Arial" w:cs="Arial"/>
                <w:sz w:val="16"/>
                <w:szCs w:val="16"/>
              </w:rPr>
            </w:pPr>
            <w:r>
              <w:rPr>
                <w:rFonts w:ascii="Arial" w:hAnsi="Arial" w:cs="Arial"/>
                <w:sz w:val="16"/>
                <w:szCs w:val="16"/>
              </w:rPr>
              <w:t>$3.383.849.735</w:t>
            </w:r>
          </w:p>
        </w:tc>
        <w:tc>
          <w:tcPr>
            <w:tcW w:w="1842" w:type="dxa"/>
            <w:tcBorders>
              <w:left w:val="single" w:sz="12" w:space="0" w:color="auto"/>
              <w:right w:val="single" w:sz="8" w:space="0" w:color="auto"/>
            </w:tcBorders>
            <w:shd w:val="clear" w:color="auto" w:fill="auto"/>
            <w:vAlign w:val="center"/>
          </w:tcPr>
          <w:p w14:paraId="6B0B6549" w14:textId="77777777" w:rsidR="009023DD" w:rsidRPr="00EC5DAD" w:rsidRDefault="009023DD"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c>
          <w:tcPr>
            <w:tcW w:w="1512" w:type="dxa"/>
            <w:tcBorders>
              <w:left w:val="single" w:sz="12" w:space="0" w:color="auto"/>
              <w:right w:val="single" w:sz="8" w:space="0" w:color="auto"/>
            </w:tcBorders>
            <w:shd w:val="clear" w:color="auto" w:fill="auto"/>
            <w:vAlign w:val="center"/>
          </w:tcPr>
          <w:p w14:paraId="2F398001" w14:textId="77777777" w:rsidR="009023DD" w:rsidRPr="00EC5DAD" w:rsidRDefault="009023DD"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r>
      <w:tr w:rsidR="009023DD" w:rsidRPr="004D7FD4" w14:paraId="09995158"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64BDD933" w14:textId="77777777" w:rsidR="009023DD" w:rsidRPr="00411A5A" w:rsidRDefault="009023DD"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Gastos (O</w:t>
            </w:r>
            <w:r>
              <w:rPr>
                <w:rFonts w:ascii="Arial" w:eastAsia="Calibri" w:hAnsi="Arial" w:cs="Arial"/>
                <w:color w:val="000000" w:themeColor="text1"/>
                <w:sz w:val="16"/>
                <w:szCs w:val="16"/>
              </w:rPr>
              <w:t>bligado)</w:t>
            </w:r>
          </w:p>
        </w:tc>
        <w:tc>
          <w:tcPr>
            <w:tcW w:w="1985" w:type="dxa"/>
            <w:tcBorders>
              <w:top w:val="single" w:sz="4" w:space="0" w:color="auto"/>
              <w:left w:val="single" w:sz="4" w:space="0" w:color="auto"/>
              <w:bottom w:val="single" w:sz="4" w:space="0" w:color="auto"/>
              <w:right w:val="single" w:sz="12" w:space="0" w:color="auto"/>
            </w:tcBorders>
            <w:vAlign w:val="center"/>
          </w:tcPr>
          <w:p w14:paraId="62425ADC" w14:textId="77777777" w:rsidR="009023DD" w:rsidRPr="00411A5A" w:rsidRDefault="009023DD" w:rsidP="00835F25">
            <w:pPr>
              <w:contextualSpacing/>
              <w:jc w:val="center"/>
              <w:rPr>
                <w:rFonts w:ascii="Arial" w:hAnsi="Arial" w:cs="Arial"/>
                <w:sz w:val="16"/>
                <w:szCs w:val="16"/>
              </w:rPr>
            </w:pPr>
            <w:r w:rsidRPr="002D74A7">
              <w:rPr>
                <w:rFonts w:ascii="Arial" w:hAnsi="Arial" w:cs="Arial"/>
                <w:sz w:val="16"/>
                <w:szCs w:val="16"/>
              </w:rPr>
              <w:t>$3.138.413.472</w:t>
            </w:r>
          </w:p>
        </w:tc>
        <w:tc>
          <w:tcPr>
            <w:tcW w:w="1843" w:type="dxa"/>
            <w:tcBorders>
              <w:top w:val="single" w:sz="4" w:space="0" w:color="auto"/>
              <w:left w:val="single" w:sz="12" w:space="0" w:color="auto"/>
              <w:bottom w:val="single" w:sz="4" w:space="0" w:color="auto"/>
              <w:right w:val="single" w:sz="12" w:space="0" w:color="auto"/>
            </w:tcBorders>
            <w:vAlign w:val="center"/>
          </w:tcPr>
          <w:p w14:paraId="26A481E4" w14:textId="77777777" w:rsidR="009023DD" w:rsidRPr="00411A5A" w:rsidRDefault="009023DD" w:rsidP="00835F25">
            <w:pPr>
              <w:contextualSpacing/>
              <w:jc w:val="center"/>
              <w:rPr>
                <w:rFonts w:ascii="Arial" w:hAnsi="Arial" w:cs="Arial"/>
                <w:sz w:val="16"/>
                <w:szCs w:val="16"/>
              </w:rPr>
            </w:pPr>
            <w:r w:rsidRPr="002D74A7">
              <w:rPr>
                <w:rFonts w:ascii="Arial" w:hAnsi="Arial" w:cs="Arial"/>
                <w:sz w:val="16"/>
                <w:szCs w:val="16"/>
              </w:rPr>
              <w:t>$3.138.413.472</w:t>
            </w:r>
          </w:p>
        </w:tc>
        <w:tc>
          <w:tcPr>
            <w:tcW w:w="1842" w:type="dxa"/>
            <w:tcBorders>
              <w:left w:val="single" w:sz="12" w:space="0" w:color="auto"/>
              <w:right w:val="single" w:sz="8" w:space="0" w:color="auto"/>
            </w:tcBorders>
            <w:shd w:val="clear" w:color="auto" w:fill="auto"/>
            <w:vAlign w:val="center"/>
          </w:tcPr>
          <w:p w14:paraId="1017C4C0" w14:textId="77777777" w:rsidR="009023DD" w:rsidRPr="00EC5DAD" w:rsidRDefault="009023DD"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c>
          <w:tcPr>
            <w:tcW w:w="1512" w:type="dxa"/>
            <w:tcBorders>
              <w:left w:val="single" w:sz="12" w:space="0" w:color="auto"/>
              <w:right w:val="single" w:sz="8" w:space="0" w:color="auto"/>
            </w:tcBorders>
            <w:shd w:val="clear" w:color="auto" w:fill="auto"/>
            <w:vAlign w:val="center"/>
          </w:tcPr>
          <w:p w14:paraId="7AE3A0B6" w14:textId="77777777" w:rsidR="009023DD" w:rsidRPr="00EC5DAD" w:rsidRDefault="009023DD"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r>
      <w:tr w:rsidR="009023DD" w:rsidRPr="004D7FD4" w14:paraId="578527CD"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59D24DBF" w14:textId="77777777" w:rsidR="009023DD" w:rsidRPr="00411A5A" w:rsidRDefault="009023DD"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Gastos (</w:t>
            </w:r>
            <w:r>
              <w:rPr>
                <w:rFonts w:ascii="Arial" w:eastAsia="Calibri" w:hAnsi="Arial" w:cs="Arial"/>
                <w:color w:val="000000" w:themeColor="text1"/>
                <w:sz w:val="16"/>
                <w:szCs w:val="16"/>
              </w:rPr>
              <w:t>Pagos</w:t>
            </w:r>
            <w:r w:rsidRPr="00411A5A">
              <w:rPr>
                <w:rFonts w:ascii="Arial" w:eastAsia="Calibri" w:hAnsi="Arial" w:cs="Arial"/>
                <w:color w:val="000000" w:themeColor="text1"/>
                <w:sz w:val="16"/>
                <w:szCs w:val="16"/>
              </w:rPr>
              <w:t>)</w:t>
            </w:r>
          </w:p>
        </w:tc>
        <w:tc>
          <w:tcPr>
            <w:tcW w:w="1985" w:type="dxa"/>
            <w:tcBorders>
              <w:top w:val="single" w:sz="4" w:space="0" w:color="auto"/>
              <w:left w:val="single" w:sz="4" w:space="0" w:color="auto"/>
              <w:bottom w:val="single" w:sz="4" w:space="0" w:color="auto"/>
              <w:right w:val="single" w:sz="12" w:space="0" w:color="auto"/>
            </w:tcBorders>
            <w:vAlign w:val="center"/>
          </w:tcPr>
          <w:p w14:paraId="73FD7BBD" w14:textId="77777777" w:rsidR="009023DD" w:rsidRPr="00411A5A" w:rsidRDefault="009023DD" w:rsidP="00835F25">
            <w:pPr>
              <w:contextualSpacing/>
              <w:jc w:val="center"/>
              <w:rPr>
                <w:rFonts w:ascii="Arial" w:hAnsi="Arial" w:cs="Arial"/>
                <w:sz w:val="16"/>
                <w:szCs w:val="16"/>
              </w:rPr>
            </w:pPr>
            <w:r w:rsidRPr="002D74A7">
              <w:rPr>
                <w:rFonts w:ascii="Arial" w:hAnsi="Arial" w:cs="Arial"/>
                <w:sz w:val="16"/>
                <w:szCs w:val="16"/>
              </w:rPr>
              <w:t>$3.138.413.472</w:t>
            </w:r>
          </w:p>
        </w:tc>
        <w:tc>
          <w:tcPr>
            <w:tcW w:w="1843" w:type="dxa"/>
            <w:tcBorders>
              <w:top w:val="single" w:sz="4" w:space="0" w:color="auto"/>
              <w:left w:val="single" w:sz="12" w:space="0" w:color="auto"/>
              <w:bottom w:val="single" w:sz="4" w:space="0" w:color="auto"/>
              <w:right w:val="single" w:sz="12" w:space="0" w:color="auto"/>
            </w:tcBorders>
            <w:vAlign w:val="center"/>
          </w:tcPr>
          <w:p w14:paraId="5E80FC51" w14:textId="77777777" w:rsidR="009023DD" w:rsidRPr="00411A5A" w:rsidRDefault="009023DD" w:rsidP="00835F25">
            <w:pPr>
              <w:contextualSpacing/>
              <w:jc w:val="center"/>
              <w:rPr>
                <w:rFonts w:ascii="Arial" w:hAnsi="Arial" w:cs="Arial"/>
                <w:sz w:val="16"/>
                <w:szCs w:val="16"/>
              </w:rPr>
            </w:pPr>
            <w:r w:rsidRPr="002D74A7">
              <w:rPr>
                <w:rFonts w:ascii="Arial" w:hAnsi="Arial" w:cs="Arial"/>
                <w:sz w:val="16"/>
                <w:szCs w:val="16"/>
              </w:rPr>
              <w:t>$3.138.413.472</w:t>
            </w:r>
          </w:p>
        </w:tc>
        <w:tc>
          <w:tcPr>
            <w:tcW w:w="1842" w:type="dxa"/>
            <w:tcBorders>
              <w:left w:val="single" w:sz="12" w:space="0" w:color="auto"/>
              <w:bottom w:val="single" w:sz="4" w:space="0" w:color="auto"/>
              <w:right w:val="single" w:sz="8" w:space="0" w:color="auto"/>
            </w:tcBorders>
            <w:shd w:val="clear" w:color="auto" w:fill="auto"/>
            <w:vAlign w:val="center"/>
          </w:tcPr>
          <w:p w14:paraId="155C969B" w14:textId="77777777" w:rsidR="009023DD" w:rsidRPr="00EC5DAD" w:rsidRDefault="009023DD"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c>
          <w:tcPr>
            <w:tcW w:w="1512" w:type="dxa"/>
            <w:tcBorders>
              <w:left w:val="single" w:sz="12" w:space="0" w:color="auto"/>
              <w:bottom w:val="single" w:sz="4" w:space="0" w:color="auto"/>
              <w:right w:val="single" w:sz="8" w:space="0" w:color="auto"/>
            </w:tcBorders>
            <w:shd w:val="clear" w:color="auto" w:fill="auto"/>
            <w:vAlign w:val="center"/>
          </w:tcPr>
          <w:p w14:paraId="1C0A705C" w14:textId="77777777" w:rsidR="009023DD" w:rsidRPr="00EC5DAD" w:rsidRDefault="009023DD" w:rsidP="00835F25">
            <w:pPr>
              <w:contextualSpacing/>
              <w:jc w:val="center"/>
              <w:rPr>
                <w:rFonts w:ascii="Arial" w:hAnsi="Arial" w:cs="Arial"/>
                <w:color w:val="FFFFFF" w:themeColor="background1"/>
                <w:sz w:val="16"/>
                <w:szCs w:val="16"/>
              </w:rPr>
            </w:pPr>
            <w:r>
              <w:rPr>
                <w:rFonts w:ascii="Arial" w:hAnsi="Arial" w:cs="Arial"/>
                <w:sz w:val="16"/>
                <w:szCs w:val="16"/>
              </w:rPr>
              <w:t>$</w:t>
            </w:r>
            <w:r w:rsidRPr="00D455AA">
              <w:rPr>
                <w:rFonts w:ascii="Arial" w:hAnsi="Arial" w:cs="Arial"/>
                <w:sz w:val="16"/>
                <w:szCs w:val="16"/>
              </w:rPr>
              <w:t>0</w:t>
            </w:r>
          </w:p>
        </w:tc>
      </w:tr>
      <w:tr w:rsidR="009023DD" w:rsidRPr="004D7FD4" w14:paraId="5FC9A84C"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2A54CE06" w14:textId="77777777" w:rsidR="009023DD" w:rsidRPr="00411A5A" w:rsidRDefault="009023DD"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Déficit o superávit</w:t>
            </w:r>
          </w:p>
        </w:tc>
        <w:tc>
          <w:tcPr>
            <w:tcW w:w="1985" w:type="dxa"/>
            <w:tcBorders>
              <w:top w:val="single" w:sz="4" w:space="0" w:color="auto"/>
              <w:left w:val="single" w:sz="4" w:space="0" w:color="auto"/>
              <w:bottom w:val="single" w:sz="4" w:space="0" w:color="auto"/>
              <w:right w:val="single" w:sz="12" w:space="0" w:color="auto"/>
            </w:tcBorders>
            <w:vAlign w:val="center"/>
          </w:tcPr>
          <w:p w14:paraId="12707AE6" w14:textId="77777777" w:rsidR="009023DD" w:rsidRPr="00411A5A" w:rsidRDefault="009023DD" w:rsidP="00835F25">
            <w:pPr>
              <w:contextualSpacing/>
              <w:jc w:val="center"/>
              <w:rPr>
                <w:rFonts w:ascii="Arial" w:hAnsi="Arial" w:cs="Arial"/>
                <w:sz w:val="16"/>
                <w:szCs w:val="16"/>
              </w:rPr>
            </w:pPr>
            <w:r>
              <w:rPr>
                <w:rFonts w:ascii="Arial" w:hAnsi="Arial" w:cs="Arial"/>
                <w:sz w:val="16"/>
                <w:szCs w:val="16"/>
              </w:rPr>
              <w:t>$786.349.650</w:t>
            </w:r>
          </w:p>
        </w:tc>
        <w:tc>
          <w:tcPr>
            <w:tcW w:w="1843" w:type="dxa"/>
            <w:tcBorders>
              <w:top w:val="single" w:sz="4" w:space="0" w:color="auto"/>
              <w:left w:val="single" w:sz="12" w:space="0" w:color="auto"/>
              <w:bottom w:val="single" w:sz="4" w:space="0" w:color="auto"/>
              <w:right w:val="single" w:sz="12" w:space="0" w:color="auto"/>
            </w:tcBorders>
            <w:vAlign w:val="center"/>
          </w:tcPr>
          <w:p w14:paraId="00277E4F" w14:textId="77777777" w:rsidR="009023DD" w:rsidRPr="00411A5A" w:rsidRDefault="009023DD" w:rsidP="00835F25">
            <w:pPr>
              <w:contextualSpacing/>
              <w:jc w:val="center"/>
              <w:rPr>
                <w:rFonts w:ascii="Arial" w:hAnsi="Arial" w:cs="Arial"/>
                <w:sz w:val="16"/>
                <w:szCs w:val="16"/>
              </w:rPr>
            </w:pPr>
            <w:r w:rsidRPr="008C4D89">
              <w:rPr>
                <w:rFonts w:ascii="Arial" w:hAnsi="Arial" w:cs="Arial"/>
                <w:sz w:val="16"/>
                <w:szCs w:val="16"/>
              </w:rPr>
              <w:t>$13.725.238.641</w:t>
            </w:r>
          </w:p>
        </w:tc>
        <w:tc>
          <w:tcPr>
            <w:tcW w:w="3354" w:type="dxa"/>
            <w:gridSpan w:val="2"/>
            <w:vMerge w:val="restart"/>
            <w:tcBorders>
              <w:top w:val="single" w:sz="4" w:space="0" w:color="auto"/>
              <w:left w:val="single" w:sz="12" w:space="0" w:color="auto"/>
              <w:bottom w:val="single" w:sz="4" w:space="0" w:color="000000" w:themeColor="text1"/>
              <w:right w:val="single" w:sz="4" w:space="0" w:color="auto"/>
            </w:tcBorders>
            <w:vAlign w:val="center"/>
          </w:tcPr>
          <w:p w14:paraId="06254B62" w14:textId="77777777" w:rsidR="009023DD" w:rsidRPr="00411A5A" w:rsidRDefault="009023DD"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No aplica</w:t>
            </w:r>
          </w:p>
        </w:tc>
      </w:tr>
      <w:tr w:rsidR="009023DD" w:rsidRPr="004D7FD4" w14:paraId="15A7E421"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564A4E93" w14:textId="77777777" w:rsidR="009023DD" w:rsidRPr="00411A5A" w:rsidRDefault="009023DD"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Reservas</w:t>
            </w:r>
          </w:p>
        </w:tc>
        <w:tc>
          <w:tcPr>
            <w:tcW w:w="1985" w:type="dxa"/>
            <w:tcBorders>
              <w:top w:val="single" w:sz="4" w:space="0" w:color="auto"/>
              <w:left w:val="single" w:sz="4" w:space="0" w:color="auto"/>
              <w:bottom w:val="single" w:sz="4" w:space="0" w:color="auto"/>
              <w:right w:val="single" w:sz="12" w:space="0" w:color="auto"/>
            </w:tcBorders>
            <w:vAlign w:val="center"/>
          </w:tcPr>
          <w:p w14:paraId="7BB544BA" w14:textId="77777777" w:rsidR="009023DD" w:rsidRPr="00411A5A" w:rsidRDefault="009023DD" w:rsidP="00835F25">
            <w:pPr>
              <w:contextualSpacing/>
              <w:jc w:val="center"/>
              <w:rPr>
                <w:rFonts w:ascii="Arial" w:hAnsi="Arial" w:cs="Arial"/>
                <w:sz w:val="16"/>
                <w:szCs w:val="16"/>
              </w:rPr>
            </w:pPr>
            <w:r>
              <w:rPr>
                <w:rFonts w:ascii="Arial" w:hAnsi="Arial" w:cs="Arial"/>
                <w:sz w:val="16"/>
                <w:szCs w:val="16"/>
              </w:rPr>
              <w:t>$245.436.263</w:t>
            </w:r>
          </w:p>
        </w:tc>
        <w:tc>
          <w:tcPr>
            <w:tcW w:w="1843" w:type="dxa"/>
            <w:tcBorders>
              <w:top w:val="single" w:sz="4" w:space="0" w:color="auto"/>
              <w:left w:val="single" w:sz="12" w:space="0" w:color="auto"/>
              <w:bottom w:val="single" w:sz="4" w:space="0" w:color="auto"/>
              <w:right w:val="single" w:sz="12" w:space="0" w:color="auto"/>
            </w:tcBorders>
            <w:vAlign w:val="center"/>
          </w:tcPr>
          <w:p w14:paraId="741A7FEA" w14:textId="77777777" w:rsidR="009023DD" w:rsidRPr="00411A5A" w:rsidRDefault="009023DD" w:rsidP="00835F25">
            <w:pPr>
              <w:contextualSpacing/>
              <w:jc w:val="center"/>
              <w:rPr>
                <w:rFonts w:ascii="Arial" w:hAnsi="Arial" w:cs="Arial"/>
                <w:sz w:val="16"/>
                <w:szCs w:val="16"/>
              </w:rPr>
            </w:pPr>
            <w:r w:rsidRPr="00D323F4">
              <w:rPr>
                <w:rFonts w:ascii="Arial" w:hAnsi="Arial" w:cs="Arial"/>
                <w:sz w:val="16"/>
                <w:szCs w:val="16"/>
              </w:rPr>
              <w:t>$3.574.350.258</w:t>
            </w:r>
          </w:p>
        </w:tc>
        <w:tc>
          <w:tcPr>
            <w:tcW w:w="3354" w:type="dxa"/>
            <w:gridSpan w:val="2"/>
            <w:vMerge/>
            <w:tcBorders>
              <w:left w:val="single" w:sz="12" w:space="0" w:color="auto"/>
            </w:tcBorders>
            <w:vAlign w:val="center"/>
          </w:tcPr>
          <w:p w14:paraId="37AA2706" w14:textId="77777777" w:rsidR="009023DD" w:rsidRPr="00411A5A" w:rsidRDefault="009023DD" w:rsidP="00835F25">
            <w:pPr>
              <w:contextualSpacing/>
              <w:rPr>
                <w:rFonts w:ascii="Arial" w:hAnsi="Arial" w:cs="Arial"/>
                <w:sz w:val="16"/>
                <w:szCs w:val="16"/>
              </w:rPr>
            </w:pPr>
          </w:p>
        </w:tc>
      </w:tr>
      <w:tr w:rsidR="009023DD" w:rsidRPr="004D7FD4" w14:paraId="380E293E" w14:textId="77777777" w:rsidTr="005E348D">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64E77C62" w14:textId="77777777" w:rsidR="009023DD" w:rsidRPr="00411A5A" w:rsidRDefault="009023DD"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Cuentas por pagar</w:t>
            </w:r>
          </w:p>
        </w:tc>
        <w:tc>
          <w:tcPr>
            <w:tcW w:w="1985" w:type="dxa"/>
            <w:tcBorders>
              <w:top w:val="single" w:sz="4" w:space="0" w:color="auto"/>
              <w:left w:val="single" w:sz="4" w:space="0" w:color="auto"/>
              <w:bottom w:val="single" w:sz="4" w:space="0" w:color="auto"/>
              <w:right w:val="single" w:sz="12" w:space="0" w:color="auto"/>
            </w:tcBorders>
            <w:vAlign w:val="center"/>
          </w:tcPr>
          <w:p w14:paraId="1F9BB6DC" w14:textId="77777777" w:rsidR="009023DD" w:rsidRPr="00411A5A" w:rsidRDefault="009023DD" w:rsidP="00835F25">
            <w:pPr>
              <w:contextualSpacing/>
              <w:jc w:val="center"/>
              <w:rPr>
                <w:rFonts w:ascii="Arial" w:hAnsi="Arial" w:cs="Arial"/>
                <w:sz w:val="16"/>
                <w:szCs w:val="16"/>
              </w:rPr>
            </w:pPr>
            <w:r>
              <w:rPr>
                <w:rFonts w:ascii="Arial" w:hAnsi="Arial" w:cs="Arial"/>
                <w:sz w:val="16"/>
                <w:szCs w:val="16"/>
              </w:rPr>
              <w:t>$0</w:t>
            </w:r>
          </w:p>
        </w:tc>
        <w:tc>
          <w:tcPr>
            <w:tcW w:w="1843" w:type="dxa"/>
            <w:tcBorders>
              <w:top w:val="single" w:sz="4" w:space="0" w:color="auto"/>
              <w:left w:val="single" w:sz="12" w:space="0" w:color="auto"/>
              <w:bottom w:val="single" w:sz="4" w:space="0" w:color="auto"/>
              <w:right w:val="single" w:sz="12" w:space="0" w:color="auto"/>
            </w:tcBorders>
            <w:vAlign w:val="center"/>
          </w:tcPr>
          <w:p w14:paraId="33C2E80B" w14:textId="77777777" w:rsidR="009023DD" w:rsidRPr="00411A5A" w:rsidRDefault="009023DD" w:rsidP="00835F25">
            <w:pPr>
              <w:contextualSpacing/>
              <w:jc w:val="center"/>
              <w:rPr>
                <w:rFonts w:ascii="Arial" w:hAnsi="Arial" w:cs="Arial"/>
                <w:sz w:val="16"/>
                <w:szCs w:val="16"/>
              </w:rPr>
            </w:pPr>
            <w:r>
              <w:rPr>
                <w:rFonts w:ascii="Arial" w:hAnsi="Arial" w:cs="Arial"/>
                <w:sz w:val="16"/>
                <w:szCs w:val="16"/>
              </w:rPr>
              <w:t>$0</w:t>
            </w:r>
          </w:p>
        </w:tc>
        <w:tc>
          <w:tcPr>
            <w:tcW w:w="3354" w:type="dxa"/>
            <w:gridSpan w:val="2"/>
            <w:vMerge/>
            <w:tcBorders>
              <w:left w:val="single" w:sz="12" w:space="0" w:color="auto"/>
            </w:tcBorders>
            <w:vAlign w:val="center"/>
          </w:tcPr>
          <w:p w14:paraId="574CCAD5" w14:textId="77777777" w:rsidR="009023DD" w:rsidRPr="00411A5A" w:rsidRDefault="009023DD" w:rsidP="00835F25">
            <w:pPr>
              <w:contextualSpacing/>
              <w:rPr>
                <w:rFonts w:ascii="Arial" w:hAnsi="Arial" w:cs="Arial"/>
                <w:sz w:val="16"/>
                <w:szCs w:val="16"/>
              </w:rPr>
            </w:pPr>
          </w:p>
        </w:tc>
      </w:tr>
      <w:tr w:rsidR="00BE1CBE" w:rsidRPr="004D7FD4" w14:paraId="2A1C7253" w14:textId="77777777" w:rsidTr="00BE1CBE">
        <w:trPr>
          <w:trHeight w:val="397"/>
          <w:jc w:val="center"/>
        </w:trPr>
        <w:tc>
          <w:tcPr>
            <w:tcW w:w="1691" w:type="dxa"/>
            <w:tcBorders>
              <w:top w:val="single" w:sz="4" w:space="0" w:color="auto"/>
              <w:left w:val="single" w:sz="4" w:space="0" w:color="auto"/>
              <w:bottom w:val="single" w:sz="4" w:space="0" w:color="auto"/>
              <w:right w:val="single" w:sz="4" w:space="0" w:color="auto"/>
            </w:tcBorders>
            <w:vAlign w:val="center"/>
          </w:tcPr>
          <w:p w14:paraId="1250FD87" w14:textId="77777777" w:rsidR="00BE1CBE" w:rsidRPr="00411A5A" w:rsidRDefault="00BE1CBE" w:rsidP="00835F25">
            <w:pPr>
              <w:contextualSpacing/>
              <w:jc w:val="center"/>
              <w:rPr>
                <w:rFonts w:ascii="Arial" w:hAnsi="Arial" w:cs="Arial"/>
                <w:sz w:val="16"/>
                <w:szCs w:val="16"/>
              </w:rPr>
            </w:pPr>
            <w:r w:rsidRPr="00411A5A">
              <w:rPr>
                <w:rFonts w:ascii="Arial" w:eastAsia="Calibri" w:hAnsi="Arial" w:cs="Arial"/>
                <w:color w:val="000000" w:themeColor="text1"/>
                <w:sz w:val="16"/>
                <w:szCs w:val="16"/>
              </w:rPr>
              <w:t>Saldo en Caja y Bancos</w:t>
            </w:r>
          </w:p>
        </w:tc>
        <w:tc>
          <w:tcPr>
            <w:tcW w:w="1985" w:type="dxa"/>
            <w:tcBorders>
              <w:top w:val="single" w:sz="4" w:space="0" w:color="auto"/>
              <w:left w:val="single" w:sz="4" w:space="0" w:color="auto"/>
              <w:bottom w:val="single" w:sz="4" w:space="0" w:color="auto"/>
              <w:right w:val="single" w:sz="12" w:space="0" w:color="auto"/>
            </w:tcBorders>
            <w:vAlign w:val="center"/>
          </w:tcPr>
          <w:p w14:paraId="481ADAE4" w14:textId="77777777" w:rsidR="00BE1CBE" w:rsidRPr="00411A5A" w:rsidRDefault="00BE1CBE" w:rsidP="00835F25">
            <w:pPr>
              <w:contextualSpacing/>
              <w:jc w:val="center"/>
              <w:rPr>
                <w:rFonts w:ascii="Arial" w:hAnsi="Arial" w:cs="Arial"/>
                <w:sz w:val="16"/>
                <w:szCs w:val="16"/>
              </w:rPr>
            </w:pPr>
            <w:r w:rsidRPr="00BE1CBE">
              <w:rPr>
                <w:rFonts w:ascii="Arial" w:hAnsi="Arial" w:cs="Arial"/>
                <w:sz w:val="16"/>
                <w:szCs w:val="16"/>
              </w:rPr>
              <w:t>$100.474.947</w:t>
            </w:r>
          </w:p>
        </w:tc>
        <w:tc>
          <w:tcPr>
            <w:tcW w:w="1843" w:type="dxa"/>
            <w:tcBorders>
              <w:top w:val="single" w:sz="4" w:space="0" w:color="auto"/>
              <w:left w:val="single" w:sz="12" w:space="0" w:color="auto"/>
              <w:bottom w:val="single" w:sz="4" w:space="0" w:color="auto"/>
              <w:right w:val="single" w:sz="12" w:space="0" w:color="auto"/>
            </w:tcBorders>
            <w:vAlign w:val="center"/>
          </w:tcPr>
          <w:p w14:paraId="494C352B" w14:textId="77777777" w:rsidR="00BE1CBE" w:rsidRPr="00411A5A" w:rsidRDefault="00BE1CBE" w:rsidP="00835F25">
            <w:pPr>
              <w:contextualSpacing/>
              <w:jc w:val="center"/>
              <w:rPr>
                <w:rFonts w:ascii="Arial" w:hAnsi="Arial" w:cs="Arial"/>
                <w:sz w:val="16"/>
                <w:szCs w:val="16"/>
              </w:rPr>
            </w:pPr>
            <w:r w:rsidRPr="00BE1CBE">
              <w:rPr>
                <w:rFonts w:ascii="Arial" w:hAnsi="Arial" w:cs="Arial"/>
                <w:sz w:val="16"/>
                <w:szCs w:val="16"/>
              </w:rPr>
              <w:t>$17.299.588.899</w:t>
            </w:r>
          </w:p>
        </w:tc>
        <w:tc>
          <w:tcPr>
            <w:tcW w:w="3354" w:type="dxa"/>
            <w:gridSpan w:val="2"/>
            <w:vMerge/>
            <w:tcBorders>
              <w:left w:val="single" w:sz="12" w:space="0" w:color="auto"/>
            </w:tcBorders>
            <w:vAlign w:val="center"/>
          </w:tcPr>
          <w:p w14:paraId="0BA09262" w14:textId="77777777" w:rsidR="00BE1CBE" w:rsidRPr="00411A5A" w:rsidRDefault="00BE1CBE" w:rsidP="00835F25">
            <w:pPr>
              <w:contextualSpacing/>
              <w:rPr>
                <w:rFonts w:ascii="Arial" w:hAnsi="Arial" w:cs="Arial"/>
                <w:sz w:val="16"/>
                <w:szCs w:val="16"/>
              </w:rPr>
            </w:pPr>
          </w:p>
        </w:tc>
      </w:tr>
    </w:tbl>
    <w:p w14:paraId="205AA0E3" w14:textId="77777777" w:rsidR="00181DB7" w:rsidRPr="00411A5A" w:rsidRDefault="00181DB7" w:rsidP="00835F25">
      <w:pPr>
        <w:contextualSpacing/>
        <w:jc w:val="center"/>
        <w:rPr>
          <w:rStyle w:val="normaltextrun"/>
          <w:rFonts w:ascii="Arial" w:hAnsi="Arial" w:cs="Arial"/>
          <w:color w:val="000000" w:themeColor="text1"/>
          <w:lang w:val="es-CO" w:eastAsia="en-US"/>
        </w:rPr>
      </w:pPr>
      <w:r w:rsidRPr="00C516C3">
        <w:rPr>
          <w:rStyle w:val="normaltextrun"/>
          <w:rFonts w:ascii="Arial" w:eastAsia="Arial" w:hAnsi="Arial" w:cs="Arial"/>
          <w:color w:val="000000" w:themeColor="text1"/>
          <w:sz w:val="16"/>
          <w:szCs w:val="16"/>
        </w:rPr>
        <w:t>Fuente: Elaboración DAF a través del reporte FUT y ejecución presupuestal.</w:t>
      </w:r>
    </w:p>
    <w:p w14:paraId="4FDAE9EC" w14:textId="77777777" w:rsidR="008F095B" w:rsidRPr="006021DA" w:rsidRDefault="008F095B" w:rsidP="00835F25">
      <w:pPr>
        <w:contextualSpacing/>
        <w:jc w:val="both"/>
        <w:rPr>
          <w:rFonts w:ascii="Arial" w:eastAsia="Calibri" w:hAnsi="Arial" w:cs="Arial"/>
          <w:sz w:val="22"/>
          <w:szCs w:val="22"/>
          <w:lang w:val="es-CO" w:eastAsia="en-US"/>
        </w:rPr>
      </w:pPr>
    </w:p>
    <w:p w14:paraId="1C4CEB30" w14:textId="77777777" w:rsidR="00BD08B8" w:rsidRDefault="00D14326"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De acuerdo con l</w:t>
      </w:r>
      <w:r w:rsidR="002E02C2">
        <w:rPr>
          <w:rFonts w:ascii="Arial" w:eastAsia="Calibri" w:hAnsi="Arial" w:cs="Arial"/>
          <w:sz w:val="22"/>
          <w:szCs w:val="22"/>
          <w:lang w:val="es-CO" w:eastAsia="en-US"/>
        </w:rPr>
        <w:t>os resultados obtenidos en la</w:t>
      </w:r>
      <w:r>
        <w:rPr>
          <w:rFonts w:ascii="Arial" w:eastAsia="Calibri" w:hAnsi="Arial" w:cs="Arial"/>
          <w:sz w:val="22"/>
          <w:szCs w:val="22"/>
          <w:lang w:val="es-CO" w:eastAsia="en-US"/>
        </w:rPr>
        <w:t xml:space="preserve"> </w:t>
      </w:r>
      <w:r w:rsidR="000F7DE1">
        <w:rPr>
          <w:rFonts w:ascii="Arial" w:eastAsia="Calibri" w:hAnsi="Arial" w:cs="Arial"/>
          <w:sz w:val="22"/>
          <w:szCs w:val="22"/>
          <w:lang w:val="es-CO" w:eastAsia="en-US"/>
        </w:rPr>
        <w:t>T</w:t>
      </w:r>
      <w:r>
        <w:rPr>
          <w:rFonts w:ascii="Arial" w:eastAsia="Calibri" w:hAnsi="Arial" w:cs="Arial"/>
          <w:sz w:val="22"/>
          <w:szCs w:val="22"/>
          <w:lang w:val="es-CO" w:eastAsia="en-US"/>
        </w:rPr>
        <w:t xml:space="preserve">abla No. </w:t>
      </w:r>
      <w:r w:rsidR="002E02C2">
        <w:rPr>
          <w:rFonts w:ascii="Arial" w:eastAsia="Calibri" w:hAnsi="Arial" w:cs="Arial"/>
          <w:sz w:val="22"/>
          <w:szCs w:val="22"/>
          <w:lang w:val="es-CO" w:eastAsia="en-US"/>
        </w:rPr>
        <w:t>7</w:t>
      </w:r>
      <w:r>
        <w:rPr>
          <w:rFonts w:ascii="Arial" w:eastAsia="Calibri" w:hAnsi="Arial" w:cs="Arial"/>
          <w:sz w:val="22"/>
          <w:szCs w:val="22"/>
          <w:lang w:val="es-CO" w:eastAsia="en-US"/>
        </w:rPr>
        <w:t xml:space="preserve"> y u</w:t>
      </w:r>
      <w:r w:rsidR="008F095B" w:rsidRPr="006021DA">
        <w:rPr>
          <w:rFonts w:ascii="Arial" w:eastAsia="Calibri" w:hAnsi="Arial" w:cs="Arial"/>
          <w:sz w:val="22"/>
          <w:szCs w:val="22"/>
          <w:lang w:val="es-CO" w:eastAsia="en-US"/>
        </w:rPr>
        <w:t>na vez consultad</w:t>
      </w:r>
      <w:r w:rsidR="00A6468F">
        <w:rPr>
          <w:rFonts w:ascii="Arial" w:eastAsia="Calibri" w:hAnsi="Arial" w:cs="Arial"/>
          <w:sz w:val="22"/>
          <w:szCs w:val="22"/>
          <w:lang w:val="es-CO" w:eastAsia="en-US"/>
        </w:rPr>
        <w:t>as</w:t>
      </w:r>
      <w:r w:rsidR="008F095B" w:rsidRPr="006021DA">
        <w:rPr>
          <w:rFonts w:ascii="Arial" w:eastAsia="Calibri" w:hAnsi="Arial" w:cs="Arial"/>
          <w:sz w:val="22"/>
          <w:szCs w:val="22"/>
          <w:lang w:val="es-CO" w:eastAsia="en-US"/>
        </w:rPr>
        <w:t xml:space="preserve"> las Categorías </w:t>
      </w:r>
      <w:r w:rsidR="00A6468F">
        <w:rPr>
          <w:rFonts w:ascii="Arial" w:eastAsia="Calibri" w:hAnsi="Arial" w:cs="Arial"/>
          <w:sz w:val="22"/>
          <w:szCs w:val="22"/>
          <w:lang w:val="es-CO" w:eastAsia="en-US"/>
        </w:rPr>
        <w:t xml:space="preserve">de </w:t>
      </w:r>
      <w:r w:rsidR="008F095B" w:rsidRPr="006021DA">
        <w:rPr>
          <w:rFonts w:ascii="Arial" w:eastAsia="Calibri" w:hAnsi="Arial" w:cs="Arial"/>
          <w:sz w:val="22"/>
          <w:szCs w:val="22"/>
          <w:lang w:val="es-CO" w:eastAsia="en-US"/>
        </w:rPr>
        <w:t xml:space="preserve">Ingresos y Gastos Inversión del Formulario Único Territorial – FUT, se pudo evidenciar que </w:t>
      </w:r>
      <w:r w:rsidR="00BB5262">
        <w:rPr>
          <w:rFonts w:ascii="Arial" w:eastAsia="Calibri" w:hAnsi="Arial" w:cs="Arial"/>
          <w:sz w:val="22"/>
          <w:szCs w:val="22"/>
          <w:lang w:val="es-CO" w:eastAsia="en-US"/>
        </w:rPr>
        <w:t xml:space="preserve">no </w:t>
      </w:r>
      <w:r w:rsidR="008F095B" w:rsidRPr="006021DA">
        <w:rPr>
          <w:rFonts w:ascii="Arial" w:eastAsia="Calibri" w:hAnsi="Arial" w:cs="Arial"/>
          <w:sz w:val="22"/>
          <w:szCs w:val="22"/>
          <w:lang w:val="es-CO" w:eastAsia="en-US"/>
        </w:rPr>
        <w:t>cumple con los criterios de calidad y consistencia para la</w:t>
      </w:r>
      <w:r w:rsidR="005D764F" w:rsidRPr="006021DA">
        <w:rPr>
          <w:rFonts w:ascii="Arial" w:eastAsia="Calibri" w:hAnsi="Arial" w:cs="Arial"/>
          <w:sz w:val="22"/>
          <w:szCs w:val="22"/>
          <w:lang w:val="es-CO" w:eastAsia="en-US"/>
        </w:rPr>
        <w:t>s vigencias 202</w:t>
      </w:r>
      <w:r w:rsidR="00BB5262">
        <w:rPr>
          <w:rFonts w:ascii="Arial" w:eastAsia="Calibri" w:hAnsi="Arial" w:cs="Arial"/>
          <w:sz w:val="22"/>
          <w:szCs w:val="22"/>
          <w:lang w:val="es-CO" w:eastAsia="en-US"/>
        </w:rPr>
        <w:t>1</w:t>
      </w:r>
      <w:r w:rsidR="005D764F" w:rsidRPr="006021DA">
        <w:rPr>
          <w:rFonts w:ascii="Arial" w:eastAsia="Calibri" w:hAnsi="Arial" w:cs="Arial"/>
          <w:sz w:val="22"/>
          <w:szCs w:val="22"/>
          <w:lang w:val="es-CO" w:eastAsia="en-US"/>
        </w:rPr>
        <w:t xml:space="preserve"> y </w:t>
      </w:r>
      <w:r w:rsidR="009E683E" w:rsidRPr="006021DA">
        <w:rPr>
          <w:rFonts w:ascii="Arial" w:eastAsia="Calibri" w:hAnsi="Arial" w:cs="Arial"/>
          <w:sz w:val="22"/>
          <w:szCs w:val="22"/>
          <w:lang w:val="es-CO" w:eastAsia="en-US"/>
        </w:rPr>
        <w:t>202</w:t>
      </w:r>
      <w:r w:rsidR="00BB5262">
        <w:rPr>
          <w:rFonts w:ascii="Arial" w:eastAsia="Calibri" w:hAnsi="Arial" w:cs="Arial"/>
          <w:sz w:val="22"/>
          <w:szCs w:val="22"/>
          <w:lang w:val="es-CO" w:eastAsia="en-US"/>
        </w:rPr>
        <w:t>2</w:t>
      </w:r>
      <w:r w:rsidR="009E683E" w:rsidRPr="006021DA">
        <w:rPr>
          <w:rFonts w:ascii="Arial" w:eastAsia="Calibri" w:hAnsi="Arial" w:cs="Arial"/>
          <w:sz w:val="22"/>
          <w:szCs w:val="22"/>
          <w:lang w:val="es-CO" w:eastAsia="en-US"/>
        </w:rPr>
        <w:t>.</w:t>
      </w:r>
      <w:r w:rsidR="00761DB0" w:rsidRPr="006021DA">
        <w:rPr>
          <w:rFonts w:ascii="Arial" w:eastAsia="Calibri" w:hAnsi="Arial" w:cs="Arial"/>
          <w:sz w:val="22"/>
          <w:szCs w:val="22"/>
          <w:lang w:val="es-CO" w:eastAsia="en-US"/>
        </w:rPr>
        <w:t xml:space="preserve"> </w:t>
      </w:r>
      <w:r w:rsidR="00BD08B8">
        <w:rPr>
          <w:rFonts w:ascii="Arial" w:eastAsia="Calibri" w:hAnsi="Arial" w:cs="Arial"/>
          <w:sz w:val="22"/>
          <w:szCs w:val="22"/>
          <w:lang w:val="es-CO" w:eastAsia="en-US"/>
        </w:rPr>
        <w:t>Particularmente, porque presentó las siguientes inconsistencias:</w:t>
      </w:r>
    </w:p>
    <w:p w14:paraId="4DE74BDB" w14:textId="77777777" w:rsidR="00BD08B8" w:rsidRDefault="00BD08B8" w:rsidP="00835F25">
      <w:pPr>
        <w:contextualSpacing/>
        <w:jc w:val="both"/>
        <w:rPr>
          <w:rFonts w:ascii="Arial" w:eastAsia="Calibri" w:hAnsi="Arial" w:cs="Arial"/>
          <w:sz w:val="22"/>
          <w:szCs w:val="22"/>
          <w:lang w:val="es-CO" w:eastAsia="en-US"/>
        </w:rPr>
      </w:pPr>
    </w:p>
    <w:p w14:paraId="3D55EBF9" w14:textId="77777777" w:rsidR="00BD08B8" w:rsidRPr="00C12368" w:rsidRDefault="00BD08B8" w:rsidP="00835F25">
      <w:pPr>
        <w:pStyle w:val="Prrafodelista"/>
        <w:numPr>
          <w:ilvl w:val="0"/>
          <w:numId w:val="29"/>
        </w:numPr>
        <w:jc w:val="both"/>
        <w:rPr>
          <w:rFonts w:ascii="Arial" w:eastAsia="Arial" w:hAnsi="Arial" w:cs="Arial"/>
          <w:sz w:val="22"/>
          <w:szCs w:val="22"/>
          <w:lang w:val="es-CO" w:eastAsia="en-US"/>
        </w:rPr>
      </w:pPr>
      <w:r>
        <w:rPr>
          <w:rFonts w:ascii="Arial" w:eastAsia="Calibri" w:hAnsi="Arial" w:cs="Arial"/>
          <w:sz w:val="22"/>
          <w:szCs w:val="22"/>
          <w:lang w:val="es-CO" w:eastAsia="en-US"/>
        </w:rPr>
        <w:lastRenderedPageBreak/>
        <w:t xml:space="preserve">En cuanto al valor recaudado tanto en la </w:t>
      </w:r>
      <w:r w:rsidR="000F7DE1">
        <w:rPr>
          <w:rFonts w:ascii="Arial" w:eastAsia="Calibri" w:hAnsi="Arial" w:cs="Arial"/>
          <w:sz w:val="22"/>
          <w:szCs w:val="22"/>
          <w:lang w:val="es-CO" w:eastAsia="en-US"/>
        </w:rPr>
        <w:t>e</w:t>
      </w:r>
      <w:r>
        <w:rPr>
          <w:rFonts w:ascii="Arial" w:eastAsia="Calibri" w:hAnsi="Arial" w:cs="Arial"/>
          <w:sz w:val="22"/>
          <w:szCs w:val="22"/>
          <w:lang w:val="es-CO" w:eastAsia="en-US"/>
        </w:rPr>
        <w:t xml:space="preserve">jecución </w:t>
      </w:r>
      <w:r w:rsidR="000F7DE1">
        <w:rPr>
          <w:rFonts w:ascii="Arial" w:eastAsia="Calibri" w:hAnsi="Arial" w:cs="Arial"/>
          <w:sz w:val="22"/>
          <w:szCs w:val="22"/>
          <w:lang w:val="es-CO" w:eastAsia="en-US"/>
        </w:rPr>
        <w:t>p</w:t>
      </w:r>
      <w:r>
        <w:rPr>
          <w:rFonts w:ascii="Arial" w:eastAsia="Calibri" w:hAnsi="Arial" w:cs="Arial"/>
          <w:sz w:val="22"/>
          <w:szCs w:val="22"/>
          <w:lang w:val="es-CO" w:eastAsia="en-US"/>
        </w:rPr>
        <w:t xml:space="preserve">resupuestal de </w:t>
      </w:r>
      <w:r w:rsidR="000F7DE1">
        <w:rPr>
          <w:rFonts w:ascii="Arial" w:eastAsia="Calibri" w:hAnsi="Arial" w:cs="Arial"/>
          <w:sz w:val="22"/>
          <w:szCs w:val="22"/>
          <w:lang w:val="es-CO" w:eastAsia="en-US"/>
        </w:rPr>
        <w:t>i</w:t>
      </w:r>
      <w:r>
        <w:rPr>
          <w:rFonts w:ascii="Arial" w:eastAsia="Calibri" w:hAnsi="Arial" w:cs="Arial"/>
          <w:sz w:val="22"/>
          <w:szCs w:val="22"/>
          <w:lang w:val="es-CO" w:eastAsia="en-US"/>
        </w:rPr>
        <w:t>ngresos como en la Categoría CUIPO</w:t>
      </w:r>
      <w:r>
        <w:rPr>
          <w:rStyle w:val="Refdenotaalpie"/>
          <w:rFonts w:ascii="Arial" w:eastAsia="Calibri" w:hAnsi="Arial" w:cs="Arial"/>
          <w:sz w:val="22"/>
          <w:szCs w:val="22"/>
          <w:lang w:val="es-CO" w:eastAsia="en-US"/>
        </w:rPr>
        <w:footnoteReference w:id="7"/>
      </w:r>
      <w:r>
        <w:rPr>
          <w:rFonts w:ascii="Arial" w:eastAsia="Calibri" w:hAnsi="Arial" w:cs="Arial"/>
          <w:sz w:val="22"/>
          <w:szCs w:val="22"/>
          <w:lang w:val="es-CO" w:eastAsia="en-US"/>
        </w:rPr>
        <w:t xml:space="preserve"> – Ejecución Ingresos con corte a marzo 31 de 2022, no coincide con los giros que realizó el Ministerio de Hacienda y Crédito Público durante los primero tres (3) meses de la vigencia, los cuales ascienden a $928.887.524</w:t>
      </w:r>
      <w:r w:rsidR="000F7DE1">
        <w:rPr>
          <w:rFonts w:ascii="Arial" w:eastAsia="Calibri" w:hAnsi="Arial" w:cs="Arial"/>
          <w:sz w:val="22"/>
          <w:szCs w:val="22"/>
          <w:lang w:val="es-CO" w:eastAsia="en-US"/>
        </w:rPr>
        <w:t>;</w:t>
      </w:r>
      <w:r>
        <w:rPr>
          <w:rFonts w:ascii="Arial" w:eastAsia="Calibri" w:hAnsi="Arial" w:cs="Arial"/>
          <w:sz w:val="22"/>
          <w:szCs w:val="22"/>
          <w:lang w:val="es-CO" w:eastAsia="en-US"/>
        </w:rPr>
        <w:t xml:space="preserve"> es decir, la Entidad Territorial omitió reportar el recaudo por $322.047.895 del giro realizado por el Tesoro Nacional el 10 de marzo de 2022.</w:t>
      </w:r>
    </w:p>
    <w:p w14:paraId="244A7A03" w14:textId="77777777" w:rsidR="00BD08B8" w:rsidRPr="00C12368" w:rsidRDefault="00BD08B8" w:rsidP="00835F25">
      <w:pPr>
        <w:pStyle w:val="Prrafodelista"/>
        <w:rPr>
          <w:rFonts w:ascii="Arial" w:eastAsia="Arial" w:hAnsi="Arial" w:cs="Arial"/>
          <w:sz w:val="22"/>
          <w:szCs w:val="22"/>
          <w:lang w:val="es-CO" w:eastAsia="en-US"/>
        </w:rPr>
      </w:pPr>
    </w:p>
    <w:p w14:paraId="583794AA" w14:textId="77777777" w:rsidR="00BD08B8" w:rsidRPr="00D54A2C" w:rsidRDefault="00BD08B8" w:rsidP="00835F25">
      <w:pPr>
        <w:pStyle w:val="Prrafodelista"/>
        <w:numPr>
          <w:ilvl w:val="0"/>
          <w:numId w:val="29"/>
        </w:numPr>
        <w:jc w:val="both"/>
        <w:rPr>
          <w:rFonts w:ascii="Arial" w:eastAsia="Calibri" w:hAnsi="Arial" w:cs="Arial"/>
          <w:sz w:val="22"/>
          <w:szCs w:val="22"/>
          <w:lang w:val="es-CO" w:eastAsia="en-US"/>
        </w:rPr>
      </w:pPr>
      <w:r w:rsidRPr="00D54A2C">
        <w:rPr>
          <w:rFonts w:ascii="Arial" w:eastAsia="Arial" w:hAnsi="Arial" w:cs="Arial"/>
          <w:sz w:val="22"/>
          <w:szCs w:val="22"/>
          <w:lang w:val="es-CO" w:eastAsia="en-US"/>
        </w:rPr>
        <w:t xml:space="preserve">La Entidad Territorial no incorporó </w:t>
      </w:r>
      <w:r w:rsidR="000F7DE1">
        <w:rPr>
          <w:rFonts w:ascii="Arial" w:eastAsia="Arial" w:hAnsi="Arial" w:cs="Arial"/>
          <w:sz w:val="22"/>
          <w:szCs w:val="22"/>
          <w:lang w:val="es-CO" w:eastAsia="en-US"/>
        </w:rPr>
        <w:t>r</w:t>
      </w:r>
      <w:r w:rsidRPr="00D54A2C">
        <w:rPr>
          <w:rFonts w:ascii="Arial" w:eastAsia="Arial" w:hAnsi="Arial" w:cs="Arial"/>
          <w:sz w:val="22"/>
          <w:szCs w:val="22"/>
          <w:lang w:val="es-CO" w:eastAsia="en-US"/>
        </w:rPr>
        <w:t xml:space="preserve">ecursos del </w:t>
      </w:r>
      <w:r w:rsidR="000F7DE1">
        <w:rPr>
          <w:rFonts w:ascii="Arial" w:eastAsia="Arial" w:hAnsi="Arial" w:cs="Arial"/>
          <w:sz w:val="22"/>
          <w:szCs w:val="22"/>
          <w:lang w:val="es-CO" w:eastAsia="en-US"/>
        </w:rPr>
        <w:t>b</w:t>
      </w:r>
      <w:r w:rsidRPr="00D54A2C">
        <w:rPr>
          <w:rFonts w:ascii="Arial" w:eastAsia="Arial" w:hAnsi="Arial" w:cs="Arial"/>
          <w:sz w:val="22"/>
          <w:szCs w:val="22"/>
          <w:lang w:val="es-CO" w:eastAsia="en-US"/>
        </w:rPr>
        <w:t>alance por concepto del superávit presupuestal de la vigencia fiscal 2021</w:t>
      </w:r>
      <w:r w:rsidR="000F7DE1">
        <w:rPr>
          <w:rFonts w:ascii="Arial" w:eastAsia="Arial" w:hAnsi="Arial" w:cs="Arial"/>
          <w:sz w:val="22"/>
          <w:szCs w:val="22"/>
          <w:lang w:val="es-CO" w:eastAsia="en-US"/>
        </w:rPr>
        <w:t>;</w:t>
      </w:r>
      <w:r w:rsidRPr="00D54A2C">
        <w:rPr>
          <w:rFonts w:ascii="Arial" w:eastAsia="Arial" w:hAnsi="Arial" w:cs="Arial"/>
          <w:sz w:val="22"/>
          <w:szCs w:val="22"/>
          <w:lang w:val="es-CO" w:eastAsia="en-US"/>
        </w:rPr>
        <w:t xml:space="preserve"> el cual</w:t>
      </w:r>
      <w:r w:rsidR="000F7DE1">
        <w:rPr>
          <w:rFonts w:ascii="Arial" w:eastAsia="Arial" w:hAnsi="Arial" w:cs="Arial"/>
          <w:sz w:val="22"/>
          <w:szCs w:val="22"/>
          <w:lang w:val="es-CO" w:eastAsia="en-US"/>
        </w:rPr>
        <w:t>,</w:t>
      </w:r>
      <w:r w:rsidRPr="00D54A2C">
        <w:rPr>
          <w:rFonts w:ascii="Arial" w:eastAsia="Arial" w:hAnsi="Arial" w:cs="Arial"/>
          <w:sz w:val="22"/>
          <w:szCs w:val="22"/>
          <w:lang w:val="es-CO" w:eastAsia="en-US"/>
        </w:rPr>
        <w:t xml:space="preserve"> según lo reportado en la Categoría Cierre Fiscal del FUT, ascendió a $13.725 millones.</w:t>
      </w:r>
    </w:p>
    <w:p w14:paraId="674F13D9" w14:textId="77777777" w:rsidR="00BD08B8" w:rsidRDefault="00BD08B8" w:rsidP="00835F25">
      <w:pPr>
        <w:contextualSpacing/>
        <w:jc w:val="both"/>
        <w:rPr>
          <w:rFonts w:ascii="Arial" w:eastAsia="Calibri" w:hAnsi="Arial" w:cs="Arial"/>
          <w:sz w:val="22"/>
          <w:szCs w:val="22"/>
          <w:lang w:val="es-CO" w:eastAsia="en-US"/>
        </w:rPr>
      </w:pPr>
    </w:p>
    <w:p w14:paraId="5FB960B8" w14:textId="77777777" w:rsidR="008F095B" w:rsidRPr="006021DA" w:rsidRDefault="00761DB0"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Así las cosas, </w:t>
      </w:r>
      <w:r w:rsidR="00880CE8" w:rsidRPr="006021DA">
        <w:rPr>
          <w:rFonts w:ascii="Arial" w:eastAsia="Calibri" w:hAnsi="Arial" w:cs="Arial"/>
          <w:sz w:val="22"/>
          <w:szCs w:val="22"/>
          <w:lang w:val="es-CO" w:eastAsia="en-US"/>
        </w:rPr>
        <w:t>la consistencia de la información se basa en comparar únicamente la fuente de la Asignación Especial para Alimentación Escolar del Sistema General de Participaciones</w:t>
      </w:r>
      <w:r w:rsidR="00001CA3" w:rsidRPr="006021DA">
        <w:rPr>
          <w:rFonts w:ascii="Arial" w:eastAsia="Calibri" w:hAnsi="Arial" w:cs="Arial"/>
          <w:sz w:val="22"/>
          <w:szCs w:val="22"/>
          <w:lang w:val="es-CO" w:eastAsia="en-US"/>
        </w:rPr>
        <w:t xml:space="preserve"> reportada en el FUT frente a la reflejada en la ejecución presupuestal remitida por la Entidad Territorial.</w:t>
      </w:r>
    </w:p>
    <w:p w14:paraId="65C05A78" w14:textId="77777777" w:rsidR="008F095B" w:rsidRPr="006021DA" w:rsidRDefault="008F095B" w:rsidP="00835F25">
      <w:pPr>
        <w:contextualSpacing/>
        <w:jc w:val="both"/>
        <w:rPr>
          <w:rFonts w:ascii="Arial" w:eastAsia="Calibri" w:hAnsi="Arial" w:cs="Arial"/>
          <w:sz w:val="22"/>
          <w:szCs w:val="22"/>
          <w:lang w:val="es-CO" w:eastAsia="en-US"/>
        </w:rPr>
      </w:pPr>
    </w:p>
    <w:p w14:paraId="1F5B8F74" w14:textId="77777777" w:rsidR="00541FAC" w:rsidRDefault="008F095B" w:rsidP="00835F25">
      <w:pPr>
        <w:tabs>
          <w:tab w:val="left" w:pos="3119"/>
        </w:tabs>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Al analizar el uso de los recursos de la Asignación Especial para Alimentación Escolar, se evidencia que los $</w:t>
      </w:r>
      <w:r w:rsidR="00BB5262">
        <w:rPr>
          <w:rFonts w:ascii="Arial" w:eastAsia="Calibri" w:hAnsi="Arial" w:cs="Arial"/>
          <w:sz w:val="22"/>
          <w:szCs w:val="22"/>
          <w:lang w:val="es-CO" w:eastAsia="en-US"/>
        </w:rPr>
        <w:t>3</w:t>
      </w:r>
      <w:r w:rsidR="004E1109">
        <w:rPr>
          <w:rFonts w:ascii="Arial" w:eastAsia="Calibri" w:hAnsi="Arial" w:cs="Arial"/>
          <w:sz w:val="22"/>
          <w:szCs w:val="22"/>
          <w:lang w:val="es-CO" w:eastAsia="en-US"/>
        </w:rPr>
        <w:t>.</w:t>
      </w:r>
      <w:r w:rsidR="00BB5262">
        <w:rPr>
          <w:rFonts w:ascii="Arial" w:eastAsia="Calibri" w:hAnsi="Arial" w:cs="Arial"/>
          <w:sz w:val="22"/>
          <w:szCs w:val="22"/>
          <w:lang w:val="es-CO" w:eastAsia="en-US"/>
        </w:rPr>
        <w:t>383</w:t>
      </w:r>
      <w:r w:rsidR="002B1BF6" w:rsidRPr="006021DA">
        <w:rPr>
          <w:rFonts w:ascii="Arial" w:eastAsia="Calibri" w:hAnsi="Arial" w:cs="Arial"/>
          <w:sz w:val="22"/>
          <w:szCs w:val="22"/>
          <w:lang w:val="es-CO" w:eastAsia="en-US"/>
        </w:rPr>
        <w:t xml:space="preserve"> millones</w:t>
      </w:r>
      <w:r w:rsidRPr="006021DA">
        <w:rPr>
          <w:rFonts w:ascii="Arial" w:eastAsia="Calibri" w:hAnsi="Arial" w:cs="Arial"/>
          <w:sz w:val="22"/>
          <w:szCs w:val="22"/>
          <w:lang w:val="es-CO" w:eastAsia="en-US"/>
        </w:rPr>
        <w:t xml:space="preserve"> que </w:t>
      </w:r>
      <w:r w:rsidR="004E1109">
        <w:rPr>
          <w:rFonts w:ascii="Arial" w:eastAsia="Calibri" w:hAnsi="Arial" w:cs="Arial"/>
          <w:sz w:val="22"/>
          <w:szCs w:val="22"/>
          <w:lang w:val="es-CO" w:eastAsia="en-US"/>
        </w:rPr>
        <w:t>fueron apropiados</w:t>
      </w:r>
      <w:r w:rsidR="002B1BF6" w:rsidRPr="006021DA">
        <w:rPr>
          <w:rFonts w:ascii="Arial" w:eastAsia="Calibri" w:hAnsi="Arial" w:cs="Arial"/>
          <w:sz w:val="22"/>
          <w:szCs w:val="22"/>
          <w:lang w:val="es-CO" w:eastAsia="en-US"/>
        </w:rPr>
        <w:t xml:space="preserve"> durante el </w:t>
      </w:r>
      <w:r w:rsidR="00BB5262">
        <w:rPr>
          <w:rFonts w:ascii="Arial" w:eastAsia="Calibri" w:hAnsi="Arial" w:cs="Arial"/>
          <w:sz w:val="22"/>
          <w:szCs w:val="22"/>
          <w:lang w:val="es-CO" w:eastAsia="en-US"/>
        </w:rPr>
        <w:t>2021</w:t>
      </w:r>
      <w:r w:rsidRPr="006021DA">
        <w:rPr>
          <w:rFonts w:ascii="Arial" w:eastAsia="Calibri" w:hAnsi="Arial" w:cs="Arial"/>
          <w:sz w:val="22"/>
          <w:szCs w:val="22"/>
          <w:lang w:val="es-CO" w:eastAsia="en-US"/>
        </w:rPr>
        <w:t xml:space="preserve">, la Entidad Territorial </w:t>
      </w:r>
      <w:r w:rsidR="002B1BF6" w:rsidRPr="006021DA">
        <w:rPr>
          <w:rFonts w:ascii="Arial" w:eastAsia="Calibri" w:hAnsi="Arial" w:cs="Arial"/>
          <w:sz w:val="22"/>
          <w:szCs w:val="22"/>
          <w:lang w:val="es-CO" w:eastAsia="en-US"/>
        </w:rPr>
        <w:t xml:space="preserve">ejecutó </w:t>
      </w:r>
      <w:r w:rsidR="00D60374">
        <w:rPr>
          <w:rFonts w:ascii="Arial" w:eastAsia="Calibri" w:hAnsi="Arial" w:cs="Arial"/>
          <w:sz w:val="22"/>
          <w:szCs w:val="22"/>
          <w:lang w:val="es-CO" w:eastAsia="en-US"/>
        </w:rPr>
        <w:t>el 92</w:t>
      </w:r>
      <w:r w:rsidR="00775F92">
        <w:rPr>
          <w:rFonts w:ascii="Arial" w:eastAsia="Calibri" w:hAnsi="Arial" w:cs="Arial"/>
          <w:sz w:val="22"/>
          <w:szCs w:val="22"/>
          <w:lang w:val="es-CO" w:eastAsia="en-US"/>
        </w:rPr>
        <w:t>,7</w:t>
      </w:r>
      <w:r w:rsidR="00D60374">
        <w:rPr>
          <w:rFonts w:ascii="Arial" w:eastAsia="Calibri" w:hAnsi="Arial" w:cs="Arial"/>
          <w:sz w:val="22"/>
          <w:szCs w:val="22"/>
          <w:lang w:val="es-CO" w:eastAsia="en-US"/>
        </w:rPr>
        <w:t xml:space="preserve"> %, los cuales fueron destinados en su </w:t>
      </w:r>
      <w:r w:rsidR="00BB5262">
        <w:rPr>
          <w:rFonts w:ascii="Arial" w:eastAsia="Calibri" w:hAnsi="Arial" w:cs="Arial"/>
          <w:sz w:val="22"/>
          <w:szCs w:val="22"/>
          <w:lang w:val="es-CO" w:eastAsia="en-US"/>
        </w:rPr>
        <w:t xml:space="preserve">totalidad </w:t>
      </w:r>
      <w:r w:rsidR="002B1BF6" w:rsidRPr="006021DA">
        <w:rPr>
          <w:rFonts w:ascii="Arial" w:eastAsia="Calibri" w:hAnsi="Arial" w:cs="Arial"/>
          <w:sz w:val="22"/>
          <w:szCs w:val="22"/>
          <w:lang w:val="es-CO" w:eastAsia="en-US"/>
        </w:rPr>
        <w:t>en compra de alimentos.</w:t>
      </w:r>
    </w:p>
    <w:p w14:paraId="169B1129" w14:textId="77777777" w:rsidR="008F095B" w:rsidRPr="006021DA" w:rsidRDefault="008F095B" w:rsidP="00835F25">
      <w:pPr>
        <w:contextualSpacing/>
        <w:jc w:val="both"/>
        <w:rPr>
          <w:rFonts w:ascii="Arial" w:eastAsia="Calibri" w:hAnsi="Arial" w:cs="Arial"/>
          <w:sz w:val="22"/>
          <w:szCs w:val="22"/>
          <w:lang w:val="es-CO" w:eastAsia="en-US"/>
        </w:rPr>
      </w:pPr>
    </w:p>
    <w:p w14:paraId="55EE1853" w14:textId="77777777" w:rsidR="008F095B" w:rsidRPr="006021DA" w:rsidRDefault="008F095B"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Oportunidad:</w:t>
      </w:r>
    </w:p>
    <w:p w14:paraId="2A281E77" w14:textId="77777777" w:rsidR="008F095B" w:rsidRPr="006021DA" w:rsidRDefault="008F095B" w:rsidP="00835F25">
      <w:pPr>
        <w:contextualSpacing/>
        <w:jc w:val="both"/>
        <w:rPr>
          <w:rFonts w:ascii="Arial" w:eastAsia="Calibri" w:hAnsi="Arial" w:cs="Arial"/>
          <w:b/>
          <w:sz w:val="22"/>
          <w:szCs w:val="22"/>
          <w:lang w:val="es-CO" w:eastAsia="en-US"/>
        </w:rPr>
      </w:pPr>
    </w:p>
    <w:p w14:paraId="60258DCD" w14:textId="77777777" w:rsidR="008F095B" w:rsidRDefault="008F095B"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Según el certificado de la Unidad Administrativa Especial de la Contaduría General de la Nación - CGN, la Entidad Territorial tuvo reporte “</w:t>
      </w:r>
      <w:r w:rsidRPr="006021DA">
        <w:rPr>
          <w:rFonts w:ascii="Arial" w:eastAsia="Calibri" w:hAnsi="Arial" w:cs="Arial"/>
          <w:i/>
          <w:sz w:val="22"/>
          <w:szCs w:val="22"/>
          <w:lang w:val="es-CO" w:eastAsia="en-US"/>
        </w:rPr>
        <w:t>Oportuno</w:t>
      </w:r>
      <w:r w:rsidRPr="006021DA">
        <w:rPr>
          <w:rFonts w:ascii="Arial" w:eastAsia="Calibri" w:hAnsi="Arial" w:cs="Arial"/>
          <w:sz w:val="22"/>
          <w:szCs w:val="22"/>
          <w:lang w:val="es-CO" w:eastAsia="en-US"/>
        </w:rPr>
        <w:t xml:space="preserve">”, en las Categorías </w:t>
      </w:r>
      <w:r w:rsidR="000F7DE1">
        <w:rPr>
          <w:rFonts w:ascii="Arial" w:eastAsia="Calibri" w:hAnsi="Arial" w:cs="Arial"/>
          <w:sz w:val="22"/>
          <w:szCs w:val="22"/>
          <w:lang w:val="es-CO" w:eastAsia="en-US"/>
        </w:rPr>
        <w:t xml:space="preserve">de </w:t>
      </w:r>
      <w:r w:rsidR="00006418" w:rsidRPr="006021DA">
        <w:rPr>
          <w:rFonts w:ascii="Arial" w:eastAsia="Calibri" w:hAnsi="Arial" w:cs="Arial"/>
          <w:sz w:val="22"/>
          <w:szCs w:val="22"/>
          <w:lang w:val="es-CO" w:eastAsia="en-US"/>
        </w:rPr>
        <w:t xml:space="preserve">Ingresos, </w:t>
      </w:r>
      <w:r w:rsidRPr="006021DA">
        <w:rPr>
          <w:rFonts w:ascii="Arial" w:eastAsia="Calibri" w:hAnsi="Arial" w:cs="Arial"/>
          <w:sz w:val="22"/>
          <w:szCs w:val="22"/>
          <w:lang w:val="es-CO" w:eastAsia="en-US"/>
        </w:rPr>
        <w:t>Gastos Inversión</w:t>
      </w:r>
      <w:r w:rsidR="00D940A4" w:rsidRPr="006021DA">
        <w:rPr>
          <w:rFonts w:ascii="Arial" w:eastAsia="Calibri" w:hAnsi="Arial" w:cs="Arial"/>
          <w:sz w:val="22"/>
          <w:szCs w:val="22"/>
          <w:lang w:val="es-CO" w:eastAsia="en-US"/>
        </w:rPr>
        <w:t>, Cuentas por Pagar, Reservas</w:t>
      </w:r>
      <w:r w:rsidRPr="006021DA">
        <w:rPr>
          <w:rFonts w:ascii="Arial" w:eastAsia="Calibri" w:hAnsi="Arial" w:cs="Arial"/>
          <w:sz w:val="22"/>
          <w:szCs w:val="22"/>
          <w:lang w:val="es-CO" w:eastAsia="en-US"/>
        </w:rPr>
        <w:t xml:space="preserve"> </w:t>
      </w:r>
      <w:r w:rsidR="00006418" w:rsidRPr="006021DA">
        <w:rPr>
          <w:rFonts w:ascii="Arial" w:eastAsia="Calibri" w:hAnsi="Arial" w:cs="Arial"/>
          <w:sz w:val="22"/>
          <w:szCs w:val="22"/>
          <w:lang w:val="es-CO" w:eastAsia="en-US"/>
        </w:rPr>
        <w:t xml:space="preserve">y Cierre Fiscal </w:t>
      </w:r>
      <w:r w:rsidR="000F7DE1">
        <w:rPr>
          <w:rFonts w:ascii="Arial" w:eastAsia="Calibri" w:hAnsi="Arial" w:cs="Arial"/>
          <w:sz w:val="22"/>
          <w:szCs w:val="22"/>
          <w:lang w:val="es-CO" w:eastAsia="en-US"/>
        </w:rPr>
        <w:t xml:space="preserve">del </w:t>
      </w:r>
      <w:r w:rsidR="000F7DE1" w:rsidRPr="006021DA">
        <w:rPr>
          <w:rFonts w:ascii="Arial" w:eastAsia="Calibri" w:hAnsi="Arial" w:cs="Arial"/>
          <w:sz w:val="22"/>
          <w:szCs w:val="22"/>
          <w:lang w:val="es-CO" w:eastAsia="en-US"/>
        </w:rPr>
        <w:t xml:space="preserve">FUT </w:t>
      </w:r>
      <w:r w:rsidR="000F7DE1">
        <w:rPr>
          <w:rFonts w:ascii="Arial" w:eastAsia="Calibri" w:hAnsi="Arial" w:cs="Arial"/>
          <w:sz w:val="22"/>
          <w:szCs w:val="22"/>
          <w:lang w:val="es-CO" w:eastAsia="en-US"/>
        </w:rPr>
        <w:t>en</w:t>
      </w:r>
      <w:r w:rsidR="000F7DE1" w:rsidRPr="006021DA">
        <w:rPr>
          <w:rFonts w:ascii="Arial" w:eastAsia="Calibri" w:hAnsi="Arial" w:cs="Arial"/>
          <w:sz w:val="22"/>
          <w:szCs w:val="22"/>
          <w:lang w:val="es-CO" w:eastAsia="en-US"/>
        </w:rPr>
        <w:t xml:space="preserve"> </w:t>
      </w:r>
      <w:r w:rsidRPr="006021DA">
        <w:rPr>
          <w:rFonts w:ascii="Arial" w:eastAsia="Calibri" w:hAnsi="Arial" w:cs="Arial"/>
          <w:sz w:val="22"/>
          <w:szCs w:val="22"/>
          <w:lang w:val="es-CO" w:eastAsia="en-US"/>
        </w:rPr>
        <w:t>20</w:t>
      </w:r>
      <w:r w:rsidR="00E1422B" w:rsidRPr="006021DA">
        <w:rPr>
          <w:rFonts w:ascii="Arial" w:eastAsia="Calibri" w:hAnsi="Arial" w:cs="Arial"/>
          <w:sz w:val="22"/>
          <w:szCs w:val="22"/>
          <w:lang w:val="es-CO" w:eastAsia="en-US"/>
        </w:rPr>
        <w:t>21</w:t>
      </w:r>
      <w:r w:rsidR="00E76536">
        <w:rPr>
          <w:rFonts w:ascii="Arial" w:eastAsia="Calibri" w:hAnsi="Arial" w:cs="Arial"/>
          <w:sz w:val="22"/>
          <w:szCs w:val="22"/>
          <w:lang w:val="es-CO" w:eastAsia="en-US"/>
        </w:rPr>
        <w:t xml:space="preserve"> y CUIPO 2022.</w:t>
      </w:r>
    </w:p>
    <w:p w14:paraId="1BBDD1C2" w14:textId="77777777" w:rsidR="00541FAC" w:rsidRDefault="00541FAC" w:rsidP="00835F25">
      <w:pPr>
        <w:contextualSpacing/>
        <w:jc w:val="both"/>
        <w:rPr>
          <w:rFonts w:ascii="Arial" w:eastAsia="Calibri" w:hAnsi="Arial" w:cs="Arial"/>
          <w:sz w:val="22"/>
          <w:szCs w:val="22"/>
          <w:lang w:val="es-CO" w:eastAsia="en-US"/>
        </w:rPr>
      </w:pPr>
    </w:p>
    <w:p w14:paraId="5C24C29C" w14:textId="77777777" w:rsidR="00541FAC" w:rsidRPr="006021DA" w:rsidRDefault="00541FAC" w:rsidP="00835F25">
      <w:pPr>
        <w:tabs>
          <w:tab w:val="left" w:pos="3119"/>
        </w:tabs>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Debido a las inconsistencias identificadas, por criterios de calidad </w:t>
      </w:r>
      <w:r w:rsidR="002E02C2">
        <w:rPr>
          <w:rFonts w:ascii="Arial" w:eastAsia="Calibri" w:hAnsi="Arial" w:cs="Arial"/>
          <w:sz w:val="22"/>
          <w:szCs w:val="22"/>
          <w:lang w:val="es-CO" w:eastAsia="en-US"/>
        </w:rPr>
        <w:t xml:space="preserve">se da por incumplida esta </w:t>
      </w:r>
      <w:r w:rsidR="000F7DE1">
        <w:rPr>
          <w:rFonts w:ascii="Arial" w:eastAsia="Calibri" w:hAnsi="Arial" w:cs="Arial"/>
          <w:sz w:val="22"/>
          <w:szCs w:val="22"/>
          <w:lang w:val="es-CO" w:eastAsia="en-US"/>
        </w:rPr>
        <w:t>A</w:t>
      </w:r>
      <w:r w:rsidR="002E02C2">
        <w:rPr>
          <w:rFonts w:ascii="Arial" w:eastAsia="Calibri" w:hAnsi="Arial" w:cs="Arial"/>
          <w:sz w:val="22"/>
          <w:szCs w:val="22"/>
          <w:lang w:val="es-CO" w:eastAsia="en-US"/>
        </w:rPr>
        <w:t>ctividad.</w:t>
      </w:r>
    </w:p>
    <w:p w14:paraId="094AD149" w14:textId="77777777" w:rsidR="008F095B" w:rsidRPr="006021DA" w:rsidRDefault="008F095B" w:rsidP="00835F25">
      <w:pPr>
        <w:contextualSpacing/>
        <w:jc w:val="both"/>
        <w:rPr>
          <w:rFonts w:ascii="Arial" w:eastAsia="Calibri" w:hAnsi="Arial" w:cs="Arial"/>
          <w:sz w:val="22"/>
          <w:szCs w:val="22"/>
          <w:lang w:val="es-CO" w:eastAsia="en-US"/>
        </w:rPr>
      </w:pPr>
    </w:p>
    <w:p w14:paraId="164BA59A" w14:textId="77777777" w:rsidR="008F095B" w:rsidRPr="006021DA" w:rsidRDefault="008F095B"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65638C">
        <w:rPr>
          <w:rFonts w:ascii="Arial" w:eastAsia="Calibri" w:hAnsi="Arial" w:cs="Arial"/>
          <w:b/>
          <w:sz w:val="22"/>
          <w:szCs w:val="22"/>
          <w:lang w:val="es-CO" w:eastAsia="en-US"/>
        </w:rPr>
        <w:t xml:space="preserve">No </w:t>
      </w:r>
      <w:r w:rsidR="00D940A4" w:rsidRPr="006021DA">
        <w:rPr>
          <w:rFonts w:ascii="Arial" w:eastAsia="Calibri" w:hAnsi="Arial" w:cs="Arial"/>
          <w:b/>
          <w:sz w:val="22"/>
          <w:szCs w:val="22"/>
          <w:lang w:val="es-CO" w:eastAsia="en-US"/>
        </w:rPr>
        <w:t>C</w:t>
      </w:r>
      <w:r w:rsidRPr="006021DA">
        <w:rPr>
          <w:rFonts w:ascii="Arial" w:eastAsia="Calibri" w:hAnsi="Arial" w:cs="Arial"/>
          <w:b/>
          <w:sz w:val="22"/>
          <w:szCs w:val="22"/>
          <w:lang w:val="es-CO" w:eastAsia="en-US"/>
        </w:rPr>
        <w:t>umple.</w:t>
      </w:r>
    </w:p>
    <w:p w14:paraId="6F1CD4BE" w14:textId="77777777" w:rsidR="008F095B" w:rsidRPr="006021DA" w:rsidRDefault="008F095B" w:rsidP="00835F25">
      <w:pPr>
        <w:contextualSpacing/>
        <w:jc w:val="both"/>
        <w:rPr>
          <w:rFonts w:ascii="Arial" w:eastAsia="Calibri" w:hAnsi="Arial" w:cs="Arial"/>
          <w:sz w:val="22"/>
          <w:szCs w:val="22"/>
          <w:lang w:val="es-CO" w:eastAsia="en-US"/>
        </w:rPr>
      </w:pPr>
    </w:p>
    <w:p w14:paraId="401A6805" w14:textId="77777777" w:rsidR="008F095B" w:rsidRPr="006021DA" w:rsidRDefault="008F095B"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1.1.2. Reportar la </w:t>
      </w:r>
      <w:r w:rsidR="00B4177B" w:rsidRPr="006021DA">
        <w:rPr>
          <w:rFonts w:ascii="Arial" w:eastAsia="Calibri" w:hAnsi="Arial" w:cs="Arial"/>
          <w:b/>
          <w:sz w:val="22"/>
          <w:szCs w:val="22"/>
          <w:lang w:val="es-CO" w:eastAsia="en-US"/>
        </w:rPr>
        <w:t>C</w:t>
      </w:r>
      <w:r w:rsidRPr="006021DA">
        <w:rPr>
          <w:rFonts w:ascii="Arial" w:eastAsia="Calibri" w:hAnsi="Arial" w:cs="Arial"/>
          <w:b/>
          <w:sz w:val="22"/>
          <w:szCs w:val="22"/>
          <w:lang w:val="es-CO" w:eastAsia="en-US"/>
        </w:rPr>
        <w:t>ategoría MEN</w:t>
      </w:r>
      <w:r w:rsidR="00B4177B" w:rsidRPr="006021DA">
        <w:rPr>
          <w:rFonts w:ascii="Arial" w:eastAsia="Calibri" w:hAnsi="Arial" w:cs="Arial"/>
          <w:b/>
          <w:sz w:val="22"/>
          <w:szCs w:val="22"/>
          <w:lang w:val="es-CO" w:eastAsia="en-US"/>
        </w:rPr>
        <w:t>-</w:t>
      </w:r>
      <w:r w:rsidRPr="006021DA">
        <w:rPr>
          <w:rFonts w:ascii="Arial" w:eastAsia="Calibri" w:hAnsi="Arial" w:cs="Arial"/>
          <w:b/>
          <w:sz w:val="22"/>
          <w:szCs w:val="22"/>
          <w:lang w:val="es-CO" w:eastAsia="en-US"/>
        </w:rPr>
        <w:t>PAE del CHIP</w:t>
      </w:r>
      <w:r w:rsidR="00E059E2">
        <w:rPr>
          <w:rFonts w:ascii="Arial" w:eastAsia="Calibri" w:hAnsi="Arial" w:cs="Arial"/>
          <w:b/>
          <w:sz w:val="22"/>
          <w:szCs w:val="22"/>
          <w:lang w:val="es-CO" w:eastAsia="en-US"/>
        </w:rPr>
        <w:t xml:space="preserve"> o </w:t>
      </w:r>
      <w:r w:rsidR="00FC11A8">
        <w:rPr>
          <w:rFonts w:ascii="Arial" w:eastAsia="Calibri" w:hAnsi="Arial" w:cs="Arial"/>
          <w:b/>
          <w:sz w:val="22"/>
          <w:szCs w:val="22"/>
          <w:lang w:val="es-CO" w:eastAsia="en-US"/>
        </w:rPr>
        <w:t>Categoría que haga sus veces</w:t>
      </w:r>
      <w:r w:rsidRPr="006021DA">
        <w:rPr>
          <w:rFonts w:ascii="Arial" w:eastAsia="Calibri" w:hAnsi="Arial" w:cs="Arial"/>
          <w:b/>
          <w:sz w:val="22"/>
          <w:szCs w:val="22"/>
          <w:lang w:val="es-CO" w:eastAsia="en-US"/>
        </w:rPr>
        <w:t>.</w:t>
      </w:r>
    </w:p>
    <w:p w14:paraId="50157057" w14:textId="77777777" w:rsidR="008F095B" w:rsidRPr="006021DA" w:rsidRDefault="008F095B" w:rsidP="00835F25">
      <w:pPr>
        <w:contextualSpacing/>
        <w:jc w:val="both"/>
        <w:rPr>
          <w:rFonts w:ascii="Arial" w:eastAsia="Calibri" w:hAnsi="Arial" w:cs="Arial"/>
          <w:b/>
          <w:sz w:val="22"/>
          <w:szCs w:val="22"/>
          <w:lang w:val="es-CO" w:eastAsia="en-US"/>
        </w:rPr>
      </w:pPr>
    </w:p>
    <w:p w14:paraId="6183A25A" w14:textId="77777777" w:rsidR="00964DAE" w:rsidRPr="006021DA" w:rsidRDefault="001C52C7" w:rsidP="00835F25">
      <w:pPr>
        <w:ind w:right="59"/>
        <w:contextualSpacing/>
        <w:jc w:val="both"/>
        <w:rPr>
          <w:rFonts w:ascii="Arial" w:eastAsia="Arial" w:hAnsi="Arial" w:cs="Arial"/>
          <w:sz w:val="22"/>
          <w:szCs w:val="22"/>
        </w:rPr>
      </w:pPr>
      <w:r w:rsidRPr="006021DA">
        <w:rPr>
          <w:rFonts w:ascii="Arial" w:eastAsia="Arial" w:hAnsi="Arial" w:cs="Arial"/>
          <w:sz w:val="22"/>
          <w:szCs w:val="22"/>
        </w:rPr>
        <w:t>Frente a est</w:t>
      </w:r>
      <w:r w:rsidR="00583F4F" w:rsidRPr="006021DA">
        <w:rPr>
          <w:rFonts w:ascii="Arial" w:eastAsia="Arial" w:hAnsi="Arial" w:cs="Arial"/>
          <w:sz w:val="22"/>
          <w:szCs w:val="22"/>
        </w:rPr>
        <w:t xml:space="preserve">a </w:t>
      </w:r>
      <w:r w:rsidR="00B4177B" w:rsidRPr="006021DA">
        <w:rPr>
          <w:rFonts w:ascii="Arial" w:eastAsia="Arial" w:hAnsi="Arial" w:cs="Arial"/>
          <w:sz w:val="22"/>
          <w:szCs w:val="22"/>
        </w:rPr>
        <w:t>A</w:t>
      </w:r>
      <w:r w:rsidR="00583F4F" w:rsidRPr="006021DA">
        <w:rPr>
          <w:rFonts w:ascii="Arial" w:eastAsia="Arial" w:hAnsi="Arial" w:cs="Arial"/>
          <w:sz w:val="22"/>
          <w:szCs w:val="22"/>
        </w:rPr>
        <w:t>ctividad</w:t>
      </w:r>
      <w:r w:rsidR="00204069" w:rsidRPr="006021DA">
        <w:rPr>
          <w:rFonts w:ascii="Arial" w:eastAsia="Arial" w:hAnsi="Arial" w:cs="Arial"/>
          <w:sz w:val="22"/>
          <w:szCs w:val="22"/>
        </w:rPr>
        <w:t xml:space="preserve"> para </w:t>
      </w:r>
      <w:r w:rsidR="00A910AA" w:rsidRPr="006021DA">
        <w:rPr>
          <w:rFonts w:ascii="Arial" w:eastAsia="Arial" w:hAnsi="Arial" w:cs="Arial"/>
          <w:sz w:val="22"/>
          <w:szCs w:val="22"/>
        </w:rPr>
        <w:t xml:space="preserve">el reporte de </w:t>
      </w:r>
      <w:r w:rsidR="00204069" w:rsidRPr="006021DA">
        <w:rPr>
          <w:rFonts w:ascii="Arial" w:hAnsi="Arial" w:cs="Arial"/>
          <w:sz w:val="22"/>
          <w:szCs w:val="22"/>
        </w:rPr>
        <w:t>la vigencia 2021</w:t>
      </w:r>
      <w:r w:rsidRPr="006021DA">
        <w:rPr>
          <w:rFonts w:ascii="Arial" w:eastAsia="Arial" w:hAnsi="Arial" w:cs="Arial"/>
          <w:sz w:val="22"/>
          <w:szCs w:val="22"/>
        </w:rPr>
        <w:t xml:space="preserve">, se evidencia a partir de las comunicaciones enviada por la </w:t>
      </w:r>
      <w:proofErr w:type="spellStart"/>
      <w:r w:rsidRPr="006021DA">
        <w:rPr>
          <w:rFonts w:ascii="Arial" w:eastAsia="Arial" w:hAnsi="Arial" w:cs="Arial"/>
          <w:sz w:val="22"/>
          <w:szCs w:val="22"/>
        </w:rPr>
        <w:t>UApA</w:t>
      </w:r>
      <w:proofErr w:type="spellEnd"/>
      <w:r w:rsidRPr="006021DA">
        <w:rPr>
          <w:rFonts w:ascii="Arial" w:eastAsia="Arial" w:hAnsi="Arial" w:cs="Arial"/>
          <w:sz w:val="22"/>
          <w:szCs w:val="22"/>
        </w:rPr>
        <w:t xml:space="preserve"> en donde se indica que “</w:t>
      </w:r>
      <w:r w:rsidRPr="006021DA">
        <w:rPr>
          <w:rFonts w:ascii="Arial" w:eastAsia="Arial" w:hAnsi="Arial" w:cs="Arial"/>
          <w:i/>
          <w:iCs/>
          <w:sz w:val="22"/>
          <w:szCs w:val="22"/>
        </w:rPr>
        <w:t>la Unidad Especial de Alimentación Escolar – Alimentos para Aprender, se encuentra realizando los procedimientos administrativos del orden institucional que permita a las Entidades Territoriales realizar el reporte de información para el seguimiento y monitoreo de los recursos destinados para el Programa de Alimentación Escolar PAE, en las categorías MEN PAE y MEN PAE ejecución de recursos en el Consolidador de Hacienda e información Pública – CHIP</w:t>
      </w:r>
      <w:r w:rsidRPr="006021DA">
        <w:rPr>
          <w:rFonts w:ascii="Arial" w:eastAsia="Arial" w:hAnsi="Arial" w:cs="Arial"/>
          <w:sz w:val="22"/>
          <w:szCs w:val="22"/>
        </w:rPr>
        <w:t>”.</w:t>
      </w:r>
    </w:p>
    <w:p w14:paraId="11F8545A" w14:textId="77777777" w:rsidR="00964DAE" w:rsidRPr="006021DA" w:rsidRDefault="00964DAE" w:rsidP="00835F25">
      <w:pPr>
        <w:ind w:right="59"/>
        <w:contextualSpacing/>
        <w:jc w:val="both"/>
        <w:rPr>
          <w:rFonts w:ascii="Arial" w:eastAsia="Arial" w:hAnsi="Arial" w:cs="Arial"/>
          <w:sz w:val="22"/>
          <w:szCs w:val="22"/>
        </w:rPr>
      </w:pPr>
    </w:p>
    <w:p w14:paraId="7EC8CB9F" w14:textId="77777777" w:rsidR="00204069" w:rsidRPr="006021DA" w:rsidRDefault="001C52C7" w:rsidP="00835F25">
      <w:pPr>
        <w:contextualSpacing/>
        <w:jc w:val="both"/>
        <w:rPr>
          <w:rFonts w:ascii="Arial" w:hAnsi="Arial" w:cs="Arial"/>
          <w:sz w:val="22"/>
          <w:szCs w:val="22"/>
        </w:rPr>
      </w:pPr>
      <w:r w:rsidRPr="006021DA">
        <w:rPr>
          <w:rFonts w:ascii="Arial" w:eastAsia="Arial" w:hAnsi="Arial" w:cs="Arial"/>
          <w:sz w:val="22"/>
          <w:szCs w:val="22"/>
        </w:rPr>
        <w:t>En este sentido</w:t>
      </w:r>
      <w:r w:rsidR="00204069" w:rsidRPr="006021DA">
        <w:rPr>
          <w:rFonts w:ascii="Arial" w:eastAsia="Arial" w:hAnsi="Arial" w:cs="Arial"/>
          <w:sz w:val="22"/>
          <w:szCs w:val="22"/>
        </w:rPr>
        <w:t xml:space="preserve">, se </w:t>
      </w:r>
      <w:r w:rsidR="00204069" w:rsidRPr="006021DA">
        <w:rPr>
          <w:rFonts w:ascii="Arial" w:hAnsi="Arial" w:cs="Arial"/>
          <w:sz w:val="22"/>
          <w:szCs w:val="22"/>
        </w:rPr>
        <w:t xml:space="preserve">aclara que se </w:t>
      </w:r>
      <w:r w:rsidR="000F7DE1">
        <w:rPr>
          <w:rFonts w:ascii="Arial" w:hAnsi="Arial" w:cs="Arial"/>
          <w:sz w:val="22"/>
          <w:szCs w:val="22"/>
        </w:rPr>
        <w:t>aprobó</w:t>
      </w:r>
      <w:r w:rsidR="000F7DE1" w:rsidRPr="006021DA">
        <w:rPr>
          <w:rFonts w:ascii="Arial" w:hAnsi="Arial" w:cs="Arial"/>
          <w:sz w:val="22"/>
          <w:szCs w:val="22"/>
        </w:rPr>
        <w:t xml:space="preserve"> </w:t>
      </w:r>
      <w:r w:rsidR="00204069" w:rsidRPr="006021DA">
        <w:rPr>
          <w:rFonts w:ascii="Arial" w:hAnsi="Arial" w:cs="Arial"/>
          <w:sz w:val="22"/>
          <w:szCs w:val="22"/>
        </w:rPr>
        <w:t xml:space="preserve">una nueva </w:t>
      </w:r>
      <w:r w:rsidR="00EE3087" w:rsidRPr="006021DA">
        <w:rPr>
          <w:rFonts w:ascii="Arial" w:hAnsi="Arial" w:cs="Arial"/>
          <w:sz w:val="22"/>
          <w:szCs w:val="22"/>
        </w:rPr>
        <w:t>C</w:t>
      </w:r>
      <w:r w:rsidR="00204069" w:rsidRPr="006021DA">
        <w:rPr>
          <w:rFonts w:ascii="Arial" w:hAnsi="Arial" w:cs="Arial"/>
          <w:sz w:val="22"/>
          <w:szCs w:val="22"/>
        </w:rPr>
        <w:t xml:space="preserve">ategoría de reporte por parte de la Unidad denominada UAPA–PAE y la Entidad Territorial solo deberá reportar en esta Categoría a partir de la vigencia 2021 </w:t>
      </w:r>
      <w:r w:rsidR="00A910AA" w:rsidRPr="006021DA">
        <w:rPr>
          <w:rFonts w:ascii="Arial" w:hAnsi="Arial" w:cs="Arial"/>
          <w:sz w:val="22"/>
          <w:szCs w:val="22"/>
        </w:rPr>
        <w:t xml:space="preserve">y </w:t>
      </w:r>
      <w:r w:rsidR="00204069" w:rsidRPr="006021DA">
        <w:rPr>
          <w:rFonts w:ascii="Arial" w:hAnsi="Arial" w:cs="Arial"/>
          <w:sz w:val="22"/>
          <w:szCs w:val="22"/>
        </w:rPr>
        <w:t>en adelante.</w:t>
      </w:r>
    </w:p>
    <w:p w14:paraId="7838852D" w14:textId="77777777" w:rsidR="00DB50D8" w:rsidRDefault="00DB50D8" w:rsidP="00835F25">
      <w:pPr>
        <w:contextualSpacing/>
        <w:jc w:val="both"/>
        <w:rPr>
          <w:rFonts w:ascii="Arial" w:eastAsia="Arial" w:hAnsi="Arial" w:cs="Arial"/>
          <w:sz w:val="22"/>
          <w:szCs w:val="22"/>
        </w:rPr>
      </w:pPr>
    </w:p>
    <w:p w14:paraId="2B59F746" w14:textId="77777777" w:rsidR="00057CFD" w:rsidRPr="00A71FBC" w:rsidRDefault="00057CFD" w:rsidP="00835F25">
      <w:pPr>
        <w:contextualSpacing/>
        <w:jc w:val="both"/>
        <w:rPr>
          <w:rFonts w:ascii="Arial" w:hAnsi="Arial" w:cs="Arial"/>
          <w:sz w:val="22"/>
          <w:szCs w:val="22"/>
          <w:u w:val="single"/>
        </w:rPr>
      </w:pPr>
      <w:r w:rsidRPr="00A71FBC">
        <w:rPr>
          <w:rFonts w:ascii="Arial" w:hAnsi="Arial" w:cs="Arial"/>
          <w:sz w:val="22"/>
          <w:szCs w:val="22"/>
          <w:u w:val="single"/>
        </w:rPr>
        <w:t>Vigencia 2021.</w:t>
      </w:r>
    </w:p>
    <w:p w14:paraId="35700FDF" w14:textId="77777777" w:rsidR="00057CFD" w:rsidRPr="00A71FBC" w:rsidRDefault="00057CFD" w:rsidP="00835F25">
      <w:pPr>
        <w:contextualSpacing/>
        <w:jc w:val="both"/>
        <w:rPr>
          <w:rFonts w:ascii="Arial" w:hAnsi="Arial" w:cs="Arial"/>
        </w:rPr>
      </w:pPr>
    </w:p>
    <w:p w14:paraId="271DB6E1" w14:textId="77777777" w:rsidR="00057CFD" w:rsidRPr="00A71FBC" w:rsidRDefault="00057CFD" w:rsidP="00835F25">
      <w:pPr>
        <w:contextualSpacing/>
        <w:jc w:val="both"/>
        <w:rPr>
          <w:rFonts w:ascii="Arial" w:hAnsi="Arial" w:cs="Arial"/>
          <w:sz w:val="22"/>
          <w:szCs w:val="22"/>
        </w:rPr>
      </w:pPr>
      <w:r w:rsidRPr="00A71FBC">
        <w:rPr>
          <w:rFonts w:ascii="Arial" w:hAnsi="Arial" w:cs="Arial"/>
          <w:sz w:val="22"/>
          <w:szCs w:val="22"/>
        </w:rPr>
        <w:t xml:space="preserve">Al respecto se evidencia que el </w:t>
      </w:r>
      <w:r w:rsidR="00C7034C">
        <w:rPr>
          <w:rFonts w:ascii="Arial" w:hAnsi="Arial" w:cs="Arial"/>
          <w:sz w:val="22"/>
          <w:szCs w:val="22"/>
        </w:rPr>
        <w:t>Distrito de Cartagena de Indias</w:t>
      </w:r>
      <w:r w:rsidRPr="00A71FBC">
        <w:rPr>
          <w:rFonts w:ascii="Arial" w:hAnsi="Arial" w:cs="Arial"/>
          <w:sz w:val="22"/>
          <w:szCs w:val="22"/>
        </w:rPr>
        <w:t xml:space="preserve"> reportó la información correspondiente a los </w:t>
      </w:r>
      <w:r w:rsidR="0077176C">
        <w:rPr>
          <w:rFonts w:ascii="Arial" w:hAnsi="Arial" w:cs="Arial"/>
          <w:sz w:val="22"/>
          <w:szCs w:val="22"/>
        </w:rPr>
        <w:t>cuatros</w:t>
      </w:r>
      <w:r w:rsidRPr="00A71FBC">
        <w:rPr>
          <w:rFonts w:ascii="Arial" w:hAnsi="Arial" w:cs="Arial"/>
          <w:sz w:val="22"/>
          <w:szCs w:val="22"/>
        </w:rPr>
        <w:t xml:space="preserve"> trimestres del año. Sobre el reporte con corte a 3</w:t>
      </w:r>
      <w:r w:rsidR="00096E9F">
        <w:rPr>
          <w:rFonts w:ascii="Arial" w:hAnsi="Arial" w:cs="Arial"/>
          <w:sz w:val="22"/>
          <w:szCs w:val="22"/>
        </w:rPr>
        <w:t>1</w:t>
      </w:r>
      <w:r w:rsidRPr="00A71FBC">
        <w:rPr>
          <w:rFonts w:ascii="Arial" w:hAnsi="Arial" w:cs="Arial"/>
          <w:sz w:val="22"/>
          <w:szCs w:val="22"/>
        </w:rPr>
        <w:t xml:space="preserve"> de </w:t>
      </w:r>
      <w:r w:rsidR="00096E9F">
        <w:rPr>
          <w:rFonts w:ascii="Arial" w:hAnsi="Arial" w:cs="Arial"/>
          <w:sz w:val="22"/>
          <w:szCs w:val="22"/>
        </w:rPr>
        <w:t>diciembre</w:t>
      </w:r>
      <w:r w:rsidRPr="00A71FBC">
        <w:rPr>
          <w:rFonts w:ascii="Arial" w:hAnsi="Arial" w:cs="Arial"/>
          <w:sz w:val="22"/>
          <w:szCs w:val="22"/>
        </w:rPr>
        <w:t xml:space="preserve"> de 2021 se evidencia lo siguiente:</w:t>
      </w:r>
    </w:p>
    <w:p w14:paraId="39FD998D" w14:textId="77777777" w:rsidR="00057CFD" w:rsidRPr="00A71FBC" w:rsidRDefault="00057CFD" w:rsidP="00835F25">
      <w:pPr>
        <w:pStyle w:val="Prrafodelista"/>
        <w:jc w:val="both"/>
        <w:rPr>
          <w:rFonts w:ascii="Arial" w:hAnsi="Arial" w:cs="Arial"/>
          <w:sz w:val="22"/>
          <w:szCs w:val="22"/>
        </w:rPr>
      </w:pPr>
    </w:p>
    <w:p w14:paraId="50F87875" w14:textId="77777777" w:rsidR="00057CFD" w:rsidRPr="00A71FBC" w:rsidRDefault="00057CFD" w:rsidP="00835F25">
      <w:pPr>
        <w:pStyle w:val="Prrafodelista"/>
        <w:numPr>
          <w:ilvl w:val="0"/>
          <w:numId w:val="28"/>
        </w:numPr>
        <w:jc w:val="both"/>
        <w:rPr>
          <w:rFonts w:ascii="Arial" w:hAnsi="Arial" w:cs="Arial"/>
          <w:sz w:val="22"/>
          <w:szCs w:val="22"/>
        </w:rPr>
      </w:pPr>
      <w:r w:rsidRPr="00A71FBC">
        <w:rPr>
          <w:rFonts w:ascii="Arial" w:hAnsi="Arial" w:cs="Arial"/>
          <w:sz w:val="22"/>
          <w:szCs w:val="22"/>
        </w:rPr>
        <w:t>Datos Generales</w:t>
      </w:r>
      <w:r>
        <w:rPr>
          <w:rFonts w:ascii="Arial" w:hAnsi="Arial" w:cs="Arial"/>
          <w:sz w:val="22"/>
          <w:szCs w:val="22"/>
        </w:rPr>
        <w:t>.</w:t>
      </w:r>
    </w:p>
    <w:p w14:paraId="67321038" w14:textId="77777777" w:rsidR="00057CFD" w:rsidRPr="00A71FBC" w:rsidRDefault="00057CFD" w:rsidP="00835F25">
      <w:pPr>
        <w:contextualSpacing/>
        <w:jc w:val="both"/>
        <w:rPr>
          <w:rFonts w:ascii="Arial" w:hAnsi="Arial" w:cs="Arial"/>
          <w:sz w:val="22"/>
          <w:szCs w:val="22"/>
        </w:rPr>
      </w:pPr>
    </w:p>
    <w:p w14:paraId="06A52DE2" w14:textId="77777777" w:rsidR="00057CFD" w:rsidRPr="00A71FBC" w:rsidRDefault="00057CFD" w:rsidP="00835F25">
      <w:pPr>
        <w:contextualSpacing/>
        <w:jc w:val="both"/>
        <w:rPr>
          <w:rFonts w:ascii="Arial" w:hAnsi="Arial" w:cs="Arial"/>
          <w:sz w:val="22"/>
          <w:szCs w:val="22"/>
        </w:rPr>
      </w:pPr>
      <w:r w:rsidRPr="00A71FBC">
        <w:rPr>
          <w:rFonts w:ascii="Arial" w:hAnsi="Arial" w:cs="Arial"/>
          <w:sz w:val="22"/>
          <w:szCs w:val="22"/>
        </w:rPr>
        <w:t>Se evidencia el reporte de la siguiente información:</w:t>
      </w:r>
    </w:p>
    <w:p w14:paraId="09DDDC0B" w14:textId="77777777" w:rsidR="00057CFD" w:rsidRPr="00A71FBC" w:rsidRDefault="00057CFD" w:rsidP="00835F25">
      <w:pPr>
        <w:contextualSpacing/>
        <w:jc w:val="both"/>
        <w:rPr>
          <w:rFonts w:ascii="Arial" w:hAnsi="Arial" w:cs="Arial"/>
          <w:sz w:val="22"/>
          <w:szCs w:val="22"/>
        </w:rPr>
      </w:pPr>
    </w:p>
    <w:p w14:paraId="1F4F5A87" w14:textId="77777777" w:rsidR="00057CFD" w:rsidRPr="00D14B33" w:rsidRDefault="00057CFD" w:rsidP="00835F25">
      <w:pPr>
        <w:keepNext/>
        <w:ind w:left="708"/>
        <w:contextualSpacing/>
        <w:jc w:val="center"/>
        <w:rPr>
          <w:rFonts w:ascii="Arial" w:hAnsi="Arial" w:cs="Arial"/>
          <w:b/>
          <w:bCs/>
          <w:i/>
          <w:iCs/>
          <w:color w:val="1F497D" w:themeColor="text2"/>
          <w:sz w:val="28"/>
          <w:szCs w:val="28"/>
        </w:rPr>
      </w:pPr>
      <w:r w:rsidRPr="00D14B33">
        <w:rPr>
          <w:rFonts w:ascii="Arial" w:hAnsi="Arial" w:cs="Arial"/>
          <w:b/>
          <w:bCs/>
          <w:i/>
          <w:iCs/>
          <w:color w:val="1F487C"/>
          <w:sz w:val="20"/>
          <w:szCs w:val="20"/>
        </w:rPr>
        <w:t xml:space="preserve">Tabla </w:t>
      </w:r>
      <w:r w:rsidR="00D14B33">
        <w:rPr>
          <w:rFonts w:ascii="Arial" w:hAnsi="Arial" w:cs="Arial"/>
          <w:b/>
          <w:bCs/>
          <w:i/>
          <w:iCs/>
          <w:color w:val="1F487C"/>
          <w:sz w:val="20"/>
          <w:szCs w:val="20"/>
        </w:rPr>
        <w:t xml:space="preserve">No. </w:t>
      </w:r>
      <w:r w:rsidR="00EE0320" w:rsidRPr="00980ED4">
        <w:rPr>
          <w:rFonts w:ascii="Arial" w:hAnsi="Arial" w:cs="Arial"/>
          <w:b/>
          <w:bCs/>
          <w:color w:val="1F497D" w:themeColor="text2"/>
          <w:sz w:val="20"/>
          <w:szCs w:val="20"/>
        </w:rPr>
        <w:fldChar w:fldCharType="begin"/>
      </w:r>
      <w:r w:rsidR="00EE0320" w:rsidRPr="00980ED4">
        <w:rPr>
          <w:rFonts w:ascii="Arial" w:hAnsi="Arial" w:cs="Arial"/>
          <w:b/>
          <w:bCs/>
          <w:color w:val="1F497D" w:themeColor="text2"/>
          <w:sz w:val="20"/>
          <w:szCs w:val="20"/>
        </w:rPr>
        <w:instrText xml:space="preserve"> SEQ Ilustración \* ARABIC </w:instrText>
      </w:r>
      <w:r w:rsidR="00EE0320" w:rsidRPr="00980ED4">
        <w:rPr>
          <w:rFonts w:ascii="Arial" w:hAnsi="Arial" w:cs="Arial"/>
          <w:b/>
          <w:bCs/>
          <w:color w:val="1F497D" w:themeColor="text2"/>
          <w:sz w:val="20"/>
          <w:szCs w:val="20"/>
        </w:rPr>
        <w:fldChar w:fldCharType="separate"/>
      </w:r>
      <w:r w:rsidR="00EE0320">
        <w:rPr>
          <w:rFonts w:ascii="Arial" w:hAnsi="Arial" w:cs="Arial"/>
          <w:b/>
          <w:bCs/>
          <w:noProof/>
          <w:color w:val="1F497D" w:themeColor="text2"/>
          <w:sz w:val="20"/>
          <w:szCs w:val="20"/>
        </w:rPr>
        <w:t>8</w:t>
      </w:r>
      <w:r w:rsidR="00EE0320" w:rsidRPr="00980ED4">
        <w:rPr>
          <w:rFonts w:ascii="Arial" w:hAnsi="Arial" w:cs="Arial"/>
          <w:b/>
          <w:bCs/>
          <w:color w:val="1F497D" w:themeColor="text2"/>
          <w:sz w:val="20"/>
          <w:szCs w:val="20"/>
        </w:rPr>
        <w:fldChar w:fldCharType="end"/>
      </w:r>
      <w:r w:rsidRPr="00D14B33">
        <w:rPr>
          <w:rFonts w:ascii="Arial" w:hAnsi="Arial" w:cs="Arial"/>
          <w:b/>
          <w:bCs/>
          <w:i/>
          <w:iCs/>
          <w:color w:val="1F487C"/>
          <w:sz w:val="20"/>
          <w:szCs w:val="20"/>
        </w:rPr>
        <w:t xml:space="preserve"> información de Datos Generales UAPA - PAE. </w:t>
      </w:r>
      <w:r w:rsidR="00D14B33">
        <w:rPr>
          <w:rFonts w:ascii="Arial" w:hAnsi="Arial" w:cs="Arial"/>
          <w:b/>
          <w:bCs/>
          <w:i/>
          <w:iCs/>
          <w:color w:val="1F487C"/>
          <w:sz w:val="20"/>
          <w:szCs w:val="20"/>
        </w:rPr>
        <w:t>Distrito Cartagena de Indias - Bolívar</w:t>
      </w:r>
      <w:r w:rsidRPr="00D14B33">
        <w:rPr>
          <w:rFonts w:ascii="Arial" w:hAnsi="Arial" w:cs="Arial"/>
          <w:b/>
          <w:bCs/>
          <w:i/>
          <w:iCs/>
          <w:color w:val="1F487C"/>
          <w:sz w:val="20"/>
          <w:szCs w:val="20"/>
        </w:rPr>
        <w:t>, vigencia 2021.</w:t>
      </w:r>
    </w:p>
    <w:tbl>
      <w:tblPr>
        <w:tblW w:w="5247" w:type="pct"/>
        <w:tblCellMar>
          <w:left w:w="70" w:type="dxa"/>
          <w:right w:w="70" w:type="dxa"/>
        </w:tblCellMar>
        <w:tblLook w:val="04A0" w:firstRow="1" w:lastRow="0" w:firstColumn="1" w:lastColumn="0" w:noHBand="0" w:noVBand="1"/>
      </w:tblPr>
      <w:tblGrid>
        <w:gridCol w:w="1283"/>
        <w:gridCol w:w="1120"/>
        <w:gridCol w:w="2178"/>
        <w:gridCol w:w="1294"/>
        <w:gridCol w:w="1897"/>
        <w:gridCol w:w="1044"/>
        <w:gridCol w:w="1032"/>
      </w:tblGrid>
      <w:tr w:rsidR="00057CFD" w:rsidRPr="00A71FBC" w14:paraId="0D928A75" w14:textId="77777777" w:rsidTr="00665413">
        <w:trPr>
          <w:trHeight w:val="524"/>
        </w:trPr>
        <w:tc>
          <w:tcPr>
            <w:tcW w:w="681" w:type="pct"/>
            <w:tcBorders>
              <w:top w:val="single" w:sz="8" w:space="0" w:color="000000"/>
              <w:left w:val="single" w:sz="8" w:space="0" w:color="000000"/>
              <w:bottom w:val="single" w:sz="8" w:space="0" w:color="000000"/>
              <w:right w:val="single" w:sz="8" w:space="0" w:color="000000"/>
            </w:tcBorders>
            <w:shd w:val="clear" w:color="auto" w:fill="666699"/>
            <w:vAlign w:val="center"/>
            <w:hideMark/>
          </w:tcPr>
          <w:p w14:paraId="4250C04A" w14:textId="77777777" w:rsidR="00057CFD" w:rsidRPr="00A71FBC" w:rsidRDefault="00057CFD" w:rsidP="00835F25">
            <w:pPr>
              <w:contextualSpacing/>
              <w:jc w:val="center"/>
              <w:rPr>
                <w:rFonts w:ascii="Arial" w:eastAsia="Times New Roman" w:hAnsi="Arial" w:cs="Arial"/>
                <w:b/>
                <w:bCs/>
                <w:color w:val="FFFFFF"/>
                <w:sz w:val="12"/>
                <w:szCs w:val="12"/>
                <w:lang w:val="es-CO" w:eastAsia="es-CO"/>
              </w:rPr>
            </w:pPr>
            <w:r w:rsidRPr="00A71FBC">
              <w:rPr>
                <w:rFonts w:ascii="Arial" w:eastAsia="Times New Roman" w:hAnsi="Arial" w:cs="Arial"/>
                <w:b/>
                <w:bCs/>
                <w:color w:val="FFFFFF"/>
                <w:sz w:val="12"/>
                <w:szCs w:val="12"/>
                <w:lang w:val="es-CO" w:eastAsia="es-CO"/>
              </w:rPr>
              <w:t>SECRETARÍA RESPONSABLE DEL PAE</w:t>
            </w:r>
          </w:p>
        </w:tc>
        <w:tc>
          <w:tcPr>
            <w:tcW w:w="598" w:type="pct"/>
            <w:tcBorders>
              <w:top w:val="single" w:sz="8" w:space="0" w:color="000000"/>
              <w:left w:val="nil"/>
              <w:bottom w:val="single" w:sz="8" w:space="0" w:color="000000"/>
              <w:right w:val="single" w:sz="8" w:space="0" w:color="000000"/>
            </w:tcBorders>
            <w:shd w:val="clear" w:color="auto" w:fill="666699"/>
            <w:vAlign w:val="center"/>
            <w:hideMark/>
          </w:tcPr>
          <w:p w14:paraId="2EEDA928" w14:textId="77777777" w:rsidR="00057CFD" w:rsidRPr="00A71FBC" w:rsidRDefault="00057CFD" w:rsidP="00835F25">
            <w:pPr>
              <w:contextualSpacing/>
              <w:jc w:val="center"/>
              <w:rPr>
                <w:rFonts w:ascii="Arial" w:eastAsia="Times New Roman" w:hAnsi="Arial" w:cs="Arial"/>
                <w:b/>
                <w:bCs/>
                <w:color w:val="FFFFFF"/>
                <w:sz w:val="12"/>
                <w:szCs w:val="12"/>
                <w:lang w:val="es-CO" w:eastAsia="es-CO"/>
              </w:rPr>
            </w:pPr>
            <w:r w:rsidRPr="00A71FBC">
              <w:rPr>
                <w:rFonts w:ascii="Arial" w:eastAsia="Times New Roman" w:hAnsi="Arial" w:cs="Arial"/>
                <w:b/>
                <w:bCs/>
                <w:color w:val="FFFFFF"/>
                <w:sz w:val="12"/>
                <w:szCs w:val="12"/>
                <w:lang w:val="es-CO" w:eastAsia="es-CO"/>
              </w:rPr>
              <w:t>NOMBRE COMPLETO SECRETARIO RESP.</w:t>
            </w:r>
          </w:p>
        </w:tc>
        <w:tc>
          <w:tcPr>
            <w:tcW w:w="1135" w:type="pct"/>
            <w:tcBorders>
              <w:top w:val="single" w:sz="8" w:space="0" w:color="000000"/>
              <w:left w:val="nil"/>
              <w:bottom w:val="single" w:sz="8" w:space="0" w:color="000000"/>
              <w:right w:val="single" w:sz="8" w:space="0" w:color="000000"/>
            </w:tcBorders>
            <w:shd w:val="clear" w:color="auto" w:fill="666699"/>
            <w:vAlign w:val="center"/>
            <w:hideMark/>
          </w:tcPr>
          <w:p w14:paraId="6E7F27F0" w14:textId="77777777" w:rsidR="00057CFD" w:rsidRPr="00A71FBC" w:rsidRDefault="00057CFD" w:rsidP="00835F25">
            <w:pPr>
              <w:contextualSpacing/>
              <w:jc w:val="center"/>
              <w:rPr>
                <w:rFonts w:ascii="Arial" w:eastAsia="Times New Roman" w:hAnsi="Arial" w:cs="Arial"/>
                <w:b/>
                <w:bCs/>
                <w:color w:val="FFFFFF"/>
                <w:sz w:val="12"/>
                <w:szCs w:val="12"/>
                <w:lang w:val="es-CO" w:eastAsia="es-CO"/>
              </w:rPr>
            </w:pPr>
            <w:r w:rsidRPr="00A71FBC">
              <w:rPr>
                <w:rFonts w:ascii="Arial" w:eastAsia="Times New Roman" w:hAnsi="Arial" w:cs="Arial"/>
                <w:b/>
                <w:bCs/>
                <w:color w:val="FFFFFF"/>
                <w:sz w:val="12"/>
                <w:szCs w:val="12"/>
                <w:lang w:val="es-CO" w:eastAsia="es-CO"/>
              </w:rPr>
              <w:t>CORREO ELECTRONICO SECRETARIO</w:t>
            </w:r>
          </w:p>
        </w:tc>
        <w:tc>
          <w:tcPr>
            <w:tcW w:w="686" w:type="pct"/>
            <w:tcBorders>
              <w:top w:val="single" w:sz="8" w:space="0" w:color="000000"/>
              <w:left w:val="nil"/>
              <w:bottom w:val="single" w:sz="8" w:space="0" w:color="000000"/>
              <w:right w:val="single" w:sz="8" w:space="0" w:color="000000"/>
            </w:tcBorders>
            <w:shd w:val="clear" w:color="auto" w:fill="666699"/>
            <w:vAlign w:val="center"/>
            <w:hideMark/>
          </w:tcPr>
          <w:p w14:paraId="1F2C1C2C" w14:textId="77777777" w:rsidR="00057CFD" w:rsidRPr="00A71FBC" w:rsidRDefault="00057CFD" w:rsidP="00835F25">
            <w:pPr>
              <w:contextualSpacing/>
              <w:jc w:val="center"/>
              <w:rPr>
                <w:rFonts w:ascii="Arial" w:eastAsia="Times New Roman" w:hAnsi="Arial" w:cs="Arial"/>
                <w:b/>
                <w:bCs/>
                <w:color w:val="FFFFFF"/>
                <w:sz w:val="12"/>
                <w:szCs w:val="12"/>
                <w:lang w:val="es-CO" w:eastAsia="es-CO"/>
              </w:rPr>
            </w:pPr>
            <w:r w:rsidRPr="00A71FBC">
              <w:rPr>
                <w:rFonts w:ascii="Arial" w:eastAsia="Times New Roman" w:hAnsi="Arial" w:cs="Arial"/>
                <w:b/>
                <w:bCs/>
                <w:color w:val="FFFFFF"/>
                <w:sz w:val="12"/>
                <w:szCs w:val="12"/>
                <w:lang w:val="es-CO" w:eastAsia="es-CO"/>
              </w:rPr>
              <w:t>NOMBRE COMPLETO COORDINADOR</w:t>
            </w:r>
          </w:p>
        </w:tc>
        <w:tc>
          <w:tcPr>
            <w:tcW w:w="788" w:type="pct"/>
            <w:tcBorders>
              <w:top w:val="single" w:sz="8" w:space="0" w:color="000000"/>
              <w:left w:val="nil"/>
              <w:bottom w:val="single" w:sz="8" w:space="0" w:color="000000"/>
              <w:right w:val="single" w:sz="8" w:space="0" w:color="000000"/>
            </w:tcBorders>
            <w:shd w:val="clear" w:color="auto" w:fill="666699"/>
            <w:vAlign w:val="center"/>
            <w:hideMark/>
          </w:tcPr>
          <w:p w14:paraId="7A4192BB" w14:textId="77777777" w:rsidR="00057CFD" w:rsidRPr="00A71FBC" w:rsidRDefault="00057CFD" w:rsidP="00835F25">
            <w:pPr>
              <w:contextualSpacing/>
              <w:jc w:val="center"/>
              <w:rPr>
                <w:rFonts w:ascii="Arial" w:eastAsia="Times New Roman" w:hAnsi="Arial" w:cs="Arial"/>
                <w:b/>
                <w:bCs/>
                <w:color w:val="FFFFFF"/>
                <w:sz w:val="12"/>
                <w:szCs w:val="12"/>
                <w:lang w:val="es-CO" w:eastAsia="es-CO"/>
              </w:rPr>
            </w:pPr>
            <w:r w:rsidRPr="00A71FBC">
              <w:rPr>
                <w:rFonts w:ascii="Arial" w:eastAsia="Times New Roman" w:hAnsi="Arial" w:cs="Arial"/>
                <w:b/>
                <w:bCs/>
                <w:color w:val="FFFFFF"/>
                <w:sz w:val="12"/>
                <w:szCs w:val="12"/>
                <w:lang w:val="es-CO" w:eastAsia="es-CO"/>
              </w:rPr>
              <w:t>CORREO ELECTRONICO COORDINADOR</w:t>
            </w:r>
          </w:p>
        </w:tc>
        <w:tc>
          <w:tcPr>
            <w:tcW w:w="559" w:type="pct"/>
            <w:tcBorders>
              <w:top w:val="single" w:sz="8" w:space="0" w:color="000000"/>
              <w:left w:val="nil"/>
              <w:bottom w:val="single" w:sz="8" w:space="0" w:color="000000"/>
              <w:right w:val="single" w:sz="8" w:space="0" w:color="000000"/>
            </w:tcBorders>
            <w:shd w:val="clear" w:color="auto" w:fill="666699"/>
            <w:vAlign w:val="center"/>
            <w:hideMark/>
          </w:tcPr>
          <w:p w14:paraId="40A70C77" w14:textId="77777777" w:rsidR="00057CFD" w:rsidRPr="00A71FBC" w:rsidRDefault="00057CFD" w:rsidP="00835F25">
            <w:pPr>
              <w:contextualSpacing/>
              <w:jc w:val="center"/>
              <w:rPr>
                <w:rFonts w:ascii="Arial" w:eastAsia="Times New Roman" w:hAnsi="Arial" w:cs="Arial"/>
                <w:b/>
                <w:bCs/>
                <w:color w:val="FFFFFF"/>
                <w:sz w:val="12"/>
                <w:szCs w:val="12"/>
                <w:lang w:val="es-CO" w:eastAsia="es-CO"/>
              </w:rPr>
            </w:pPr>
            <w:r w:rsidRPr="00A71FBC">
              <w:rPr>
                <w:rFonts w:ascii="Arial" w:eastAsia="Times New Roman" w:hAnsi="Arial" w:cs="Arial"/>
                <w:b/>
                <w:bCs/>
                <w:color w:val="FFFFFF"/>
                <w:sz w:val="12"/>
                <w:szCs w:val="12"/>
                <w:lang w:val="es-CO" w:eastAsia="es-CO"/>
              </w:rPr>
              <w:t>NOMBRE COMPLETO QUIEN DILIGENCIA</w:t>
            </w:r>
          </w:p>
        </w:tc>
        <w:tc>
          <w:tcPr>
            <w:tcW w:w="553" w:type="pct"/>
            <w:tcBorders>
              <w:top w:val="single" w:sz="8" w:space="0" w:color="000000"/>
              <w:left w:val="nil"/>
              <w:bottom w:val="single" w:sz="8" w:space="0" w:color="000000"/>
              <w:right w:val="single" w:sz="8" w:space="0" w:color="000000"/>
            </w:tcBorders>
            <w:shd w:val="clear" w:color="auto" w:fill="666699"/>
            <w:vAlign w:val="center"/>
            <w:hideMark/>
          </w:tcPr>
          <w:p w14:paraId="639606DF" w14:textId="77777777" w:rsidR="00057CFD" w:rsidRPr="00A71FBC" w:rsidRDefault="00057CFD" w:rsidP="00835F25">
            <w:pPr>
              <w:contextualSpacing/>
              <w:jc w:val="center"/>
              <w:rPr>
                <w:rFonts w:ascii="Arial" w:eastAsia="Times New Roman" w:hAnsi="Arial" w:cs="Arial"/>
                <w:b/>
                <w:bCs/>
                <w:color w:val="FFFFFF"/>
                <w:sz w:val="12"/>
                <w:szCs w:val="12"/>
                <w:lang w:val="es-CO" w:eastAsia="es-CO"/>
              </w:rPr>
            </w:pPr>
            <w:r w:rsidRPr="00A71FBC">
              <w:rPr>
                <w:rFonts w:ascii="Arial" w:eastAsia="Times New Roman" w:hAnsi="Arial" w:cs="Arial"/>
                <w:b/>
                <w:bCs/>
                <w:color w:val="FFFFFF"/>
                <w:sz w:val="12"/>
                <w:szCs w:val="12"/>
                <w:lang w:val="es-CO" w:eastAsia="es-CO"/>
              </w:rPr>
              <w:t>CARGO QUIEN DILIGENCIA FORMULAR.</w:t>
            </w:r>
          </w:p>
        </w:tc>
      </w:tr>
      <w:tr w:rsidR="00057CFD" w:rsidRPr="00A71FBC" w14:paraId="5E78FE54" w14:textId="77777777" w:rsidTr="00665413">
        <w:trPr>
          <w:trHeight w:val="424"/>
        </w:trPr>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65E21" w14:textId="77777777" w:rsidR="00057CFD" w:rsidRPr="00A71FBC" w:rsidRDefault="00F100D8" w:rsidP="00835F25">
            <w:pPr>
              <w:contextualSpacing/>
              <w:rPr>
                <w:rFonts w:ascii="Arial" w:eastAsia="Times New Roman" w:hAnsi="Arial" w:cs="Arial"/>
                <w:sz w:val="12"/>
                <w:szCs w:val="12"/>
                <w:lang w:val="es-CO" w:eastAsia="es-CO"/>
              </w:rPr>
            </w:pPr>
            <w:r w:rsidRPr="00F100D8">
              <w:rPr>
                <w:rFonts w:ascii="Arial" w:eastAsia="Times New Roman" w:hAnsi="Arial" w:cs="Arial"/>
                <w:sz w:val="12"/>
                <w:szCs w:val="12"/>
                <w:lang w:val="es-CO" w:eastAsia="es-CO"/>
              </w:rPr>
              <w:t>CARTAGENA DE INDIAS - DISTRITO TURISTICO Y CULTURAL</w:t>
            </w:r>
          </w:p>
        </w:tc>
        <w:tc>
          <w:tcPr>
            <w:tcW w:w="598" w:type="pct"/>
            <w:tcBorders>
              <w:top w:val="single" w:sz="4" w:space="0" w:color="000000"/>
              <w:left w:val="nil"/>
              <w:bottom w:val="single" w:sz="4" w:space="0" w:color="000000"/>
              <w:right w:val="single" w:sz="4" w:space="0" w:color="000000"/>
            </w:tcBorders>
            <w:shd w:val="clear" w:color="auto" w:fill="auto"/>
            <w:vAlign w:val="center"/>
            <w:hideMark/>
          </w:tcPr>
          <w:p w14:paraId="3FE5F799" w14:textId="77777777" w:rsidR="00057CFD" w:rsidRPr="00A71FBC" w:rsidRDefault="00F100D8" w:rsidP="00835F25">
            <w:pPr>
              <w:contextualSpacing/>
              <w:rPr>
                <w:rFonts w:ascii="Arial" w:eastAsia="Times New Roman" w:hAnsi="Arial" w:cs="Arial"/>
                <w:sz w:val="12"/>
                <w:szCs w:val="12"/>
                <w:lang w:val="es-CO" w:eastAsia="es-CO"/>
              </w:rPr>
            </w:pPr>
            <w:r w:rsidRPr="00F100D8">
              <w:rPr>
                <w:rFonts w:ascii="Arial" w:eastAsia="Times New Roman" w:hAnsi="Arial" w:cs="Arial"/>
                <w:sz w:val="12"/>
                <w:szCs w:val="12"/>
                <w:lang w:val="es-CO" w:eastAsia="es-CO"/>
              </w:rPr>
              <w:t>OLGA ELVIRA ACOSTA AMEL</w:t>
            </w:r>
          </w:p>
        </w:tc>
        <w:tc>
          <w:tcPr>
            <w:tcW w:w="1135" w:type="pct"/>
            <w:tcBorders>
              <w:top w:val="single" w:sz="4" w:space="0" w:color="000000"/>
              <w:left w:val="nil"/>
              <w:bottom w:val="single" w:sz="4" w:space="0" w:color="000000"/>
              <w:right w:val="single" w:sz="4" w:space="0" w:color="000000"/>
            </w:tcBorders>
            <w:shd w:val="clear" w:color="auto" w:fill="auto"/>
            <w:vAlign w:val="center"/>
            <w:hideMark/>
          </w:tcPr>
          <w:p w14:paraId="745879BA" w14:textId="77777777" w:rsidR="00057CFD" w:rsidRPr="00A71FBC" w:rsidRDefault="004F16CC" w:rsidP="00835F25">
            <w:pPr>
              <w:contextualSpacing/>
              <w:rPr>
                <w:rFonts w:ascii="Arial" w:eastAsia="Times New Roman" w:hAnsi="Arial" w:cs="Arial"/>
                <w:sz w:val="12"/>
                <w:szCs w:val="12"/>
                <w:lang w:val="es-CO" w:eastAsia="es-CO"/>
              </w:rPr>
            </w:pPr>
            <w:hyperlink r:id="rId20" w:history="1">
              <w:r w:rsidR="007D12C0" w:rsidRPr="00E1083A">
                <w:rPr>
                  <w:rStyle w:val="Hipervnculo"/>
                  <w:rFonts w:ascii="Arial" w:eastAsia="Times New Roman" w:hAnsi="Arial" w:cs="Arial"/>
                  <w:sz w:val="12"/>
                  <w:szCs w:val="12"/>
                  <w:lang w:val="es-CO" w:eastAsia="es-CO"/>
                </w:rPr>
                <w:t>oeacosta@sedcartagena.gov.co</w:t>
              </w:r>
            </w:hyperlink>
          </w:p>
        </w:tc>
        <w:tc>
          <w:tcPr>
            <w:tcW w:w="686" w:type="pct"/>
            <w:tcBorders>
              <w:top w:val="single" w:sz="4" w:space="0" w:color="000000"/>
              <w:left w:val="nil"/>
              <w:bottom w:val="single" w:sz="4" w:space="0" w:color="000000"/>
              <w:right w:val="single" w:sz="4" w:space="0" w:color="000000"/>
            </w:tcBorders>
            <w:shd w:val="clear" w:color="auto" w:fill="auto"/>
            <w:vAlign w:val="center"/>
            <w:hideMark/>
          </w:tcPr>
          <w:p w14:paraId="0142C9EA" w14:textId="77777777" w:rsidR="00057CFD" w:rsidRPr="00A71FBC" w:rsidRDefault="007D12C0" w:rsidP="00835F25">
            <w:pPr>
              <w:contextualSpacing/>
              <w:rPr>
                <w:rFonts w:ascii="Arial" w:eastAsia="Times New Roman" w:hAnsi="Arial" w:cs="Arial"/>
                <w:sz w:val="12"/>
                <w:szCs w:val="12"/>
                <w:lang w:val="es-CO" w:eastAsia="es-CO"/>
              </w:rPr>
            </w:pPr>
            <w:r w:rsidRPr="007D12C0">
              <w:rPr>
                <w:rFonts w:ascii="Arial" w:eastAsia="Times New Roman" w:hAnsi="Arial" w:cs="Arial"/>
                <w:sz w:val="12"/>
                <w:szCs w:val="12"/>
                <w:lang w:val="es-CO" w:eastAsia="es-CO"/>
              </w:rPr>
              <w:t>ALEXANDRA HERRERA PUENTE</w:t>
            </w:r>
          </w:p>
        </w:tc>
        <w:tc>
          <w:tcPr>
            <w:tcW w:w="788" w:type="pct"/>
            <w:tcBorders>
              <w:top w:val="single" w:sz="4" w:space="0" w:color="000000"/>
              <w:left w:val="nil"/>
              <w:bottom w:val="single" w:sz="4" w:space="0" w:color="000000"/>
              <w:right w:val="single" w:sz="4" w:space="0" w:color="000000"/>
            </w:tcBorders>
            <w:shd w:val="clear" w:color="auto" w:fill="auto"/>
            <w:vAlign w:val="center"/>
            <w:hideMark/>
          </w:tcPr>
          <w:p w14:paraId="7A48B480" w14:textId="77777777" w:rsidR="00057CFD" w:rsidRPr="00A71FBC" w:rsidRDefault="004F16CC" w:rsidP="00835F25">
            <w:pPr>
              <w:contextualSpacing/>
              <w:rPr>
                <w:rFonts w:ascii="Arial" w:eastAsia="Times New Roman" w:hAnsi="Arial" w:cs="Arial"/>
                <w:sz w:val="12"/>
                <w:szCs w:val="12"/>
                <w:lang w:val="es-CO" w:eastAsia="es-CO"/>
              </w:rPr>
            </w:pPr>
            <w:hyperlink r:id="rId21" w:history="1">
              <w:r w:rsidR="007D12C0" w:rsidRPr="00E1083A">
                <w:rPr>
                  <w:rStyle w:val="Hipervnculo"/>
                  <w:rFonts w:ascii="Arial" w:eastAsia="Times New Roman" w:hAnsi="Arial" w:cs="Arial"/>
                  <w:sz w:val="12"/>
                  <w:szCs w:val="12"/>
                  <w:lang w:val="es-CO" w:eastAsia="es-CO"/>
                </w:rPr>
                <w:t>aherrerap@sedcartagena.gov.co</w:t>
              </w:r>
            </w:hyperlink>
          </w:p>
        </w:tc>
        <w:tc>
          <w:tcPr>
            <w:tcW w:w="559" w:type="pct"/>
            <w:tcBorders>
              <w:top w:val="single" w:sz="4" w:space="0" w:color="000000"/>
              <w:left w:val="nil"/>
              <w:bottom w:val="single" w:sz="4" w:space="0" w:color="000000"/>
              <w:right w:val="single" w:sz="4" w:space="0" w:color="000000"/>
            </w:tcBorders>
            <w:shd w:val="clear" w:color="auto" w:fill="auto"/>
            <w:vAlign w:val="center"/>
            <w:hideMark/>
          </w:tcPr>
          <w:p w14:paraId="52418FEE" w14:textId="77777777" w:rsidR="00057CFD" w:rsidRPr="00A71FBC" w:rsidRDefault="007D12C0" w:rsidP="00835F25">
            <w:pPr>
              <w:contextualSpacing/>
              <w:rPr>
                <w:rFonts w:ascii="Arial" w:eastAsia="Times New Roman" w:hAnsi="Arial" w:cs="Arial"/>
                <w:sz w:val="12"/>
                <w:szCs w:val="12"/>
                <w:lang w:val="es-CO" w:eastAsia="es-CO"/>
              </w:rPr>
            </w:pPr>
            <w:r w:rsidRPr="007D12C0">
              <w:rPr>
                <w:rFonts w:ascii="Arial" w:eastAsia="Times New Roman" w:hAnsi="Arial" w:cs="Arial"/>
                <w:sz w:val="12"/>
                <w:szCs w:val="12"/>
                <w:lang w:val="es-CO" w:eastAsia="es-CO"/>
              </w:rPr>
              <w:t>EDWIN ENRIQUE VILLEGAS CASSAS</w:t>
            </w:r>
          </w:p>
        </w:tc>
        <w:tc>
          <w:tcPr>
            <w:tcW w:w="553" w:type="pct"/>
            <w:tcBorders>
              <w:top w:val="single" w:sz="4" w:space="0" w:color="000000"/>
              <w:left w:val="nil"/>
              <w:bottom w:val="single" w:sz="4" w:space="0" w:color="000000"/>
              <w:right w:val="single" w:sz="4" w:space="0" w:color="000000"/>
            </w:tcBorders>
            <w:shd w:val="clear" w:color="auto" w:fill="auto"/>
            <w:vAlign w:val="center"/>
            <w:hideMark/>
          </w:tcPr>
          <w:p w14:paraId="383B8563" w14:textId="77777777" w:rsidR="00057CFD" w:rsidRPr="00A71FBC" w:rsidRDefault="007D12C0" w:rsidP="00835F25">
            <w:pPr>
              <w:contextualSpacing/>
              <w:rPr>
                <w:rFonts w:ascii="Arial" w:eastAsia="Times New Roman" w:hAnsi="Arial" w:cs="Arial"/>
                <w:sz w:val="12"/>
                <w:szCs w:val="12"/>
                <w:lang w:val="es-CO" w:eastAsia="es-CO"/>
              </w:rPr>
            </w:pPr>
            <w:r w:rsidRPr="007D12C0">
              <w:rPr>
                <w:rFonts w:ascii="Arial" w:eastAsia="Times New Roman" w:hAnsi="Arial" w:cs="Arial"/>
                <w:sz w:val="12"/>
                <w:szCs w:val="12"/>
                <w:lang w:val="es-CO" w:eastAsia="es-CO"/>
              </w:rPr>
              <w:t>CONTRATISTA ASESOR EXTERNO FINANCIERO</w:t>
            </w:r>
          </w:p>
        </w:tc>
      </w:tr>
    </w:tbl>
    <w:p w14:paraId="62C1D4C6" w14:textId="77777777" w:rsidR="00057CFD" w:rsidRPr="00A71FBC" w:rsidRDefault="00057CFD"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3072ED">
        <w:rPr>
          <w:rFonts w:ascii="Arial" w:hAnsi="Arial" w:cs="Arial"/>
          <w:sz w:val="16"/>
          <w:szCs w:val="16"/>
        </w:rPr>
        <w:t>partir</w:t>
      </w:r>
      <w:r w:rsidR="003072ED" w:rsidRPr="00A71FBC">
        <w:rPr>
          <w:rFonts w:ascii="Arial" w:hAnsi="Arial" w:cs="Arial"/>
          <w:sz w:val="16"/>
          <w:szCs w:val="16"/>
        </w:rPr>
        <w:t xml:space="preserve"> </w:t>
      </w:r>
      <w:r w:rsidRPr="00A71FBC">
        <w:rPr>
          <w:rFonts w:ascii="Arial" w:hAnsi="Arial" w:cs="Arial"/>
          <w:sz w:val="16"/>
          <w:szCs w:val="16"/>
        </w:rPr>
        <w:t>del reporte de información en la Categoría UAPA - PAE 2021.</w:t>
      </w:r>
    </w:p>
    <w:p w14:paraId="410C9E39" w14:textId="77777777" w:rsidR="00057CFD" w:rsidRPr="00A71FBC" w:rsidRDefault="00057CFD" w:rsidP="00835F25">
      <w:pPr>
        <w:contextualSpacing/>
        <w:jc w:val="both"/>
        <w:rPr>
          <w:rFonts w:ascii="Arial" w:hAnsi="Arial" w:cs="Arial"/>
          <w:sz w:val="22"/>
          <w:szCs w:val="22"/>
        </w:rPr>
      </w:pPr>
    </w:p>
    <w:p w14:paraId="1C1ED8EF" w14:textId="77777777" w:rsidR="00057CFD" w:rsidRPr="00A71FBC" w:rsidRDefault="00057CFD" w:rsidP="00835F25">
      <w:pPr>
        <w:pStyle w:val="Prrafodelista"/>
        <w:numPr>
          <w:ilvl w:val="0"/>
          <w:numId w:val="28"/>
        </w:numPr>
        <w:jc w:val="both"/>
        <w:rPr>
          <w:rFonts w:ascii="Arial" w:hAnsi="Arial" w:cs="Arial"/>
          <w:sz w:val="22"/>
          <w:szCs w:val="22"/>
        </w:rPr>
      </w:pPr>
      <w:r w:rsidRPr="00A71FBC">
        <w:rPr>
          <w:rFonts w:ascii="Arial" w:hAnsi="Arial" w:cs="Arial"/>
          <w:sz w:val="22"/>
          <w:szCs w:val="22"/>
        </w:rPr>
        <w:t>Bolsa Común.</w:t>
      </w:r>
    </w:p>
    <w:p w14:paraId="667515B3" w14:textId="77777777" w:rsidR="00057CFD" w:rsidRPr="00A71FBC" w:rsidRDefault="00057CFD" w:rsidP="00835F25">
      <w:pPr>
        <w:pStyle w:val="Prrafodelista"/>
        <w:jc w:val="both"/>
        <w:rPr>
          <w:rFonts w:ascii="Arial" w:hAnsi="Arial" w:cs="Arial"/>
          <w:sz w:val="22"/>
          <w:szCs w:val="22"/>
        </w:rPr>
      </w:pPr>
    </w:p>
    <w:p w14:paraId="34CE5BCE" w14:textId="77777777" w:rsidR="00057CFD" w:rsidRPr="00A71FBC" w:rsidRDefault="00057CFD" w:rsidP="00835F25">
      <w:pPr>
        <w:contextualSpacing/>
        <w:jc w:val="both"/>
        <w:rPr>
          <w:rFonts w:ascii="Arial" w:hAnsi="Arial" w:cs="Arial"/>
          <w:sz w:val="22"/>
          <w:szCs w:val="22"/>
        </w:rPr>
      </w:pPr>
      <w:r w:rsidRPr="00A71FBC">
        <w:rPr>
          <w:rFonts w:ascii="Arial" w:hAnsi="Arial" w:cs="Arial"/>
          <w:sz w:val="22"/>
          <w:szCs w:val="22"/>
        </w:rPr>
        <w:t xml:space="preserve">El </w:t>
      </w:r>
      <w:r w:rsidR="00EC4BA7">
        <w:rPr>
          <w:rFonts w:ascii="Arial" w:hAnsi="Arial" w:cs="Arial"/>
          <w:sz w:val="22"/>
          <w:szCs w:val="22"/>
        </w:rPr>
        <w:t>Distrito</w:t>
      </w:r>
      <w:r w:rsidRPr="00A71FBC">
        <w:rPr>
          <w:rFonts w:ascii="Arial" w:hAnsi="Arial" w:cs="Arial"/>
          <w:sz w:val="22"/>
          <w:szCs w:val="22"/>
        </w:rPr>
        <w:t xml:space="preserve"> lleva a cabo el reporte de las transferencias que el Gobierno Nacional realiza a la Administración </w:t>
      </w:r>
      <w:r w:rsidR="00EC4BA7">
        <w:rPr>
          <w:rFonts w:ascii="Arial" w:hAnsi="Arial" w:cs="Arial"/>
          <w:sz w:val="22"/>
          <w:szCs w:val="22"/>
        </w:rPr>
        <w:t>Distrital</w:t>
      </w:r>
      <w:r w:rsidRPr="00A71FBC">
        <w:rPr>
          <w:rFonts w:ascii="Arial" w:hAnsi="Arial" w:cs="Arial"/>
          <w:sz w:val="22"/>
          <w:szCs w:val="22"/>
        </w:rPr>
        <w:t xml:space="preserve"> como Entidad Territorial Certificada en Educación. En particular, se evidencia los giros llevados a cabo por la Unidad Administrativa Especial para Alimentación Escolar</w:t>
      </w:r>
      <w:r w:rsidR="002A6880">
        <w:rPr>
          <w:rFonts w:ascii="Arial" w:hAnsi="Arial" w:cs="Arial"/>
          <w:sz w:val="22"/>
          <w:szCs w:val="22"/>
        </w:rPr>
        <w:t xml:space="preserve"> y</w:t>
      </w:r>
      <w:r w:rsidR="00FA5551">
        <w:rPr>
          <w:rFonts w:ascii="Arial" w:hAnsi="Arial" w:cs="Arial"/>
          <w:sz w:val="22"/>
          <w:szCs w:val="22"/>
        </w:rPr>
        <w:t xml:space="preserve"> del Ministerio de Educación Nacional</w:t>
      </w:r>
      <w:r w:rsidR="00572F6A">
        <w:rPr>
          <w:rFonts w:ascii="Arial" w:hAnsi="Arial" w:cs="Arial"/>
          <w:sz w:val="22"/>
          <w:szCs w:val="22"/>
        </w:rPr>
        <w:t xml:space="preserve"> por fuente de recursos:</w:t>
      </w:r>
    </w:p>
    <w:p w14:paraId="6BA4B743" w14:textId="77777777" w:rsidR="00057CFD" w:rsidRPr="00A71FBC" w:rsidRDefault="00057CFD" w:rsidP="00835F25">
      <w:pPr>
        <w:contextualSpacing/>
        <w:jc w:val="both"/>
        <w:rPr>
          <w:rFonts w:ascii="Arial" w:hAnsi="Arial" w:cs="Arial"/>
          <w:sz w:val="22"/>
          <w:szCs w:val="22"/>
        </w:rPr>
      </w:pPr>
    </w:p>
    <w:p w14:paraId="291785D8" w14:textId="77777777" w:rsidR="00057CFD" w:rsidRPr="00B13B20" w:rsidRDefault="00057CFD" w:rsidP="00835F25">
      <w:pPr>
        <w:keepNext/>
        <w:ind w:left="708"/>
        <w:contextualSpacing/>
        <w:jc w:val="center"/>
        <w:rPr>
          <w:rFonts w:ascii="Arial" w:hAnsi="Arial" w:cs="Arial"/>
          <w:b/>
          <w:bCs/>
          <w:i/>
          <w:iCs/>
          <w:color w:val="1F497D" w:themeColor="text2"/>
          <w:sz w:val="28"/>
          <w:szCs w:val="28"/>
        </w:rPr>
      </w:pPr>
      <w:r w:rsidRPr="00B13B20">
        <w:rPr>
          <w:rFonts w:ascii="Arial" w:hAnsi="Arial" w:cs="Arial"/>
          <w:b/>
          <w:bCs/>
          <w:i/>
          <w:iCs/>
          <w:color w:val="1F487C"/>
          <w:sz w:val="20"/>
          <w:szCs w:val="20"/>
        </w:rPr>
        <w:t xml:space="preserve">Tabla </w:t>
      </w:r>
      <w:r w:rsidR="00B13B20">
        <w:rPr>
          <w:rFonts w:ascii="Arial" w:hAnsi="Arial" w:cs="Arial"/>
          <w:b/>
          <w:bCs/>
          <w:i/>
          <w:iCs/>
          <w:color w:val="1F487C"/>
          <w:sz w:val="20"/>
          <w:szCs w:val="20"/>
        </w:rPr>
        <w:t xml:space="preserve">No. </w:t>
      </w:r>
      <w:r w:rsidR="00EE0320" w:rsidRPr="00980ED4">
        <w:rPr>
          <w:rFonts w:ascii="Arial" w:hAnsi="Arial" w:cs="Arial"/>
          <w:b/>
          <w:bCs/>
          <w:color w:val="1F497D" w:themeColor="text2"/>
          <w:sz w:val="20"/>
          <w:szCs w:val="20"/>
        </w:rPr>
        <w:fldChar w:fldCharType="begin"/>
      </w:r>
      <w:r w:rsidR="00EE0320" w:rsidRPr="00980ED4">
        <w:rPr>
          <w:rFonts w:ascii="Arial" w:hAnsi="Arial" w:cs="Arial"/>
          <w:b/>
          <w:bCs/>
          <w:color w:val="1F497D" w:themeColor="text2"/>
          <w:sz w:val="20"/>
          <w:szCs w:val="20"/>
        </w:rPr>
        <w:instrText xml:space="preserve"> SEQ Ilustración \* ARABIC </w:instrText>
      </w:r>
      <w:r w:rsidR="00EE0320" w:rsidRPr="00980ED4">
        <w:rPr>
          <w:rFonts w:ascii="Arial" w:hAnsi="Arial" w:cs="Arial"/>
          <w:b/>
          <w:bCs/>
          <w:color w:val="1F497D" w:themeColor="text2"/>
          <w:sz w:val="20"/>
          <w:szCs w:val="20"/>
        </w:rPr>
        <w:fldChar w:fldCharType="separate"/>
      </w:r>
      <w:r w:rsidR="00EE0320">
        <w:rPr>
          <w:rFonts w:ascii="Arial" w:hAnsi="Arial" w:cs="Arial"/>
          <w:b/>
          <w:bCs/>
          <w:noProof/>
          <w:color w:val="1F497D" w:themeColor="text2"/>
          <w:sz w:val="20"/>
          <w:szCs w:val="20"/>
        </w:rPr>
        <w:t>9</w:t>
      </w:r>
      <w:r w:rsidR="00EE0320" w:rsidRPr="00980ED4">
        <w:rPr>
          <w:rFonts w:ascii="Arial" w:hAnsi="Arial" w:cs="Arial"/>
          <w:b/>
          <w:bCs/>
          <w:color w:val="1F497D" w:themeColor="text2"/>
          <w:sz w:val="20"/>
          <w:szCs w:val="20"/>
        </w:rPr>
        <w:fldChar w:fldCharType="end"/>
      </w:r>
      <w:r w:rsidRPr="00B13B20">
        <w:rPr>
          <w:rFonts w:ascii="Arial" w:hAnsi="Arial" w:cs="Arial"/>
          <w:b/>
          <w:bCs/>
          <w:i/>
          <w:iCs/>
          <w:color w:val="1F487C"/>
          <w:sz w:val="20"/>
          <w:szCs w:val="20"/>
        </w:rPr>
        <w:t xml:space="preserve"> información de Bolsa Común UAPA - PAE. </w:t>
      </w:r>
      <w:r w:rsidR="00B13B20" w:rsidRPr="00B13B20">
        <w:rPr>
          <w:rFonts w:ascii="Arial" w:hAnsi="Arial" w:cs="Arial"/>
          <w:b/>
          <w:bCs/>
          <w:i/>
          <w:iCs/>
          <w:color w:val="1F487C"/>
          <w:sz w:val="20"/>
          <w:szCs w:val="20"/>
        </w:rPr>
        <w:t>Distrito Cartagena de Indias - Bolívar, vigencia 2021.</w:t>
      </w: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9"/>
        <w:gridCol w:w="3795"/>
        <w:gridCol w:w="2279"/>
        <w:gridCol w:w="2269"/>
      </w:tblGrid>
      <w:tr w:rsidR="00057CFD" w:rsidRPr="00A71FBC" w14:paraId="65E88DAE" w14:textId="77777777" w:rsidTr="00AB5D3E">
        <w:trPr>
          <w:trHeight w:val="486"/>
          <w:tblHeader/>
          <w:jc w:val="center"/>
        </w:trPr>
        <w:tc>
          <w:tcPr>
            <w:tcW w:w="911" w:type="pct"/>
            <w:shd w:val="clear" w:color="auto" w:fill="666699"/>
            <w:vAlign w:val="center"/>
            <w:hideMark/>
          </w:tcPr>
          <w:p w14:paraId="067676BB" w14:textId="77777777" w:rsidR="00057CFD" w:rsidRPr="00A71FBC" w:rsidRDefault="00057CFD" w:rsidP="00835F25">
            <w:pPr>
              <w:contextualSpacing/>
              <w:jc w:val="center"/>
              <w:rPr>
                <w:rFonts w:ascii="Arial" w:eastAsia="Times New Roman" w:hAnsi="Arial" w:cs="Arial"/>
                <w:b/>
                <w:bCs/>
                <w:color w:val="FFFFFF" w:themeColor="background1"/>
                <w:sz w:val="12"/>
                <w:szCs w:val="12"/>
                <w:lang w:val="es-CO" w:eastAsia="es-CO"/>
              </w:rPr>
            </w:pPr>
            <w:r w:rsidRPr="00A71FBC">
              <w:rPr>
                <w:rFonts w:ascii="Arial" w:eastAsia="Times New Roman" w:hAnsi="Arial" w:cs="Arial"/>
                <w:b/>
                <w:bCs/>
                <w:color w:val="FFFFFF" w:themeColor="background1"/>
                <w:sz w:val="12"/>
                <w:szCs w:val="12"/>
                <w:lang w:val="es-CO" w:eastAsia="es-CO"/>
              </w:rPr>
              <w:t>NIT DE LA ENTIDAD QUE TRANSFIERE(Unidad)</w:t>
            </w:r>
          </w:p>
        </w:tc>
        <w:tc>
          <w:tcPr>
            <w:tcW w:w="1860" w:type="pct"/>
            <w:shd w:val="clear" w:color="auto" w:fill="666699"/>
            <w:vAlign w:val="center"/>
            <w:hideMark/>
          </w:tcPr>
          <w:p w14:paraId="09B58D73" w14:textId="77777777" w:rsidR="00057CFD" w:rsidRPr="00A71FBC" w:rsidRDefault="00057CFD" w:rsidP="00835F25">
            <w:pPr>
              <w:contextualSpacing/>
              <w:jc w:val="center"/>
              <w:rPr>
                <w:rFonts w:ascii="Arial" w:eastAsia="Times New Roman" w:hAnsi="Arial" w:cs="Arial"/>
                <w:b/>
                <w:bCs/>
                <w:color w:val="FFFFFF" w:themeColor="background1"/>
                <w:sz w:val="12"/>
                <w:szCs w:val="12"/>
                <w:lang w:val="es-CO" w:eastAsia="es-CO"/>
              </w:rPr>
            </w:pPr>
            <w:r w:rsidRPr="00A71FBC">
              <w:rPr>
                <w:rFonts w:ascii="Arial" w:eastAsia="Times New Roman" w:hAnsi="Arial" w:cs="Arial"/>
                <w:b/>
                <w:bCs/>
                <w:color w:val="FFFFFF" w:themeColor="background1"/>
                <w:sz w:val="12"/>
                <w:szCs w:val="12"/>
                <w:lang w:val="es-CO" w:eastAsia="es-CO"/>
              </w:rPr>
              <w:t>FUENTE DE RECURSOS</w:t>
            </w:r>
          </w:p>
        </w:tc>
        <w:tc>
          <w:tcPr>
            <w:tcW w:w="1117" w:type="pct"/>
            <w:shd w:val="clear" w:color="auto" w:fill="666699"/>
            <w:vAlign w:val="center"/>
            <w:hideMark/>
          </w:tcPr>
          <w:p w14:paraId="15001A05" w14:textId="77777777" w:rsidR="00057CFD" w:rsidRPr="00A71FBC" w:rsidRDefault="00057CFD" w:rsidP="00835F25">
            <w:pPr>
              <w:contextualSpacing/>
              <w:jc w:val="center"/>
              <w:rPr>
                <w:rFonts w:ascii="Arial" w:eastAsia="Times New Roman" w:hAnsi="Arial" w:cs="Arial"/>
                <w:b/>
                <w:bCs/>
                <w:color w:val="FFFFFF" w:themeColor="background1"/>
                <w:sz w:val="12"/>
                <w:szCs w:val="12"/>
                <w:lang w:val="es-CO" w:eastAsia="es-CO"/>
              </w:rPr>
            </w:pPr>
            <w:r w:rsidRPr="00A71FBC">
              <w:rPr>
                <w:rFonts w:ascii="Arial" w:eastAsia="Times New Roman" w:hAnsi="Arial" w:cs="Arial"/>
                <w:b/>
                <w:bCs/>
                <w:color w:val="FFFFFF" w:themeColor="background1"/>
                <w:sz w:val="12"/>
                <w:szCs w:val="12"/>
                <w:lang w:val="es-CO" w:eastAsia="es-CO"/>
              </w:rPr>
              <w:t>VALOR DE LA ASIGNACIÓN</w:t>
            </w:r>
            <w:r w:rsidR="00A40FCD">
              <w:rPr>
                <w:rFonts w:ascii="Arial" w:eastAsia="Times New Roman" w:hAnsi="Arial" w:cs="Arial"/>
                <w:b/>
                <w:bCs/>
                <w:color w:val="FFFFFF" w:themeColor="background1"/>
                <w:sz w:val="12"/>
                <w:szCs w:val="12"/>
                <w:lang w:val="es-CO" w:eastAsia="es-CO"/>
              </w:rPr>
              <w:t xml:space="preserve"> </w:t>
            </w:r>
            <w:r w:rsidRPr="00A71FBC">
              <w:rPr>
                <w:rFonts w:ascii="Arial" w:eastAsia="Times New Roman" w:hAnsi="Arial" w:cs="Arial"/>
                <w:b/>
                <w:bCs/>
                <w:color w:val="FFFFFF" w:themeColor="background1"/>
                <w:sz w:val="12"/>
                <w:szCs w:val="12"/>
                <w:lang w:val="es-CO" w:eastAsia="es-CO"/>
              </w:rPr>
              <w:t>(Pesos)</w:t>
            </w:r>
          </w:p>
        </w:tc>
        <w:tc>
          <w:tcPr>
            <w:tcW w:w="1112" w:type="pct"/>
            <w:shd w:val="clear" w:color="auto" w:fill="666699"/>
            <w:vAlign w:val="center"/>
            <w:hideMark/>
          </w:tcPr>
          <w:p w14:paraId="3FF2EFDB" w14:textId="77777777" w:rsidR="00057CFD" w:rsidRPr="00A71FBC" w:rsidRDefault="00057CFD" w:rsidP="00835F25">
            <w:pPr>
              <w:contextualSpacing/>
              <w:jc w:val="center"/>
              <w:rPr>
                <w:rFonts w:ascii="Arial" w:eastAsia="Times New Roman" w:hAnsi="Arial" w:cs="Arial"/>
                <w:b/>
                <w:bCs/>
                <w:color w:val="FFFFFF" w:themeColor="background1"/>
                <w:sz w:val="12"/>
                <w:szCs w:val="12"/>
                <w:lang w:val="es-CO" w:eastAsia="es-CO"/>
              </w:rPr>
            </w:pPr>
            <w:r w:rsidRPr="00A71FBC">
              <w:rPr>
                <w:rFonts w:ascii="Arial" w:eastAsia="Times New Roman" w:hAnsi="Arial" w:cs="Arial"/>
                <w:b/>
                <w:bCs/>
                <w:color w:val="FFFFFF" w:themeColor="background1"/>
                <w:sz w:val="12"/>
                <w:szCs w:val="12"/>
                <w:lang w:val="es-CO" w:eastAsia="es-CO"/>
              </w:rPr>
              <w:t>TOTAL RECAUDADO ACUM. A CORTE</w:t>
            </w:r>
            <w:r w:rsidR="00A40FCD">
              <w:rPr>
                <w:rFonts w:ascii="Arial" w:eastAsia="Times New Roman" w:hAnsi="Arial" w:cs="Arial"/>
                <w:b/>
                <w:bCs/>
                <w:color w:val="FFFFFF" w:themeColor="background1"/>
                <w:sz w:val="12"/>
                <w:szCs w:val="12"/>
                <w:lang w:val="es-CO" w:eastAsia="es-CO"/>
              </w:rPr>
              <w:t xml:space="preserve"> </w:t>
            </w:r>
            <w:r w:rsidRPr="00A71FBC">
              <w:rPr>
                <w:rFonts w:ascii="Arial" w:eastAsia="Times New Roman" w:hAnsi="Arial" w:cs="Arial"/>
                <w:b/>
                <w:bCs/>
                <w:color w:val="FFFFFF" w:themeColor="background1"/>
                <w:sz w:val="12"/>
                <w:szCs w:val="12"/>
                <w:lang w:val="es-CO" w:eastAsia="es-CO"/>
              </w:rPr>
              <w:t>(Pesos)</w:t>
            </w:r>
          </w:p>
        </w:tc>
      </w:tr>
      <w:tr w:rsidR="00057CFD" w:rsidRPr="00A71FBC" w14:paraId="733D3258" w14:textId="77777777" w:rsidTr="00AB5D3E">
        <w:trPr>
          <w:trHeight w:val="393"/>
          <w:jc w:val="center"/>
        </w:trPr>
        <w:tc>
          <w:tcPr>
            <w:tcW w:w="911" w:type="pct"/>
            <w:shd w:val="clear" w:color="auto" w:fill="auto"/>
            <w:vAlign w:val="center"/>
            <w:hideMark/>
          </w:tcPr>
          <w:p w14:paraId="25904659" w14:textId="77777777" w:rsidR="00057CFD" w:rsidRPr="00A71FBC" w:rsidRDefault="0043501B" w:rsidP="00835F25">
            <w:pPr>
              <w:contextualSpacing/>
              <w:jc w:val="center"/>
              <w:rPr>
                <w:rFonts w:ascii="Arial" w:eastAsia="Times New Roman" w:hAnsi="Arial" w:cs="Arial"/>
                <w:sz w:val="12"/>
                <w:szCs w:val="12"/>
                <w:lang w:val="es-CO" w:eastAsia="es-CO"/>
              </w:rPr>
            </w:pPr>
            <w:r w:rsidRPr="0043501B">
              <w:rPr>
                <w:rFonts w:ascii="Arial" w:eastAsia="Times New Roman" w:hAnsi="Arial" w:cs="Arial"/>
                <w:sz w:val="12"/>
                <w:szCs w:val="12"/>
                <w:lang w:val="es-CO" w:eastAsia="es-CO"/>
              </w:rPr>
              <w:t>901377527</w:t>
            </w:r>
          </w:p>
        </w:tc>
        <w:tc>
          <w:tcPr>
            <w:tcW w:w="1860" w:type="pct"/>
            <w:shd w:val="clear" w:color="auto" w:fill="auto"/>
            <w:vAlign w:val="center"/>
            <w:hideMark/>
          </w:tcPr>
          <w:p w14:paraId="2AE77AA8" w14:textId="77777777" w:rsidR="00057CFD" w:rsidRPr="00A71FBC" w:rsidRDefault="00DF7F4E" w:rsidP="00835F25">
            <w:pPr>
              <w:contextualSpacing/>
              <w:jc w:val="center"/>
              <w:rPr>
                <w:rFonts w:ascii="Arial" w:eastAsia="Times New Roman" w:hAnsi="Arial" w:cs="Arial"/>
                <w:sz w:val="12"/>
                <w:szCs w:val="12"/>
                <w:lang w:val="es-CO" w:eastAsia="es-CO"/>
              </w:rPr>
            </w:pPr>
            <w:r w:rsidRPr="00DF7F4E">
              <w:rPr>
                <w:rFonts w:ascii="Arial" w:eastAsia="Times New Roman" w:hAnsi="Arial" w:cs="Arial"/>
                <w:sz w:val="12"/>
                <w:szCs w:val="12"/>
                <w:lang w:val="es-CO" w:eastAsia="es-CO"/>
              </w:rPr>
              <w:t>RECURSOS DE INVERSION DEL PGN ASIGNADOS POR UAPA - VIGENCIA ACTUAL</w:t>
            </w:r>
          </w:p>
        </w:tc>
        <w:tc>
          <w:tcPr>
            <w:tcW w:w="1117" w:type="pct"/>
            <w:shd w:val="clear" w:color="auto" w:fill="auto"/>
            <w:vAlign w:val="center"/>
            <w:hideMark/>
          </w:tcPr>
          <w:p w14:paraId="0D594CF6" w14:textId="77777777" w:rsidR="00057CFD" w:rsidRPr="00A71FBC" w:rsidRDefault="00DF7F4E"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$3.188.660.178</w:t>
            </w:r>
          </w:p>
        </w:tc>
        <w:tc>
          <w:tcPr>
            <w:tcW w:w="1112" w:type="pct"/>
            <w:shd w:val="clear" w:color="auto" w:fill="auto"/>
            <w:vAlign w:val="center"/>
            <w:hideMark/>
          </w:tcPr>
          <w:p w14:paraId="35EA293F" w14:textId="77777777" w:rsidR="00057CFD" w:rsidRPr="00A71FBC" w:rsidRDefault="00DF7F4E"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$3.188.660.178</w:t>
            </w:r>
          </w:p>
        </w:tc>
      </w:tr>
      <w:tr w:rsidR="00057CFD" w:rsidRPr="00A71FBC" w14:paraId="0FC13222" w14:textId="77777777" w:rsidTr="00AB5D3E">
        <w:trPr>
          <w:trHeight w:val="393"/>
          <w:jc w:val="center"/>
        </w:trPr>
        <w:tc>
          <w:tcPr>
            <w:tcW w:w="911" w:type="pct"/>
            <w:shd w:val="clear" w:color="auto" w:fill="auto"/>
            <w:vAlign w:val="center"/>
            <w:hideMark/>
          </w:tcPr>
          <w:p w14:paraId="0DC15FB8" w14:textId="77777777" w:rsidR="00057CFD" w:rsidRPr="00A71FBC" w:rsidRDefault="00057CFD" w:rsidP="00835F25">
            <w:pPr>
              <w:contextualSpacing/>
              <w:jc w:val="center"/>
              <w:rPr>
                <w:rFonts w:ascii="Arial" w:eastAsia="Times New Roman" w:hAnsi="Arial" w:cs="Arial"/>
                <w:sz w:val="12"/>
                <w:szCs w:val="12"/>
                <w:lang w:val="es-CO" w:eastAsia="es-CO"/>
              </w:rPr>
            </w:pPr>
            <w:r w:rsidRPr="00A71FBC">
              <w:rPr>
                <w:rFonts w:ascii="Arial" w:eastAsia="Times New Roman" w:hAnsi="Arial" w:cs="Arial"/>
                <w:sz w:val="12"/>
                <w:szCs w:val="12"/>
                <w:lang w:val="es-CO" w:eastAsia="es-CO"/>
              </w:rPr>
              <w:t>901377527</w:t>
            </w:r>
          </w:p>
        </w:tc>
        <w:tc>
          <w:tcPr>
            <w:tcW w:w="1860" w:type="pct"/>
            <w:shd w:val="clear" w:color="auto" w:fill="auto"/>
            <w:vAlign w:val="center"/>
            <w:hideMark/>
          </w:tcPr>
          <w:p w14:paraId="4E81D229" w14:textId="77777777" w:rsidR="00057CFD" w:rsidRPr="00A71FBC" w:rsidRDefault="000E42D0" w:rsidP="00835F25">
            <w:pPr>
              <w:contextualSpacing/>
              <w:jc w:val="center"/>
              <w:rPr>
                <w:rFonts w:ascii="Arial" w:eastAsia="Times New Roman" w:hAnsi="Arial" w:cs="Arial"/>
                <w:sz w:val="12"/>
                <w:szCs w:val="12"/>
                <w:lang w:val="es-CO" w:eastAsia="es-CO"/>
              </w:rPr>
            </w:pPr>
            <w:r w:rsidRPr="000E42D0">
              <w:rPr>
                <w:rFonts w:ascii="Arial" w:eastAsia="Times New Roman" w:hAnsi="Arial" w:cs="Arial"/>
                <w:sz w:val="12"/>
                <w:szCs w:val="12"/>
                <w:lang w:val="es-CO" w:eastAsia="es-CO"/>
              </w:rPr>
              <w:t>SGP ALIMENTACION ESCOLAR ONCE DOCEAVAS VIGENCIA ACTUAL MAS ULTIMA DOCEAVA VIGENCIA ANTERIOR</w:t>
            </w:r>
          </w:p>
        </w:tc>
        <w:tc>
          <w:tcPr>
            <w:tcW w:w="1117" w:type="pct"/>
            <w:shd w:val="clear" w:color="auto" w:fill="auto"/>
            <w:vAlign w:val="center"/>
            <w:hideMark/>
          </w:tcPr>
          <w:p w14:paraId="65685133" w14:textId="77777777" w:rsidR="00057CFD" w:rsidRPr="00A71FBC" w:rsidRDefault="000E42D0"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$2.647.</w:t>
            </w:r>
            <w:r w:rsidR="00182CC3">
              <w:rPr>
                <w:rFonts w:ascii="Arial" w:eastAsia="Times New Roman" w:hAnsi="Arial" w:cs="Arial"/>
                <w:sz w:val="12"/>
                <w:szCs w:val="12"/>
                <w:lang w:val="es-CO" w:eastAsia="es-CO"/>
              </w:rPr>
              <w:t>449.909</w:t>
            </w:r>
          </w:p>
        </w:tc>
        <w:tc>
          <w:tcPr>
            <w:tcW w:w="1112" w:type="pct"/>
            <w:shd w:val="clear" w:color="auto" w:fill="auto"/>
            <w:vAlign w:val="center"/>
            <w:hideMark/>
          </w:tcPr>
          <w:p w14:paraId="6DFFF75A" w14:textId="77777777" w:rsidR="00057CFD" w:rsidRPr="00A71FBC" w:rsidRDefault="00182CC3"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$2.647.449.909</w:t>
            </w:r>
          </w:p>
        </w:tc>
      </w:tr>
      <w:tr w:rsidR="00DC0265" w:rsidRPr="00A71FBC" w14:paraId="068FA42D" w14:textId="77777777" w:rsidTr="00AB5D3E">
        <w:trPr>
          <w:trHeight w:val="393"/>
          <w:jc w:val="center"/>
        </w:trPr>
        <w:tc>
          <w:tcPr>
            <w:tcW w:w="911" w:type="pct"/>
            <w:shd w:val="clear" w:color="auto" w:fill="auto"/>
            <w:vAlign w:val="center"/>
            <w:hideMark/>
          </w:tcPr>
          <w:p w14:paraId="01ACEE57" w14:textId="77777777" w:rsidR="00DC0265" w:rsidRPr="00A71FBC" w:rsidRDefault="00DC0265" w:rsidP="00835F25">
            <w:pPr>
              <w:contextualSpacing/>
              <w:jc w:val="center"/>
              <w:rPr>
                <w:rFonts w:ascii="Arial" w:eastAsia="Times New Roman" w:hAnsi="Arial" w:cs="Arial"/>
                <w:sz w:val="12"/>
                <w:szCs w:val="12"/>
                <w:lang w:val="es-CO" w:eastAsia="es-CO"/>
              </w:rPr>
            </w:pPr>
            <w:r w:rsidRPr="00182CC3">
              <w:rPr>
                <w:rFonts w:ascii="Arial" w:eastAsia="Times New Roman" w:hAnsi="Arial" w:cs="Arial"/>
                <w:sz w:val="12"/>
                <w:szCs w:val="12"/>
                <w:lang w:val="es-CO" w:eastAsia="es-CO"/>
              </w:rPr>
              <w:t>899999001</w:t>
            </w:r>
          </w:p>
        </w:tc>
        <w:tc>
          <w:tcPr>
            <w:tcW w:w="1860" w:type="pct"/>
            <w:shd w:val="clear" w:color="auto" w:fill="auto"/>
            <w:vAlign w:val="center"/>
            <w:hideMark/>
          </w:tcPr>
          <w:p w14:paraId="6240249E" w14:textId="77777777" w:rsidR="00DC0265" w:rsidRPr="00A71FBC" w:rsidRDefault="00DC0265" w:rsidP="00835F25">
            <w:pPr>
              <w:contextualSpacing/>
              <w:jc w:val="center"/>
              <w:rPr>
                <w:rFonts w:ascii="Arial" w:eastAsia="Times New Roman" w:hAnsi="Arial" w:cs="Arial"/>
                <w:sz w:val="12"/>
                <w:szCs w:val="12"/>
                <w:lang w:val="es-CO" w:eastAsia="es-CO"/>
              </w:rPr>
            </w:pPr>
            <w:r w:rsidRPr="00DC0265">
              <w:rPr>
                <w:rFonts w:ascii="Arial" w:eastAsia="Times New Roman" w:hAnsi="Arial" w:cs="Arial"/>
                <w:sz w:val="12"/>
                <w:szCs w:val="12"/>
                <w:lang w:val="es-CO" w:eastAsia="es-CO"/>
              </w:rPr>
              <w:t>RECURSOS DE INVERSION DEL PGN ASIGNADOS POR UAPA - VIGENCIA ACTUAL</w:t>
            </w:r>
          </w:p>
        </w:tc>
        <w:tc>
          <w:tcPr>
            <w:tcW w:w="1117" w:type="pct"/>
            <w:shd w:val="clear" w:color="auto" w:fill="auto"/>
            <w:vAlign w:val="center"/>
            <w:hideMark/>
          </w:tcPr>
          <w:p w14:paraId="51C9B743" w14:textId="77777777" w:rsidR="00DC0265" w:rsidRPr="00A71FBC" w:rsidRDefault="00DC0265"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$8.666.265.8</w:t>
            </w:r>
            <w:r w:rsidR="00961CE3">
              <w:rPr>
                <w:rFonts w:ascii="Arial" w:eastAsia="Times New Roman" w:hAnsi="Arial" w:cs="Arial"/>
                <w:sz w:val="12"/>
                <w:szCs w:val="12"/>
                <w:lang w:val="es-CO" w:eastAsia="es-CO"/>
              </w:rPr>
              <w:t>8</w:t>
            </w:r>
            <w:r>
              <w:rPr>
                <w:rFonts w:ascii="Arial" w:eastAsia="Times New Roman" w:hAnsi="Arial" w:cs="Arial"/>
                <w:sz w:val="12"/>
                <w:szCs w:val="12"/>
                <w:lang w:val="es-CO" w:eastAsia="es-CO"/>
              </w:rPr>
              <w:t>0</w:t>
            </w:r>
          </w:p>
        </w:tc>
        <w:tc>
          <w:tcPr>
            <w:tcW w:w="1112" w:type="pct"/>
            <w:shd w:val="clear" w:color="auto" w:fill="auto"/>
            <w:vAlign w:val="center"/>
            <w:hideMark/>
          </w:tcPr>
          <w:p w14:paraId="42886B78" w14:textId="77777777" w:rsidR="00DC0265" w:rsidRPr="00A71FBC" w:rsidRDefault="00961CE3"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$8.666.265.880</w:t>
            </w:r>
          </w:p>
        </w:tc>
      </w:tr>
      <w:tr w:rsidR="00EC6958" w:rsidRPr="00A71FBC" w14:paraId="6CAACD11" w14:textId="77777777" w:rsidTr="00AB5D3E">
        <w:trPr>
          <w:trHeight w:val="393"/>
          <w:jc w:val="center"/>
        </w:trPr>
        <w:tc>
          <w:tcPr>
            <w:tcW w:w="911" w:type="pct"/>
            <w:shd w:val="clear" w:color="auto" w:fill="auto"/>
            <w:vAlign w:val="center"/>
            <w:hideMark/>
          </w:tcPr>
          <w:p w14:paraId="4F9A140F" w14:textId="77777777" w:rsidR="00EC6958" w:rsidRPr="00A71FBC" w:rsidRDefault="00EC6958"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0</w:t>
            </w:r>
          </w:p>
        </w:tc>
        <w:tc>
          <w:tcPr>
            <w:tcW w:w="1860" w:type="pct"/>
            <w:shd w:val="clear" w:color="auto" w:fill="auto"/>
            <w:vAlign w:val="center"/>
            <w:hideMark/>
          </w:tcPr>
          <w:p w14:paraId="650068C0" w14:textId="77777777" w:rsidR="00EC6958" w:rsidRPr="00A71FBC" w:rsidRDefault="00EC6958" w:rsidP="00835F25">
            <w:pPr>
              <w:contextualSpacing/>
              <w:jc w:val="center"/>
              <w:rPr>
                <w:rFonts w:ascii="Arial" w:eastAsia="Times New Roman" w:hAnsi="Arial" w:cs="Arial"/>
                <w:sz w:val="12"/>
                <w:szCs w:val="12"/>
                <w:lang w:val="es-CO" w:eastAsia="es-CO"/>
              </w:rPr>
            </w:pPr>
            <w:r w:rsidRPr="00EC6958">
              <w:rPr>
                <w:rFonts w:ascii="Arial" w:eastAsia="Times New Roman" w:hAnsi="Arial" w:cs="Arial"/>
                <w:sz w:val="12"/>
                <w:szCs w:val="12"/>
                <w:lang w:val="es-CO" w:eastAsia="es-CO"/>
              </w:rPr>
              <w:t>RECURSOS DEL SISTEMA GENERAL DE REGALIAS</w:t>
            </w:r>
          </w:p>
        </w:tc>
        <w:tc>
          <w:tcPr>
            <w:tcW w:w="1117" w:type="pct"/>
            <w:shd w:val="clear" w:color="auto" w:fill="auto"/>
            <w:vAlign w:val="center"/>
            <w:hideMark/>
          </w:tcPr>
          <w:p w14:paraId="5BBF7DC4" w14:textId="77777777" w:rsidR="00EC6958" w:rsidRPr="00A71FBC" w:rsidRDefault="00EC6958"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22</w:t>
            </w: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916</w:t>
            </w: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276</w:t>
            </w: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093</w:t>
            </w:r>
          </w:p>
        </w:tc>
        <w:tc>
          <w:tcPr>
            <w:tcW w:w="1112" w:type="pct"/>
            <w:shd w:val="clear" w:color="auto" w:fill="auto"/>
            <w:vAlign w:val="center"/>
            <w:hideMark/>
          </w:tcPr>
          <w:p w14:paraId="5C48B73F" w14:textId="77777777" w:rsidR="00EC6958" w:rsidRPr="00A71FBC" w:rsidRDefault="00EC6958"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22</w:t>
            </w: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916</w:t>
            </w: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276</w:t>
            </w:r>
            <w:r>
              <w:rPr>
                <w:rFonts w:ascii="Arial" w:eastAsia="Times New Roman" w:hAnsi="Arial" w:cs="Arial"/>
                <w:sz w:val="12"/>
                <w:szCs w:val="12"/>
                <w:lang w:val="es-CO" w:eastAsia="es-CO"/>
              </w:rPr>
              <w:t>.</w:t>
            </w:r>
            <w:r w:rsidRPr="00EC6958">
              <w:rPr>
                <w:rFonts w:ascii="Arial" w:eastAsia="Times New Roman" w:hAnsi="Arial" w:cs="Arial"/>
                <w:sz w:val="12"/>
                <w:szCs w:val="12"/>
                <w:lang w:val="es-CO" w:eastAsia="es-CO"/>
              </w:rPr>
              <w:t>093</w:t>
            </w:r>
          </w:p>
        </w:tc>
      </w:tr>
      <w:tr w:rsidR="00EC6958" w:rsidRPr="00A71FBC" w14:paraId="1B22E396" w14:textId="77777777" w:rsidTr="00AB5D3E">
        <w:trPr>
          <w:trHeight w:val="393"/>
          <w:jc w:val="center"/>
        </w:trPr>
        <w:tc>
          <w:tcPr>
            <w:tcW w:w="2771" w:type="pct"/>
            <w:gridSpan w:val="2"/>
            <w:shd w:val="clear" w:color="auto" w:fill="CCCCFF"/>
            <w:vAlign w:val="center"/>
          </w:tcPr>
          <w:p w14:paraId="6F89F591" w14:textId="77777777" w:rsidR="00EC6958" w:rsidRPr="00A71FBC" w:rsidRDefault="00EC6958" w:rsidP="00835F25">
            <w:pPr>
              <w:contextualSpacing/>
              <w:jc w:val="center"/>
              <w:rPr>
                <w:rFonts w:ascii="Arial" w:eastAsia="Times New Roman" w:hAnsi="Arial" w:cs="Arial"/>
                <w:b/>
                <w:bCs/>
                <w:sz w:val="12"/>
                <w:szCs w:val="12"/>
                <w:lang w:val="es-CO" w:eastAsia="es-CO"/>
              </w:rPr>
            </w:pPr>
            <w:r w:rsidRPr="00A71FBC">
              <w:rPr>
                <w:rFonts w:ascii="Arial" w:eastAsia="Times New Roman" w:hAnsi="Arial" w:cs="Arial"/>
                <w:b/>
                <w:bCs/>
                <w:sz w:val="12"/>
                <w:szCs w:val="12"/>
                <w:lang w:val="es-CO" w:eastAsia="es-CO"/>
              </w:rPr>
              <w:t>TOTAL</w:t>
            </w:r>
          </w:p>
        </w:tc>
        <w:tc>
          <w:tcPr>
            <w:tcW w:w="1117" w:type="pct"/>
            <w:shd w:val="clear" w:color="auto" w:fill="CCCCFF"/>
            <w:vAlign w:val="center"/>
          </w:tcPr>
          <w:p w14:paraId="1A9EA733" w14:textId="77777777" w:rsidR="00EC6958" w:rsidRPr="00A71FBC" w:rsidRDefault="008F7867" w:rsidP="00835F25">
            <w:pPr>
              <w:contextualSpacing/>
              <w:jc w:val="center"/>
              <w:rPr>
                <w:rFonts w:ascii="Arial" w:eastAsia="Times New Roman" w:hAnsi="Arial" w:cs="Arial"/>
                <w:b/>
                <w:bCs/>
                <w:sz w:val="12"/>
                <w:szCs w:val="12"/>
                <w:lang w:val="es-CO" w:eastAsia="es-CO"/>
              </w:rPr>
            </w:pPr>
            <w:r>
              <w:rPr>
                <w:rFonts w:ascii="Arial" w:eastAsia="Times New Roman" w:hAnsi="Arial" w:cs="Arial"/>
                <w:b/>
                <w:bCs/>
                <w:sz w:val="12"/>
                <w:szCs w:val="12"/>
                <w:lang w:val="es-CO" w:eastAsia="es-CO"/>
              </w:rPr>
              <w:t>$37.418.652.060</w:t>
            </w:r>
          </w:p>
        </w:tc>
        <w:tc>
          <w:tcPr>
            <w:tcW w:w="1112" w:type="pct"/>
            <w:shd w:val="clear" w:color="auto" w:fill="CCCCFF"/>
            <w:vAlign w:val="center"/>
          </w:tcPr>
          <w:p w14:paraId="53811C2E" w14:textId="77777777" w:rsidR="00EC6958" w:rsidRPr="00A71FBC" w:rsidRDefault="008F7867" w:rsidP="00835F25">
            <w:pPr>
              <w:contextualSpacing/>
              <w:jc w:val="center"/>
              <w:rPr>
                <w:rFonts w:ascii="Arial" w:eastAsia="Times New Roman" w:hAnsi="Arial" w:cs="Arial"/>
                <w:b/>
                <w:bCs/>
                <w:sz w:val="12"/>
                <w:szCs w:val="12"/>
                <w:lang w:val="es-CO" w:eastAsia="es-CO"/>
              </w:rPr>
            </w:pPr>
            <w:r>
              <w:rPr>
                <w:rFonts w:ascii="Arial" w:eastAsia="Times New Roman" w:hAnsi="Arial" w:cs="Arial"/>
                <w:b/>
                <w:bCs/>
                <w:sz w:val="12"/>
                <w:szCs w:val="12"/>
                <w:lang w:val="es-CO" w:eastAsia="es-CO"/>
              </w:rPr>
              <w:t>$37.418.652.060</w:t>
            </w:r>
          </w:p>
        </w:tc>
      </w:tr>
    </w:tbl>
    <w:p w14:paraId="2481A0EC" w14:textId="77777777" w:rsidR="00057CFD" w:rsidRPr="00A71FBC" w:rsidRDefault="00057CFD"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3072ED">
        <w:rPr>
          <w:rFonts w:ascii="Arial" w:hAnsi="Arial" w:cs="Arial"/>
          <w:sz w:val="16"/>
          <w:szCs w:val="16"/>
        </w:rPr>
        <w:t>partir</w:t>
      </w:r>
      <w:r w:rsidR="003072ED" w:rsidRPr="00A71FBC">
        <w:rPr>
          <w:rFonts w:ascii="Arial" w:hAnsi="Arial" w:cs="Arial"/>
          <w:sz w:val="16"/>
          <w:szCs w:val="16"/>
        </w:rPr>
        <w:t xml:space="preserve"> </w:t>
      </w:r>
      <w:r w:rsidRPr="00A71FBC">
        <w:rPr>
          <w:rFonts w:ascii="Arial" w:hAnsi="Arial" w:cs="Arial"/>
          <w:sz w:val="16"/>
          <w:szCs w:val="16"/>
        </w:rPr>
        <w:t>del reporte de información en la Categoría UAPA - PAE 2021.</w:t>
      </w:r>
    </w:p>
    <w:p w14:paraId="1C0756C0" w14:textId="77777777" w:rsidR="00057CFD" w:rsidRDefault="00057CFD" w:rsidP="00835F25">
      <w:pPr>
        <w:contextualSpacing/>
        <w:jc w:val="both"/>
        <w:rPr>
          <w:rFonts w:ascii="Arial" w:hAnsi="Arial" w:cs="Arial"/>
          <w:sz w:val="22"/>
          <w:szCs w:val="22"/>
        </w:rPr>
      </w:pPr>
    </w:p>
    <w:p w14:paraId="6097D57F" w14:textId="77777777" w:rsidR="00FA5551" w:rsidRDefault="00FA5551" w:rsidP="00835F25">
      <w:pPr>
        <w:contextualSpacing/>
        <w:jc w:val="both"/>
        <w:rPr>
          <w:rFonts w:ascii="Arial" w:hAnsi="Arial" w:cs="Arial"/>
          <w:sz w:val="22"/>
          <w:szCs w:val="22"/>
        </w:rPr>
      </w:pPr>
      <w:r>
        <w:rPr>
          <w:rFonts w:ascii="Arial" w:hAnsi="Arial" w:cs="Arial"/>
          <w:sz w:val="22"/>
          <w:szCs w:val="22"/>
        </w:rPr>
        <w:t xml:space="preserve">Frente a lo anterior, </w:t>
      </w:r>
      <w:r w:rsidR="00486F90">
        <w:rPr>
          <w:rFonts w:ascii="Arial" w:hAnsi="Arial" w:cs="Arial"/>
          <w:sz w:val="22"/>
          <w:szCs w:val="22"/>
        </w:rPr>
        <w:t xml:space="preserve">se evidencia </w:t>
      </w:r>
      <w:r w:rsidR="002A6880">
        <w:rPr>
          <w:rFonts w:ascii="Arial" w:hAnsi="Arial" w:cs="Arial"/>
          <w:sz w:val="22"/>
          <w:szCs w:val="22"/>
        </w:rPr>
        <w:t xml:space="preserve">que </w:t>
      </w:r>
      <w:r w:rsidR="00591885">
        <w:rPr>
          <w:rFonts w:ascii="Arial" w:hAnsi="Arial" w:cs="Arial"/>
          <w:sz w:val="22"/>
          <w:szCs w:val="22"/>
        </w:rPr>
        <w:t>la Entidad no está reportando las transferencias realizadas por el Ministerio de Hacienda y Crédito Públic</w:t>
      </w:r>
      <w:r w:rsidR="003072ED">
        <w:rPr>
          <w:rFonts w:ascii="Arial" w:hAnsi="Arial" w:cs="Arial"/>
          <w:sz w:val="22"/>
          <w:szCs w:val="22"/>
        </w:rPr>
        <w:t>o</w:t>
      </w:r>
      <w:r w:rsidR="00190B73">
        <w:rPr>
          <w:rFonts w:ascii="Arial" w:hAnsi="Arial" w:cs="Arial"/>
          <w:sz w:val="22"/>
          <w:szCs w:val="22"/>
        </w:rPr>
        <w:t xml:space="preserve"> por concepto de </w:t>
      </w:r>
      <w:r w:rsidR="00EA32F5">
        <w:rPr>
          <w:rFonts w:ascii="Arial" w:hAnsi="Arial" w:cs="Arial"/>
          <w:sz w:val="22"/>
          <w:szCs w:val="22"/>
        </w:rPr>
        <w:t xml:space="preserve">la </w:t>
      </w:r>
      <w:r w:rsidR="00190B73">
        <w:rPr>
          <w:rFonts w:ascii="Arial" w:hAnsi="Arial" w:cs="Arial"/>
          <w:sz w:val="22"/>
          <w:szCs w:val="22"/>
        </w:rPr>
        <w:t>Asignación Especial para Alimentación Escolar del Sistema General de Participaciones</w:t>
      </w:r>
      <w:r w:rsidR="00AB7CEB">
        <w:rPr>
          <w:rFonts w:ascii="Arial" w:hAnsi="Arial" w:cs="Arial"/>
          <w:sz w:val="22"/>
          <w:szCs w:val="22"/>
        </w:rPr>
        <w:t xml:space="preserve"> con el </w:t>
      </w:r>
      <w:r w:rsidR="000F7DE1">
        <w:rPr>
          <w:rFonts w:ascii="Arial" w:hAnsi="Arial" w:cs="Arial"/>
          <w:sz w:val="22"/>
          <w:szCs w:val="22"/>
        </w:rPr>
        <w:t xml:space="preserve">NIT </w:t>
      </w:r>
      <w:r w:rsidR="00AB7CEB">
        <w:rPr>
          <w:rFonts w:ascii="Arial" w:hAnsi="Arial" w:cs="Arial"/>
          <w:sz w:val="22"/>
          <w:szCs w:val="22"/>
        </w:rPr>
        <w:t xml:space="preserve">correcto, </w:t>
      </w:r>
      <w:r w:rsidR="00EA32F5">
        <w:rPr>
          <w:rFonts w:ascii="Arial" w:hAnsi="Arial" w:cs="Arial"/>
          <w:sz w:val="22"/>
          <w:szCs w:val="22"/>
        </w:rPr>
        <w:t>dado</w:t>
      </w:r>
      <w:r w:rsidR="00AB7CEB">
        <w:rPr>
          <w:rFonts w:ascii="Arial" w:hAnsi="Arial" w:cs="Arial"/>
          <w:sz w:val="22"/>
          <w:szCs w:val="22"/>
        </w:rPr>
        <w:t xml:space="preserve"> que se está reportando el número </w:t>
      </w:r>
      <w:r w:rsidR="0063268A">
        <w:rPr>
          <w:rFonts w:ascii="Arial" w:hAnsi="Arial" w:cs="Arial"/>
          <w:sz w:val="22"/>
          <w:szCs w:val="22"/>
        </w:rPr>
        <w:t xml:space="preserve">de </w:t>
      </w:r>
      <w:r w:rsidR="0063268A" w:rsidRPr="0063268A">
        <w:rPr>
          <w:rFonts w:ascii="Arial" w:hAnsi="Arial" w:cs="Arial"/>
          <w:sz w:val="22"/>
          <w:szCs w:val="22"/>
        </w:rPr>
        <w:t xml:space="preserve">Unidad Administrativa Especial </w:t>
      </w:r>
      <w:r w:rsidR="003072ED">
        <w:rPr>
          <w:rFonts w:ascii="Arial" w:hAnsi="Arial" w:cs="Arial"/>
          <w:sz w:val="22"/>
          <w:szCs w:val="22"/>
        </w:rPr>
        <w:t>d</w:t>
      </w:r>
      <w:r w:rsidR="0063268A" w:rsidRPr="0063268A">
        <w:rPr>
          <w:rFonts w:ascii="Arial" w:hAnsi="Arial" w:cs="Arial"/>
          <w:sz w:val="22"/>
          <w:szCs w:val="22"/>
        </w:rPr>
        <w:t xml:space="preserve">e </w:t>
      </w:r>
      <w:r w:rsidR="003072ED" w:rsidRPr="0063268A">
        <w:rPr>
          <w:rFonts w:ascii="Arial" w:hAnsi="Arial" w:cs="Arial"/>
          <w:sz w:val="22"/>
          <w:szCs w:val="22"/>
        </w:rPr>
        <w:t>Alimentación</w:t>
      </w:r>
      <w:r w:rsidR="0063268A" w:rsidRPr="0063268A">
        <w:rPr>
          <w:rFonts w:ascii="Arial" w:hAnsi="Arial" w:cs="Arial"/>
          <w:sz w:val="22"/>
          <w:szCs w:val="22"/>
        </w:rPr>
        <w:t xml:space="preserve"> Escolar </w:t>
      </w:r>
      <w:r w:rsidR="000F7DE1">
        <w:rPr>
          <w:rFonts w:ascii="Arial" w:hAnsi="Arial" w:cs="Arial"/>
          <w:sz w:val="22"/>
          <w:szCs w:val="22"/>
        </w:rPr>
        <w:t>–</w:t>
      </w:r>
      <w:r w:rsidR="0063268A" w:rsidRPr="0063268A">
        <w:rPr>
          <w:rFonts w:ascii="Arial" w:hAnsi="Arial" w:cs="Arial"/>
          <w:sz w:val="22"/>
          <w:szCs w:val="22"/>
        </w:rPr>
        <w:t xml:space="preserve"> </w:t>
      </w:r>
      <w:r w:rsidR="000F7DE1">
        <w:rPr>
          <w:rFonts w:ascii="Arial" w:hAnsi="Arial" w:cs="Arial"/>
          <w:sz w:val="22"/>
          <w:szCs w:val="22"/>
        </w:rPr>
        <w:t>“</w:t>
      </w:r>
      <w:r w:rsidR="0063268A" w:rsidRPr="00B3648E">
        <w:rPr>
          <w:rFonts w:ascii="Arial" w:hAnsi="Arial" w:cs="Arial"/>
          <w:i/>
          <w:iCs/>
          <w:sz w:val="22"/>
          <w:szCs w:val="22"/>
        </w:rPr>
        <w:t>Alimentos Para Aprender</w:t>
      </w:r>
      <w:r w:rsidR="000F7DE1">
        <w:rPr>
          <w:rFonts w:ascii="Arial" w:hAnsi="Arial" w:cs="Arial"/>
          <w:sz w:val="22"/>
          <w:szCs w:val="22"/>
        </w:rPr>
        <w:t>”</w:t>
      </w:r>
      <w:r w:rsidR="0063268A">
        <w:rPr>
          <w:rFonts w:ascii="Arial" w:hAnsi="Arial" w:cs="Arial"/>
          <w:sz w:val="22"/>
          <w:szCs w:val="22"/>
        </w:rPr>
        <w:t>.</w:t>
      </w:r>
    </w:p>
    <w:p w14:paraId="3BE6497F" w14:textId="77777777" w:rsidR="00F94D82" w:rsidRDefault="00F94D82" w:rsidP="00835F25">
      <w:pPr>
        <w:contextualSpacing/>
        <w:jc w:val="both"/>
        <w:rPr>
          <w:rFonts w:ascii="Arial" w:hAnsi="Arial" w:cs="Arial"/>
          <w:sz w:val="22"/>
          <w:szCs w:val="22"/>
        </w:rPr>
      </w:pPr>
    </w:p>
    <w:p w14:paraId="0C9E573F" w14:textId="77777777" w:rsidR="00F94D82" w:rsidRDefault="00F94D82" w:rsidP="00835F25">
      <w:pPr>
        <w:contextualSpacing/>
        <w:jc w:val="both"/>
        <w:rPr>
          <w:rFonts w:ascii="Arial" w:hAnsi="Arial" w:cs="Arial"/>
          <w:sz w:val="22"/>
          <w:szCs w:val="22"/>
        </w:rPr>
      </w:pPr>
      <w:r>
        <w:rPr>
          <w:rFonts w:ascii="Arial" w:hAnsi="Arial" w:cs="Arial"/>
          <w:sz w:val="22"/>
          <w:szCs w:val="22"/>
        </w:rPr>
        <w:lastRenderedPageBreak/>
        <w:t>Por último, también se evidencia</w:t>
      </w:r>
      <w:r w:rsidR="000F7DE1">
        <w:rPr>
          <w:rFonts w:ascii="Arial" w:hAnsi="Arial" w:cs="Arial"/>
          <w:sz w:val="22"/>
          <w:szCs w:val="22"/>
        </w:rPr>
        <w:t>n</w:t>
      </w:r>
      <w:r>
        <w:rPr>
          <w:rFonts w:ascii="Arial" w:hAnsi="Arial" w:cs="Arial"/>
          <w:sz w:val="22"/>
          <w:szCs w:val="22"/>
        </w:rPr>
        <w:t xml:space="preserve"> </w:t>
      </w:r>
      <w:r w:rsidR="0052191F">
        <w:rPr>
          <w:rFonts w:ascii="Arial" w:hAnsi="Arial" w:cs="Arial"/>
          <w:sz w:val="22"/>
          <w:szCs w:val="22"/>
        </w:rPr>
        <w:t xml:space="preserve">los recursos que </w:t>
      </w:r>
      <w:r w:rsidR="0030548D">
        <w:rPr>
          <w:rFonts w:ascii="Arial" w:hAnsi="Arial" w:cs="Arial"/>
          <w:sz w:val="22"/>
          <w:szCs w:val="22"/>
        </w:rPr>
        <w:t xml:space="preserve">fueron ejecutados con </w:t>
      </w:r>
      <w:r w:rsidR="004D3076">
        <w:rPr>
          <w:rFonts w:ascii="Arial" w:hAnsi="Arial" w:cs="Arial"/>
          <w:sz w:val="22"/>
          <w:szCs w:val="22"/>
        </w:rPr>
        <w:t>cargo a la fuente del</w:t>
      </w:r>
      <w:r w:rsidR="0052191F">
        <w:rPr>
          <w:rFonts w:ascii="Arial" w:hAnsi="Arial" w:cs="Arial"/>
          <w:sz w:val="22"/>
          <w:szCs w:val="22"/>
        </w:rPr>
        <w:t xml:space="preserve"> Sistema General de Regalías – SGR, </w:t>
      </w:r>
      <w:r w:rsidR="004605CE">
        <w:rPr>
          <w:rFonts w:ascii="Arial" w:hAnsi="Arial" w:cs="Arial"/>
          <w:sz w:val="22"/>
          <w:szCs w:val="22"/>
        </w:rPr>
        <w:t>los cuales son girados</w:t>
      </w:r>
      <w:r w:rsidR="007148D1">
        <w:rPr>
          <w:rFonts w:ascii="Arial" w:hAnsi="Arial" w:cs="Arial"/>
          <w:sz w:val="22"/>
          <w:szCs w:val="22"/>
        </w:rPr>
        <w:t xml:space="preserve"> directamente</w:t>
      </w:r>
      <w:r w:rsidR="004605CE">
        <w:rPr>
          <w:rFonts w:ascii="Arial" w:hAnsi="Arial" w:cs="Arial"/>
          <w:sz w:val="22"/>
          <w:szCs w:val="22"/>
        </w:rPr>
        <w:t xml:space="preserve"> </w:t>
      </w:r>
      <w:r w:rsidR="00687F06">
        <w:rPr>
          <w:rFonts w:ascii="Arial" w:hAnsi="Arial" w:cs="Arial"/>
          <w:sz w:val="22"/>
          <w:szCs w:val="22"/>
        </w:rPr>
        <w:t xml:space="preserve">al </w:t>
      </w:r>
      <w:r w:rsidR="00BF260F">
        <w:rPr>
          <w:rFonts w:ascii="Arial" w:hAnsi="Arial" w:cs="Arial"/>
          <w:sz w:val="22"/>
          <w:szCs w:val="22"/>
        </w:rPr>
        <w:t xml:space="preserve">prestador del </w:t>
      </w:r>
      <w:r w:rsidR="000F7DE1">
        <w:rPr>
          <w:rFonts w:ascii="Arial" w:hAnsi="Arial" w:cs="Arial"/>
          <w:sz w:val="22"/>
          <w:szCs w:val="22"/>
        </w:rPr>
        <w:t>S</w:t>
      </w:r>
      <w:r w:rsidR="00BF260F">
        <w:rPr>
          <w:rFonts w:ascii="Arial" w:hAnsi="Arial" w:cs="Arial"/>
          <w:sz w:val="22"/>
          <w:szCs w:val="22"/>
        </w:rPr>
        <w:t>ervicio a través del Sistema de Presupuesto y Giro de Regalías.</w:t>
      </w:r>
    </w:p>
    <w:p w14:paraId="3185B1A7" w14:textId="77777777" w:rsidR="00FA5551" w:rsidRPr="00A71FBC" w:rsidRDefault="00FA5551" w:rsidP="00835F25">
      <w:pPr>
        <w:contextualSpacing/>
        <w:jc w:val="both"/>
        <w:rPr>
          <w:rFonts w:ascii="Arial" w:hAnsi="Arial" w:cs="Arial"/>
          <w:sz w:val="22"/>
          <w:szCs w:val="22"/>
        </w:rPr>
      </w:pPr>
    </w:p>
    <w:p w14:paraId="70FD1C1F" w14:textId="77777777" w:rsidR="00057CFD" w:rsidRPr="00A71FBC" w:rsidRDefault="00057CFD" w:rsidP="00835F25">
      <w:pPr>
        <w:pStyle w:val="Prrafodelista"/>
        <w:numPr>
          <w:ilvl w:val="0"/>
          <w:numId w:val="28"/>
        </w:numPr>
        <w:jc w:val="both"/>
        <w:rPr>
          <w:rFonts w:ascii="Arial" w:hAnsi="Arial" w:cs="Arial"/>
          <w:sz w:val="22"/>
          <w:szCs w:val="22"/>
        </w:rPr>
      </w:pPr>
      <w:r w:rsidRPr="00A71FBC">
        <w:rPr>
          <w:rFonts w:ascii="Arial" w:hAnsi="Arial" w:cs="Arial"/>
          <w:sz w:val="22"/>
          <w:szCs w:val="22"/>
        </w:rPr>
        <w:t>Contratación.</w:t>
      </w:r>
    </w:p>
    <w:p w14:paraId="392CC3E7" w14:textId="77777777" w:rsidR="00057CFD" w:rsidRPr="00B3648E" w:rsidRDefault="00057CFD" w:rsidP="00646700">
      <w:pPr>
        <w:contextualSpacing/>
        <w:jc w:val="both"/>
        <w:rPr>
          <w:rFonts w:ascii="Arial" w:hAnsi="Arial" w:cs="Arial"/>
          <w:sz w:val="22"/>
          <w:szCs w:val="22"/>
        </w:rPr>
      </w:pPr>
    </w:p>
    <w:p w14:paraId="05644B77" w14:textId="77777777" w:rsidR="00057CFD" w:rsidRPr="00A71FBC" w:rsidRDefault="00057CFD" w:rsidP="00835F25">
      <w:pPr>
        <w:contextualSpacing/>
        <w:jc w:val="both"/>
        <w:rPr>
          <w:rFonts w:ascii="Arial" w:hAnsi="Arial" w:cs="Arial"/>
          <w:sz w:val="22"/>
          <w:szCs w:val="22"/>
        </w:rPr>
      </w:pPr>
      <w:r w:rsidRPr="00836DCE">
        <w:rPr>
          <w:rFonts w:ascii="Arial" w:hAnsi="Arial" w:cs="Arial"/>
          <w:sz w:val="22"/>
          <w:szCs w:val="22"/>
        </w:rPr>
        <w:t xml:space="preserve">A partir de la información desagregada de la contratación por parte del </w:t>
      </w:r>
      <w:r w:rsidR="00870FC3">
        <w:rPr>
          <w:rFonts w:ascii="Arial" w:hAnsi="Arial" w:cs="Arial"/>
          <w:sz w:val="22"/>
          <w:szCs w:val="22"/>
        </w:rPr>
        <w:t>Distrito de Cartagena</w:t>
      </w:r>
      <w:r w:rsidRPr="00836DCE">
        <w:rPr>
          <w:rFonts w:ascii="Arial" w:hAnsi="Arial" w:cs="Arial"/>
          <w:sz w:val="22"/>
          <w:szCs w:val="22"/>
        </w:rPr>
        <w:t>, se evidenció que se han registrado compromisos por valor de $</w:t>
      </w:r>
      <w:r w:rsidR="00253600">
        <w:rPr>
          <w:rFonts w:ascii="Arial" w:hAnsi="Arial" w:cs="Arial"/>
          <w:sz w:val="22"/>
          <w:szCs w:val="22"/>
        </w:rPr>
        <w:t>18.090</w:t>
      </w:r>
      <w:r w:rsidRPr="00836DCE">
        <w:rPr>
          <w:rFonts w:ascii="Arial" w:hAnsi="Arial" w:cs="Arial"/>
          <w:sz w:val="22"/>
          <w:szCs w:val="22"/>
        </w:rPr>
        <w:t xml:space="preserve"> millones de los cuales $</w:t>
      </w:r>
      <w:r w:rsidR="00253600">
        <w:rPr>
          <w:rFonts w:ascii="Arial" w:hAnsi="Arial" w:cs="Arial"/>
          <w:sz w:val="22"/>
          <w:szCs w:val="22"/>
        </w:rPr>
        <w:t>17.393</w:t>
      </w:r>
      <w:r w:rsidRPr="00836DCE">
        <w:rPr>
          <w:rFonts w:ascii="Arial" w:hAnsi="Arial" w:cs="Arial"/>
          <w:sz w:val="22"/>
          <w:szCs w:val="22"/>
        </w:rPr>
        <w:t xml:space="preserve"> millones corresponden a la contratación del Operador y $</w:t>
      </w:r>
      <w:r w:rsidR="00253600">
        <w:rPr>
          <w:rFonts w:ascii="Arial" w:hAnsi="Arial" w:cs="Arial"/>
          <w:sz w:val="22"/>
          <w:szCs w:val="22"/>
        </w:rPr>
        <w:t>697</w:t>
      </w:r>
      <w:r w:rsidRPr="00836DCE">
        <w:rPr>
          <w:rFonts w:ascii="Arial" w:hAnsi="Arial" w:cs="Arial"/>
          <w:sz w:val="22"/>
          <w:szCs w:val="22"/>
        </w:rPr>
        <w:t xml:space="preserve"> millones a la contratación del equipo supervisor. Al respecto, llama la atención que el total contratado para la operación no corresponde con la suma total diligenciada en el componente de prestación del Servicio ni tampoco con la información entregada por parte de la Entidad Territorial a esta Dirección de los recursos destinados al Programa lo</w:t>
      </w:r>
      <w:r w:rsidR="003072ED">
        <w:rPr>
          <w:rFonts w:ascii="Arial" w:hAnsi="Arial" w:cs="Arial"/>
          <w:sz w:val="22"/>
          <w:szCs w:val="22"/>
        </w:rPr>
        <w:t>s</w:t>
      </w:r>
      <w:r w:rsidRPr="00836DCE">
        <w:rPr>
          <w:rFonts w:ascii="Arial" w:hAnsi="Arial" w:cs="Arial"/>
          <w:sz w:val="22"/>
          <w:szCs w:val="22"/>
        </w:rPr>
        <w:t xml:space="preserve"> cuales ascienden a los $</w:t>
      </w:r>
      <w:r w:rsidR="00944119">
        <w:rPr>
          <w:rFonts w:ascii="Arial" w:hAnsi="Arial" w:cs="Arial"/>
          <w:sz w:val="22"/>
          <w:szCs w:val="22"/>
        </w:rPr>
        <w:t>38.890</w:t>
      </w:r>
      <w:r w:rsidRPr="00836DCE">
        <w:rPr>
          <w:rFonts w:ascii="Arial" w:hAnsi="Arial" w:cs="Arial"/>
          <w:sz w:val="22"/>
          <w:szCs w:val="22"/>
        </w:rPr>
        <w:t xml:space="preserve"> millones</w:t>
      </w:r>
      <w:r w:rsidR="00637AFB">
        <w:rPr>
          <w:rFonts w:ascii="Arial" w:hAnsi="Arial" w:cs="Arial"/>
          <w:sz w:val="22"/>
          <w:szCs w:val="22"/>
        </w:rPr>
        <w:t xml:space="preserve"> incluida la fuente </w:t>
      </w:r>
      <w:r w:rsidR="00EA32F5">
        <w:rPr>
          <w:rFonts w:ascii="Arial" w:hAnsi="Arial" w:cs="Arial"/>
          <w:sz w:val="22"/>
          <w:szCs w:val="22"/>
        </w:rPr>
        <w:t xml:space="preserve">del </w:t>
      </w:r>
      <w:r w:rsidR="00637AFB">
        <w:rPr>
          <w:rFonts w:ascii="Arial" w:hAnsi="Arial" w:cs="Arial"/>
          <w:sz w:val="22"/>
          <w:szCs w:val="22"/>
        </w:rPr>
        <w:t>S</w:t>
      </w:r>
      <w:r w:rsidR="00EA32F5">
        <w:rPr>
          <w:rFonts w:ascii="Arial" w:hAnsi="Arial" w:cs="Arial"/>
          <w:sz w:val="22"/>
          <w:szCs w:val="22"/>
        </w:rPr>
        <w:t xml:space="preserve">istema </w:t>
      </w:r>
      <w:r w:rsidR="00637AFB">
        <w:rPr>
          <w:rFonts w:ascii="Arial" w:hAnsi="Arial" w:cs="Arial"/>
          <w:sz w:val="22"/>
          <w:szCs w:val="22"/>
        </w:rPr>
        <w:t>G</w:t>
      </w:r>
      <w:r w:rsidR="00EA32F5">
        <w:rPr>
          <w:rFonts w:ascii="Arial" w:hAnsi="Arial" w:cs="Arial"/>
          <w:sz w:val="22"/>
          <w:szCs w:val="22"/>
        </w:rPr>
        <w:t xml:space="preserve">eneral de </w:t>
      </w:r>
      <w:r w:rsidR="00637AFB">
        <w:rPr>
          <w:rFonts w:ascii="Arial" w:hAnsi="Arial" w:cs="Arial"/>
          <w:sz w:val="22"/>
          <w:szCs w:val="22"/>
        </w:rPr>
        <w:t>R</w:t>
      </w:r>
      <w:r w:rsidR="00EA32F5">
        <w:rPr>
          <w:rFonts w:ascii="Arial" w:hAnsi="Arial" w:cs="Arial"/>
          <w:sz w:val="22"/>
          <w:szCs w:val="22"/>
        </w:rPr>
        <w:t>egalías</w:t>
      </w:r>
      <w:r w:rsidR="00637AFB">
        <w:rPr>
          <w:rFonts w:ascii="Arial" w:hAnsi="Arial" w:cs="Arial"/>
          <w:sz w:val="22"/>
          <w:szCs w:val="22"/>
        </w:rPr>
        <w:t xml:space="preserve"> y </w:t>
      </w:r>
      <w:r w:rsidR="00D72743">
        <w:rPr>
          <w:rFonts w:ascii="Arial" w:hAnsi="Arial" w:cs="Arial"/>
          <w:sz w:val="22"/>
          <w:szCs w:val="22"/>
        </w:rPr>
        <w:t>$15.721</w:t>
      </w:r>
      <w:r w:rsidR="00FF216B">
        <w:rPr>
          <w:rFonts w:ascii="Arial" w:hAnsi="Arial" w:cs="Arial"/>
          <w:sz w:val="22"/>
          <w:szCs w:val="22"/>
        </w:rPr>
        <w:t xml:space="preserve"> millones sin incluir Regalías.</w:t>
      </w:r>
    </w:p>
    <w:p w14:paraId="73AFBFD6" w14:textId="77777777" w:rsidR="00057CFD" w:rsidRPr="00A71FBC" w:rsidRDefault="00057CFD" w:rsidP="00835F25">
      <w:pPr>
        <w:contextualSpacing/>
        <w:jc w:val="both"/>
        <w:rPr>
          <w:rFonts w:ascii="Arial" w:hAnsi="Arial" w:cs="Arial"/>
          <w:sz w:val="22"/>
          <w:szCs w:val="22"/>
        </w:rPr>
      </w:pPr>
    </w:p>
    <w:p w14:paraId="385F6A01" w14:textId="77777777" w:rsidR="00057CFD" w:rsidRPr="00227BD6" w:rsidRDefault="00057CFD" w:rsidP="00835F25">
      <w:pPr>
        <w:contextualSpacing/>
        <w:jc w:val="center"/>
        <w:rPr>
          <w:rFonts w:ascii="Arial" w:hAnsi="Arial" w:cs="Arial"/>
          <w:b/>
          <w:bCs/>
        </w:rPr>
      </w:pPr>
      <w:r w:rsidRPr="00227BD6">
        <w:rPr>
          <w:rFonts w:ascii="Arial" w:hAnsi="Arial" w:cs="Arial"/>
          <w:b/>
          <w:bCs/>
          <w:i/>
          <w:iCs/>
          <w:color w:val="1F487C"/>
          <w:sz w:val="20"/>
          <w:szCs w:val="20"/>
        </w:rPr>
        <w:t xml:space="preserve">Tabla </w:t>
      </w:r>
      <w:r w:rsidR="00227BD6">
        <w:rPr>
          <w:rFonts w:ascii="Arial" w:hAnsi="Arial" w:cs="Arial"/>
          <w:b/>
          <w:bCs/>
          <w:i/>
          <w:iCs/>
          <w:color w:val="1F487C"/>
          <w:sz w:val="20"/>
          <w:szCs w:val="20"/>
        </w:rPr>
        <w:t xml:space="preserve">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10</w:t>
      </w:r>
      <w:r w:rsidR="00EE0320" w:rsidRPr="00B3648E">
        <w:rPr>
          <w:rFonts w:ascii="Arial" w:hAnsi="Arial" w:cs="Arial"/>
          <w:b/>
          <w:bCs/>
          <w:i/>
          <w:iCs/>
          <w:color w:val="1F497D" w:themeColor="text2"/>
          <w:sz w:val="20"/>
          <w:szCs w:val="20"/>
        </w:rPr>
        <w:fldChar w:fldCharType="end"/>
      </w:r>
      <w:r w:rsidRPr="00227BD6">
        <w:rPr>
          <w:rFonts w:ascii="Arial" w:hAnsi="Arial" w:cs="Arial"/>
          <w:b/>
          <w:bCs/>
          <w:i/>
          <w:iCs/>
          <w:color w:val="1F487C"/>
          <w:sz w:val="20"/>
          <w:szCs w:val="20"/>
        </w:rPr>
        <w:t xml:space="preserve"> información de Contratación UAPA - PAE. </w:t>
      </w:r>
      <w:r w:rsidR="00227BD6">
        <w:rPr>
          <w:rFonts w:ascii="Arial" w:hAnsi="Arial" w:cs="Arial"/>
          <w:b/>
          <w:bCs/>
          <w:i/>
          <w:iCs/>
          <w:color w:val="1F487C"/>
          <w:sz w:val="20"/>
          <w:szCs w:val="20"/>
        </w:rPr>
        <w:t>Distrito de Cartagena de Indias - Bolívar</w:t>
      </w:r>
      <w:r w:rsidRPr="00227BD6">
        <w:rPr>
          <w:rFonts w:ascii="Arial" w:hAnsi="Arial" w:cs="Arial"/>
          <w:b/>
          <w:bCs/>
          <w:i/>
          <w:iCs/>
          <w:color w:val="1F487C"/>
          <w:sz w:val="20"/>
          <w:szCs w:val="20"/>
        </w:rPr>
        <w:t>, vigencia 2021.</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3"/>
        <w:gridCol w:w="4220"/>
        <w:gridCol w:w="1784"/>
      </w:tblGrid>
      <w:tr w:rsidR="00057CFD" w:rsidRPr="00A71FBC" w14:paraId="1121A29A" w14:textId="77777777" w:rsidTr="00C62138">
        <w:trPr>
          <w:trHeight w:val="235"/>
          <w:jc w:val="center"/>
        </w:trPr>
        <w:tc>
          <w:tcPr>
            <w:tcW w:w="3223" w:type="dxa"/>
            <w:shd w:val="clear" w:color="auto" w:fill="666699"/>
            <w:noWrap/>
            <w:vAlign w:val="center"/>
            <w:hideMark/>
          </w:tcPr>
          <w:p w14:paraId="3F728C8B" w14:textId="77777777" w:rsidR="00057CFD" w:rsidRPr="00A71FBC" w:rsidRDefault="00057CFD" w:rsidP="00835F25">
            <w:pPr>
              <w:contextualSpacing/>
              <w:jc w:val="center"/>
              <w:rPr>
                <w:rFonts w:ascii="Arial" w:eastAsia="Times New Roman" w:hAnsi="Arial" w:cs="Arial"/>
                <w:b/>
                <w:bCs/>
                <w:color w:val="FFFFFF" w:themeColor="background1"/>
                <w:sz w:val="12"/>
                <w:szCs w:val="12"/>
                <w:lang w:val="es-CO" w:eastAsia="es-CO"/>
              </w:rPr>
            </w:pPr>
            <w:r w:rsidRPr="00A71FBC">
              <w:rPr>
                <w:rFonts w:ascii="Arial" w:eastAsia="Times New Roman" w:hAnsi="Arial" w:cs="Arial"/>
                <w:b/>
                <w:bCs/>
                <w:color w:val="FFFFFF" w:themeColor="background1"/>
                <w:sz w:val="12"/>
                <w:szCs w:val="12"/>
                <w:lang w:val="es-CO" w:eastAsia="es-CO"/>
              </w:rPr>
              <w:t>CONCEPTO DE GASTO DE INVERSION</w:t>
            </w:r>
          </w:p>
        </w:tc>
        <w:tc>
          <w:tcPr>
            <w:tcW w:w="4220" w:type="dxa"/>
            <w:shd w:val="clear" w:color="auto" w:fill="666699"/>
            <w:noWrap/>
            <w:vAlign w:val="center"/>
            <w:hideMark/>
          </w:tcPr>
          <w:p w14:paraId="288684B8" w14:textId="77777777" w:rsidR="00057CFD" w:rsidRPr="00A71FBC" w:rsidRDefault="00057CFD" w:rsidP="00835F25">
            <w:pPr>
              <w:contextualSpacing/>
              <w:jc w:val="center"/>
              <w:rPr>
                <w:rFonts w:ascii="Arial" w:eastAsia="Times New Roman" w:hAnsi="Arial" w:cs="Arial"/>
                <w:b/>
                <w:bCs/>
                <w:color w:val="FFFFFF" w:themeColor="background1"/>
                <w:sz w:val="12"/>
                <w:szCs w:val="12"/>
                <w:lang w:val="es-CO" w:eastAsia="es-CO"/>
              </w:rPr>
            </w:pPr>
            <w:r w:rsidRPr="00A71FBC">
              <w:rPr>
                <w:rFonts w:ascii="Arial" w:eastAsia="Times New Roman" w:hAnsi="Arial" w:cs="Arial"/>
                <w:b/>
                <w:bCs/>
                <w:color w:val="FFFFFF" w:themeColor="background1"/>
                <w:sz w:val="12"/>
                <w:szCs w:val="12"/>
                <w:lang w:val="es-CO" w:eastAsia="es-CO"/>
              </w:rPr>
              <w:t>FUENTE DE RECURSOS</w:t>
            </w:r>
          </w:p>
        </w:tc>
        <w:tc>
          <w:tcPr>
            <w:tcW w:w="1784" w:type="dxa"/>
            <w:shd w:val="clear" w:color="auto" w:fill="666699"/>
            <w:noWrap/>
            <w:vAlign w:val="center"/>
            <w:hideMark/>
          </w:tcPr>
          <w:p w14:paraId="4B9E409D" w14:textId="77777777" w:rsidR="00057CFD" w:rsidRPr="00A71FBC" w:rsidRDefault="00057CFD" w:rsidP="00835F25">
            <w:pPr>
              <w:contextualSpacing/>
              <w:jc w:val="center"/>
              <w:rPr>
                <w:rFonts w:ascii="Arial" w:eastAsia="Times New Roman" w:hAnsi="Arial" w:cs="Arial"/>
                <w:b/>
                <w:bCs/>
                <w:color w:val="FFFFFF" w:themeColor="background1"/>
                <w:sz w:val="12"/>
                <w:szCs w:val="12"/>
                <w:lang w:val="es-CO" w:eastAsia="es-CO"/>
              </w:rPr>
            </w:pPr>
            <w:r w:rsidRPr="00A71FBC">
              <w:rPr>
                <w:rFonts w:ascii="Arial" w:eastAsia="Times New Roman" w:hAnsi="Arial" w:cs="Arial"/>
                <w:b/>
                <w:bCs/>
                <w:color w:val="FFFFFF" w:themeColor="background1"/>
                <w:sz w:val="12"/>
                <w:szCs w:val="12"/>
                <w:lang w:val="es-CO" w:eastAsia="es-CO"/>
              </w:rPr>
              <w:t>Total</w:t>
            </w:r>
          </w:p>
        </w:tc>
      </w:tr>
      <w:tr w:rsidR="000415C0" w:rsidRPr="00A71FBC" w14:paraId="48F61F22" w14:textId="77777777" w:rsidTr="00C62138">
        <w:trPr>
          <w:trHeight w:val="480"/>
          <w:jc w:val="center"/>
        </w:trPr>
        <w:tc>
          <w:tcPr>
            <w:tcW w:w="3223" w:type="dxa"/>
            <w:shd w:val="clear" w:color="auto" w:fill="auto"/>
            <w:noWrap/>
            <w:vAlign w:val="center"/>
            <w:hideMark/>
          </w:tcPr>
          <w:p w14:paraId="5267A012" w14:textId="77777777" w:rsidR="000415C0" w:rsidRPr="00A71FBC" w:rsidRDefault="000415C0" w:rsidP="00835F25">
            <w:pPr>
              <w:contextualSpacing/>
              <w:jc w:val="center"/>
              <w:rPr>
                <w:rFonts w:ascii="Arial" w:eastAsia="Times New Roman" w:hAnsi="Arial" w:cs="Arial"/>
                <w:sz w:val="12"/>
                <w:szCs w:val="12"/>
                <w:lang w:val="es-CO" w:eastAsia="es-CO"/>
              </w:rPr>
            </w:pPr>
            <w:r w:rsidRPr="00A71FBC">
              <w:rPr>
                <w:rFonts w:ascii="Arial" w:eastAsia="Times New Roman" w:hAnsi="Arial" w:cs="Arial"/>
                <w:sz w:val="12"/>
                <w:szCs w:val="12"/>
                <w:lang w:val="es-CO" w:eastAsia="es-CO"/>
              </w:rPr>
              <w:t>CONTRATACION CON TERCEROS PARA LA PROVISION INTEGRAL DEL SERVICIO DE ALIMENTACION ESCOLAR</w:t>
            </w:r>
          </w:p>
        </w:tc>
        <w:tc>
          <w:tcPr>
            <w:tcW w:w="4220" w:type="dxa"/>
            <w:shd w:val="clear" w:color="auto" w:fill="auto"/>
            <w:noWrap/>
            <w:vAlign w:val="center"/>
            <w:hideMark/>
          </w:tcPr>
          <w:p w14:paraId="6C74C03B" w14:textId="77777777" w:rsidR="000415C0" w:rsidRPr="00A71FBC" w:rsidRDefault="000415C0" w:rsidP="00835F25">
            <w:pPr>
              <w:contextualSpacing/>
              <w:jc w:val="center"/>
              <w:rPr>
                <w:rFonts w:ascii="Arial" w:eastAsia="Times New Roman" w:hAnsi="Arial" w:cs="Arial"/>
                <w:sz w:val="12"/>
                <w:szCs w:val="12"/>
                <w:lang w:val="es-CO" w:eastAsia="es-CO"/>
              </w:rPr>
            </w:pPr>
            <w:r w:rsidRPr="00813767">
              <w:rPr>
                <w:rFonts w:ascii="Arial" w:eastAsia="Times New Roman" w:hAnsi="Arial" w:cs="Arial"/>
                <w:sz w:val="12"/>
                <w:szCs w:val="12"/>
                <w:lang w:val="es-CO" w:eastAsia="es-CO"/>
              </w:rPr>
              <w:t>SGP ALIMENTACION ESCOLAR ONCE DOCEAVAS VIGENCIA ACTUAL MAS ULTIMA DOCEAVA VIGENCIA ANTERIOR</w:t>
            </w:r>
          </w:p>
        </w:tc>
        <w:tc>
          <w:tcPr>
            <w:tcW w:w="1784" w:type="dxa"/>
            <w:shd w:val="clear" w:color="auto" w:fill="auto"/>
            <w:noWrap/>
            <w:vAlign w:val="center"/>
            <w:hideMark/>
          </w:tcPr>
          <w:p w14:paraId="55FF94A3" w14:textId="77777777" w:rsidR="000415C0" w:rsidRPr="00A71FBC" w:rsidRDefault="000415C0"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$17.393.331.880</w:t>
            </w:r>
          </w:p>
        </w:tc>
      </w:tr>
      <w:tr w:rsidR="00057CFD" w:rsidRPr="00A71FBC" w14:paraId="340C5937" w14:textId="77777777" w:rsidTr="00C62138">
        <w:trPr>
          <w:trHeight w:val="235"/>
          <w:jc w:val="center"/>
        </w:trPr>
        <w:tc>
          <w:tcPr>
            <w:tcW w:w="7443" w:type="dxa"/>
            <w:gridSpan w:val="2"/>
            <w:shd w:val="clear" w:color="auto" w:fill="CCCCFF"/>
            <w:noWrap/>
            <w:vAlign w:val="center"/>
            <w:hideMark/>
          </w:tcPr>
          <w:p w14:paraId="2515471A" w14:textId="77777777" w:rsidR="00057CFD" w:rsidRPr="00A71FBC" w:rsidRDefault="00057CFD" w:rsidP="00835F25">
            <w:pPr>
              <w:contextualSpacing/>
              <w:jc w:val="center"/>
              <w:rPr>
                <w:rFonts w:ascii="Arial" w:eastAsia="Times New Roman" w:hAnsi="Arial" w:cs="Arial"/>
                <w:b/>
                <w:bCs/>
                <w:sz w:val="12"/>
                <w:szCs w:val="12"/>
                <w:lang w:val="es-CO" w:eastAsia="es-CO"/>
              </w:rPr>
            </w:pPr>
            <w:r w:rsidRPr="00A71FBC">
              <w:rPr>
                <w:rFonts w:ascii="Arial" w:eastAsia="Times New Roman" w:hAnsi="Arial" w:cs="Arial"/>
                <w:b/>
                <w:bCs/>
                <w:sz w:val="12"/>
                <w:szCs w:val="12"/>
                <w:lang w:val="es-CO" w:eastAsia="es-CO"/>
              </w:rPr>
              <w:t>Total</w:t>
            </w:r>
          </w:p>
        </w:tc>
        <w:tc>
          <w:tcPr>
            <w:tcW w:w="1784" w:type="dxa"/>
            <w:shd w:val="clear" w:color="auto" w:fill="CCCCFF"/>
            <w:noWrap/>
            <w:vAlign w:val="center"/>
            <w:hideMark/>
          </w:tcPr>
          <w:p w14:paraId="3C556B90" w14:textId="77777777" w:rsidR="00057CFD" w:rsidRPr="00A71FBC" w:rsidRDefault="00057CFD" w:rsidP="00835F25">
            <w:pPr>
              <w:contextualSpacing/>
              <w:jc w:val="center"/>
              <w:rPr>
                <w:rFonts w:ascii="Arial" w:eastAsia="Times New Roman" w:hAnsi="Arial" w:cs="Arial"/>
                <w:b/>
                <w:bCs/>
                <w:sz w:val="12"/>
                <w:szCs w:val="12"/>
                <w:lang w:val="es-CO" w:eastAsia="es-CO"/>
              </w:rPr>
            </w:pPr>
            <w:r w:rsidRPr="00A71FBC">
              <w:rPr>
                <w:rFonts w:ascii="Arial" w:eastAsia="Times New Roman" w:hAnsi="Arial" w:cs="Arial"/>
                <w:b/>
                <w:bCs/>
                <w:sz w:val="12"/>
                <w:szCs w:val="12"/>
                <w:lang w:val="es-CO" w:eastAsia="es-CO"/>
              </w:rPr>
              <w:t>$</w:t>
            </w:r>
            <w:r w:rsidR="00D350FD">
              <w:rPr>
                <w:rFonts w:ascii="Arial" w:eastAsia="Times New Roman" w:hAnsi="Arial" w:cs="Arial"/>
                <w:b/>
                <w:bCs/>
                <w:sz w:val="12"/>
                <w:szCs w:val="12"/>
                <w:lang w:val="es-CO" w:eastAsia="es-CO"/>
              </w:rPr>
              <w:t>17.393.331.880</w:t>
            </w:r>
          </w:p>
        </w:tc>
      </w:tr>
      <w:tr w:rsidR="00C62138" w:rsidRPr="00A71FBC" w14:paraId="1CF16F06" w14:textId="77777777" w:rsidTr="00C62138">
        <w:trPr>
          <w:trHeight w:val="193"/>
          <w:jc w:val="center"/>
        </w:trPr>
        <w:tc>
          <w:tcPr>
            <w:tcW w:w="3223" w:type="dxa"/>
            <w:vMerge w:val="restart"/>
            <w:shd w:val="clear" w:color="auto" w:fill="auto"/>
            <w:noWrap/>
            <w:vAlign w:val="center"/>
            <w:hideMark/>
          </w:tcPr>
          <w:p w14:paraId="58C76E04" w14:textId="77777777" w:rsidR="00C62138" w:rsidRPr="00A71FBC" w:rsidRDefault="00C62138" w:rsidP="00835F25">
            <w:pPr>
              <w:contextualSpacing/>
              <w:jc w:val="center"/>
              <w:rPr>
                <w:rFonts w:ascii="Arial" w:eastAsia="Times New Roman" w:hAnsi="Arial" w:cs="Arial"/>
                <w:sz w:val="12"/>
                <w:szCs w:val="12"/>
                <w:lang w:val="es-CO" w:eastAsia="es-CO"/>
              </w:rPr>
            </w:pPr>
            <w:r w:rsidRPr="00A71FBC">
              <w:rPr>
                <w:rFonts w:ascii="Arial" w:eastAsia="Times New Roman" w:hAnsi="Arial" w:cs="Arial"/>
                <w:sz w:val="12"/>
                <w:szCs w:val="12"/>
                <w:lang w:val="es-CO" w:eastAsia="es-CO"/>
              </w:rPr>
              <w:t>SUPERVISION, INTERVENTORIA, MONITOREO Y CONTROL DE LA PRESTACION DEL SERVICIO DEL PAE</w:t>
            </w:r>
          </w:p>
        </w:tc>
        <w:tc>
          <w:tcPr>
            <w:tcW w:w="4220" w:type="dxa"/>
            <w:shd w:val="clear" w:color="auto" w:fill="auto"/>
            <w:noWrap/>
            <w:vAlign w:val="center"/>
          </w:tcPr>
          <w:p w14:paraId="75D483E4" w14:textId="77777777" w:rsidR="00C62138" w:rsidRPr="00A71FBC" w:rsidRDefault="00A47AC7" w:rsidP="00835F25">
            <w:pPr>
              <w:contextualSpacing/>
              <w:jc w:val="center"/>
              <w:rPr>
                <w:rFonts w:ascii="Arial" w:eastAsia="Times New Roman" w:hAnsi="Arial" w:cs="Arial"/>
                <w:sz w:val="12"/>
                <w:szCs w:val="12"/>
                <w:lang w:val="es-CO" w:eastAsia="es-CO"/>
              </w:rPr>
            </w:pPr>
            <w:r w:rsidRPr="00A47AC7">
              <w:rPr>
                <w:rFonts w:ascii="Arial" w:eastAsia="Times New Roman" w:hAnsi="Arial" w:cs="Arial"/>
                <w:sz w:val="12"/>
                <w:szCs w:val="12"/>
                <w:lang w:val="es-CO" w:eastAsia="es-CO"/>
              </w:rPr>
              <w:t>RECURSOS DE INVERSION DEL PGN ASIGNADOS POR UAPA - VIGENCIA ACTUAL</w:t>
            </w:r>
          </w:p>
        </w:tc>
        <w:tc>
          <w:tcPr>
            <w:tcW w:w="1784" w:type="dxa"/>
            <w:shd w:val="clear" w:color="auto" w:fill="auto"/>
            <w:vAlign w:val="center"/>
          </w:tcPr>
          <w:p w14:paraId="74D4A601" w14:textId="77777777" w:rsidR="00C62138" w:rsidRPr="00A71FBC" w:rsidRDefault="00A47AC7"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$689.523.330</w:t>
            </w:r>
          </w:p>
        </w:tc>
      </w:tr>
      <w:tr w:rsidR="00C62138" w:rsidRPr="00A71FBC" w14:paraId="72C8DEF9" w14:textId="77777777" w:rsidTr="00C62138">
        <w:trPr>
          <w:trHeight w:val="140"/>
          <w:jc w:val="center"/>
        </w:trPr>
        <w:tc>
          <w:tcPr>
            <w:tcW w:w="3223" w:type="dxa"/>
            <w:vMerge/>
            <w:shd w:val="clear" w:color="auto" w:fill="auto"/>
            <w:noWrap/>
            <w:vAlign w:val="center"/>
          </w:tcPr>
          <w:p w14:paraId="753CF9FD" w14:textId="77777777" w:rsidR="00C62138" w:rsidRPr="00A71FBC" w:rsidRDefault="00C62138" w:rsidP="00835F25">
            <w:pPr>
              <w:contextualSpacing/>
              <w:jc w:val="center"/>
              <w:rPr>
                <w:rFonts w:ascii="Arial" w:eastAsia="Times New Roman" w:hAnsi="Arial" w:cs="Arial"/>
                <w:sz w:val="12"/>
                <w:szCs w:val="12"/>
                <w:lang w:val="es-CO" w:eastAsia="es-CO"/>
              </w:rPr>
            </w:pPr>
          </w:p>
        </w:tc>
        <w:tc>
          <w:tcPr>
            <w:tcW w:w="4220" w:type="dxa"/>
            <w:shd w:val="clear" w:color="auto" w:fill="auto"/>
            <w:noWrap/>
            <w:vAlign w:val="center"/>
          </w:tcPr>
          <w:p w14:paraId="3F4F63AF" w14:textId="77777777" w:rsidR="00C62138" w:rsidRPr="00A71FBC" w:rsidRDefault="00184438" w:rsidP="00835F25">
            <w:pPr>
              <w:contextualSpacing/>
              <w:jc w:val="center"/>
              <w:rPr>
                <w:rFonts w:ascii="Arial" w:eastAsia="Times New Roman" w:hAnsi="Arial" w:cs="Arial"/>
                <w:sz w:val="12"/>
                <w:szCs w:val="12"/>
                <w:lang w:val="es-CO" w:eastAsia="es-CO"/>
              </w:rPr>
            </w:pPr>
            <w:r w:rsidRPr="00184438">
              <w:rPr>
                <w:rFonts w:ascii="Arial" w:eastAsia="Times New Roman" w:hAnsi="Arial" w:cs="Arial"/>
                <w:sz w:val="12"/>
                <w:szCs w:val="12"/>
                <w:lang w:val="es-CO" w:eastAsia="es-CO"/>
              </w:rPr>
              <w:t>RECURSOS DEL SISTEMA GENERAL DE REGALIAS</w:t>
            </w:r>
          </w:p>
        </w:tc>
        <w:tc>
          <w:tcPr>
            <w:tcW w:w="1784" w:type="dxa"/>
            <w:shd w:val="clear" w:color="auto" w:fill="auto"/>
            <w:vAlign w:val="center"/>
          </w:tcPr>
          <w:p w14:paraId="63B00551" w14:textId="77777777" w:rsidR="00C62138" w:rsidRPr="00A71FBC" w:rsidRDefault="00A47AC7" w:rsidP="00835F25">
            <w:pPr>
              <w:contextualSpacing/>
              <w:jc w:val="center"/>
              <w:rPr>
                <w:rFonts w:ascii="Arial" w:eastAsia="Times New Roman" w:hAnsi="Arial" w:cs="Arial"/>
                <w:sz w:val="12"/>
                <w:szCs w:val="12"/>
                <w:lang w:val="es-CO" w:eastAsia="es-CO"/>
              </w:rPr>
            </w:pPr>
            <w:r>
              <w:rPr>
                <w:rFonts w:ascii="Arial" w:eastAsia="Times New Roman" w:hAnsi="Arial" w:cs="Arial"/>
                <w:sz w:val="12"/>
                <w:szCs w:val="12"/>
                <w:lang w:val="es-CO" w:eastAsia="es-CO"/>
              </w:rPr>
              <w:t>$8.000.000</w:t>
            </w:r>
          </w:p>
        </w:tc>
      </w:tr>
      <w:tr w:rsidR="00057CFD" w:rsidRPr="00A71FBC" w14:paraId="06C72005" w14:textId="77777777" w:rsidTr="00C62138">
        <w:trPr>
          <w:trHeight w:val="235"/>
          <w:jc w:val="center"/>
        </w:trPr>
        <w:tc>
          <w:tcPr>
            <w:tcW w:w="7443" w:type="dxa"/>
            <w:gridSpan w:val="2"/>
            <w:shd w:val="clear" w:color="auto" w:fill="CCCCFF"/>
            <w:noWrap/>
            <w:vAlign w:val="center"/>
            <w:hideMark/>
          </w:tcPr>
          <w:p w14:paraId="1F1EDB8A" w14:textId="77777777" w:rsidR="00057CFD" w:rsidRPr="00A71FBC" w:rsidRDefault="00057CFD" w:rsidP="00835F25">
            <w:pPr>
              <w:contextualSpacing/>
              <w:jc w:val="center"/>
              <w:rPr>
                <w:rFonts w:ascii="Arial" w:eastAsia="Times New Roman" w:hAnsi="Arial" w:cs="Arial"/>
                <w:b/>
                <w:bCs/>
                <w:sz w:val="12"/>
                <w:szCs w:val="12"/>
                <w:lang w:val="es-CO" w:eastAsia="es-CO"/>
              </w:rPr>
            </w:pPr>
            <w:r w:rsidRPr="00A71FBC">
              <w:rPr>
                <w:rFonts w:ascii="Arial" w:eastAsia="Times New Roman" w:hAnsi="Arial" w:cs="Arial"/>
                <w:b/>
                <w:bCs/>
                <w:sz w:val="12"/>
                <w:szCs w:val="12"/>
                <w:lang w:val="es-CO" w:eastAsia="es-CO"/>
              </w:rPr>
              <w:t>Total</w:t>
            </w:r>
          </w:p>
        </w:tc>
        <w:tc>
          <w:tcPr>
            <w:tcW w:w="1784" w:type="dxa"/>
            <w:shd w:val="clear" w:color="auto" w:fill="CCCCFF"/>
            <w:noWrap/>
            <w:vAlign w:val="center"/>
            <w:hideMark/>
          </w:tcPr>
          <w:p w14:paraId="7DD8F1F4" w14:textId="77777777" w:rsidR="00057CFD" w:rsidRPr="00A71FBC" w:rsidRDefault="00057CFD" w:rsidP="00835F25">
            <w:pPr>
              <w:contextualSpacing/>
              <w:jc w:val="center"/>
              <w:rPr>
                <w:rFonts w:ascii="Arial" w:eastAsia="Times New Roman" w:hAnsi="Arial" w:cs="Arial"/>
                <w:b/>
                <w:bCs/>
                <w:sz w:val="12"/>
                <w:szCs w:val="12"/>
                <w:lang w:val="es-CO" w:eastAsia="es-CO"/>
              </w:rPr>
            </w:pPr>
            <w:r w:rsidRPr="00A71FBC">
              <w:rPr>
                <w:rFonts w:ascii="Arial" w:eastAsia="Times New Roman" w:hAnsi="Arial" w:cs="Arial"/>
                <w:b/>
                <w:bCs/>
                <w:sz w:val="12"/>
                <w:szCs w:val="12"/>
                <w:lang w:val="es-CO" w:eastAsia="es-CO"/>
              </w:rPr>
              <w:t>$</w:t>
            </w:r>
            <w:r w:rsidR="00184438">
              <w:rPr>
                <w:rFonts w:ascii="Arial" w:eastAsia="Times New Roman" w:hAnsi="Arial" w:cs="Arial"/>
                <w:b/>
                <w:bCs/>
                <w:sz w:val="12"/>
                <w:szCs w:val="12"/>
                <w:lang w:val="es-CO" w:eastAsia="es-CO"/>
              </w:rPr>
              <w:t>697.523.330</w:t>
            </w:r>
          </w:p>
        </w:tc>
      </w:tr>
      <w:tr w:rsidR="00057CFD" w:rsidRPr="00A71FBC" w14:paraId="200EA6B4" w14:textId="77777777" w:rsidTr="00C62138">
        <w:trPr>
          <w:trHeight w:val="235"/>
          <w:jc w:val="center"/>
        </w:trPr>
        <w:tc>
          <w:tcPr>
            <w:tcW w:w="7443" w:type="dxa"/>
            <w:gridSpan w:val="2"/>
            <w:shd w:val="clear" w:color="auto" w:fill="CCCCFF"/>
            <w:noWrap/>
            <w:vAlign w:val="center"/>
            <w:hideMark/>
          </w:tcPr>
          <w:p w14:paraId="20241564" w14:textId="77777777" w:rsidR="00057CFD" w:rsidRPr="00A71FBC" w:rsidRDefault="00057CFD" w:rsidP="00835F25">
            <w:pPr>
              <w:contextualSpacing/>
              <w:jc w:val="center"/>
              <w:rPr>
                <w:rFonts w:ascii="Arial" w:eastAsia="Times New Roman" w:hAnsi="Arial" w:cs="Arial"/>
                <w:b/>
                <w:bCs/>
                <w:sz w:val="12"/>
                <w:szCs w:val="12"/>
                <w:lang w:val="es-CO" w:eastAsia="es-CO"/>
              </w:rPr>
            </w:pPr>
            <w:r w:rsidRPr="00A71FBC">
              <w:rPr>
                <w:rFonts w:ascii="Arial" w:eastAsia="Times New Roman" w:hAnsi="Arial" w:cs="Arial"/>
                <w:b/>
                <w:bCs/>
                <w:sz w:val="12"/>
                <w:szCs w:val="12"/>
                <w:lang w:val="es-CO" w:eastAsia="es-CO"/>
              </w:rPr>
              <w:t>Total general</w:t>
            </w:r>
          </w:p>
        </w:tc>
        <w:tc>
          <w:tcPr>
            <w:tcW w:w="1784" w:type="dxa"/>
            <w:shd w:val="clear" w:color="auto" w:fill="CCCCFF"/>
            <w:noWrap/>
            <w:vAlign w:val="center"/>
            <w:hideMark/>
          </w:tcPr>
          <w:p w14:paraId="2355724D" w14:textId="77777777" w:rsidR="00057CFD" w:rsidRPr="00A71FBC" w:rsidRDefault="00057CFD" w:rsidP="00835F25">
            <w:pPr>
              <w:contextualSpacing/>
              <w:jc w:val="center"/>
              <w:rPr>
                <w:rFonts w:ascii="Arial" w:eastAsia="Times New Roman" w:hAnsi="Arial" w:cs="Arial"/>
                <w:b/>
                <w:bCs/>
                <w:sz w:val="12"/>
                <w:szCs w:val="12"/>
                <w:lang w:val="es-CO" w:eastAsia="es-CO"/>
              </w:rPr>
            </w:pPr>
            <w:r w:rsidRPr="00A71FBC">
              <w:rPr>
                <w:rFonts w:ascii="Arial" w:eastAsia="Times New Roman" w:hAnsi="Arial" w:cs="Arial"/>
                <w:b/>
                <w:bCs/>
                <w:sz w:val="12"/>
                <w:szCs w:val="12"/>
                <w:lang w:val="es-CO" w:eastAsia="es-CO"/>
              </w:rPr>
              <w:t>$</w:t>
            </w:r>
            <w:r w:rsidR="008B3B54">
              <w:rPr>
                <w:rFonts w:ascii="Arial" w:eastAsia="Times New Roman" w:hAnsi="Arial" w:cs="Arial"/>
                <w:b/>
                <w:bCs/>
                <w:sz w:val="12"/>
                <w:szCs w:val="12"/>
                <w:lang w:val="es-CO" w:eastAsia="es-CO"/>
              </w:rPr>
              <w:t>18.090.855.210</w:t>
            </w:r>
          </w:p>
        </w:tc>
      </w:tr>
    </w:tbl>
    <w:p w14:paraId="6D1DF9BD" w14:textId="77777777" w:rsidR="00057CFD" w:rsidRPr="00A71FBC" w:rsidRDefault="00057CFD"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3072ED">
        <w:rPr>
          <w:rFonts w:ascii="Arial" w:hAnsi="Arial" w:cs="Arial"/>
          <w:sz w:val="16"/>
          <w:szCs w:val="16"/>
        </w:rPr>
        <w:t>partir</w:t>
      </w:r>
      <w:r w:rsidR="003072ED" w:rsidRPr="00A71FBC">
        <w:rPr>
          <w:rFonts w:ascii="Arial" w:hAnsi="Arial" w:cs="Arial"/>
          <w:sz w:val="16"/>
          <w:szCs w:val="16"/>
        </w:rPr>
        <w:t xml:space="preserve"> </w:t>
      </w:r>
      <w:r w:rsidRPr="00A71FBC">
        <w:rPr>
          <w:rFonts w:ascii="Arial" w:hAnsi="Arial" w:cs="Arial"/>
          <w:sz w:val="16"/>
          <w:szCs w:val="16"/>
        </w:rPr>
        <w:t>del reporte de información en la Categoría UAPA - PAE 2021.</w:t>
      </w:r>
    </w:p>
    <w:p w14:paraId="3202CA43" w14:textId="77777777" w:rsidR="00057CFD" w:rsidRPr="00A71FBC" w:rsidRDefault="00057CFD" w:rsidP="00835F25">
      <w:pPr>
        <w:pStyle w:val="Prrafodelista"/>
        <w:jc w:val="both"/>
        <w:rPr>
          <w:rFonts w:ascii="Arial" w:hAnsi="Arial" w:cs="Arial"/>
          <w:sz w:val="22"/>
          <w:szCs w:val="22"/>
        </w:rPr>
      </w:pPr>
    </w:p>
    <w:p w14:paraId="301636E5" w14:textId="77777777" w:rsidR="00057CFD" w:rsidRPr="00A71FBC" w:rsidRDefault="00057CFD" w:rsidP="00835F25">
      <w:pPr>
        <w:pStyle w:val="Prrafodelista"/>
        <w:numPr>
          <w:ilvl w:val="0"/>
          <w:numId w:val="28"/>
        </w:numPr>
        <w:jc w:val="both"/>
        <w:rPr>
          <w:rFonts w:ascii="Arial" w:hAnsi="Arial" w:cs="Arial"/>
          <w:sz w:val="22"/>
          <w:szCs w:val="22"/>
        </w:rPr>
      </w:pPr>
      <w:r w:rsidRPr="00A71FBC">
        <w:rPr>
          <w:rFonts w:ascii="Arial" w:hAnsi="Arial" w:cs="Arial"/>
          <w:sz w:val="22"/>
          <w:szCs w:val="22"/>
        </w:rPr>
        <w:t>Prestación del Servicio.</w:t>
      </w:r>
    </w:p>
    <w:p w14:paraId="5F44BEC3" w14:textId="77777777" w:rsidR="00057CFD" w:rsidRPr="00A71FBC" w:rsidRDefault="00057CFD" w:rsidP="00835F25">
      <w:pPr>
        <w:contextualSpacing/>
        <w:jc w:val="both"/>
        <w:rPr>
          <w:rFonts w:ascii="Arial" w:hAnsi="Arial" w:cs="Arial"/>
          <w:sz w:val="22"/>
          <w:szCs w:val="22"/>
        </w:rPr>
      </w:pPr>
    </w:p>
    <w:p w14:paraId="6B573B4B" w14:textId="77777777" w:rsidR="00057CFD" w:rsidRPr="00A71FBC" w:rsidRDefault="00057CFD" w:rsidP="00835F25">
      <w:pPr>
        <w:contextualSpacing/>
        <w:jc w:val="both"/>
        <w:rPr>
          <w:rFonts w:ascii="Arial" w:hAnsi="Arial" w:cs="Arial"/>
          <w:sz w:val="22"/>
          <w:szCs w:val="22"/>
        </w:rPr>
      </w:pPr>
      <w:r w:rsidRPr="004E4DCC">
        <w:rPr>
          <w:rFonts w:ascii="Arial" w:hAnsi="Arial" w:cs="Arial"/>
          <w:sz w:val="22"/>
          <w:szCs w:val="22"/>
        </w:rPr>
        <w:t>Frente a la información reportada de la prestación del Servicio se evidencia que existe una disociación entre las raciones y el valor ejecutado por la Entidad Territorial reportada en la Categoría UAPA</w:t>
      </w:r>
      <w:r w:rsidR="003338D4" w:rsidRPr="004E4DCC">
        <w:rPr>
          <w:rFonts w:ascii="Arial" w:hAnsi="Arial" w:cs="Arial"/>
          <w:sz w:val="22"/>
          <w:szCs w:val="22"/>
        </w:rPr>
        <w:t xml:space="preserve"> </w:t>
      </w:r>
      <w:r w:rsidRPr="004E4DCC">
        <w:rPr>
          <w:rFonts w:ascii="Arial" w:hAnsi="Arial" w:cs="Arial"/>
          <w:sz w:val="22"/>
          <w:szCs w:val="22"/>
        </w:rPr>
        <w:t>–</w:t>
      </w:r>
      <w:r w:rsidR="003338D4" w:rsidRPr="004E4DCC">
        <w:rPr>
          <w:rFonts w:ascii="Arial" w:hAnsi="Arial" w:cs="Arial"/>
          <w:sz w:val="22"/>
          <w:szCs w:val="22"/>
        </w:rPr>
        <w:t xml:space="preserve"> </w:t>
      </w:r>
      <w:r w:rsidRPr="004E4DCC">
        <w:rPr>
          <w:rFonts w:ascii="Arial" w:hAnsi="Arial" w:cs="Arial"/>
          <w:sz w:val="22"/>
          <w:szCs w:val="22"/>
        </w:rPr>
        <w:t>PAE y la información presentada en el “</w:t>
      </w:r>
      <w:r w:rsidRPr="004E4DCC">
        <w:rPr>
          <w:rFonts w:ascii="Arial" w:hAnsi="Arial" w:cs="Arial"/>
          <w:i/>
          <w:iCs/>
          <w:sz w:val="22"/>
          <w:szCs w:val="22"/>
        </w:rPr>
        <w:t>Anexo 3</w:t>
      </w:r>
      <w:r w:rsidRPr="004E4DCC">
        <w:rPr>
          <w:rFonts w:ascii="Arial" w:hAnsi="Arial" w:cs="Arial"/>
          <w:sz w:val="22"/>
          <w:szCs w:val="22"/>
        </w:rPr>
        <w:t>” de la solicitud de información llevada a cabo por esta Dirección</w:t>
      </w:r>
      <w:r w:rsidR="00C65D81">
        <w:rPr>
          <w:rFonts w:ascii="Arial" w:hAnsi="Arial" w:cs="Arial"/>
          <w:sz w:val="22"/>
          <w:szCs w:val="22"/>
        </w:rPr>
        <w:t>, información indicada en la siguiente tabla:</w:t>
      </w:r>
    </w:p>
    <w:p w14:paraId="0C8AA123" w14:textId="77777777" w:rsidR="00057CFD" w:rsidRPr="00A71FBC" w:rsidRDefault="00057CFD" w:rsidP="00835F25">
      <w:pPr>
        <w:contextualSpacing/>
        <w:jc w:val="both"/>
        <w:rPr>
          <w:rFonts w:ascii="Arial" w:hAnsi="Arial" w:cs="Arial"/>
          <w:sz w:val="22"/>
          <w:szCs w:val="22"/>
        </w:rPr>
      </w:pPr>
    </w:p>
    <w:p w14:paraId="3D547CFA" w14:textId="77777777" w:rsidR="00057CFD" w:rsidRPr="00A66FC5" w:rsidRDefault="00057CFD" w:rsidP="00835F25">
      <w:pPr>
        <w:contextualSpacing/>
        <w:jc w:val="center"/>
        <w:rPr>
          <w:rFonts w:ascii="Arial" w:hAnsi="Arial" w:cs="Arial"/>
          <w:b/>
          <w:bCs/>
        </w:rPr>
      </w:pPr>
      <w:r w:rsidRPr="00A66FC5">
        <w:rPr>
          <w:rFonts w:ascii="Arial" w:hAnsi="Arial" w:cs="Arial"/>
          <w:b/>
          <w:bCs/>
          <w:i/>
          <w:iCs/>
          <w:color w:val="1F487C"/>
          <w:sz w:val="20"/>
          <w:szCs w:val="20"/>
        </w:rPr>
        <w:t xml:space="preserve">Tabla </w:t>
      </w:r>
      <w:r w:rsidR="00A66FC5" w:rsidRPr="00A66FC5">
        <w:rPr>
          <w:rFonts w:ascii="Arial" w:hAnsi="Arial" w:cs="Arial"/>
          <w:b/>
          <w:bCs/>
          <w:i/>
          <w:iCs/>
          <w:color w:val="1F487C"/>
          <w:sz w:val="20"/>
          <w:szCs w:val="20"/>
        </w:rPr>
        <w:t xml:space="preserve">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11</w:t>
      </w:r>
      <w:r w:rsidR="00EE0320" w:rsidRPr="00B3648E">
        <w:rPr>
          <w:rFonts w:ascii="Arial" w:hAnsi="Arial" w:cs="Arial"/>
          <w:b/>
          <w:bCs/>
          <w:i/>
          <w:iCs/>
          <w:color w:val="1F497D" w:themeColor="text2"/>
          <w:sz w:val="20"/>
          <w:szCs w:val="20"/>
        </w:rPr>
        <w:fldChar w:fldCharType="end"/>
      </w:r>
      <w:r w:rsidR="00EE0320">
        <w:rPr>
          <w:rFonts w:ascii="Arial" w:hAnsi="Arial" w:cs="Arial"/>
          <w:b/>
          <w:bCs/>
          <w:color w:val="1F497D" w:themeColor="text2"/>
          <w:sz w:val="20"/>
          <w:szCs w:val="20"/>
        </w:rPr>
        <w:t xml:space="preserve"> </w:t>
      </w:r>
      <w:r w:rsidRPr="00A66FC5">
        <w:rPr>
          <w:rFonts w:ascii="Arial" w:hAnsi="Arial" w:cs="Arial"/>
          <w:b/>
          <w:bCs/>
          <w:i/>
          <w:iCs/>
          <w:color w:val="1F487C"/>
          <w:sz w:val="20"/>
          <w:szCs w:val="20"/>
        </w:rPr>
        <w:t xml:space="preserve">información de Prestación del Servicio UAPA - PAE. </w:t>
      </w:r>
      <w:r w:rsidR="00A66FC5">
        <w:rPr>
          <w:rFonts w:ascii="Arial" w:hAnsi="Arial" w:cs="Arial"/>
          <w:b/>
          <w:bCs/>
          <w:i/>
          <w:iCs/>
          <w:color w:val="1F487C"/>
          <w:sz w:val="20"/>
          <w:szCs w:val="20"/>
        </w:rPr>
        <w:t>Distrito de Cartagena de Indias - Bolívar</w:t>
      </w:r>
      <w:r w:rsidRPr="00A66FC5">
        <w:rPr>
          <w:rFonts w:ascii="Arial" w:hAnsi="Arial" w:cs="Arial"/>
          <w:b/>
          <w:bCs/>
          <w:i/>
          <w:iCs/>
          <w:color w:val="1F487C"/>
          <w:sz w:val="20"/>
          <w:szCs w:val="20"/>
        </w:rPr>
        <w:t>, vigencia 2021.</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8"/>
        <w:gridCol w:w="1318"/>
        <w:gridCol w:w="913"/>
        <w:gridCol w:w="1041"/>
        <w:gridCol w:w="1041"/>
        <w:gridCol w:w="824"/>
        <w:gridCol w:w="663"/>
        <w:gridCol w:w="818"/>
        <w:gridCol w:w="818"/>
        <w:gridCol w:w="1041"/>
        <w:gridCol w:w="1041"/>
      </w:tblGrid>
      <w:tr w:rsidR="00665413" w:rsidRPr="00A71FBC" w14:paraId="31306D83" w14:textId="77777777" w:rsidTr="00C65D81">
        <w:trPr>
          <w:trHeight w:val="511"/>
          <w:jc w:val="center"/>
        </w:trPr>
        <w:tc>
          <w:tcPr>
            <w:tcW w:w="1555" w:type="dxa"/>
            <w:tcBorders>
              <w:right w:val="single" w:sz="2" w:space="0" w:color="auto"/>
            </w:tcBorders>
            <w:shd w:val="clear" w:color="auto" w:fill="666699"/>
            <w:vAlign w:val="center"/>
            <w:hideMark/>
          </w:tcPr>
          <w:p w14:paraId="6D4B64AD"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DIAS DE ATENCION CONTRATADOS</w:t>
            </w:r>
            <w:r w:rsidR="009577D6">
              <w:rPr>
                <w:rFonts w:ascii="Arial" w:eastAsia="Times New Roman" w:hAnsi="Arial" w:cs="Arial"/>
                <w:b/>
                <w:bCs/>
                <w:color w:val="FFFFFF" w:themeColor="background1"/>
                <w:sz w:val="10"/>
                <w:szCs w:val="10"/>
                <w:lang w:val="es-CO" w:eastAsia="es-CO"/>
              </w:rPr>
              <w:t xml:space="preserve"> </w:t>
            </w:r>
            <w:r w:rsidRPr="0020673C">
              <w:rPr>
                <w:rFonts w:ascii="Arial" w:eastAsia="Times New Roman" w:hAnsi="Arial" w:cs="Arial"/>
                <w:b/>
                <w:bCs/>
                <w:color w:val="FFFFFF" w:themeColor="background1"/>
                <w:sz w:val="10"/>
                <w:szCs w:val="10"/>
                <w:lang w:val="es-CO" w:eastAsia="es-CO"/>
              </w:rPr>
              <w:t>(Días)</w:t>
            </w:r>
          </w:p>
        </w:tc>
        <w:tc>
          <w:tcPr>
            <w:tcW w:w="681" w:type="dxa"/>
            <w:tcBorders>
              <w:top w:val="single" w:sz="2" w:space="0" w:color="auto"/>
              <w:left w:val="single" w:sz="2" w:space="0" w:color="auto"/>
              <w:bottom w:val="single" w:sz="2" w:space="0" w:color="auto"/>
              <w:right w:val="single" w:sz="2" w:space="0" w:color="auto"/>
            </w:tcBorders>
            <w:shd w:val="clear" w:color="auto" w:fill="666699"/>
            <w:vAlign w:val="center"/>
            <w:hideMark/>
          </w:tcPr>
          <w:p w14:paraId="0062233C"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TOTAL RACIONES CONTRATADAS(Unidad)</w:t>
            </w:r>
          </w:p>
        </w:tc>
        <w:tc>
          <w:tcPr>
            <w:tcW w:w="0" w:type="auto"/>
            <w:tcBorders>
              <w:top w:val="single" w:sz="2" w:space="0" w:color="auto"/>
              <w:left w:val="single" w:sz="2" w:space="0" w:color="auto"/>
              <w:bottom w:val="single" w:sz="2" w:space="0" w:color="auto"/>
              <w:right w:val="single" w:sz="2" w:space="0" w:color="auto"/>
            </w:tcBorders>
            <w:shd w:val="clear" w:color="auto" w:fill="666699"/>
            <w:vAlign w:val="center"/>
          </w:tcPr>
          <w:p w14:paraId="4FEE54F1"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 xml:space="preserve">TOTAL RACIONES CONTRATADAS </w:t>
            </w:r>
            <w:r w:rsidRPr="00D75D57">
              <w:rPr>
                <w:rFonts w:ascii="Arial" w:eastAsia="Times New Roman" w:hAnsi="Arial" w:cs="Arial"/>
                <w:b/>
                <w:bCs/>
                <w:color w:val="FFFFFF" w:themeColor="background1"/>
                <w:sz w:val="10"/>
                <w:szCs w:val="10"/>
                <w:u w:val="single"/>
                <w:lang w:val="es-CO" w:eastAsia="es-CO"/>
              </w:rPr>
              <w:t>SEGÚN ANEXO 3</w:t>
            </w:r>
          </w:p>
        </w:tc>
        <w:tc>
          <w:tcPr>
            <w:tcW w:w="1041" w:type="dxa"/>
            <w:tcBorders>
              <w:left w:val="single" w:sz="2" w:space="0" w:color="auto"/>
            </w:tcBorders>
            <w:shd w:val="clear" w:color="auto" w:fill="666699"/>
            <w:vAlign w:val="center"/>
            <w:hideMark/>
          </w:tcPr>
          <w:p w14:paraId="053D7879"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TOTAL VALOR CONTRATADO</w:t>
            </w:r>
            <w:r w:rsidR="009577D6">
              <w:rPr>
                <w:rFonts w:ascii="Arial" w:eastAsia="Times New Roman" w:hAnsi="Arial" w:cs="Arial"/>
                <w:b/>
                <w:bCs/>
                <w:color w:val="FFFFFF" w:themeColor="background1"/>
                <w:sz w:val="10"/>
                <w:szCs w:val="10"/>
                <w:lang w:val="es-CO" w:eastAsia="es-CO"/>
              </w:rPr>
              <w:t xml:space="preserve"> </w:t>
            </w:r>
            <w:r w:rsidRPr="0020673C">
              <w:rPr>
                <w:rFonts w:ascii="Arial" w:eastAsia="Times New Roman" w:hAnsi="Arial" w:cs="Arial"/>
                <w:b/>
                <w:bCs/>
                <w:color w:val="FFFFFF" w:themeColor="background1"/>
                <w:sz w:val="10"/>
                <w:szCs w:val="10"/>
                <w:lang w:val="es-CO" w:eastAsia="es-CO"/>
              </w:rPr>
              <w:t>(Pesos)</w:t>
            </w:r>
          </w:p>
        </w:tc>
        <w:tc>
          <w:tcPr>
            <w:tcW w:w="1041" w:type="dxa"/>
            <w:shd w:val="clear" w:color="auto" w:fill="666699"/>
            <w:vAlign w:val="center"/>
          </w:tcPr>
          <w:p w14:paraId="2243706F"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 xml:space="preserve">TOTAL VALOR CONTRATADO </w:t>
            </w:r>
            <w:r w:rsidRPr="00D75D57">
              <w:rPr>
                <w:rFonts w:ascii="Arial" w:eastAsia="Times New Roman" w:hAnsi="Arial" w:cs="Arial"/>
                <w:b/>
                <w:bCs/>
                <w:color w:val="FFFFFF" w:themeColor="background1"/>
                <w:sz w:val="10"/>
                <w:szCs w:val="10"/>
                <w:u w:val="single"/>
                <w:lang w:val="es-CO" w:eastAsia="es-CO"/>
              </w:rPr>
              <w:t>SEGÚN ANEXO 3</w:t>
            </w:r>
          </w:p>
        </w:tc>
        <w:tc>
          <w:tcPr>
            <w:tcW w:w="824" w:type="dxa"/>
            <w:shd w:val="clear" w:color="auto" w:fill="666699"/>
            <w:vAlign w:val="center"/>
            <w:hideMark/>
          </w:tcPr>
          <w:p w14:paraId="103D07D4"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DIAS ATENCION EJECUTADOS</w:t>
            </w:r>
            <w:r w:rsidR="009577D6">
              <w:rPr>
                <w:rFonts w:ascii="Arial" w:eastAsia="Times New Roman" w:hAnsi="Arial" w:cs="Arial"/>
                <w:b/>
                <w:bCs/>
                <w:color w:val="FFFFFF" w:themeColor="background1"/>
                <w:sz w:val="10"/>
                <w:szCs w:val="10"/>
                <w:lang w:val="es-CO" w:eastAsia="es-CO"/>
              </w:rPr>
              <w:t xml:space="preserve"> </w:t>
            </w:r>
            <w:r w:rsidRPr="0020673C">
              <w:rPr>
                <w:rFonts w:ascii="Arial" w:eastAsia="Times New Roman" w:hAnsi="Arial" w:cs="Arial"/>
                <w:b/>
                <w:bCs/>
                <w:color w:val="FFFFFF" w:themeColor="background1"/>
                <w:sz w:val="10"/>
                <w:szCs w:val="10"/>
                <w:lang w:val="es-CO" w:eastAsia="es-CO"/>
              </w:rPr>
              <w:t>(Días)</w:t>
            </w:r>
          </w:p>
        </w:tc>
        <w:tc>
          <w:tcPr>
            <w:tcW w:w="0" w:type="auto"/>
            <w:shd w:val="clear" w:color="auto" w:fill="666699"/>
            <w:vAlign w:val="center"/>
          </w:tcPr>
          <w:p w14:paraId="1061F7A8"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 xml:space="preserve">DIAS ATENCION EJECU </w:t>
            </w:r>
            <w:r w:rsidRPr="00D75D57">
              <w:rPr>
                <w:rFonts w:ascii="Arial" w:eastAsia="Times New Roman" w:hAnsi="Arial" w:cs="Arial"/>
                <w:b/>
                <w:bCs/>
                <w:color w:val="FFFFFF" w:themeColor="background1"/>
                <w:sz w:val="10"/>
                <w:szCs w:val="10"/>
                <w:u w:val="single"/>
                <w:lang w:val="es-CO" w:eastAsia="es-CO"/>
              </w:rPr>
              <w:t>SEGÚN ANEXO 3</w:t>
            </w:r>
          </w:p>
        </w:tc>
        <w:tc>
          <w:tcPr>
            <w:tcW w:w="0" w:type="auto"/>
            <w:shd w:val="clear" w:color="auto" w:fill="666699"/>
            <w:vAlign w:val="center"/>
            <w:hideMark/>
          </w:tcPr>
          <w:p w14:paraId="19669EE2"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TOTAL RACIONES EJECUTADAS</w:t>
            </w:r>
            <w:r w:rsidR="009577D6">
              <w:rPr>
                <w:rFonts w:ascii="Arial" w:eastAsia="Times New Roman" w:hAnsi="Arial" w:cs="Arial"/>
                <w:b/>
                <w:bCs/>
                <w:color w:val="FFFFFF" w:themeColor="background1"/>
                <w:sz w:val="10"/>
                <w:szCs w:val="10"/>
                <w:lang w:val="es-CO" w:eastAsia="es-CO"/>
              </w:rPr>
              <w:t xml:space="preserve"> </w:t>
            </w:r>
            <w:r w:rsidRPr="0020673C">
              <w:rPr>
                <w:rFonts w:ascii="Arial" w:eastAsia="Times New Roman" w:hAnsi="Arial" w:cs="Arial"/>
                <w:b/>
                <w:bCs/>
                <w:color w:val="FFFFFF" w:themeColor="background1"/>
                <w:sz w:val="10"/>
                <w:szCs w:val="10"/>
                <w:lang w:val="es-CO" w:eastAsia="es-CO"/>
              </w:rPr>
              <w:t>(Unidad)</w:t>
            </w:r>
          </w:p>
        </w:tc>
        <w:tc>
          <w:tcPr>
            <w:tcW w:w="0" w:type="auto"/>
            <w:shd w:val="clear" w:color="auto" w:fill="666699"/>
            <w:vAlign w:val="center"/>
          </w:tcPr>
          <w:p w14:paraId="10E9F615"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 xml:space="preserve">TOTAL RACIONES EJECUTADAS </w:t>
            </w:r>
            <w:r w:rsidRPr="00D75D57">
              <w:rPr>
                <w:rFonts w:ascii="Arial" w:eastAsia="Times New Roman" w:hAnsi="Arial" w:cs="Arial"/>
                <w:b/>
                <w:bCs/>
                <w:color w:val="FFFFFF" w:themeColor="background1"/>
                <w:sz w:val="10"/>
                <w:szCs w:val="10"/>
                <w:u w:val="single"/>
                <w:lang w:val="es-CO" w:eastAsia="es-CO"/>
              </w:rPr>
              <w:t>SEGÚN ANEXO 3</w:t>
            </w:r>
          </w:p>
        </w:tc>
        <w:tc>
          <w:tcPr>
            <w:tcW w:w="0" w:type="auto"/>
            <w:shd w:val="clear" w:color="auto" w:fill="666699"/>
            <w:vAlign w:val="center"/>
            <w:hideMark/>
          </w:tcPr>
          <w:p w14:paraId="7A923D05"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TOTAL VALOR EJECUTADO</w:t>
            </w:r>
            <w:r w:rsidR="009577D6">
              <w:rPr>
                <w:rFonts w:ascii="Arial" w:eastAsia="Times New Roman" w:hAnsi="Arial" w:cs="Arial"/>
                <w:b/>
                <w:bCs/>
                <w:color w:val="FFFFFF" w:themeColor="background1"/>
                <w:sz w:val="10"/>
                <w:szCs w:val="10"/>
                <w:lang w:val="es-CO" w:eastAsia="es-CO"/>
              </w:rPr>
              <w:t xml:space="preserve"> </w:t>
            </w:r>
            <w:r w:rsidRPr="0020673C">
              <w:rPr>
                <w:rFonts w:ascii="Arial" w:eastAsia="Times New Roman" w:hAnsi="Arial" w:cs="Arial"/>
                <w:b/>
                <w:bCs/>
                <w:color w:val="FFFFFF" w:themeColor="background1"/>
                <w:sz w:val="10"/>
                <w:szCs w:val="10"/>
                <w:lang w:val="es-CO" w:eastAsia="es-CO"/>
              </w:rPr>
              <w:t>(Pesos)</w:t>
            </w:r>
          </w:p>
        </w:tc>
        <w:tc>
          <w:tcPr>
            <w:tcW w:w="0" w:type="auto"/>
            <w:shd w:val="clear" w:color="auto" w:fill="666699"/>
            <w:vAlign w:val="center"/>
          </w:tcPr>
          <w:p w14:paraId="573BEE43" w14:textId="77777777" w:rsidR="00057CFD" w:rsidRPr="0020673C" w:rsidRDefault="00057CFD" w:rsidP="00835F25">
            <w:pPr>
              <w:contextualSpacing/>
              <w:jc w:val="center"/>
              <w:rPr>
                <w:rFonts w:ascii="Arial" w:eastAsia="Times New Roman" w:hAnsi="Arial" w:cs="Arial"/>
                <w:b/>
                <w:bCs/>
                <w:color w:val="FFFFFF" w:themeColor="background1"/>
                <w:sz w:val="10"/>
                <w:szCs w:val="10"/>
                <w:lang w:val="es-CO" w:eastAsia="es-CO"/>
              </w:rPr>
            </w:pPr>
            <w:r w:rsidRPr="0020673C">
              <w:rPr>
                <w:rFonts w:ascii="Arial" w:eastAsia="Times New Roman" w:hAnsi="Arial" w:cs="Arial"/>
                <w:b/>
                <w:bCs/>
                <w:color w:val="FFFFFF" w:themeColor="background1"/>
                <w:sz w:val="10"/>
                <w:szCs w:val="10"/>
                <w:lang w:val="es-CO" w:eastAsia="es-CO"/>
              </w:rPr>
              <w:t xml:space="preserve">TOTAL VALOR EJECUTADO </w:t>
            </w:r>
            <w:r w:rsidRPr="00D75D57">
              <w:rPr>
                <w:rFonts w:ascii="Arial" w:eastAsia="Times New Roman" w:hAnsi="Arial" w:cs="Arial"/>
                <w:b/>
                <w:bCs/>
                <w:color w:val="FFFFFF" w:themeColor="background1"/>
                <w:sz w:val="10"/>
                <w:szCs w:val="10"/>
                <w:u w:val="single"/>
                <w:lang w:val="es-CO" w:eastAsia="es-CO"/>
              </w:rPr>
              <w:t>SEGÚN ANEXO 3</w:t>
            </w:r>
          </w:p>
        </w:tc>
      </w:tr>
      <w:tr w:rsidR="00F97D89" w:rsidRPr="00A71FBC" w14:paraId="0D8E9143" w14:textId="77777777" w:rsidTr="00C65D81">
        <w:trPr>
          <w:trHeight w:val="413"/>
          <w:jc w:val="center"/>
        </w:trPr>
        <w:tc>
          <w:tcPr>
            <w:tcW w:w="1555" w:type="dxa"/>
            <w:tcBorders>
              <w:right w:val="single" w:sz="2" w:space="0" w:color="auto"/>
            </w:tcBorders>
            <w:shd w:val="clear" w:color="auto" w:fill="auto"/>
            <w:vAlign w:val="center"/>
          </w:tcPr>
          <w:p w14:paraId="29E60705" w14:textId="77777777" w:rsidR="0020673C" w:rsidRPr="00C65D81" w:rsidRDefault="00345988"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300</w:t>
            </w:r>
          </w:p>
        </w:tc>
        <w:tc>
          <w:tcPr>
            <w:tcW w:w="681" w:type="dxa"/>
            <w:tcBorders>
              <w:top w:val="single" w:sz="2" w:space="0" w:color="auto"/>
              <w:left w:val="single" w:sz="2" w:space="0" w:color="auto"/>
              <w:bottom w:val="single" w:sz="2" w:space="0" w:color="auto"/>
              <w:right w:val="single" w:sz="2" w:space="0" w:color="auto"/>
            </w:tcBorders>
            <w:shd w:val="clear" w:color="auto" w:fill="auto"/>
            <w:vAlign w:val="center"/>
          </w:tcPr>
          <w:p w14:paraId="78A808C7" w14:textId="77777777" w:rsidR="0020673C" w:rsidRPr="00C65D81" w:rsidRDefault="00345988"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730.762</w:t>
            </w:r>
          </w:p>
        </w:tc>
        <w:tc>
          <w:tcPr>
            <w:tcW w:w="0" w:type="auto"/>
            <w:tcBorders>
              <w:top w:val="single" w:sz="2" w:space="0" w:color="auto"/>
              <w:left w:val="single" w:sz="2" w:space="0" w:color="auto"/>
              <w:bottom w:val="single" w:sz="2" w:space="0" w:color="auto"/>
              <w:right w:val="single" w:sz="2" w:space="0" w:color="auto"/>
            </w:tcBorders>
            <w:vAlign w:val="center"/>
          </w:tcPr>
          <w:p w14:paraId="6165C2D0" w14:textId="77777777" w:rsidR="0020673C" w:rsidRPr="00C65D81" w:rsidRDefault="0069000E"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19.</w:t>
            </w:r>
            <w:r w:rsidR="00323707" w:rsidRPr="00C65D81">
              <w:rPr>
                <w:rFonts w:ascii="Arial" w:eastAsia="Times New Roman" w:hAnsi="Arial" w:cs="Arial"/>
                <w:sz w:val="12"/>
                <w:szCs w:val="10"/>
                <w:lang w:val="es-CO" w:eastAsia="es-CO"/>
              </w:rPr>
              <w:t>232.460</w:t>
            </w:r>
          </w:p>
        </w:tc>
        <w:tc>
          <w:tcPr>
            <w:tcW w:w="1041" w:type="dxa"/>
            <w:tcBorders>
              <w:left w:val="single" w:sz="2" w:space="0" w:color="auto"/>
            </w:tcBorders>
            <w:shd w:val="clear" w:color="auto" w:fill="auto"/>
            <w:vAlign w:val="center"/>
          </w:tcPr>
          <w:p w14:paraId="17EF7D9B" w14:textId="77777777" w:rsidR="0020673C" w:rsidRPr="00C65D81" w:rsidRDefault="000E2B78"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$3</w:t>
            </w:r>
            <w:r w:rsidR="00345988" w:rsidRPr="00C65D81">
              <w:rPr>
                <w:rFonts w:ascii="Arial" w:eastAsia="Times New Roman" w:hAnsi="Arial" w:cs="Arial"/>
                <w:sz w:val="12"/>
                <w:szCs w:val="10"/>
                <w:lang w:val="es-CO" w:eastAsia="es-CO"/>
              </w:rPr>
              <w:t>2.025.033.204</w:t>
            </w:r>
          </w:p>
        </w:tc>
        <w:tc>
          <w:tcPr>
            <w:tcW w:w="1041" w:type="dxa"/>
            <w:vAlign w:val="center"/>
          </w:tcPr>
          <w:p w14:paraId="59B26731" w14:textId="77777777" w:rsidR="0020673C" w:rsidRPr="00C65D81" w:rsidRDefault="004D2A9E"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w:t>
            </w:r>
            <w:r w:rsidR="003C198D" w:rsidRPr="00C65D81">
              <w:rPr>
                <w:rFonts w:ascii="Arial" w:eastAsia="Times New Roman" w:hAnsi="Arial" w:cs="Arial"/>
                <w:sz w:val="12"/>
                <w:szCs w:val="10"/>
                <w:lang w:val="es-CO" w:eastAsia="es-CO"/>
              </w:rPr>
              <w:t>31.632.389.336</w:t>
            </w:r>
          </w:p>
        </w:tc>
        <w:tc>
          <w:tcPr>
            <w:tcW w:w="824" w:type="dxa"/>
            <w:shd w:val="clear" w:color="auto" w:fill="auto"/>
            <w:vAlign w:val="center"/>
          </w:tcPr>
          <w:p w14:paraId="2C2DB25F" w14:textId="77777777" w:rsidR="0020673C" w:rsidRPr="00C65D81" w:rsidRDefault="00345988"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300</w:t>
            </w:r>
          </w:p>
        </w:tc>
        <w:tc>
          <w:tcPr>
            <w:tcW w:w="0" w:type="auto"/>
            <w:vAlign w:val="center"/>
          </w:tcPr>
          <w:p w14:paraId="7020ABBE" w14:textId="77777777" w:rsidR="0020673C" w:rsidRPr="00C65D81" w:rsidRDefault="004D2A9E"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180</w:t>
            </w:r>
          </w:p>
        </w:tc>
        <w:tc>
          <w:tcPr>
            <w:tcW w:w="0" w:type="auto"/>
            <w:shd w:val="clear" w:color="auto" w:fill="auto"/>
            <w:vAlign w:val="center"/>
          </w:tcPr>
          <w:p w14:paraId="306991EF" w14:textId="77777777" w:rsidR="0020673C" w:rsidRPr="00C65D81" w:rsidRDefault="00F97D89"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633.243</w:t>
            </w:r>
          </w:p>
        </w:tc>
        <w:tc>
          <w:tcPr>
            <w:tcW w:w="0" w:type="auto"/>
            <w:vAlign w:val="center"/>
          </w:tcPr>
          <w:p w14:paraId="5D1045AE" w14:textId="77777777" w:rsidR="0020673C" w:rsidRPr="00C65D81" w:rsidRDefault="00E0684C"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16.833.240</w:t>
            </w:r>
          </w:p>
        </w:tc>
        <w:tc>
          <w:tcPr>
            <w:tcW w:w="0" w:type="auto"/>
            <w:shd w:val="clear" w:color="auto" w:fill="auto"/>
            <w:vAlign w:val="center"/>
          </w:tcPr>
          <w:p w14:paraId="544E0578" w14:textId="77777777" w:rsidR="0020673C" w:rsidRPr="00C65D81" w:rsidRDefault="009A0C57"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w:t>
            </w:r>
            <w:r w:rsidR="00F97D89" w:rsidRPr="00C65D81">
              <w:rPr>
                <w:rFonts w:ascii="Arial" w:eastAsia="Times New Roman" w:hAnsi="Arial" w:cs="Arial"/>
                <w:sz w:val="12"/>
                <w:szCs w:val="10"/>
                <w:lang w:val="es-CO" w:eastAsia="es-CO"/>
              </w:rPr>
              <w:t>26.752.308.946</w:t>
            </w:r>
          </w:p>
        </w:tc>
        <w:tc>
          <w:tcPr>
            <w:tcW w:w="0" w:type="auto"/>
            <w:vAlign w:val="center"/>
          </w:tcPr>
          <w:p w14:paraId="50349D97" w14:textId="77777777" w:rsidR="0020673C" w:rsidRPr="00C65D81" w:rsidRDefault="00E0684C" w:rsidP="00835F25">
            <w:pPr>
              <w:contextualSpacing/>
              <w:jc w:val="center"/>
              <w:rPr>
                <w:rFonts w:ascii="Arial" w:eastAsia="Times New Roman" w:hAnsi="Arial" w:cs="Arial"/>
                <w:sz w:val="12"/>
                <w:szCs w:val="10"/>
                <w:lang w:val="es-CO" w:eastAsia="es-CO"/>
              </w:rPr>
            </w:pPr>
            <w:r w:rsidRPr="00C65D81">
              <w:rPr>
                <w:rFonts w:ascii="Arial" w:eastAsia="Times New Roman" w:hAnsi="Arial" w:cs="Arial"/>
                <w:sz w:val="12"/>
                <w:szCs w:val="10"/>
                <w:lang w:val="es-CO" w:eastAsia="es-CO"/>
              </w:rPr>
              <w:t>$25.213.516.473</w:t>
            </w:r>
          </w:p>
        </w:tc>
      </w:tr>
    </w:tbl>
    <w:p w14:paraId="31675DEE" w14:textId="77777777" w:rsidR="00057CFD" w:rsidRPr="00A71FBC" w:rsidRDefault="00057CFD"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EA32F5">
        <w:rPr>
          <w:rFonts w:ascii="Arial" w:hAnsi="Arial" w:cs="Arial"/>
          <w:sz w:val="16"/>
          <w:szCs w:val="16"/>
        </w:rPr>
        <w:t>partir</w:t>
      </w:r>
      <w:r w:rsidR="00EA32F5" w:rsidRPr="00A71FBC">
        <w:rPr>
          <w:rFonts w:ascii="Arial" w:hAnsi="Arial" w:cs="Arial"/>
          <w:sz w:val="16"/>
          <w:szCs w:val="16"/>
        </w:rPr>
        <w:t xml:space="preserve"> </w:t>
      </w:r>
      <w:r w:rsidRPr="00A71FBC">
        <w:rPr>
          <w:rFonts w:ascii="Arial" w:hAnsi="Arial" w:cs="Arial"/>
          <w:sz w:val="16"/>
          <w:szCs w:val="16"/>
        </w:rPr>
        <w:t>del reporte de información en la Categoría UAPA - PAE 2021</w:t>
      </w:r>
      <w:r w:rsidR="00F83A79">
        <w:rPr>
          <w:rFonts w:ascii="Arial" w:hAnsi="Arial" w:cs="Arial"/>
          <w:sz w:val="16"/>
          <w:szCs w:val="16"/>
        </w:rPr>
        <w:t xml:space="preserve"> y la remitida por el Distrito</w:t>
      </w:r>
      <w:r w:rsidRPr="00A71FBC">
        <w:rPr>
          <w:rFonts w:ascii="Arial" w:hAnsi="Arial" w:cs="Arial"/>
          <w:sz w:val="16"/>
          <w:szCs w:val="16"/>
        </w:rPr>
        <w:t>.</w:t>
      </w:r>
    </w:p>
    <w:p w14:paraId="658B3BD7" w14:textId="77777777" w:rsidR="00057CFD" w:rsidRPr="00A71FBC" w:rsidRDefault="00057CFD" w:rsidP="00835F25">
      <w:pPr>
        <w:contextualSpacing/>
        <w:jc w:val="both"/>
        <w:rPr>
          <w:rFonts w:ascii="Arial" w:hAnsi="Arial" w:cs="Arial"/>
          <w:sz w:val="22"/>
          <w:szCs w:val="22"/>
        </w:rPr>
      </w:pPr>
    </w:p>
    <w:p w14:paraId="298392C7" w14:textId="77777777" w:rsidR="00057CFD" w:rsidRPr="00A71FBC" w:rsidRDefault="00057CFD" w:rsidP="00835F25">
      <w:pPr>
        <w:pStyle w:val="Prrafodelista"/>
        <w:numPr>
          <w:ilvl w:val="0"/>
          <w:numId w:val="28"/>
        </w:numPr>
        <w:jc w:val="both"/>
        <w:rPr>
          <w:rFonts w:ascii="Arial" w:hAnsi="Arial" w:cs="Arial"/>
          <w:sz w:val="22"/>
          <w:szCs w:val="22"/>
        </w:rPr>
      </w:pPr>
      <w:r w:rsidRPr="00A71FBC">
        <w:rPr>
          <w:rFonts w:ascii="Arial" w:hAnsi="Arial" w:cs="Arial"/>
          <w:sz w:val="22"/>
          <w:szCs w:val="22"/>
        </w:rPr>
        <w:t>Ejecución de Recursos</w:t>
      </w:r>
      <w:r>
        <w:rPr>
          <w:rFonts w:ascii="Arial" w:hAnsi="Arial" w:cs="Arial"/>
          <w:sz w:val="22"/>
          <w:szCs w:val="22"/>
        </w:rPr>
        <w:t>.</w:t>
      </w:r>
    </w:p>
    <w:p w14:paraId="37A2B6CF" w14:textId="77777777" w:rsidR="00057CFD" w:rsidRPr="00A71FBC" w:rsidRDefault="00057CFD" w:rsidP="00835F25">
      <w:pPr>
        <w:contextualSpacing/>
        <w:jc w:val="both"/>
        <w:rPr>
          <w:rFonts w:ascii="Arial" w:hAnsi="Arial" w:cs="Arial"/>
          <w:sz w:val="22"/>
          <w:szCs w:val="22"/>
        </w:rPr>
      </w:pPr>
    </w:p>
    <w:p w14:paraId="784BE6DB" w14:textId="77777777" w:rsidR="00E02C94" w:rsidRDefault="00057CFD" w:rsidP="00835F25">
      <w:pPr>
        <w:contextualSpacing/>
        <w:jc w:val="both"/>
        <w:rPr>
          <w:rFonts w:ascii="Arial" w:hAnsi="Arial" w:cs="Arial"/>
          <w:sz w:val="22"/>
          <w:szCs w:val="22"/>
        </w:rPr>
      </w:pPr>
      <w:r w:rsidRPr="00496CD3">
        <w:rPr>
          <w:rFonts w:ascii="Arial" w:hAnsi="Arial" w:cs="Arial"/>
          <w:sz w:val="22"/>
          <w:szCs w:val="22"/>
        </w:rPr>
        <w:t xml:space="preserve">La información de ejecución de recursos reportada en la Categoría UAPA–PAE, </w:t>
      </w:r>
      <w:r w:rsidR="00387711">
        <w:rPr>
          <w:rFonts w:ascii="Arial" w:hAnsi="Arial" w:cs="Arial"/>
          <w:sz w:val="22"/>
          <w:szCs w:val="22"/>
        </w:rPr>
        <w:t xml:space="preserve">no </w:t>
      </w:r>
      <w:r w:rsidRPr="00496CD3">
        <w:rPr>
          <w:rFonts w:ascii="Arial" w:hAnsi="Arial" w:cs="Arial"/>
          <w:sz w:val="22"/>
          <w:szCs w:val="22"/>
        </w:rPr>
        <w:t xml:space="preserve">es consistente con la información que se observa desde la Cuenta Maestra de Alimentación Escolar del </w:t>
      </w:r>
      <w:r w:rsidR="00701FDD" w:rsidRPr="00496CD3">
        <w:rPr>
          <w:rFonts w:ascii="Arial" w:hAnsi="Arial" w:cs="Arial"/>
          <w:sz w:val="22"/>
          <w:szCs w:val="22"/>
        </w:rPr>
        <w:t xml:space="preserve">Distrito de Cartagena de Indias </w:t>
      </w:r>
      <w:r w:rsidR="009066C6">
        <w:rPr>
          <w:rFonts w:ascii="Arial" w:hAnsi="Arial" w:cs="Arial"/>
          <w:sz w:val="22"/>
          <w:szCs w:val="22"/>
        </w:rPr>
        <w:t>–</w:t>
      </w:r>
      <w:r w:rsidR="00701FDD" w:rsidRPr="00496CD3">
        <w:rPr>
          <w:rFonts w:ascii="Arial" w:hAnsi="Arial" w:cs="Arial"/>
          <w:sz w:val="22"/>
          <w:szCs w:val="22"/>
        </w:rPr>
        <w:t xml:space="preserve"> Bolívar</w:t>
      </w:r>
      <w:r w:rsidR="00752A40">
        <w:rPr>
          <w:rFonts w:ascii="Arial" w:hAnsi="Arial" w:cs="Arial"/>
          <w:sz w:val="22"/>
          <w:szCs w:val="22"/>
        </w:rPr>
        <w:t>, la</w:t>
      </w:r>
      <w:r w:rsidR="009066C6">
        <w:rPr>
          <w:rFonts w:ascii="Arial" w:hAnsi="Arial" w:cs="Arial"/>
          <w:sz w:val="22"/>
          <w:szCs w:val="22"/>
        </w:rPr>
        <w:t xml:space="preserve"> cual presenta </w:t>
      </w:r>
      <w:r w:rsidR="00EA32F5">
        <w:rPr>
          <w:rFonts w:ascii="Arial" w:hAnsi="Arial" w:cs="Arial"/>
          <w:sz w:val="22"/>
          <w:szCs w:val="22"/>
        </w:rPr>
        <w:t xml:space="preserve">una </w:t>
      </w:r>
      <w:r w:rsidR="009066C6">
        <w:rPr>
          <w:rFonts w:ascii="Arial" w:hAnsi="Arial" w:cs="Arial"/>
          <w:sz w:val="22"/>
          <w:szCs w:val="22"/>
        </w:rPr>
        <w:t xml:space="preserve">diferencia de </w:t>
      </w:r>
      <w:r w:rsidR="001578E3">
        <w:rPr>
          <w:rFonts w:ascii="Arial" w:hAnsi="Arial" w:cs="Arial"/>
          <w:sz w:val="22"/>
          <w:szCs w:val="22"/>
        </w:rPr>
        <w:t>$13.498 millones.</w:t>
      </w:r>
    </w:p>
    <w:p w14:paraId="12E46097" w14:textId="77777777" w:rsidR="00E02C94" w:rsidRPr="00A71FBC" w:rsidRDefault="00E02C94" w:rsidP="00835F25">
      <w:pPr>
        <w:pStyle w:val="Prrafodelista"/>
        <w:jc w:val="both"/>
        <w:rPr>
          <w:rFonts w:ascii="Arial" w:hAnsi="Arial" w:cs="Arial"/>
          <w:sz w:val="22"/>
          <w:szCs w:val="22"/>
        </w:rPr>
      </w:pPr>
    </w:p>
    <w:p w14:paraId="5E5A2C3D" w14:textId="77777777" w:rsidR="00057CFD" w:rsidRPr="00F546EC" w:rsidRDefault="00057CFD" w:rsidP="00835F25">
      <w:pPr>
        <w:ind w:left="360"/>
        <w:contextualSpacing/>
        <w:jc w:val="center"/>
        <w:rPr>
          <w:rFonts w:ascii="Arial" w:hAnsi="Arial" w:cs="Arial"/>
        </w:rPr>
      </w:pPr>
      <w:r w:rsidRPr="00B17711">
        <w:rPr>
          <w:rFonts w:ascii="Arial" w:hAnsi="Arial" w:cs="Arial"/>
          <w:b/>
          <w:bCs/>
          <w:i/>
          <w:iCs/>
          <w:color w:val="1F487C"/>
          <w:sz w:val="20"/>
          <w:szCs w:val="20"/>
        </w:rPr>
        <w:t xml:space="preserve">Tabla </w:t>
      </w:r>
      <w:r w:rsidR="00A64978" w:rsidRPr="00B17711">
        <w:rPr>
          <w:rFonts w:ascii="Arial" w:hAnsi="Arial" w:cs="Arial"/>
          <w:b/>
          <w:bCs/>
          <w:i/>
          <w:iCs/>
          <w:color w:val="1F487C"/>
          <w:sz w:val="20"/>
          <w:szCs w:val="20"/>
        </w:rPr>
        <w:t xml:space="preserve">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12</w:t>
      </w:r>
      <w:r w:rsidR="00EE0320" w:rsidRPr="00B3648E">
        <w:rPr>
          <w:rFonts w:ascii="Arial" w:hAnsi="Arial" w:cs="Arial"/>
          <w:b/>
          <w:bCs/>
          <w:i/>
          <w:iCs/>
          <w:color w:val="1F497D" w:themeColor="text2"/>
          <w:sz w:val="20"/>
          <w:szCs w:val="20"/>
        </w:rPr>
        <w:fldChar w:fldCharType="end"/>
      </w:r>
      <w:r w:rsidR="00EE0320">
        <w:rPr>
          <w:rFonts w:ascii="Arial" w:hAnsi="Arial" w:cs="Arial"/>
          <w:b/>
          <w:bCs/>
          <w:color w:val="1F497D" w:themeColor="text2"/>
          <w:sz w:val="20"/>
          <w:szCs w:val="20"/>
        </w:rPr>
        <w:t xml:space="preserve"> </w:t>
      </w:r>
      <w:r w:rsidRPr="00B17711">
        <w:rPr>
          <w:rFonts w:ascii="Arial" w:hAnsi="Arial" w:cs="Arial"/>
          <w:b/>
          <w:bCs/>
          <w:i/>
          <w:iCs/>
          <w:color w:val="1F487C"/>
          <w:sz w:val="20"/>
          <w:szCs w:val="20"/>
        </w:rPr>
        <w:t xml:space="preserve">información de Ejecución de Recursos UAPA - PAE. </w:t>
      </w:r>
      <w:r w:rsidR="00A64978" w:rsidRPr="00B17711">
        <w:rPr>
          <w:rFonts w:ascii="Arial" w:hAnsi="Arial" w:cs="Arial"/>
          <w:b/>
          <w:bCs/>
          <w:i/>
          <w:iCs/>
          <w:color w:val="1F487C"/>
          <w:sz w:val="20"/>
          <w:szCs w:val="20"/>
        </w:rPr>
        <w:t>Distrito de Cartagena de Indias - Bolívar</w:t>
      </w:r>
      <w:r w:rsidRPr="00B17711">
        <w:rPr>
          <w:rFonts w:ascii="Arial" w:hAnsi="Arial" w:cs="Arial"/>
          <w:b/>
          <w:bCs/>
          <w:i/>
          <w:iCs/>
          <w:color w:val="1F487C"/>
          <w:sz w:val="20"/>
          <w:szCs w:val="20"/>
        </w:rPr>
        <w:t>, vigencia 2021</w:t>
      </w:r>
      <w:r w:rsidRPr="00F546EC">
        <w:rPr>
          <w:rFonts w:ascii="Arial" w:hAnsi="Arial" w:cs="Arial"/>
          <w:i/>
          <w:iCs/>
          <w:color w:val="1F487C"/>
          <w:sz w:val="20"/>
          <w:szCs w:val="20"/>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4910"/>
        <w:gridCol w:w="1439"/>
        <w:gridCol w:w="1382"/>
      </w:tblGrid>
      <w:tr w:rsidR="001F6776" w:rsidRPr="002C0F85" w14:paraId="10EE99CE" w14:textId="77777777" w:rsidTr="00E924CC">
        <w:trPr>
          <w:trHeight w:val="510"/>
          <w:tblHeader/>
          <w:jc w:val="center"/>
        </w:trPr>
        <w:tc>
          <w:tcPr>
            <w:tcW w:w="1346" w:type="dxa"/>
            <w:shd w:val="clear" w:color="auto" w:fill="666699"/>
            <w:vAlign w:val="center"/>
            <w:hideMark/>
          </w:tcPr>
          <w:p w14:paraId="44600085" w14:textId="77777777" w:rsidR="001F6776" w:rsidRPr="002C0F85" w:rsidRDefault="001F6776" w:rsidP="00835F25">
            <w:pPr>
              <w:contextualSpacing/>
              <w:jc w:val="center"/>
              <w:rPr>
                <w:rFonts w:ascii="Arial" w:eastAsia="Times New Roman" w:hAnsi="Arial" w:cs="Arial"/>
                <w:b/>
                <w:bCs/>
                <w:color w:val="FFFFFF"/>
                <w:sz w:val="14"/>
                <w:szCs w:val="14"/>
                <w:lang w:val="es-CO" w:eastAsia="es-CO"/>
              </w:rPr>
            </w:pPr>
            <w:r w:rsidRPr="002C0F85">
              <w:rPr>
                <w:rFonts w:ascii="Arial" w:eastAsia="Times New Roman" w:hAnsi="Arial" w:cs="Arial"/>
                <w:b/>
                <w:bCs/>
                <w:color w:val="FFFFFF"/>
                <w:sz w:val="14"/>
                <w:szCs w:val="14"/>
                <w:lang w:val="es-CO" w:eastAsia="es-CO"/>
              </w:rPr>
              <w:t>ACTO ADMINISTRATIVO ASIGNACION</w:t>
            </w:r>
          </w:p>
        </w:tc>
        <w:tc>
          <w:tcPr>
            <w:tcW w:w="4910" w:type="dxa"/>
            <w:shd w:val="clear" w:color="auto" w:fill="666699"/>
            <w:vAlign w:val="center"/>
            <w:hideMark/>
          </w:tcPr>
          <w:p w14:paraId="3200B86C" w14:textId="77777777" w:rsidR="001F6776" w:rsidRPr="002C0F85" w:rsidRDefault="001F6776" w:rsidP="00835F25">
            <w:pPr>
              <w:contextualSpacing/>
              <w:jc w:val="center"/>
              <w:rPr>
                <w:rFonts w:ascii="Arial" w:eastAsia="Times New Roman" w:hAnsi="Arial" w:cs="Arial"/>
                <w:b/>
                <w:bCs/>
                <w:color w:val="FFFFFF"/>
                <w:sz w:val="14"/>
                <w:szCs w:val="14"/>
                <w:lang w:val="es-CO" w:eastAsia="es-CO"/>
              </w:rPr>
            </w:pPr>
            <w:r w:rsidRPr="002C0F85">
              <w:rPr>
                <w:rFonts w:ascii="Arial" w:eastAsia="Times New Roman" w:hAnsi="Arial" w:cs="Arial"/>
                <w:b/>
                <w:bCs/>
                <w:color w:val="FFFFFF"/>
                <w:sz w:val="14"/>
                <w:szCs w:val="14"/>
                <w:lang w:val="es-CO" w:eastAsia="es-CO"/>
              </w:rPr>
              <w:t>FUENTE RECURSOS EJEC. REC.</w:t>
            </w:r>
          </w:p>
        </w:tc>
        <w:tc>
          <w:tcPr>
            <w:tcW w:w="0" w:type="auto"/>
            <w:shd w:val="clear" w:color="auto" w:fill="666699"/>
            <w:vAlign w:val="center"/>
            <w:hideMark/>
          </w:tcPr>
          <w:p w14:paraId="60AFD35C" w14:textId="77777777" w:rsidR="001F6776" w:rsidRPr="002C0F85" w:rsidRDefault="001F6776" w:rsidP="00835F25">
            <w:pPr>
              <w:contextualSpacing/>
              <w:jc w:val="center"/>
              <w:rPr>
                <w:rFonts w:ascii="Arial" w:eastAsia="Times New Roman" w:hAnsi="Arial" w:cs="Arial"/>
                <w:b/>
                <w:bCs/>
                <w:color w:val="FFFFFF"/>
                <w:sz w:val="14"/>
                <w:szCs w:val="14"/>
                <w:lang w:val="es-CO" w:eastAsia="es-CO"/>
              </w:rPr>
            </w:pPr>
            <w:r w:rsidRPr="002C0F85">
              <w:rPr>
                <w:rFonts w:ascii="Arial" w:eastAsia="Times New Roman" w:hAnsi="Arial" w:cs="Arial"/>
                <w:b/>
                <w:bCs/>
                <w:color w:val="FFFFFF"/>
                <w:sz w:val="14"/>
                <w:szCs w:val="14"/>
                <w:lang w:val="es-CO" w:eastAsia="es-CO"/>
              </w:rPr>
              <w:t>VALOR PAGADO ACUM. CORTE</w:t>
            </w:r>
          </w:p>
        </w:tc>
        <w:tc>
          <w:tcPr>
            <w:tcW w:w="0" w:type="auto"/>
            <w:shd w:val="clear" w:color="auto" w:fill="666699"/>
            <w:vAlign w:val="center"/>
            <w:hideMark/>
          </w:tcPr>
          <w:p w14:paraId="544C5F3D" w14:textId="77777777" w:rsidR="001F6776" w:rsidRPr="002C0F85" w:rsidRDefault="001F6776" w:rsidP="00835F25">
            <w:pPr>
              <w:contextualSpacing/>
              <w:jc w:val="center"/>
              <w:rPr>
                <w:rFonts w:ascii="Arial" w:eastAsia="Times New Roman" w:hAnsi="Arial" w:cs="Arial"/>
                <w:b/>
                <w:bCs/>
                <w:color w:val="FFFFFF"/>
                <w:sz w:val="14"/>
                <w:szCs w:val="14"/>
                <w:lang w:val="es-CO" w:eastAsia="es-CO"/>
              </w:rPr>
            </w:pPr>
            <w:r w:rsidRPr="002C0F85">
              <w:rPr>
                <w:rFonts w:ascii="Arial" w:eastAsia="Times New Roman" w:hAnsi="Arial" w:cs="Arial"/>
                <w:b/>
                <w:bCs/>
                <w:color w:val="FFFFFF"/>
                <w:sz w:val="14"/>
                <w:szCs w:val="14"/>
                <w:lang w:val="es-CO" w:eastAsia="es-CO"/>
              </w:rPr>
              <w:t>SALDO NO EJECUTADO</w:t>
            </w:r>
          </w:p>
        </w:tc>
      </w:tr>
      <w:tr w:rsidR="009D2A82" w:rsidRPr="009D2A82" w14:paraId="7B1DE409" w14:textId="77777777" w:rsidTr="009D2A82">
        <w:trPr>
          <w:trHeight w:val="413"/>
          <w:jc w:val="center"/>
        </w:trPr>
        <w:tc>
          <w:tcPr>
            <w:tcW w:w="1346" w:type="dxa"/>
            <w:shd w:val="clear" w:color="auto" w:fill="auto"/>
            <w:vAlign w:val="center"/>
            <w:hideMark/>
          </w:tcPr>
          <w:p w14:paraId="2C8F23DE"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325</w:t>
            </w:r>
          </w:p>
        </w:tc>
        <w:tc>
          <w:tcPr>
            <w:tcW w:w="4910" w:type="dxa"/>
            <w:shd w:val="clear" w:color="auto" w:fill="auto"/>
            <w:vAlign w:val="center"/>
            <w:hideMark/>
          </w:tcPr>
          <w:p w14:paraId="0A5FBFB0"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hideMark/>
          </w:tcPr>
          <w:p w14:paraId="164973B8"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$275.000.000</w:t>
            </w:r>
          </w:p>
        </w:tc>
        <w:tc>
          <w:tcPr>
            <w:tcW w:w="0" w:type="auto"/>
            <w:shd w:val="clear" w:color="auto" w:fill="auto"/>
            <w:vAlign w:val="center"/>
            <w:hideMark/>
          </w:tcPr>
          <w:p w14:paraId="1AE916D7"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 xml:space="preserve">$18.932.888.856 </w:t>
            </w:r>
          </w:p>
        </w:tc>
      </w:tr>
      <w:tr w:rsidR="009D2A82" w:rsidRPr="009D2A82" w14:paraId="7A4D48DE" w14:textId="77777777" w:rsidTr="009D2A82">
        <w:trPr>
          <w:trHeight w:val="413"/>
          <w:jc w:val="center"/>
        </w:trPr>
        <w:tc>
          <w:tcPr>
            <w:tcW w:w="1346" w:type="dxa"/>
            <w:shd w:val="clear" w:color="auto" w:fill="auto"/>
            <w:vAlign w:val="center"/>
            <w:hideMark/>
          </w:tcPr>
          <w:p w14:paraId="44C2145F"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326</w:t>
            </w:r>
          </w:p>
        </w:tc>
        <w:tc>
          <w:tcPr>
            <w:tcW w:w="4910" w:type="dxa"/>
            <w:shd w:val="clear" w:color="auto" w:fill="auto"/>
            <w:vAlign w:val="center"/>
            <w:hideMark/>
          </w:tcPr>
          <w:p w14:paraId="649457F3"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hideMark/>
          </w:tcPr>
          <w:p w14:paraId="29FF0482"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$4.901.264.750</w:t>
            </w:r>
          </w:p>
        </w:tc>
        <w:tc>
          <w:tcPr>
            <w:tcW w:w="0" w:type="auto"/>
            <w:shd w:val="clear" w:color="auto" w:fill="auto"/>
            <w:vAlign w:val="center"/>
            <w:hideMark/>
          </w:tcPr>
          <w:p w14:paraId="375CB30A"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 xml:space="preserve">$14.306.624.106 </w:t>
            </w:r>
          </w:p>
        </w:tc>
      </w:tr>
      <w:tr w:rsidR="009D2A82" w:rsidRPr="009D2A82" w14:paraId="25FF95FF" w14:textId="77777777" w:rsidTr="009D2A82">
        <w:trPr>
          <w:trHeight w:val="413"/>
          <w:jc w:val="center"/>
        </w:trPr>
        <w:tc>
          <w:tcPr>
            <w:tcW w:w="1346" w:type="dxa"/>
            <w:shd w:val="clear" w:color="auto" w:fill="auto"/>
            <w:vAlign w:val="center"/>
            <w:hideMark/>
          </w:tcPr>
          <w:p w14:paraId="01F15C5F"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2258</w:t>
            </w:r>
          </w:p>
        </w:tc>
        <w:tc>
          <w:tcPr>
            <w:tcW w:w="4910" w:type="dxa"/>
            <w:shd w:val="clear" w:color="auto" w:fill="auto"/>
            <w:vAlign w:val="center"/>
            <w:hideMark/>
          </w:tcPr>
          <w:p w14:paraId="23715565"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hideMark/>
          </w:tcPr>
          <w:p w14:paraId="4DE5D5F7"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$1.642.365.009</w:t>
            </w:r>
          </w:p>
        </w:tc>
        <w:tc>
          <w:tcPr>
            <w:tcW w:w="0" w:type="auto"/>
            <w:shd w:val="clear" w:color="auto" w:fill="auto"/>
            <w:vAlign w:val="center"/>
            <w:hideMark/>
          </w:tcPr>
          <w:p w14:paraId="054E4026"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 xml:space="preserve">$17.565.523.847 </w:t>
            </w:r>
          </w:p>
        </w:tc>
      </w:tr>
      <w:tr w:rsidR="009D2A82" w:rsidRPr="009D2A82" w14:paraId="35DB87BF" w14:textId="77777777" w:rsidTr="009D2A82">
        <w:trPr>
          <w:trHeight w:val="413"/>
          <w:jc w:val="center"/>
        </w:trPr>
        <w:tc>
          <w:tcPr>
            <w:tcW w:w="1346" w:type="dxa"/>
            <w:shd w:val="clear" w:color="auto" w:fill="auto"/>
            <w:vAlign w:val="center"/>
            <w:hideMark/>
          </w:tcPr>
          <w:p w14:paraId="592A2736"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4562</w:t>
            </w:r>
          </w:p>
        </w:tc>
        <w:tc>
          <w:tcPr>
            <w:tcW w:w="4910" w:type="dxa"/>
            <w:shd w:val="clear" w:color="auto" w:fill="auto"/>
            <w:vAlign w:val="center"/>
            <w:hideMark/>
          </w:tcPr>
          <w:p w14:paraId="412F18B6"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hideMark/>
          </w:tcPr>
          <w:p w14:paraId="46D3CCA4"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$1.780.479.735</w:t>
            </w:r>
          </w:p>
        </w:tc>
        <w:tc>
          <w:tcPr>
            <w:tcW w:w="0" w:type="auto"/>
            <w:shd w:val="clear" w:color="auto" w:fill="auto"/>
            <w:vAlign w:val="center"/>
            <w:hideMark/>
          </w:tcPr>
          <w:p w14:paraId="465E9734"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$17.427.409.121</w:t>
            </w:r>
          </w:p>
        </w:tc>
      </w:tr>
      <w:tr w:rsidR="009D2A82" w:rsidRPr="009D2A82" w14:paraId="7A36801D" w14:textId="77777777" w:rsidTr="009D2A82">
        <w:trPr>
          <w:trHeight w:val="413"/>
          <w:jc w:val="center"/>
        </w:trPr>
        <w:tc>
          <w:tcPr>
            <w:tcW w:w="1346" w:type="dxa"/>
            <w:shd w:val="clear" w:color="auto" w:fill="auto"/>
            <w:vAlign w:val="center"/>
            <w:hideMark/>
          </w:tcPr>
          <w:p w14:paraId="41F38CC5"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9273</w:t>
            </w:r>
          </w:p>
        </w:tc>
        <w:tc>
          <w:tcPr>
            <w:tcW w:w="4910" w:type="dxa"/>
            <w:shd w:val="clear" w:color="auto" w:fill="auto"/>
            <w:vAlign w:val="center"/>
            <w:hideMark/>
          </w:tcPr>
          <w:p w14:paraId="376C2800"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hideMark/>
          </w:tcPr>
          <w:p w14:paraId="4B4757F3"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$1.899.978.542</w:t>
            </w:r>
          </w:p>
        </w:tc>
        <w:tc>
          <w:tcPr>
            <w:tcW w:w="0" w:type="auto"/>
            <w:shd w:val="clear" w:color="auto" w:fill="auto"/>
            <w:vAlign w:val="center"/>
            <w:hideMark/>
          </w:tcPr>
          <w:p w14:paraId="0B05D7DA"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$17.307.910.314</w:t>
            </w:r>
          </w:p>
        </w:tc>
      </w:tr>
      <w:tr w:rsidR="009D2A82" w:rsidRPr="009D2A82" w14:paraId="34676332" w14:textId="77777777" w:rsidTr="009D2A82">
        <w:trPr>
          <w:trHeight w:val="413"/>
          <w:jc w:val="center"/>
        </w:trPr>
        <w:tc>
          <w:tcPr>
            <w:tcW w:w="1346" w:type="dxa"/>
            <w:shd w:val="clear" w:color="auto" w:fill="auto"/>
            <w:vAlign w:val="center"/>
            <w:hideMark/>
          </w:tcPr>
          <w:p w14:paraId="17DDC209"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14738</w:t>
            </w:r>
          </w:p>
        </w:tc>
        <w:tc>
          <w:tcPr>
            <w:tcW w:w="4910" w:type="dxa"/>
            <w:shd w:val="clear" w:color="auto" w:fill="auto"/>
            <w:vAlign w:val="center"/>
            <w:hideMark/>
          </w:tcPr>
          <w:p w14:paraId="3169A385"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hideMark/>
          </w:tcPr>
          <w:p w14:paraId="3CB2ED66"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$1.864.566.304</w:t>
            </w:r>
          </w:p>
        </w:tc>
        <w:tc>
          <w:tcPr>
            <w:tcW w:w="0" w:type="auto"/>
            <w:shd w:val="clear" w:color="auto" w:fill="auto"/>
            <w:vAlign w:val="center"/>
            <w:hideMark/>
          </w:tcPr>
          <w:p w14:paraId="374A31DB"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$17.343.322.552</w:t>
            </w:r>
          </w:p>
        </w:tc>
      </w:tr>
      <w:tr w:rsidR="009D2A82" w:rsidRPr="009D2A82" w14:paraId="6C6630B1" w14:textId="77777777" w:rsidTr="009D2A82">
        <w:trPr>
          <w:trHeight w:val="413"/>
          <w:jc w:val="center"/>
        </w:trPr>
        <w:tc>
          <w:tcPr>
            <w:tcW w:w="1346" w:type="dxa"/>
            <w:shd w:val="clear" w:color="auto" w:fill="auto"/>
            <w:vAlign w:val="center"/>
          </w:tcPr>
          <w:p w14:paraId="7D553753"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20912093</w:t>
            </w:r>
          </w:p>
        </w:tc>
        <w:tc>
          <w:tcPr>
            <w:tcW w:w="4910" w:type="dxa"/>
            <w:shd w:val="clear" w:color="auto" w:fill="auto"/>
            <w:vAlign w:val="center"/>
          </w:tcPr>
          <w:p w14:paraId="493853E7"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tcPr>
          <w:p w14:paraId="10F79C5D"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$1.909.041.555</w:t>
            </w:r>
          </w:p>
        </w:tc>
        <w:tc>
          <w:tcPr>
            <w:tcW w:w="0" w:type="auto"/>
            <w:shd w:val="clear" w:color="auto" w:fill="auto"/>
            <w:vAlign w:val="center"/>
          </w:tcPr>
          <w:p w14:paraId="06364E4A"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$13.132.997.669</w:t>
            </w:r>
          </w:p>
        </w:tc>
      </w:tr>
      <w:tr w:rsidR="009D2A82" w:rsidRPr="009D2A82" w14:paraId="394873C8" w14:textId="77777777" w:rsidTr="009D2A82">
        <w:trPr>
          <w:trHeight w:val="413"/>
          <w:jc w:val="center"/>
        </w:trPr>
        <w:tc>
          <w:tcPr>
            <w:tcW w:w="1346" w:type="dxa"/>
            <w:shd w:val="clear" w:color="auto" w:fill="auto"/>
            <w:vAlign w:val="center"/>
          </w:tcPr>
          <w:p w14:paraId="2766DEE7"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2090420906</w:t>
            </w:r>
          </w:p>
        </w:tc>
        <w:tc>
          <w:tcPr>
            <w:tcW w:w="4910" w:type="dxa"/>
            <w:shd w:val="clear" w:color="auto" w:fill="auto"/>
            <w:vAlign w:val="center"/>
          </w:tcPr>
          <w:p w14:paraId="30820D46"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tcPr>
          <w:p w14:paraId="0844099B"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$1.908.306.717</w:t>
            </w:r>
          </w:p>
        </w:tc>
        <w:tc>
          <w:tcPr>
            <w:tcW w:w="0" w:type="auto"/>
            <w:shd w:val="clear" w:color="auto" w:fill="auto"/>
            <w:vAlign w:val="center"/>
          </w:tcPr>
          <w:p w14:paraId="35312440"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$13.132.997.669</w:t>
            </w:r>
          </w:p>
        </w:tc>
      </w:tr>
      <w:tr w:rsidR="009D2A82" w:rsidRPr="009D2A82" w14:paraId="1F97AFE9" w14:textId="77777777" w:rsidTr="009D2A82">
        <w:trPr>
          <w:trHeight w:val="413"/>
          <w:jc w:val="center"/>
        </w:trPr>
        <w:tc>
          <w:tcPr>
            <w:tcW w:w="1346" w:type="dxa"/>
            <w:shd w:val="clear" w:color="auto" w:fill="auto"/>
            <w:vAlign w:val="center"/>
          </w:tcPr>
          <w:p w14:paraId="2B8E92E7"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999</w:t>
            </w:r>
          </w:p>
        </w:tc>
        <w:tc>
          <w:tcPr>
            <w:tcW w:w="4910" w:type="dxa"/>
            <w:shd w:val="clear" w:color="auto" w:fill="auto"/>
            <w:vAlign w:val="center"/>
          </w:tcPr>
          <w:p w14:paraId="17A67A31"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tcPr>
          <w:p w14:paraId="68AA6E35"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$2.257.542.915</w:t>
            </w:r>
          </w:p>
        </w:tc>
        <w:tc>
          <w:tcPr>
            <w:tcW w:w="0" w:type="auto"/>
            <w:shd w:val="clear" w:color="auto" w:fill="auto"/>
            <w:vAlign w:val="center"/>
          </w:tcPr>
          <w:p w14:paraId="6D52E13C"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$13.132.997.669</w:t>
            </w:r>
          </w:p>
        </w:tc>
      </w:tr>
      <w:tr w:rsidR="009D2A82" w:rsidRPr="009D2A82" w14:paraId="4FAD1D17" w14:textId="77777777" w:rsidTr="009D2A82">
        <w:trPr>
          <w:trHeight w:val="413"/>
          <w:jc w:val="center"/>
        </w:trPr>
        <w:tc>
          <w:tcPr>
            <w:tcW w:w="1346" w:type="dxa"/>
            <w:shd w:val="clear" w:color="auto" w:fill="auto"/>
            <w:vAlign w:val="center"/>
          </w:tcPr>
          <w:p w14:paraId="194453E4"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53267</w:t>
            </w:r>
          </w:p>
        </w:tc>
        <w:tc>
          <w:tcPr>
            <w:tcW w:w="4910" w:type="dxa"/>
            <w:shd w:val="clear" w:color="auto" w:fill="auto"/>
            <w:vAlign w:val="center"/>
          </w:tcPr>
          <w:p w14:paraId="6D5307ED"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RECURSOS DEL SISTEMA GENERAL DE REGALIAS </w:t>
            </w:r>
          </w:p>
        </w:tc>
        <w:tc>
          <w:tcPr>
            <w:tcW w:w="0" w:type="auto"/>
            <w:shd w:val="clear" w:color="auto" w:fill="auto"/>
            <w:vAlign w:val="center"/>
          </w:tcPr>
          <w:p w14:paraId="2563EE7C"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$1.951.208.320</w:t>
            </w:r>
          </w:p>
        </w:tc>
        <w:tc>
          <w:tcPr>
            <w:tcW w:w="0" w:type="auto"/>
            <w:shd w:val="clear" w:color="auto" w:fill="auto"/>
            <w:vAlign w:val="center"/>
          </w:tcPr>
          <w:p w14:paraId="05C0C75E"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$17.256.680.536</w:t>
            </w:r>
          </w:p>
        </w:tc>
      </w:tr>
      <w:tr w:rsidR="009D2A82" w:rsidRPr="009D2A82" w14:paraId="55A1158E" w14:textId="77777777" w:rsidTr="009D2A82">
        <w:trPr>
          <w:trHeight w:val="413"/>
          <w:jc w:val="center"/>
        </w:trPr>
        <w:tc>
          <w:tcPr>
            <w:tcW w:w="1346" w:type="dxa"/>
            <w:shd w:val="clear" w:color="auto" w:fill="auto"/>
            <w:vAlign w:val="center"/>
          </w:tcPr>
          <w:p w14:paraId="3F41E12F"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51984</w:t>
            </w:r>
          </w:p>
        </w:tc>
        <w:tc>
          <w:tcPr>
            <w:tcW w:w="4910" w:type="dxa"/>
            <w:shd w:val="clear" w:color="auto" w:fill="auto"/>
            <w:vAlign w:val="center"/>
          </w:tcPr>
          <w:p w14:paraId="5D689C24"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RECURSOS DEL SISTEMA GENERAL DE REGALIAS </w:t>
            </w:r>
          </w:p>
        </w:tc>
        <w:tc>
          <w:tcPr>
            <w:tcW w:w="0" w:type="auto"/>
            <w:shd w:val="clear" w:color="auto" w:fill="auto"/>
            <w:vAlign w:val="center"/>
          </w:tcPr>
          <w:p w14:paraId="113B09A4"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$1.999.534.220</w:t>
            </w:r>
          </w:p>
        </w:tc>
        <w:tc>
          <w:tcPr>
            <w:tcW w:w="0" w:type="auto"/>
            <w:shd w:val="clear" w:color="auto" w:fill="auto"/>
            <w:vAlign w:val="center"/>
          </w:tcPr>
          <w:p w14:paraId="20ED9606"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$17.208.354.636</w:t>
            </w:r>
          </w:p>
        </w:tc>
      </w:tr>
      <w:tr w:rsidR="009D2A82" w:rsidRPr="009D2A82" w14:paraId="41DEEA28" w14:textId="77777777" w:rsidTr="009D2A82">
        <w:trPr>
          <w:trHeight w:val="413"/>
          <w:jc w:val="center"/>
        </w:trPr>
        <w:tc>
          <w:tcPr>
            <w:tcW w:w="1346" w:type="dxa"/>
            <w:shd w:val="clear" w:color="auto" w:fill="auto"/>
            <w:vAlign w:val="center"/>
          </w:tcPr>
          <w:p w14:paraId="1FC4DD54"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52469</w:t>
            </w:r>
          </w:p>
        </w:tc>
        <w:tc>
          <w:tcPr>
            <w:tcW w:w="4910" w:type="dxa"/>
            <w:shd w:val="clear" w:color="auto" w:fill="auto"/>
            <w:vAlign w:val="center"/>
          </w:tcPr>
          <w:p w14:paraId="5E6B92D7"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tcPr>
          <w:p w14:paraId="5FED2C34"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$14.277.462</w:t>
            </w:r>
          </w:p>
        </w:tc>
        <w:tc>
          <w:tcPr>
            <w:tcW w:w="0" w:type="auto"/>
            <w:shd w:val="clear" w:color="auto" w:fill="auto"/>
            <w:vAlign w:val="center"/>
          </w:tcPr>
          <w:p w14:paraId="28C5A886"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$19.193.611.394</w:t>
            </w:r>
          </w:p>
        </w:tc>
      </w:tr>
      <w:tr w:rsidR="009D2A82" w:rsidRPr="009D2A82" w14:paraId="3F4CBA92" w14:textId="77777777" w:rsidTr="009D2A82">
        <w:trPr>
          <w:trHeight w:val="413"/>
          <w:jc w:val="center"/>
        </w:trPr>
        <w:tc>
          <w:tcPr>
            <w:tcW w:w="1346" w:type="dxa"/>
            <w:shd w:val="clear" w:color="auto" w:fill="auto"/>
            <w:vAlign w:val="center"/>
          </w:tcPr>
          <w:p w14:paraId="1FC9D354" w14:textId="77777777" w:rsidR="009D2A82" w:rsidRPr="002C0F85" w:rsidRDefault="009D2A82" w:rsidP="00835F25">
            <w:pPr>
              <w:contextualSpacing/>
              <w:jc w:val="center"/>
              <w:rPr>
                <w:rFonts w:ascii="Arial" w:eastAsia="Times New Roman" w:hAnsi="Arial" w:cs="Arial"/>
                <w:sz w:val="14"/>
                <w:szCs w:val="14"/>
                <w:lang w:val="es-CO" w:eastAsia="es-CO"/>
              </w:rPr>
            </w:pPr>
            <w:r w:rsidRPr="002C0F85">
              <w:rPr>
                <w:rFonts w:ascii="Arial" w:eastAsia="Times New Roman" w:hAnsi="Arial" w:cs="Arial"/>
                <w:sz w:val="14"/>
                <w:szCs w:val="14"/>
                <w:lang w:val="es-CO" w:eastAsia="es-CO"/>
              </w:rPr>
              <w:t>13490</w:t>
            </w:r>
          </w:p>
        </w:tc>
        <w:tc>
          <w:tcPr>
            <w:tcW w:w="4910" w:type="dxa"/>
            <w:shd w:val="clear" w:color="auto" w:fill="auto"/>
            <w:vAlign w:val="center"/>
          </w:tcPr>
          <w:p w14:paraId="1CBD0C58" w14:textId="77777777" w:rsidR="009D2A82" w:rsidRPr="002C0F85" w:rsidRDefault="009D2A82" w:rsidP="00835F25">
            <w:pPr>
              <w:contextualSpacing/>
              <w:rPr>
                <w:rFonts w:ascii="Arial" w:eastAsia="Times New Roman" w:hAnsi="Arial" w:cs="Arial"/>
                <w:sz w:val="14"/>
                <w:szCs w:val="14"/>
                <w:lang w:val="es-CO" w:eastAsia="es-CO"/>
              </w:rPr>
            </w:pPr>
            <w:r w:rsidRPr="00E924CC">
              <w:rPr>
                <w:rFonts w:ascii="Arial" w:eastAsia="Times New Roman" w:hAnsi="Arial" w:cs="Arial"/>
                <w:sz w:val="14"/>
                <w:szCs w:val="14"/>
                <w:lang w:val="es-CO" w:eastAsia="es-CO"/>
              </w:rPr>
              <w:t xml:space="preserve">SGP ALIMENTACION ESCOLAR ONCE DOCEAVAS VIGENCIA ACTUAL MAS ULTIMA DOCEAVA VIGENCIA ANTERIOR </w:t>
            </w:r>
          </w:p>
        </w:tc>
        <w:tc>
          <w:tcPr>
            <w:tcW w:w="0" w:type="auto"/>
            <w:shd w:val="clear" w:color="auto" w:fill="auto"/>
            <w:vAlign w:val="center"/>
          </w:tcPr>
          <w:p w14:paraId="1B8F42BE" w14:textId="77777777" w:rsidR="009D2A82" w:rsidRPr="002C0F85" w:rsidRDefault="009D2A82" w:rsidP="00835F25">
            <w:pPr>
              <w:contextualSpacing/>
              <w:jc w:val="right"/>
              <w:rPr>
                <w:rFonts w:ascii="Arial" w:eastAsia="Times New Roman" w:hAnsi="Arial" w:cs="Arial"/>
                <w:sz w:val="14"/>
                <w:szCs w:val="14"/>
                <w:lang w:val="es-CO" w:eastAsia="es-CO"/>
              </w:rPr>
            </w:pPr>
            <w:r w:rsidRPr="00C25E9A">
              <w:rPr>
                <w:rFonts w:ascii="Arial" w:eastAsia="Times New Roman" w:hAnsi="Arial" w:cs="Arial"/>
                <w:sz w:val="14"/>
                <w:szCs w:val="14"/>
                <w:lang w:val="es-CO" w:eastAsia="es-CO"/>
              </w:rPr>
              <w:t>$101.538.630</w:t>
            </w:r>
          </w:p>
        </w:tc>
        <w:tc>
          <w:tcPr>
            <w:tcW w:w="0" w:type="auto"/>
            <w:shd w:val="clear" w:color="auto" w:fill="auto"/>
            <w:vAlign w:val="center"/>
          </w:tcPr>
          <w:p w14:paraId="62004465" w14:textId="77777777" w:rsidR="009D2A82" w:rsidRPr="002C0F85" w:rsidRDefault="009D2A82" w:rsidP="00835F25">
            <w:pPr>
              <w:contextualSpacing/>
              <w:jc w:val="right"/>
              <w:rPr>
                <w:rFonts w:ascii="Arial" w:eastAsia="Times New Roman" w:hAnsi="Arial" w:cs="Arial"/>
                <w:sz w:val="14"/>
                <w:szCs w:val="14"/>
                <w:lang w:val="es-CO" w:eastAsia="es-CO"/>
              </w:rPr>
            </w:pPr>
            <w:r w:rsidRPr="009D2A82">
              <w:rPr>
                <w:rFonts w:ascii="Arial" w:eastAsia="Times New Roman" w:hAnsi="Arial" w:cs="Arial"/>
                <w:sz w:val="14"/>
                <w:szCs w:val="14"/>
                <w:lang w:val="es-CO" w:eastAsia="es-CO"/>
              </w:rPr>
              <w:t>$19.106.350.226</w:t>
            </w:r>
          </w:p>
        </w:tc>
      </w:tr>
      <w:tr w:rsidR="001F6776" w:rsidRPr="002C0F85" w14:paraId="362AC10C" w14:textId="77777777" w:rsidTr="001F6776">
        <w:trPr>
          <w:trHeight w:val="413"/>
          <w:jc w:val="center"/>
        </w:trPr>
        <w:tc>
          <w:tcPr>
            <w:tcW w:w="0" w:type="auto"/>
            <w:gridSpan w:val="2"/>
            <w:shd w:val="clear" w:color="auto" w:fill="CCCCFF"/>
            <w:vAlign w:val="center"/>
          </w:tcPr>
          <w:p w14:paraId="7D9E51BF" w14:textId="77777777" w:rsidR="001F6776" w:rsidRPr="002C0F85" w:rsidRDefault="001F6776" w:rsidP="00835F25">
            <w:pPr>
              <w:contextualSpacing/>
              <w:jc w:val="center"/>
              <w:rPr>
                <w:rFonts w:ascii="Arial" w:eastAsia="Times New Roman" w:hAnsi="Arial" w:cs="Arial"/>
                <w:b/>
                <w:bCs/>
                <w:sz w:val="14"/>
                <w:szCs w:val="14"/>
                <w:lang w:val="es-CO" w:eastAsia="es-CO"/>
              </w:rPr>
            </w:pPr>
            <w:r w:rsidRPr="002C0F85">
              <w:rPr>
                <w:rFonts w:ascii="Arial" w:eastAsia="Times New Roman" w:hAnsi="Arial" w:cs="Arial"/>
                <w:b/>
                <w:bCs/>
                <w:sz w:val="14"/>
                <w:szCs w:val="14"/>
                <w:lang w:val="es-CO" w:eastAsia="es-CO"/>
              </w:rPr>
              <w:t>TOTAL</w:t>
            </w:r>
          </w:p>
        </w:tc>
        <w:tc>
          <w:tcPr>
            <w:tcW w:w="0" w:type="auto"/>
            <w:shd w:val="clear" w:color="auto" w:fill="CCCCFF"/>
            <w:vAlign w:val="center"/>
          </w:tcPr>
          <w:p w14:paraId="3DB2FD01" w14:textId="77777777" w:rsidR="001F6776" w:rsidRPr="002C0F85" w:rsidRDefault="001F6776" w:rsidP="00835F25">
            <w:pPr>
              <w:contextualSpacing/>
              <w:jc w:val="center"/>
              <w:rPr>
                <w:rFonts w:ascii="Arial" w:eastAsia="Times New Roman" w:hAnsi="Arial" w:cs="Arial"/>
                <w:b/>
                <w:bCs/>
                <w:sz w:val="14"/>
                <w:szCs w:val="14"/>
                <w:lang w:val="es-CO" w:eastAsia="es-CO"/>
              </w:rPr>
            </w:pPr>
            <w:r w:rsidRPr="002C0F85">
              <w:rPr>
                <w:rFonts w:ascii="Arial" w:eastAsia="Times New Roman" w:hAnsi="Arial" w:cs="Arial"/>
                <w:b/>
                <w:bCs/>
                <w:sz w:val="14"/>
                <w:szCs w:val="14"/>
                <w:lang w:val="es-CO" w:eastAsia="es-CO"/>
              </w:rPr>
              <w:t>$</w:t>
            </w:r>
            <w:r w:rsidR="00E000B7">
              <w:rPr>
                <w:rFonts w:ascii="Arial" w:eastAsia="Times New Roman" w:hAnsi="Arial" w:cs="Arial"/>
                <w:b/>
                <w:bCs/>
                <w:sz w:val="14"/>
                <w:szCs w:val="14"/>
                <w:lang w:val="es-CO" w:eastAsia="es-CO"/>
              </w:rPr>
              <w:t>22.505.104.159</w:t>
            </w:r>
          </w:p>
        </w:tc>
        <w:tc>
          <w:tcPr>
            <w:tcW w:w="0" w:type="auto"/>
            <w:shd w:val="clear" w:color="auto" w:fill="CCCCFF"/>
            <w:vAlign w:val="center"/>
          </w:tcPr>
          <w:p w14:paraId="16A0E981" w14:textId="77777777" w:rsidR="001F6776" w:rsidRPr="002C0F85" w:rsidRDefault="00E000B7" w:rsidP="00835F25">
            <w:pPr>
              <w:contextualSpacing/>
              <w:jc w:val="center"/>
              <w:rPr>
                <w:rFonts w:ascii="Arial" w:eastAsia="Times New Roman" w:hAnsi="Arial" w:cs="Arial"/>
                <w:b/>
                <w:bCs/>
                <w:sz w:val="14"/>
                <w:szCs w:val="14"/>
                <w:lang w:val="es-CO" w:eastAsia="es-CO"/>
              </w:rPr>
            </w:pPr>
            <w:r>
              <w:rPr>
                <w:rFonts w:ascii="Arial" w:eastAsia="Times New Roman" w:hAnsi="Arial" w:cs="Arial"/>
                <w:b/>
                <w:bCs/>
                <w:sz w:val="14"/>
                <w:szCs w:val="14"/>
                <w:lang w:val="es-CO" w:eastAsia="es-CO"/>
              </w:rPr>
              <w:t>$215.047.668.595</w:t>
            </w:r>
          </w:p>
        </w:tc>
      </w:tr>
    </w:tbl>
    <w:p w14:paraId="213CB244" w14:textId="77777777" w:rsidR="00057CFD" w:rsidRPr="00A71FBC" w:rsidRDefault="00057CFD"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EA32F5">
        <w:rPr>
          <w:rFonts w:ascii="Arial" w:hAnsi="Arial" w:cs="Arial"/>
          <w:sz w:val="16"/>
          <w:szCs w:val="16"/>
        </w:rPr>
        <w:t>partir</w:t>
      </w:r>
      <w:r w:rsidR="00EA32F5" w:rsidRPr="00A71FBC">
        <w:rPr>
          <w:rFonts w:ascii="Arial" w:hAnsi="Arial" w:cs="Arial"/>
          <w:sz w:val="16"/>
          <w:szCs w:val="16"/>
        </w:rPr>
        <w:t xml:space="preserve"> </w:t>
      </w:r>
      <w:r w:rsidRPr="00A71FBC">
        <w:rPr>
          <w:rFonts w:ascii="Arial" w:hAnsi="Arial" w:cs="Arial"/>
          <w:sz w:val="16"/>
          <w:szCs w:val="16"/>
        </w:rPr>
        <w:t>del reporte de información en la Categoría UAPA-PAE 2021.</w:t>
      </w:r>
    </w:p>
    <w:p w14:paraId="308FAA6E" w14:textId="77777777" w:rsidR="00A64978" w:rsidRDefault="00A64978" w:rsidP="00835F25">
      <w:pPr>
        <w:contextualSpacing/>
        <w:jc w:val="both"/>
        <w:rPr>
          <w:rFonts w:ascii="Arial" w:eastAsia="Calibri" w:hAnsi="Arial" w:cs="Arial"/>
          <w:b/>
          <w:sz w:val="22"/>
          <w:szCs w:val="22"/>
          <w:lang w:val="es-CO" w:eastAsia="en-US"/>
        </w:rPr>
      </w:pPr>
    </w:p>
    <w:p w14:paraId="1289FBA1" w14:textId="77777777" w:rsidR="00E90CFF" w:rsidRPr="006021DA" w:rsidRDefault="00E90CFF"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Oportunidad:</w:t>
      </w:r>
    </w:p>
    <w:p w14:paraId="528715C5" w14:textId="77777777" w:rsidR="00E90CFF" w:rsidRPr="006021DA" w:rsidRDefault="00E90CFF" w:rsidP="00835F25">
      <w:pPr>
        <w:contextualSpacing/>
        <w:jc w:val="both"/>
        <w:rPr>
          <w:rFonts w:ascii="Arial" w:eastAsia="Calibri" w:hAnsi="Arial" w:cs="Arial"/>
          <w:b/>
          <w:sz w:val="22"/>
          <w:szCs w:val="22"/>
          <w:lang w:val="es-CO" w:eastAsia="en-US"/>
        </w:rPr>
      </w:pPr>
    </w:p>
    <w:p w14:paraId="235B0EF2" w14:textId="77777777" w:rsidR="00E90CFF" w:rsidRPr="00E90CFF" w:rsidRDefault="00E90CFF"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Según el certificado de la Unidad Administrativa Especial de la Contaduría General de la Nación - CGN, la Entidad Territorial tuvo reporte “</w:t>
      </w:r>
      <w:r>
        <w:rPr>
          <w:rFonts w:ascii="Arial" w:eastAsia="Calibri" w:hAnsi="Arial" w:cs="Arial"/>
          <w:i/>
          <w:sz w:val="22"/>
          <w:szCs w:val="22"/>
          <w:lang w:val="es-CO" w:eastAsia="en-US"/>
        </w:rPr>
        <w:t>Extemporáneo</w:t>
      </w:r>
      <w:r w:rsidRPr="006021DA">
        <w:rPr>
          <w:rFonts w:ascii="Arial" w:eastAsia="Calibri" w:hAnsi="Arial" w:cs="Arial"/>
          <w:sz w:val="22"/>
          <w:szCs w:val="22"/>
          <w:lang w:val="es-CO" w:eastAsia="en-US"/>
        </w:rPr>
        <w:t xml:space="preserve">”, en las Categorías </w:t>
      </w:r>
      <w:r>
        <w:rPr>
          <w:rFonts w:ascii="Arial" w:eastAsia="Calibri" w:hAnsi="Arial" w:cs="Arial"/>
          <w:sz w:val="22"/>
          <w:szCs w:val="22"/>
          <w:lang w:val="es-CO" w:eastAsia="en-US"/>
        </w:rPr>
        <w:t>UAPA–PAE 20</w:t>
      </w:r>
      <w:r w:rsidRPr="006021DA">
        <w:rPr>
          <w:rFonts w:ascii="Arial" w:eastAsia="Calibri" w:hAnsi="Arial" w:cs="Arial"/>
          <w:sz w:val="22"/>
          <w:szCs w:val="22"/>
          <w:lang w:val="es-CO" w:eastAsia="en-US"/>
        </w:rPr>
        <w:t>21</w:t>
      </w:r>
      <w:r>
        <w:rPr>
          <w:rFonts w:ascii="Arial" w:eastAsia="Calibri" w:hAnsi="Arial" w:cs="Arial"/>
          <w:sz w:val="22"/>
          <w:szCs w:val="22"/>
          <w:lang w:val="es-CO" w:eastAsia="en-US"/>
        </w:rPr>
        <w:t>.</w:t>
      </w:r>
    </w:p>
    <w:p w14:paraId="77590E5C" w14:textId="77777777" w:rsidR="00E90CFF" w:rsidRDefault="00E90CFF" w:rsidP="00835F25">
      <w:pPr>
        <w:contextualSpacing/>
        <w:jc w:val="both"/>
        <w:rPr>
          <w:rFonts w:ascii="Arial" w:eastAsia="Calibri" w:hAnsi="Arial" w:cs="Arial"/>
          <w:b/>
          <w:sz w:val="22"/>
          <w:szCs w:val="22"/>
          <w:lang w:val="es-CO" w:eastAsia="en-US"/>
        </w:rPr>
      </w:pPr>
    </w:p>
    <w:p w14:paraId="2E88E552" w14:textId="77777777" w:rsidR="008F095B" w:rsidRPr="006021DA" w:rsidRDefault="008F095B"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9563CC">
        <w:rPr>
          <w:rFonts w:ascii="Arial" w:eastAsia="Calibri" w:hAnsi="Arial" w:cs="Arial"/>
          <w:b/>
          <w:sz w:val="22"/>
          <w:szCs w:val="22"/>
          <w:lang w:val="es-CO" w:eastAsia="en-US"/>
        </w:rPr>
        <w:t>No Cumple.</w:t>
      </w:r>
    </w:p>
    <w:p w14:paraId="54D2450B" w14:textId="77777777" w:rsidR="008F095B" w:rsidRDefault="008F095B" w:rsidP="00835F25">
      <w:pPr>
        <w:contextualSpacing/>
        <w:jc w:val="both"/>
        <w:rPr>
          <w:rFonts w:ascii="Arial" w:eastAsia="Calibri" w:hAnsi="Arial" w:cs="Arial"/>
          <w:b/>
          <w:sz w:val="22"/>
          <w:szCs w:val="22"/>
          <w:highlight w:val="yellow"/>
          <w:lang w:val="es-CO" w:eastAsia="en-US"/>
        </w:rPr>
      </w:pPr>
    </w:p>
    <w:p w14:paraId="21AF9110" w14:textId="77777777" w:rsidR="00A619E2" w:rsidRPr="006021DA" w:rsidRDefault="00A619E2"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Actividad 1.1.</w:t>
      </w:r>
      <w:r w:rsidR="009711D8">
        <w:rPr>
          <w:rFonts w:ascii="Arial" w:eastAsia="Calibri" w:hAnsi="Arial" w:cs="Arial"/>
          <w:b/>
          <w:sz w:val="22"/>
          <w:szCs w:val="22"/>
          <w:lang w:val="es-CO" w:eastAsia="en-US"/>
        </w:rPr>
        <w:t>3</w:t>
      </w:r>
      <w:r w:rsidRPr="006021DA">
        <w:rPr>
          <w:rFonts w:ascii="Arial" w:eastAsia="Calibri" w:hAnsi="Arial" w:cs="Arial"/>
          <w:b/>
          <w:sz w:val="22"/>
          <w:szCs w:val="22"/>
          <w:lang w:val="es-CO" w:eastAsia="en-US"/>
        </w:rPr>
        <w:t xml:space="preserve">. </w:t>
      </w:r>
      <w:r w:rsidR="009711D8" w:rsidRPr="006021DA">
        <w:rPr>
          <w:rFonts w:ascii="Arial" w:eastAsia="Calibri" w:hAnsi="Arial" w:cs="Arial"/>
          <w:b/>
          <w:sz w:val="22"/>
          <w:szCs w:val="22"/>
          <w:lang w:val="es-CO" w:eastAsia="en-US"/>
        </w:rPr>
        <w:t>Reportar la Categoría MEN-PAE del CHIP</w:t>
      </w:r>
      <w:r w:rsidR="009711D8">
        <w:rPr>
          <w:rFonts w:ascii="Arial" w:eastAsia="Calibri" w:hAnsi="Arial" w:cs="Arial"/>
          <w:b/>
          <w:sz w:val="22"/>
          <w:szCs w:val="22"/>
          <w:lang w:val="es-CO" w:eastAsia="en-US"/>
        </w:rPr>
        <w:t xml:space="preserve"> Ejecución de Recursos </w:t>
      </w:r>
      <w:r w:rsidR="006C310B">
        <w:rPr>
          <w:rFonts w:ascii="Arial" w:eastAsia="Calibri" w:hAnsi="Arial" w:cs="Arial"/>
          <w:b/>
          <w:sz w:val="22"/>
          <w:szCs w:val="22"/>
          <w:lang w:val="es-CO" w:eastAsia="en-US"/>
        </w:rPr>
        <w:t>o</w:t>
      </w:r>
      <w:r w:rsidR="009711D8">
        <w:rPr>
          <w:rFonts w:ascii="Arial" w:eastAsia="Calibri" w:hAnsi="Arial" w:cs="Arial"/>
          <w:b/>
          <w:sz w:val="22"/>
          <w:szCs w:val="22"/>
          <w:lang w:val="es-CO" w:eastAsia="en-US"/>
        </w:rPr>
        <w:t xml:space="preserve"> Categoría que haga sus veces</w:t>
      </w:r>
      <w:r w:rsidR="009711D8" w:rsidRPr="006021DA">
        <w:rPr>
          <w:rFonts w:ascii="Arial" w:eastAsia="Calibri" w:hAnsi="Arial" w:cs="Arial"/>
          <w:b/>
          <w:sz w:val="22"/>
          <w:szCs w:val="22"/>
          <w:lang w:val="es-CO" w:eastAsia="en-US"/>
        </w:rPr>
        <w:t>.</w:t>
      </w:r>
    </w:p>
    <w:p w14:paraId="675CD306" w14:textId="77777777" w:rsidR="00A619E2" w:rsidRDefault="00A619E2" w:rsidP="00835F25">
      <w:pPr>
        <w:contextualSpacing/>
        <w:jc w:val="both"/>
        <w:rPr>
          <w:rFonts w:ascii="Arial" w:eastAsia="Calibri" w:hAnsi="Arial" w:cs="Arial"/>
          <w:b/>
          <w:sz w:val="22"/>
          <w:szCs w:val="22"/>
          <w:highlight w:val="yellow"/>
          <w:lang w:val="es-CO" w:eastAsia="en-US"/>
        </w:rPr>
      </w:pPr>
    </w:p>
    <w:p w14:paraId="6F188091" w14:textId="77777777" w:rsidR="00437966" w:rsidRDefault="00B83AA3" w:rsidP="00835F25">
      <w:pPr>
        <w:contextualSpacing/>
        <w:jc w:val="both"/>
        <w:rPr>
          <w:rFonts w:ascii="Arial" w:eastAsia="Arial" w:hAnsi="Arial" w:cs="Arial"/>
          <w:sz w:val="22"/>
          <w:szCs w:val="22"/>
        </w:rPr>
      </w:pPr>
      <w:r>
        <w:rPr>
          <w:rFonts w:ascii="Arial" w:eastAsia="Arial" w:hAnsi="Arial" w:cs="Arial"/>
          <w:sz w:val="22"/>
          <w:szCs w:val="22"/>
        </w:rPr>
        <w:t xml:space="preserve">A través del artículo 189 de </w:t>
      </w:r>
      <w:r w:rsidR="00437966" w:rsidRPr="00437966">
        <w:rPr>
          <w:rFonts w:ascii="Arial" w:eastAsia="Arial" w:hAnsi="Arial" w:cs="Arial"/>
          <w:sz w:val="22"/>
          <w:szCs w:val="22"/>
        </w:rPr>
        <w:t xml:space="preserve">la </w:t>
      </w:r>
      <w:r w:rsidR="001D67E6">
        <w:rPr>
          <w:rFonts w:ascii="Arial" w:eastAsia="Arial" w:hAnsi="Arial" w:cs="Arial"/>
          <w:sz w:val="22"/>
          <w:szCs w:val="22"/>
        </w:rPr>
        <w:t>L</w:t>
      </w:r>
      <w:r w:rsidR="00437966" w:rsidRPr="00437966">
        <w:rPr>
          <w:rFonts w:ascii="Arial" w:eastAsia="Arial" w:hAnsi="Arial" w:cs="Arial"/>
          <w:sz w:val="22"/>
          <w:szCs w:val="22"/>
        </w:rPr>
        <w:t>ey 1955 de 2019</w:t>
      </w:r>
      <w:r w:rsidR="00AD049D">
        <w:rPr>
          <w:rStyle w:val="Refdenotaalpie"/>
          <w:rFonts w:ascii="Arial" w:eastAsia="Arial" w:hAnsi="Arial" w:cs="Arial"/>
          <w:sz w:val="22"/>
          <w:szCs w:val="22"/>
        </w:rPr>
        <w:footnoteReference w:id="8"/>
      </w:r>
      <w:r w:rsidR="00437966" w:rsidRPr="00437966">
        <w:rPr>
          <w:rFonts w:ascii="Arial" w:eastAsia="Arial" w:hAnsi="Arial" w:cs="Arial"/>
          <w:sz w:val="22"/>
          <w:szCs w:val="22"/>
        </w:rPr>
        <w:t>, se ordena la creación de la Unidad Administrativa</w:t>
      </w:r>
      <w:r w:rsidR="00437966">
        <w:rPr>
          <w:rFonts w:ascii="Arial" w:eastAsia="Arial" w:hAnsi="Arial" w:cs="Arial"/>
          <w:sz w:val="22"/>
          <w:szCs w:val="22"/>
        </w:rPr>
        <w:t xml:space="preserve"> </w:t>
      </w:r>
      <w:r w:rsidR="00437966" w:rsidRPr="00437966">
        <w:rPr>
          <w:rFonts w:ascii="Arial" w:eastAsia="Arial" w:hAnsi="Arial" w:cs="Arial"/>
          <w:sz w:val="22"/>
          <w:szCs w:val="22"/>
        </w:rPr>
        <w:t xml:space="preserve">Especial de Alimentación Escolar y a su vez, el </w:t>
      </w:r>
      <w:r w:rsidR="009728CB">
        <w:rPr>
          <w:rFonts w:ascii="Arial" w:eastAsia="Arial" w:hAnsi="Arial" w:cs="Arial"/>
          <w:sz w:val="22"/>
          <w:szCs w:val="22"/>
        </w:rPr>
        <w:t>D</w:t>
      </w:r>
      <w:r w:rsidR="00437966" w:rsidRPr="00437966">
        <w:rPr>
          <w:rFonts w:ascii="Arial" w:eastAsia="Arial" w:hAnsi="Arial" w:cs="Arial"/>
          <w:sz w:val="22"/>
          <w:szCs w:val="22"/>
        </w:rPr>
        <w:t>ecreto 218 del 14 de febrero de 2020, “</w:t>
      </w:r>
      <w:r w:rsidR="009728CB" w:rsidRPr="009728CB">
        <w:rPr>
          <w:rFonts w:ascii="Arial" w:eastAsia="Arial" w:hAnsi="Arial" w:cs="Arial"/>
          <w:i/>
          <w:iCs/>
          <w:sz w:val="22"/>
          <w:szCs w:val="22"/>
        </w:rPr>
        <w:t>P</w:t>
      </w:r>
      <w:r w:rsidR="00437966" w:rsidRPr="009728CB">
        <w:rPr>
          <w:rFonts w:ascii="Arial" w:eastAsia="Arial" w:hAnsi="Arial" w:cs="Arial"/>
          <w:i/>
          <w:iCs/>
          <w:sz w:val="22"/>
          <w:szCs w:val="22"/>
        </w:rPr>
        <w:t xml:space="preserve">or el cual se establece la estructura interna de la Unidad Administrativa Especial de </w:t>
      </w:r>
      <w:r w:rsidR="00437966" w:rsidRPr="009728CB">
        <w:rPr>
          <w:rFonts w:ascii="Arial" w:eastAsia="Arial" w:hAnsi="Arial" w:cs="Arial"/>
          <w:i/>
          <w:iCs/>
          <w:sz w:val="22"/>
          <w:szCs w:val="22"/>
        </w:rPr>
        <w:lastRenderedPageBreak/>
        <w:t>Alimentación Escolar – Alimentos para Aprender</w:t>
      </w:r>
      <w:r w:rsidR="00437966" w:rsidRPr="00437966">
        <w:rPr>
          <w:rFonts w:ascii="Arial" w:eastAsia="Arial" w:hAnsi="Arial" w:cs="Arial"/>
          <w:sz w:val="22"/>
          <w:szCs w:val="22"/>
        </w:rPr>
        <w:t>”,</w:t>
      </w:r>
      <w:r w:rsidR="00437966">
        <w:rPr>
          <w:rFonts w:ascii="Arial" w:eastAsia="Arial" w:hAnsi="Arial" w:cs="Arial"/>
          <w:sz w:val="22"/>
          <w:szCs w:val="22"/>
        </w:rPr>
        <w:t xml:space="preserve"> </w:t>
      </w:r>
      <w:r w:rsidR="00437966" w:rsidRPr="00437966">
        <w:rPr>
          <w:rFonts w:ascii="Arial" w:eastAsia="Arial" w:hAnsi="Arial" w:cs="Arial"/>
          <w:sz w:val="22"/>
          <w:szCs w:val="22"/>
        </w:rPr>
        <w:t xml:space="preserve">señala como función de la Unidad – </w:t>
      </w:r>
      <w:r w:rsidR="00D74E12">
        <w:rPr>
          <w:rFonts w:ascii="Arial" w:eastAsia="Arial" w:hAnsi="Arial" w:cs="Arial"/>
          <w:sz w:val="22"/>
          <w:szCs w:val="22"/>
        </w:rPr>
        <w:t>“</w:t>
      </w:r>
      <w:r w:rsidR="00437966" w:rsidRPr="00B3648E">
        <w:rPr>
          <w:rFonts w:ascii="Arial" w:eastAsia="Arial" w:hAnsi="Arial" w:cs="Arial"/>
          <w:i/>
          <w:iCs/>
          <w:sz w:val="22"/>
          <w:szCs w:val="22"/>
        </w:rPr>
        <w:t>Alimentos para Aprender</w:t>
      </w:r>
      <w:r w:rsidR="00D74E12">
        <w:rPr>
          <w:rFonts w:ascii="Arial" w:eastAsia="Arial" w:hAnsi="Arial" w:cs="Arial"/>
          <w:sz w:val="22"/>
          <w:szCs w:val="22"/>
        </w:rPr>
        <w:t>”</w:t>
      </w:r>
      <w:r w:rsidR="00437966" w:rsidRPr="00437966">
        <w:rPr>
          <w:rFonts w:ascii="Arial" w:eastAsia="Arial" w:hAnsi="Arial" w:cs="Arial"/>
          <w:sz w:val="22"/>
          <w:szCs w:val="22"/>
        </w:rPr>
        <w:t xml:space="preserve"> (</w:t>
      </w:r>
      <w:proofErr w:type="spellStart"/>
      <w:r w:rsidR="00437966" w:rsidRPr="00437966">
        <w:rPr>
          <w:rFonts w:ascii="Arial" w:eastAsia="Arial" w:hAnsi="Arial" w:cs="Arial"/>
          <w:sz w:val="22"/>
          <w:szCs w:val="22"/>
        </w:rPr>
        <w:t>UApA</w:t>
      </w:r>
      <w:proofErr w:type="spellEnd"/>
      <w:r w:rsidR="00437966" w:rsidRPr="00437966">
        <w:rPr>
          <w:rFonts w:ascii="Arial" w:eastAsia="Arial" w:hAnsi="Arial" w:cs="Arial"/>
          <w:sz w:val="22"/>
          <w:szCs w:val="22"/>
        </w:rPr>
        <w:t>):</w:t>
      </w:r>
    </w:p>
    <w:p w14:paraId="1A093064" w14:textId="77777777" w:rsidR="009728CB" w:rsidRDefault="009728CB" w:rsidP="00835F25">
      <w:pPr>
        <w:contextualSpacing/>
        <w:jc w:val="both"/>
        <w:rPr>
          <w:rFonts w:ascii="Arial" w:eastAsia="Arial" w:hAnsi="Arial" w:cs="Arial"/>
          <w:sz w:val="22"/>
          <w:szCs w:val="22"/>
        </w:rPr>
      </w:pPr>
    </w:p>
    <w:p w14:paraId="6D922D97" w14:textId="77777777" w:rsidR="00437966" w:rsidRDefault="00437966" w:rsidP="00835F25">
      <w:pPr>
        <w:pStyle w:val="Prrafodelista"/>
        <w:numPr>
          <w:ilvl w:val="0"/>
          <w:numId w:val="26"/>
        </w:numPr>
        <w:jc w:val="both"/>
        <w:rPr>
          <w:rFonts w:ascii="Arial" w:eastAsia="Arial" w:hAnsi="Arial" w:cs="Arial"/>
          <w:sz w:val="22"/>
          <w:szCs w:val="22"/>
        </w:rPr>
      </w:pPr>
      <w:r w:rsidRPr="009728CB">
        <w:rPr>
          <w:rFonts w:ascii="Arial" w:eastAsia="Arial" w:hAnsi="Arial" w:cs="Arial"/>
          <w:sz w:val="22"/>
          <w:szCs w:val="22"/>
        </w:rPr>
        <w:t>Diseñar y gestionar el sistema de información del Programa de Alimentación Escolar y articularlo con los sistemas de información</w:t>
      </w:r>
      <w:r w:rsidR="009728CB">
        <w:rPr>
          <w:rFonts w:ascii="Arial" w:eastAsia="Arial" w:hAnsi="Arial" w:cs="Arial"/>
          <w:sz w:val="22"/>
          <w:szCs w:val="22"/>
        </w:rPr>
        <w:t xml:space="preserve"> </w:t>
      </w:r>
      <w:r w:rsidRPr="009728CB">
        <w:rPr>
          <w:rFonts w:ascii="Arial" w:eastAsia="Arial" w:hAnsi="Arial" w:cs="Arial"/>
          <w:sz w:val="22"/>
          <w:szCs w:val="22"/>
        </w:rPr>
        <w:t>públicos que recogen datos relativos a la política de alimentación escolar y su implementación en el territorio.</w:t>
      </w:r>
    </w:p>
    <w:p w14:paraId="1BEBDBB7" w14:textId="77777777" w:rsidR="00437966" w:rsidRDefault="00437966" w:rsidP="00835F25">
      <w:pPr>
        <w:pStyle w:val="Prrafodelista"/>
        <w:numPr>
          <w:ilvl w:val="0"/>
          <w:numId w:val="26"/>
        </w:numPr>
        <w:jc w:val="both"/>
        <w:rPr>
          <w:rFonts w:ascii="Arial" w:eastAsia="Arial" w:hAnsi="Arial" w:cs="Arial"/>
          <w:sz w:val="22"/>
          <w:szCs w:val="22"/>
        </w:rPr>
      </w:pPr>
      <w:r w:rsidRPr="009728CB">
        <w:rPr>
          <w:rFonts w:ascii="Arial" w:eastAsia="Arial" w:hAnsi="Arial" w:cs="Arial"/>
          <w:sz w:val="22"/>
          <w:szCs w:val="22"/>
        </w:rPr>
        <w:t xml:space="preserve">Hacer seguimiento a la ejecución de los recursos asignados para el desarrollo del </w:t>
      </w:r>
      <w:r w:rsidR="001D67E6">
        <w:rPr>
          <w:rFonts w:ascii="Arial" w:eastAsia="Arial" w:hAnsi="Arial" w:cs="Arial"/>
          <w:sz w:val="22"/>
          <w:szCs w:val="22"/>
        </w:rPr>
        <w:t>P</w:t>
      </w:r>
      <w:r w:rsidRPr="009728CB">
        <w:rPr>
          <w:rFonts w:ascii="Arial" w:eastAsia="Arial" w:hAnsi="Arial" w:cs="Arial"/>
          <w:sz w:val="22"/>
          <w:szCs w:val="22"/>
        </w:rPr>
        <w:t>rograma de Alimentación Escolar, para lo cual</w:t>
      </w:r>
      <w:r w:rsidR="009728CB">
        <w:rPr>
          <w:rFonts w:ascii="Arial" w:eastAsia="Arial" w:hAnsi="Arial" w:cs="Arial"/>
          <w:sz w:val="22"/>
          <w:szCs w:val="22"/>
        </w:rPr>
        <w:t xml:space="preserve"> </w:t>
      </w:r>
      <w:r w:rsidRPr="009728CB">
        <w:rPr>
          <w:rFonts w:ascii="Arial" w:eastAsia="Arial" w:hAnsi="Arial" w:cs="Arial"/>
          <w:sz w:val="22"/>
          <w:szCs w:val="22"/>
        </w:rPr>
        <w:t>podrá solicitar la información que se requiera e informar a los organismos de control para que adelanten las acciones a que haya lugar</w:t>
      </w:r>
      <w:r w:rsidR="009728CB">
        <w:rPr>
          <w:rFonts w:ascii="Arial" w:eastAsia="Arial" w:hAnsi="Arial" w:cs="Arial"/>
          <w:sz w:val="22"/>
          <w:szCs w:val="22"/>
        </w:rPr>
        <w:t xml:space="preserve"> </w:t>
      </w:r>
      <w:r w:rsidRPr="009728CB">
        <w:rPr>
          <w:rFonts w:ascii="Arial" w:eastAsia="Arial" w:hAnsi="Arial" w:cs="Arial"/>
          <w:sz w:val="22"/>
          <w:szCs w:val="22"/>
        </w:rPr>
        <w:t>en el marco de sus competencias</w:t>
      </w:r>
    </w:p>
    <w:p w14:paraId="4258B7A6" w14:textId="77777777" w:rsidR="009728CB" w:rsidRPr="00B3648E" w:rsidRDefault="009728CB" w:rsidP="00646700">
      <w:pPr>
        <w:contextualSpacing/>
        <w:jc w:val="both"/>
        <w:rPr>
          <w:rFonts w:ascii="Arial" w:eastAsia="Arial" w:hAnsi="Arial" w:cs="Arial"/>
          <w:sz w:val="22"/>
          <w:szCs w:val="22"/>
        </w:rPr>
      </w:pPr>
    </w:p>
    <w:p w14:paraId="608A2FAC" w14:textId="77777777" w:rsidR="009711D8" w:rsidRDefault="00437966" w:rsidP="00835F25">
      <w:pPr>
        <w:contextualSpacing/>
        <w:jc w:val="both"/>
        <w:rPr>
          <w:rFonts w:ascii="Arial" w:eastAsia="Arial" w:hAnsi="Arial" w:cs="Arial"/>
          <w:sz w:val="22"/>
          <w:szCs w:val="22"/>
        </w:rPr>
      </w:pPr>
      <w:r w:rsidRPr="00437966">
        <w:rPr>
          <w:rFonts w:ascii="Arial" w:eastAsia="Arial" w:hAnsi="Arial" w:cs="Arial"/>
          <w:sz w:val="22"/>
          <w:szCs w:val="22"/>
        </w:rPr>
        <w:t xml:space="preserve">En virtud de lo anterior, la Unidad Administrativa Especial de Alimentación Escolar </w:t>
      </w:r>
      <w:r w:rsidR="00D74E12">
        <w:rPr>
          <w:rFonts w:ascii="Arial" w:eastAsia="Arial" w:hAnsi="Arial" w:cs="Arial"/>
          <w:sz w:val="22"/>
          <w:szCs w:val="22"/>
        </w:rPr>
        <w:t>– “</w:t>
      </w:r>
      <w:r w:rsidRPr="00B3648E">
        <w:rPr>
          <w:rFonts w:ascii="Arial" w:eastAsia="Arial" w:hAnsi="Arial" w:cs="Arial"/>
          <w:i/>
          <w:iCs/>
          <w:sz w:val="22"/>
          <w:szCs w:val="22"/>
        </w:rPr>
        <w:t>Alimentos para Aprender</w:t>
      </w:r>
      <w:r w:rsidR="00D74E12">
        <w:rPr>
          <w:rFonts w:ascii="Arial" w:eastAsia="Arial" w:hAnsi="Arial" w:cs="Arial"/>
          <w:sz w:val="22"/>
          <w:szCs w:val="22"/>
        </w:rPr>
        <w:t>”</w:t>
      </w:r>
      <w:r w:rsidRPr="00437966">
        <w:rPr>
          <w:rFonts w:ascii="Arial" w:eastAsia="Arial" w:hAnsi="Arial" w:cs="Arial"/>
          <w:sz w:val="22"/>
          <w:szCs w:val="22"/>
        </w:rPr>
        <w:t xml:space="preserve"> -</w:t>
      </w:r>
      <w:r w:rsidR="009728CB">
        <w:rPr>
          <w:rFonts w:ascii="Arial" w:eastAsia="Arial" w:hAnsi="Arial" w:cs="Arial"/>
          <w:sz w:val="22"/>
          <w:szCs w:val="22"/>
        </w:rPr>
        <w:t xml:space="preserve"> </w:t>
      </w:r>
      <w:proofErr w:type="spellStart"/>
      <w:r w:rsidRPr="00437966">
        <w:rPr>
          <w:rFonts w:ascii="Arial" w:eastAsia="Arial" w:hAnsi="Arial" w:cs="Arial"/>
          <w:sz w:val="22"/>
          <w:szCs w:val="22"/>
        </w:rPr>
        <w:t>UApA</w:t>
      </w:r>
      <w:proofErr w:type="spellEnd"/>
      <w:r w:rsidRPr="00437966">
        <w:rPr>
          <w:rFonts w:ascii="Arial" w:eastAsia="Arial" w:hAnsi="Arial" w:cs="Arial"/>
          <w:sz w:val="22"/>
          <w:szCs w:val="22"/>
        </w:rPr>
        <w:t xml:space="preserve"> asumió la administración de la Categoría MEN</w:t>
      </w:r>
      <w:r w:rsidR="00D74E12">
        <w:rPr>
          <w:rFonts w:ascii="Arial" w:eastAsia="Arial" w:hAnsi="Arial" w:cs="Arial"/>
          <w:sz w:val="22"/>
          <w:szCs w:val="22"/>
        </w:rPr>
        <w:t>-</w:t>
      </w:r>
      <w:r w:rsidRPr="00437966">
        <w:rPr>
          <w:rFonts w:ascii="Arial" w:eastAsia="Arial" w:hAnsi="Arial" w:cs="Arial"/>
          <w:sz w:val="22"/>
          <w:szCs w:val="22"/>
        </w:rPr>
        <w:t>PAE creada y enmarcada en la Resolución 19530 de 2016.</w:t>
      </w:r>
      <w:r w:rsidR="00FE5AE2">
        <w:rPr>
          <w:rFonts w:ascii="Arial" w:eastAsia="Arial" w:hAnsi="Arial" w:cs="Arial"/>
          <w:sz w:val="22"/>
          <w:szCs w:val="22"/>
        </w:rPr>
        <w:t xml:space="preserve"> </w:t>
      </w:r>
      <w:r w:rsidR="009D6BA8">
        <w:rPr>
          <w:rFonts w:ascii="Arial" w:eastAsia="Arial" w:hAnsi="Arial" w:cs="Arial"/>
          <w:sz w:val="22"/>
          <w:szCs w:val="22"/>
        </w:rPr>
        <w:t>Por consiguiente</w:t>
      </w:r>
      <w:r w:rsidRPr="00437966">
        <w:rPr>
          <w:rFonts w:ascii="Arial" w:eastAsia="Arial" w:hAnsi="Arial" w:cs="Arial"/>
          <w:sz w:val="22"/>
          <w:szCs w:val="22"/>
        </w:rPr>
        <w:t xml:space="preserve">, debido a la competencia de la Unidad, a partir del año 2021 se crea la </w:t>
      </w:r>
      <w:r w:rsidR="00752A40">
        <w:rPr>
          <w:rFonts w:ascii="Arial" w:eastAsia="Arial" w:hAnsi="Arial" w:cs="Arial"/>
          <w:sz w:val="22"/>
          <w:szCs w:val="22"/>
        </w:rPr>
        <w:t>C</w:t>
      </w:r>
      <w:r w:rsidRPr="00437966">
        <w:rPr>
          <w:rFonts w:ascii="Arial" w:eastAsia="Arial" w:hAnsi="Arial" w:cs="Arial"/>
          <w:sz w:val="22"/>
          <w:szCs w:val="22"/>
        </w:rPr>
        <w:t>ategoría UAPA</w:t>
      </w:r>
      <w:r w:rsidR="00B83AA3">
        <w:rPr>
          <w:rFonts w:ascii="Arial" w:eastAsia="Arial" w:hAnsi="Arial" w:cs="Arial"/>
          <w:sz w:val="22"/>
          <w:szCs w:val="22"/>
        </w:rPr>
        <w:t>-</w:t>
      </w:r>
      <w:r w:rsidRPr="00437966">
        <w:rPr>
          <w:rFonts w:ascii="Arial" w:eastAsia="Arial" w:hAnsi="Arial" w:cs="Arial"/>
          <w:sz w:val="22"/>
          <w:szCs w:val="22"/>
        </w:rPr>
        <w:t>PAE</w:t>
      </w:r>
      <w:r w:rsidR="00FE5AE2">
        <w:rPr>
          <w:rFonts w:ascii="Arial" w:eastAsia="Arial" w:hAnsi="Arial" w:cs="Arial"/>
          <w:sz w:val="22"/>
          <w:szCs w:val="22"/>
        </w:rPr>
        <w:t>.</w:t>
      </w:r>
    </w:p>
    <w:p w14:paraId="3053C78E" w14:textId="77777777" w:rsidR="00FE5AE2" w:rsidRDefault="00FE5AE2" w:rsidP="00835F25">
      <w:pPr>
        <w:contextualSpacing/>
        <w:jc w:val="both"/>
        <w:rPr>
          <w:rFonts w:ascii="Arial" w:eastAsia="Calibri" w:hAnsi="Arial" w:cs="Arial"/>
          <w:b/>
          <w:sz w:val="22"/>
          <w:szCs w:val="22"/>
          <w:highlight w:val="yellow"/>
          <w:lang w:val="es-CO" w:eastAsia="en-US"/>
        </w:rPr>
      </w:pPr>
    </w:p>
    <w:p w14:paraId="191B65E9" w14:textId="77777777" w:rsidR="009711D8" w:rsidRPr="00244BD7" w:rsidRDefault="00C21E3B" w:rsidP="00835F25">
      <w:pPr>
        <w:contextualSpacing/>
        <w:jc w:val="both"/>
        <w:rPr>
          <w:rFonts w:ascii="Arial" w:eastAsia="Calibri" w:hAnsi="Arial" w:cs="Arial"/>
          <w:bCs/>
          <w:sz w:val="22"/>
          <w:szCs w:val="22"/>
          <w:lang w:val="es-CO" w:eastAsia="en-US"/>
        </w:rPr>
      </w:pPr>
      <w:r w:rsidRPr="00244BD7">
        <w:rPr>
          <w:rFonts w:ascii="Arial" w:eastAsia="Calibri" w:hAnsi="Arial" w:cs="Arial"/>
          <w:bCs/>
          <w:sz w:val="22"/>
          <w:szCs w:val="22"/>
          <w:lang w:val="es-CO" w:eastAsia="en-US"/>
        </w:rPr>
        <w:t xml:space="preserve">Así las cosas, el reemplazo de esta </w:t>
      </w:r>
      <w:r w:rsidR="00244BD7" w:rsidRPr="00244BD7">
        <w:rPr>
          <w:rFonts w:ascii="Arial" w:eastAsia="Calibri" w:hAnsi="Arial" w:cs="Arial"/>
          <w:bCs/>
          <w:sz w:val="22"/>
          <w:szCs w:val="22"/>
          <w:lang w:val="es-CO" w:eastAsia="en-US"/>
        </w:rPr>
        <w:t xml:space="preserve">información es la </w:t>
      </w:r>
      <w:r w:rsidR="001D67E6">
        <w:rPr>
          <w:rFonts w:ascii="Arial" w:eastAsia="Calibri" w:hAnsi="Arial" w:cs="Arial"/>
          <w:bCs/>
          <w:sz w:val="22"/>
          <w:szCs w:val="22"/>
          <w:lang w:val="es-CO" w:eastAsia="en-US"/>
        </w:rPr>
        <w:t>C</w:t>
      </w:r>
      <w:r w:rsidR="00244BD7" w:rsidRPr="00244BD7">
        <w:rPr>
          <w:rFonts w:ascii="Arial" w:eastAsia="Calibri" w:hAnsi="Arial" w:cs="Arial"/>
          <w:bCs/>
          <w:sz w:val="22"/>
          <w:szCs w:val="22"/>
          <w:lang w:val="es-CO" w:eastAsia="en-US"/>
        </w:rPr>
        <w:t>ategoría UAPA–PAE con periodicidad de reporte trimestral, la cual se evaluará a través de la Actividad 1.1.2 del Plan de Desempeño</w:t>
      </w:r>
      <w:r w:rsidR="00B83AA3">
        <w:rPr>
          <w:rFonts w:ascii="Arial" w:eastAsia="Calibri" w:hAnsi="Arial" w:cs="Arial"/>
          <w:bCs/>
          <w:sz w:val="22"/>
          <w:szCs w:val="22"/>
          <w:lang w:val="es-CO" w:eastAsia="en-US"/>
        </w:rPr>
        <w:t>.</w:t>
      </w:r>
    </w:p>
    <w:p w14:paraId="4B214E85" w14:textId="77777777" w:rsidR="00FA2B68" w:rsidRDefault="00FA2B68" w:rsidP="00835F25">
      <w:pPr>
        <w:contextualSpacing/>
        <w:jc w:val="both"/>
        <w:rPr>
          <w:rFonts w:ascii="Arial" w:eastAsia="Calibri" w:hAnsi="Arial" w:cs="Arial"/>
          <w:b/>
          <w:sz w:val="22"/>
          <w:szCs w:val="22"/>
          <w:highlight w:val="yellow"/>
          <w:lang w:val="es-CO" w:eastAsia="en-US"/>
        </w:rPr>
      </w:pPr>
    </w:p>
    <w:p w14:paraId="57CE2AF8" w14:textId="77777777" w:rsidR="009711D8" w:rsidRPr="006021DA" w:rsidRDefault="009711D8"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Estado: No Aplica.</w:t>
      </w:r>
    </w:p>
    <w:p w14:paraId="1B534017" w14:textId="77777777" w:rsidR="00A619E2" w:rsidRDefault="00A619E2" w:rsidP="00835F25">
      <w:pPr>
        <w:contextualSpacing/>
        <w:jc w:val="both"/>
        <w:rPr>
          <w:rFonts w:ascii="Arial" w:eastAsia="Calibri" w:hAnsi="Arial" w:cs="Arial"/>
          <w:b/>
          <w:sz w:val="22"/>
          <w:szCs w:val="22"/>
          <w:highlight w:val="yellow"/>
          <w:lang w:val="es-CO" w:eastAsia="en-US"/>
        </w:rPr>
      </w:pPr>
    </w:p>
    <w:p w14:paraId="63CE7D95" w14:textId="77777777" w:rsidR="008F095B" w:rsidRPr="006021DA" w:rsidRDefault="008F095B"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9F4718" w:rsidRPr="006021DA">
        <w:rPr>
          <w:rFonts w:ascii="Arial" w:eastAsia="Calibri" w:hAnsi="Arial" w:cs="Arial"/>
          <w:b/>
          <w:sz w:val="22"/>
          <w:szCs w:val="22"/>
          <w:lang w:val="es-CO" w:eastAsia="en-US"/>
        </w:rPr>
        <w:t>1.1.</w:t>
      </w:r>
      <w:r w:rsidR="00F9427E">
        <w:rPr>
          <w:rFonts w:ascii="Arial" w:eastAsia="Calibri" w:hAnsi="Arial" w:cs="Arial"/>
          <w:b/>
          <w:sz w:val="22"/>
          <w:szCs w:val="22"/>
          <w:lang w:val="es-CO" w:eastAsia="en-US"/>
        </w:rPr>
        <w:t>4</w:t>
      </w:r>
      <w:r w:rsidR="009F4718" w:rsidRPr="006021DA">
        <w:rPr>
          <w:rFonts w:ascii="Arial" w:eastAsia="Calibri" w:hAnsi="Arial" w:cs="Arial"/>
          <w:b/>
          <w:sz w:val="22"/>
          <w:szCs w:val="22"/>
          <w:lang w:val="es-CO" w:eastAsia="en-US"/>
        </w:rPr>
        <w:t xml:space="preserve">. </w:t>
      </w:r>
      <w:r w:rsidR="008F6949">
        <w:rPr>
          <w:rFonts w:ascii="Arial" w:eastAsia="Calibri" w:hAnsi="Arial" w:cs="Arial"/>
          <w:b/>
          <w:sz w:val="22"/>
          <w:szCs w:val="22"/>
          <w:lang w:val="es-CO" w:eastAsia="en-US"/>
        </w:rPr>
        <w:t>Levantar</w:t>
      </w:r>
      <w:r w:rsidR="008F6949" w:rsidRPr="008F6949">
        <w:rPr>
          <w:rFonts w:ascii="Arial" w:eastAsia="Calibri" w:hAnsi="Arial" w:cs="Arial"/>
          <w:b/>
          <w:sz w:val="22"/>
          <w:szCs w:val="22"/>
          <w:lang w:val="es-CO" w:eastAsia="en-US"/>
        </w:rPr>
        <w:t xml:space="preserve"> los procedimientos financieros del Distrito, implementando los instrumentos para la cancelación de pagos, conciliaciones bancarias, distribución de ingresos, establecimiento de escenarios financieros y elaboración de</w:t>
      </w:r>
      <w:r w:rsidR="00D74E12">
        <w:rPr>
          <w:rFonts w:ascii="Arial" w:eastAsia="Calibri" w:hAnsi="Arial" w:cs="Arial"/>
          <w:b/>
          <w:sz w:val="22"/>
          <w:szCs w:val="22"/>
          <w:lang w:val="es-CO" w:eastAsia="en-US"/>
        </w:rPr>
        <w:t>l</w:t>
      </w:r>
      <w:r w:rsidR="008F6949" w:rsidRPr="008F6949">
        <w:rPr>
          <w:rFonts w:ascii="Arial" w:eastAsia="Calibri" w:hAnsi="Arial" w:cs="Arial"/>
          <w:b/>
          <w:sz w:val="22"/>
          <w:szCs w:val="22"/>
          <w:lang w:val="es-CO" w:eastAsia="en-US"/>
        </w:rPr>
        <w:t xml:space="preserve"> PAC. Adicionalmente, el Distrito deberá trabajar un procedimiento que articule el manejo de la Cuenta Maestra donde se administran los recursos que financian la Alimentación Escolar.</w:t>
      </w:r>
    </w:p>
    <w:p w14:paraId="03B4A50F" w14:textId="77777777" w:rsidR="008F095B" w:rsidRPr="006021DA" w:rsidRDefault="008F095B" w:rsidP="00835F25">
      <w:pPr>
        <w:contextualSpacing/>
        <w:jc w:val="both"/>
        <w:rPr>
          <w:rFonts w:ascii="Arial" w:eastAsia="Calibri" w:hAnsi="Arial" w:cs="Arial"/>
          <w:b/>
          <w:sz w:val="22"/>
          <w:szCs w:val="22"/>
          <w:highlight w:val="yellow"/>
          <w:lang w:val="es-CO" w:eastAsia="en-US"/>
        </w:rPr>
      </w:pPr>
    </w:p>
    <w:p w14:paraId="442CE174" w14:textId="77777777" w:rsidR="008F095B" w:rsidRDefault="00A16E42"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Para</w:t>
      </w:r>
      <w:r w:rsidR="0034424C">
        <w:rPr>
          <w:rFonts w:ascii="Arial" w:eastAsia="Calibri" w:hAnsi="Arial" w:cs="Arial"/>
          <w:sz w:val="22"/>
          <w:szCs w:val="22"/>
          <w:lang w:val="es-CO" w:eastAsia="en-US"/>
        </w:rPr>
        <w:t xml:space="preserve"> el</w:t>
      </w:r>
      <w:r>
        <w:rPr>
          <w:rFonts w:ascii="Arial" w:eastAsia="Calibri" w:hAnsi="Arial" w:cs="Arial"/>
          <w:sz w:val="22"/>
          <w:szCs w:val="22"/>
          <w:lang w:val="es-CO" w:eastAsia="en-US"/>
        </w:rPr>
        <w:t xml:space="preserve"> cumplimiento de esta </w:t>
      </w:r>
      <w:r w:rsidR="00D74E12">
        <w:rPr>
          <w:rFonts w:ascii="Arial" w:eastAsia="Calibri" w:hAnsi="Arial" w:cs="Arial"/>
          <w:sz w:val="22"/>
          <w:szCs w:val="22"/>
          <w:lang w:val="es-CO" w:eastAsia="en-US"/>
        </w:rPr>
        <w:t>A</w:t>
      </w:r>
      <w:r>
        <w:rPr>
          <w:rFonts w:ascii="Arial" w:eastAsia="Calibri" w:hAnsi="Arial" w:cs="Arial"/>
          <w:sz w:val="22"/>
          <w:szCs w:val="22"/>
          <w:lang w:val="es-CO" w:eastAsia="en-US"/>
        </w:rPr>
        <w:t xml:space="preserve">ctividad, </w:t>
      </w:r>
      <w:r w:rsidR="0034424C">
        <w:rPr>
          <w:rFonts w:ascii="Arial" w:eastAsia="Calibri" w:hAnsi="Arial" w:cs="Arial"/>
          <w:sz w:val="22"/>
          <w:szCs w:val="22"/>
          <w:lang w:val="es-CO" w:eastAsia="en-US"/>
        </w:rPr>
        <w:t xml:space="preserve">la Entidad Territorial </w:t>
      </w:r>
      <w:r>
        <w:rPr>
          <w:rFonts w:ascii="Arial" w:eastAsia="Calibri" w:hAnsi="Arial" w:cs="Arial"/>
          <w:sz w:val="22"/>
          <w:szCs w:val="22"/>
          <w:lang w:val="es-CO" w:eastAsia="en-US"/>
        </w:rPr>
        <w:t>remitió la siguiente información:</w:t>
      </w:r>
    </w:p>
    <w:p w14:paraId="08D1F10A" w14:textId="77777777" w:rsidR="00A16E42" w:rsidRDefault="00A16E42" w:rsidP="00835F25">
      <w:pPr>
        <w:contextualSpacing/>
        <w:jc w:val="both"/>
        <w:rPr>
          <w:rFonts w:ascii="Arial" w:eastAsia="Calibri" w:hAnsi="Arial" w:cs="Arial"/>
          <w:sz w:val="22"/>
          <w:szCs w:val="22"/>
          <w:lang w:val="es-CO" w:eastAsia="en-US"/>
        </w:rPr>
      </w:pPr>
    </w:p>
    <w:p w14:paraId="7918D490" w14:textId="77777777" w:rsidR="005D2D93" w:rsidRDefault="005D2D93" w:rsidP="00835F25">
      <w:pPr>
        <w:pStyle w:val="Prrafodelista"/>
        <w:jc w:val="both"/>
        <w:rPr>
          <w:rFonts w:ascii="Arial" w:eastAsia="Calibri" w:hAnsi="Arial" w:cs="Arial"/>
          <w:sz w:val="22"/>
          <w:szCs w:val="22"/>
          <w:lang w:val="es-CO" w:eastAsia="en-US"/>
        </w:rPr>
      </w:pPr>
      <w:r w:rsidRPr="005D2D93">
        <w:rPr>
          <w:rFonts w:ascii="Arial" w:eastAsia="Calibri" w:hAnsi="Arial" w:cs="Arial"/>
          <w:sz w:val="22"/>
          <w:szCs w:val="22"/>
          <w:lang w:val="es-CO" w:eastAsia="en-US"/>
        </w:rPr>
        <w:t xml:space="preserve">1. </w:t>
      </w:r>
      <w:r w:rsidR="009D5993">
        <w:rPr>
          <w:rFonts w:ascii="Arial" w:eastAsia="Calibri" w:hAnsi="Arial" w:cs="Arial"/>
          <w:sz w:val="22"/>
          <w:szCs w:val="22"/>
          <w:lang w:val="es-CO" w:eastAsia="en-US"/>
        </w:rPr>
        <w:t>Procedimiento de Tesorería</w:t>
      </w:r>
      <w:r w:rsidRPr="005D2D93">
        <w:rPr>
          <w:rFonts w:ascii="Arial" w:eastAsia="Calibri" w:hAnsi="Arial" w:cs="Arial"/>
          <w:sz w:val="22"/>
          <w:szCs w:val="22"/>
          <w:lang w:val="es-CO" w:eastAsia="en-US"/>
        </w:rPr>
        <w:t>.</w:t>
      </w:r>
    </w:p>
    <w:p w14:paraId="489F808A" w14:textId="77777777" w:rsidR="006C14AD" w:rsidRDefault="006C14AD" w:rsidP="00835F25">
      <w:pPr>
        <w:pStyle w:val="Prrafodelista"/>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2. Procedimiento de </w:t>
      </w:r>
      <w:r w:rsidR="00E918F2">
        <w:rPr>
          <w:rFonts w:ascii="Arial" w:eastAsia="Calibri" w:hAnsi="Arial" w:cs="Arial"/>
          <w:sz w:val="22"/>
          <w:szCs w:val="22"/>
          <w:lang w:val="es-CO" w:eastAsia="en-US"/>
        </w:rPr>
        <w:t xml:space="preserve">recaudo tasa </w:t>
      </w:r>
      <w:r w:rsidR="00104FB7">
        <w:rPr>
          <w:rFonts w:ascii="Arial" w:eastAsia="Calibri" w:hAnsi="Arial" w:cs="Arial"/>
          <w:sz w:val="22"/>
          <w:szCs w:val="22"/>
          <w:lang w:val="es-CO" w:eastAsia="en-US"/>
        </w:rPr>
        <w:t>Pro-Deporte</w:t>
      </w:r>
      <w:r w:rsidR="00E918F2">
        <w:rPr>
          <w:rFonts w:ascii="Arial" w:eastAsia="Calibri" w:hAnsi="Arial" w:cs="Arial"/>
          <w:sz w:val="22"/>
          <w:szCs w:val="22"/>
          <w:lang w:val="es-CO" w:eastAsia="en-US"/>
        </w:rPr>
        <w:t xml:space="preserve"> y recreación.</w:t>
      </w:r>
    </w:p>
    <w:p w14:paraId="2A12FB16" w14:textId="77777777" w:rsidR="00A16E42" w:rsidRDefault="007B6675" w:rsidP="00835F25">
      <w:pPr>
        <w:pStyle w:val="Prrafodelista"/>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3. Procedimiento tramitar cuentas </w:t>
      </w:r>
      <w:r w:rsidR="00104FB7">
        <w:rPr>
          <w:rFonts w:ascii="Arial" w:eastAsia="Calibri" w:hAnsi="Arial" w:cs="Arial"/>
          <w:sz w:val="22"/>
          <w:szCs w:val="22"/>
          <w:lang w:val="es-CO" w:eastAsia="en-US"/>
        </w:rPr>
        <w:t>directas SED.</w:t>
      </w:r>
    </w:p>
    <w:p w14:paraId="35374360" w14:textId="77777777" w:rsidR="00104FB7" w:rsidRDefault="00104FB7" w:rsidP="00835F25">
      <w:pPr>
        <w:pStyle w:val="Prrafodelista"/>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4. </w:t>
      </w:r>
      <w:r w:rsidR="00305BA7">
        <w:rPr>
          <w:rFonts w:ascii="Arial" w:eastAsia="Calibri" w:hAnsi="Arial" w:cs="Arial"/>
          <w:sz w:val="22"/>
          <w:szCs w:val="22"/>
          <w:lang w:val="es-CO" w:eastAsia="en-US"/>
        </w:rPr>
        <w:t xml:space="preserve">Procedimiento archivo y custodia </w:t>
      </w:r>
      <w:r w:rsidR="00303E6E">
        <w:rPr>
          <w:rFonts w:ascii="Arial" w:eastAsia="Calibri" w:hAnsi="Arial" w:cs="Arial"/>
          <w:sz w:val="22"/>
          <w:szCs w:val="22"/>
          <w:lang w:val="es-CO" w:eastAsia="en-US"/>
        </w:rPr>
        <w:t>– Gestión contable.</w:t>
      </w:r>
    </w:p>
    <w:p w14:paraId="24207F30" w14:textId="77777777" w:rsidR="00303E6E" w:rsidRPr="00104FB7" w:rsidRDefault="00303E6E" w:rsidP="00835F25">
      <w:pPr>
        <w:pStyle w:val="Prrafodelista"/>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5. </w:t>
      </w:r>
      <w:r w:rsidR="002A5003">
        <w:rPr>
          <w:rFonts w:ascii="Arial" w:eastAsia="Calibri" w:hAnsi="Arial" w:cs="Arial"/>
          <w:sz w:val="22"/>
          <w:szCs w:val="22"/>
          <w:lang w:val="es-CO" w:eastAsia="en-US"/>
        </w:rPr>
        <w:t>Procedimiento manejar la deuda pública.</w:t>
      </w:r>
    </w:p>
    <w:p w14:paraId="0DBC0897" w14:textId="77777777" w:rsidR="00A16E42" w:rsidRPr="006021DA" w:rsidRDefault="00A16E42" w:rsidP="00835F25">
      <w:pPr>
        <w:contextualSpacing/>
        <w:jc w:val="both"/>
        <w:rPr>
          <w:rFonts w:ascii="Arial" w:eastAsia="Calibri" w:hAnsi="Arial" w:cs="Arial"/>
          <w:sz w:val="22"/>
          <w:szCs w:val="22"/>
          <w:lang w:val="es-CO" w:eastAsia="en-US"/>
        </w:rPr>
      </w:pPr>
    </w:p>
    <w:p w14:paraId="01A24C85" w14:textId="77777777" w:rsidR="00EF14BA" w:rsidRDefault="00004F67" w:rsidP="00835F25">
      <w:pPr>
        <w:contextualSpacing/>
        <w:jc w:val="both"/>
        <w:rPr>
          <w:rFonts w:ascii="Arial" w:eastAsia="Calibri" w:hAnsi="Arial" w:cs="Arial"/>
          <w:sz w:val="22"/>
          <w:szCs w:val="22"/>
          <w:lang w:val="es-CO" w:eastAsia="en-US"/>
        </w:rPr>
      </w:pPr>
      <w:r w:rsidRPr="002E080B">
        <w:rPr>
          <w:rFonts w:ascii="Arial" w:eastAsia="Calibri" w:hAnsi="Arial" w:cs="Arial"/>
          <w:sz w:val="22"/>
          <w:szCs w:val="22"/>
          <w:lang w:val="es-CO" w:eastAsia="en-US"/>
        </w:rPr>
        <w:t>Teniendo en cuenta los documentos recibidos</w:t>
      </w:r>
      <w:r>
        <w:rPr>
          <w:rFonts w:ascii="Arial" w:eastAsia="Calibri" w:hAnsi="Arial" w:cs="Arial"/>
          <w:sz w:val="22"/>
          <w:szCs w:val="22"/>
          <w:lang w:val="es-CO" w:eastAsia="en-US"/>
        </w:rPr>
        <w:t xml:space="preserve">, se estableció que la </w:t>
      </w:r>
      <w:r w:rsidR="00D2696C">
        <w:rPr>
          <w:rFonts w:ascii="Arial" w:eastAsia="Calibri" w:hAnsi="Arial" w:cs="Arial"/>
          <w:sz w:val="22"/>
          <w:szCs w:val="22"/>
          <w:lang w:val="es-CO" w:eastAsia="en-US"/>
        </w:rPr>
        <w:t xml:space="preserve">Entidad Territorial </w:t>
      </w:r>
      <w:r w:rsidR="000C7A44">
        <w:rPr>
          <w:rFonts w:ascii="Arial" w:eastAsia="Calibri" w:hAnsi="Arial" w:cs="Arial"/>
          <w:sz w:val="22"/>
          <w:szCs w:val="22"/>
          <w:lang w:val="es-CO" w:eastAsia="en-US"/>
        </w:rPr>
        <w:t>remitió</w:t>
      </w:r>
      <w:r>
        <w:rPr>
          <w:rFonts w:ascii="Arial" w:eastAsia="Calibri" w:hAnsi="Arial" w:cs="Arial"/>
          <w:sz w:val="22"/>
          <w:szCs w:val="22"/>
          <w:lang w:val="es-CO" w:eastAsia="en-US"/>
        </w:rPr>
        <w:t xml:space="preserve"> varios </w:t>
      </w:r>
      <w:r w:rsidR="00D26D76">
        <w:rPr>
          <w:rFonts w:ascii="Arial" w:eastAsia="Calibri" w:hAnsi="Arial" w:cs="Arial"/>
          <w:sz w:val="22"/>
          <w:szCs w:val="22"/>
          <w:lang w:val="es-CO" w:eastAsia="en-US"/>
        </w:rPr>
        <w:t>procesos transversales</w:t>
      </w:r>
      <w:r>
        <w:rPr>
          <w:rFonts w:ascii="Arial" w:eastAsia="Calibri" w:hAnsi="Arial" w:cs="Arial"/>
          <w:sz w:val="22"/>
          <w:szCs w:val="22"/>
          <w:lang w:val="es-CO" w:eastAsia="en-US"/>
        </w:rPr>
        <w:t xml:space="preserve"> de</w:t>
      </w:r>
      <w:r w:rsidR="00D26D76">
        <w:rPr>
          <w:rFonts w:ascii="Arial" w:eastAsia="Calibri" w:hAnsi="Arial" w:cs="Arial"/>
          <w:sz w:val="22"/>
          <w:szCs w:val="22"/>
          <w:lang w:val="es-CO" w:eastAsia="en-US"/>
        </w:rPr>
        <w:t>l área de</w:t>
      </w:r>
      <w:r>
        <w:rPr>
          <w:rFonts w:ascii="Arial" w:eastAsia="Calibri" w:hAnsi="Arial" w:cs="Arial"/>
          <w:sz w:val="22"/>
          <w:szCs w:val="22"/>
          <w:lang w:val="es-CO" w:eastAsia="en-US"/>
        </w:rPr>
        <w:t xml:space="preserve"> tesorería</w:t>
      </w:r>
      <w:r w:rsidR="00D74E12">
        <w:rPr>
          <w:rFonts w:ascii="Arial" w:eastAsia="Calibri" w:hAnsi="Arial" w:cs="Arial"/>
          <w:sz w:val="22"/>
          <w:szCs w:val="22"/>
          <w:lang w:val="es-CO" w:eastAsia="en-US"/>
        </w:rPr>
        <w:t>;</w:t>
      </w:r>
      <w:r>
        <w:rPr>
          <w:rFonts w:ascii="Arial" w:eastAsia="Calibri" w:hAnsi="Arial" w:cs="Arial"/>
          <w:sz w:val="22"/>
          <w:szCs w:val="22"/>
          <w:lang w:val="es-CO" w:eastAsia="en-US"/>
        </w:rPr>
        <w:t xml:space="preserve"> </w:t>
      </w:r>
      <w:r w:rsidR="00D26D76">
        <w:rPr>
          <w:rFonts w:ascii="Arial" w:eastAsia="Calibri" w:hAnsi="Arial" w:cs="Arial"/>
          <w:sz w:val="22"/>
          <w:szCs w:val="22"/>
          <w:lang w:val="es-CO" w:eastAsia="en-US"/>
        </w:rPr>
        <w:t xml:space="preserve">sin embargo, </w:t>
      </w:r>
      <w:r>
        <w:rPr>
          <w:rFonts w:ascii="Arial" w:eastAsia="Calibri" w:hAnsi="Arial" w:cs="Arial"/>
          <w:sz w:val="22"/>
          <w:szCs w:val="22"/>
          <w:lang w:val="es-CO" w:eastAsia="en-US"/>
        </w:rPr>
        <w:t xml:space="preserve">no </w:t>
      </w:r>
      <w:r w:rsidR="00D26D76">
        <w:rPr>
          <w:rFonts w:ascii="Arial" w:eastAsia="Calibri" w:hAnsi="Arial" w:cs="Arial"/>
          <w:sz w:val="22"/>
          <w:szCs w:val="22"/>
          <w:lang w:val="es-CO" w:eastAsia="en-US"/>
        </w:rPr>
        <w:t xml:space="preserve">envió el documento solicitado, </w:t>
      </w:r>
      <w:r w:rsidR="00F83A79">
        <w:rPr>
          <w:rFonts w:ascii="Arial" w:eastAsia="Calibri" w:hAnsi="Arial" w:cs="Arial"/>
          <w:sz w:val="22"/>
          <w:szCs w:val="22"/>
          <w:lang w:val="es-CO" w:eastAsia="en-US"/>
        </w:rPr>
        <w:t>denominado</w:t>
      </w:r>
      <w:r w:rsidR="00D26D76">
        <w:rPr>
          <w:rFonts w:ascii="Arial" w:eastAsia="Calibri" w:hAnsi="Arial" w:cs="Arial"/>
          <w:sz w:val="22"/>
          <w:szCs w:val="22"/>
          <w:lang w:val="es-CO" w:eastAsia="en-US"/>
        </w:rPr>
        <w:t xml:space="preserve"> </w:t>
      </w:r>
      <w:r w:rsidR="00062F90">
        <w:rPr>
          <w:rFonts w:ascii="Arial" w:eastAsia="Calibri" w:hAnsi="Arial" w:cs="Arial"/>
          <w:sz w:val="22"/>
          <w:szCs w:val="22"/>
          <w:lang w:val="es-CO" w:eastAsia="en-US"/>
        </w:rPr>
        <w:t>M</w:t>
      </w:r>
      <w:r>
        <w:rPr>
          <w:rFonts w:ascii="Arial" w:eastAsia="Calibri" w:hAnsi="Arial" w:cs="Arial"/>
          <w:sz w:val="22"/>
          <w:szCs w:val="22"/>
          <w:lang w:val="es-CO" w:eastAsia="en-US"/>
        </w:rPr>
        <w:t xml:space="preserve">anual de </w:t>
      </w:r>
      <w:r w:rsidR="00062F90">
        <w:rPr>
          <w:rFonts w:ascii="Arial" w:eastAsia="Calibri" w:hAnsi="Arial" w:cs="Arial"/>
          <w:sz w:val="22"/>
          <w:szCs w:val="22"/>
          <w:lang w:val="es-CO" w:eastAsia="en-US"/>
        </w:rPr>
        <w:t>T</w:t>
      </w:r>
      <w:r>
        <w:rPr>
          <w:rFonts w:ascii="Arial" w:eastAsia="Calibri" w:hAnsi="Arial" w:cs="Arial"/>
          <w:sz w:val="22"/>
          <w:szCs w:val="22"/>
          <w:lang w:val="es-CO" w:eastAsia="en-US"/>
        </w:rPr>
        <w:t>esorería</w:t>
      </w:r>
      <w:r w:rsidR="00D22622">
        <w:rPr>
          <w:rFonts w:ascii="Arial" w:eastAsia="Calibri" w:hAnsi="Arial" w:cs="Arial"/>
          <w:sz w:val="22"/>
          <w:szCs w:val="22"/>
          <w:lang w:val="es-CO" w:eastAsia="en-US"/>
        </w:rPr>
        <w:t xml:space="preserve">, </w:t>
      </w:r>
      <w:r w:rsidR="00AB7CAE">
        <w:rPr>
          <w:rFonts w:ascii="Arial" w:eastAsia="Calibri" w:hAnsi="Arial" w:cs="Arial"/>
          <w:sz w:val="22"/>
          <w:szCs w:val="22"/>
          <w:lang w:val="es-CO" w:eastAsia="en-US"/>
        </w:rPr>
        <w:t>p</w:t>
      </w:r>
      <w:r>
        <w:rPr>
          <w:rFonts w:ascii="Arial" w:eastAsia="Calibri" w:hAnsi="Arial" w:cs="Arial"/>
          <w:sz w:val="22"/>
          <w:szCs w:val="22"/>
          <w:lang w:val="es-CO" w:eastAsia="en-US"/>
        </w:rPr>
        <w:t xml:space="preserve">or </w:t>
      </w:r>
      <w:r w:rsidR="00AB7CAE">
        <w:rPr>
          <w:rFonts w:ascii="Arial" w:eastAsia="Calibri" w:hAnsi="Arial" w:cs="Arial"/>
          <w:sz w:val="22"/>
          <w:szCs w:val="22"/>
          <w:lang w:val="es-CO" w:eastAsia="en-US"/>
        </w:rPr>
        <w:t>lo cual</w:t>
      </w:r>
      <w:r>
        <w:rPr>
          <w:rFonts w:ascii="Arial" w:eastAsia="Calibri" w:hAnsi="Arial" w:cs="Arial"/>
          <w:sz w:val="22"/>
          <w:szCs w:val="22"/>
          <w:lang w:val="es-CO" w:eastAsia="en-US"/>
        </w:rPr>
        <w:t xml:space="preserve">, se establece que el </w:t>
      </w:r>
      <w:r w:rsidR="00AA3311">
        <w:rPr>
          <w:rFonts w:ascii="Arial" w:eastAsia="Calibri" w:hAnsi="Arial" w:cs="Arial"/>
          <w:sz w:val="22"/>
          <w:szCs w:val="22"/>
          <w:lang w:val="es-CO" w:eastAsia="en-US"/>
        </w:rPr>
        <w:t xml:space="preserve">Distrito </w:t>
      </w:r>
      <w:r>
        <w:rPr>
          <w:rFonts w:ascii="Arial" w:eastAsia="Calibri" w:hAnsi="Arial" w:cs="Arial"/>
          <w:sz w:val="22"/>
          <w:szCs w:val="22"/>
          <w:lang w:val="es-CO" w:eastAsia="en-US"/>
        </w:rPr>
        <w:t>no cumple con lo establecido</w:t>
      </w:r>
      <w:r w:rsidR="000C7A44">
        <w:rPr>
          <w:rFonts w:ascii="Arial" w:eastAsia="Calibri" w:hAnsi="Arial" w:cs="Arial"/>
          <w:sz w:val="22"/>
          <w:szCs w:val="22"/>
          <w:lang w:val="es-CO" w:eastAsia="en-US"/>
        </w:rPr>
        <w:t xml:space="preserve"> en la </w:t>
      </w:r>
      <w:r w:rsidR="00835F25">
        <w:rPr>
          <w:rFonts w:ascii="Arial" w:eastAsia="Calibri" w:hAnsi="Arial" w:cs="Arial"/>
          <w:sz w:val="22"/>
          <w:szCs w:val="22"/>
          <w:lang w:val="es-CO" w:eastAsia="en-US"/>
        </w:rPr>
        <w:t>A</w:t>
      </w:r>
      <w:r w:rsidR="000C7A44">
        <w:rPr>
          <w:rFonts w:ascii="Arial" w:eastAsia="Calibri" w:hAnsi="Arial" w:cs="Arial"/>
          <w:sz w:val="22"/>
          <w:szCs w:val="22"/>
          <w:lang w:val="es-CO" w:eastAsia="en-US"/>
        </w:rPr>
        <w:t>ctividad</w:t>
      </w:r>
      <w:r w:rsidR="00AA3311">
        <w:rPr>
          <w:rFonts w:ascii="Arial" w:eastAsia="Calibri" w:hAnsi="Arial" w:cs="Arial"/>
          <w:sz w:val="22"/>
          <w:szCs w:val="22"/>
          <w:lang w:val="es-CO" w:eastAsia="en-US"/>
        </w:rPr>
        <w:t>.</w:t>
      </w:r>
      <w:r w:rsidRPr="00C34F85">
        <w:rPr>
          <w:rFonts w:ascii="Arial" w:eastAsia="Calibri" w:hAnsi="Arial" w:cs="Arial"/>
          <w:sz w:val="22"/>
          <w:szCs w:val="22"/>
          <w:lang w:val="es-CO" w:eastAsia="en-US"/>
        </w:rPr>
        <w:t xml:space="preserve"> </w:t>
      </w:r>
    </w:p>
    <w:p w14:paraId="4A5E3E9E" w14:textId="77777777" w:rsidR="00EF14BA" w:rsidRDefault="00EF14BA" w:rsidP="00835F25">
      <w:pPr>
        <w:contextualSpacing/>
        <w:jc w:val="both"/>
        <w:rPr>
          <w:rFonts w:ascii="Arial" w:eastAsia="Calibri" w:hAnsi="Arial" w:cs="Arial"/>
          <w:sz w:val="22"/>
          <w:szCs w:val="22"/>
          <w:lang w:val="es-CO" w:eastAsia="en-US"/>
        </w:rPr>
      </w:pPr>
    </w:p>
    <w:p w14:paraId="1C950500" w14:textId="77777777" w:rsidR="00A87AE4" w:rsidRDefault="00EF14BA"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Por otro lado, </w:t>
      </w:r>
      <w:r w:rsidR="00E16205">
        <w:rPr>
          <w:rFonts w:ascii="Arial" w:eastAsia="Calibri" w:hAnsi="Arial" w:cs="Arial"/>
          <w:sz w:val="22"/>
          <w:szCs w:val="22"/>
          <w:lang w:val="es-CO" w:eastAsia="en-US"/>
        </w:rPr>
        <w:t>se deja constancia que para llevar a cabo l</w:t>
      </w:r>
      <w:r w:rsidR="00004F67" w:rsidRPr="00C34F85">
        <w:rPr>
          <w:rFonts w:ascii="Arial" w:eastAsia="Calibri" w:hAnsi="Arial" w:cs="Arial"/>
          <w:sz w:val="22"/>
          <w:szCs w:val="22"/>
          <w:lang w:val="es-CO" w:eastAsia="en-US"/>
        </w:rPr>
        <w:t xml:space="preserve">a evaluación </w:t>
      </w:r>
      <w:r w:rsidR="00E16205">
        <w:rPr>
          <w:rFonts w:ascii="Arial" w:eastAsia="Calibri" w:hAnsi="Arial" w:cs="Arial"/>
          <w:sz w:val="22"/>
          <w:szCs w:val="22"/>
          <w:lang w:val="es-CO" w:eastAsia="en-US"/>
        </w:rPr>
        <w:t xml:space="preserve">se </w:t>
      </w:r>
      <w:r w:rsidR="00004F67" w:rsidRPr="00C34F85">
        <w:rPr>
          <w:rFonts w:ascii="Arial" w:eastAsia="Calibri" w:hAnsi="Arial" w:cs="Arial"/>
          <w:sz w:val="22"/>
          <w:szCs w:val="22"/>
          <w:lang w:val="es-CO" w:eastAsia="en-US"/>
        </w:rPr>
        <w:t>sigue</w:t>
      </w:r>
      <w:r w:rsidR="00E16205">
        <w:rPr>
          <w:rFonts w:ascii="Arial" w:eastAsia="Calibri" w:hAnsi="Arial" w:cs="Arial"/>
          <w:sz w:val="22"/>
          <w:szCs w:val="22"/>
          <w:lang w:val="es-CO" w:eastAsia="en-US"/>
        </w:rPr>
        <w:t>n</w:t>
      </w:r>
      <w:r w:rsidR="00004F67" w:rsidRPr="00C34F85">
        <w:rPr>
          <w:rFonts w:ascii="Arial" w:eastAsia="Calibri" w:hAnsi="Arial" w:cs="Arial"/>
          <w:sz w:val="22"/>
          <w:szCs w:val="22"/>
          <w:lang w:val="es-CO" w:eastAsia="en-US"/>
        </w:rPr>
        <w:t xml:space="preserve"> unos criterios que fueron realizados gracias al aporte que se da desde l</w:t>
      </w:r>
      <w:r w:rsidR="004D1AAA">
        <w:rPr>
          <w:rFonts w:ascii="Arial" w:eastAsia="Calibri" w:hAnsi="Arial" w:cs="Arial"/>
          <w:sz w:val="22"/>
          <w:szCs w:val="22"/>
          <w:lang w:val="es-CO" w:eastAsia="en-US"/>
        </w:rPr>
        <w:t xml:space="preserve">os aportes </w:t>
      </w:r>
      <w:r w:rsidR="00EF246F">
        <w:rPr>
          <w:rFonts w:ascii="Arial" w:eastAsia="Calibri" w:hAnsi="Arial" w:cs="Arial"/>
          <w:sz w:val="22"/>
          <w:szCs w:val="22"/>
          <w:lang w:val="es-CO" w:eastAsia="en-US"/>
        </w:rPr>
        <w:t xml:space="preserve">que ha hecho la CEPAL y </w:t>
      </w:r>
      <w:r w:rsidR="00EF246F">
        <w:rPr>
          <w:rFonts w:ascii="Arial" w:eastAsia="Calibri" w:hAnsi="Arial" w:cs="Arial"/>
          <w:sz w:val="22"/>
          <w:szCs w:val="22"/>
          <w:lang w:val="es-CO" w:eastAsia="en-US"/>
        </w:rPr>
        <w:lastRenderedPageBreak/>
        <w:t>otros organismos de investigación</w:t>
      </w:r>
      <w:r w:rsidR="00004F67">
        <w:rPr>
          <w:rStyle w:val="Refdenotaalpie"/>
          <w:rFonts w:ascii="Arial" w:eastAsia="Calibri" w:hAnsi="Arial" w:cs="Arial"/>
          <w:sz w:val="22"/>
          <w:szCs w:val="22"/>
          <w:lang w:val="es-CO" w:eastAsia="en-US"/>
        </w:rPr>
        <w:footnoteReference w:id="9"/>
      </w:r>
      <w:r w:rsidR="00004F67">
        <w:rPr>
          <w:rFonts w:ascii="Arial" w:eastAsia="Calibri" w:hAnsi="Arial" w:cs="Arial"/>
          <w:sz w:val="22"/>
          <w:szCs w:val="22"/>
          <w:lang w:val="es-CO" w:eastAsia="en-US"/>
        </w:rPr>
        <w:t xml:space="preserve">, </w:t>
      </w:r>
      <w:r w:rsidR="007C1EC7">
        <w:rPr>
          <w:rFonts w:ascii="Arial" w:eastAsia="Calibri" w:hAnsi="Arial" w:cs="Arial"/>
          <w:sz w:val="22"/>
          <w:szCs w:val="22"/>
          <w:lang w:val="es-CO" w:eastAsia="en-US"/>
        </w:rPr>
        <w:t>los cuales</w:t>
      </w:r>
      <w:r w:rsidR="00004F67">
        <w:rPr>
          <w:rFonts w:ascii="Arial" w:eastAsia="Calibri" w:hAnsi="Arial" w:cs="Arial"/>
          <w:sz w:val="22"/>
          <w:szCs w:val="22"/>
          <w:lang w:val="es-CO" w:eastAsia="en-US"/>
        </w:rPr>
        <w:t xml:space="preserve"> permiten generar un </w:t>
      </w:r>
      <w:r w:rsidR="00004F67" w:rsidRPr="00C34F85">
        <w:rPr>
          <w:rFonts w:ascii="Arial" w:eastAsia="Calibri" w:hAnsi="Arial" w:cs="Arial"/>
          <w:sz w:val="22"/>
          <w:szCs w:val="22"/>
          <w:lang w:val="es-CO" w:eastAsia="en-US"/>
        </w:rPr>
        <w:t xml:space="preserve">manejo idóneo del área de tesorería. </w:t>
      </w:r>
    </w:p>
    <w:p w14:paraId="1BED8886" w14:textId="77777777" w:rsidR="00A87AE4" w:rsidRDefault="00A87AE4" w:rsidP="00835F25">
      <w:pPr>
        <w:contextualSpacing/>
        <w:jc w:val="both"/>
        <w:rPr>
          <w:rFonts w:ascii="Arial" w:eastAsia="Calibri" w:hAnsi="Arial" w:cs="Arial"/>
          <w:sz w:val="22"/>
          <w:szCs w:val="22"/>
          <w:lang w:val="es-CO" w:eastAsia="en-US"/>
        </w:rPr>
      </w:pPr>
    </w:p>
    <w:p w14:paraId="029B4703" w14:textId="77777777" w:rsidR="00004F67" w:rsidRPr="00C34F85"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A continuación, se </w:t>
      </w:r>
      <w:r w:rsidR="00A87AE4">
        <w:rPr>
          <w:rFonts w:ascii="Arial" w:eastAsia="Calibri" w:hAnsi="Arial" w:cs="Arial"/>
          <w:sz w:val="22"/>
          <w:szCs w:val="22"/>
          <w:lang w:val="es-CO" w:eastAsia="en-US"/>
        </w:rPr>
        <w:t xml:space="preserve">describen </w:t>
      </w:r>
      <w:r>
        <w:rPr>
          <w:rFonts w:ascii="Arial" w:eastAsia="Calibri" w:hAnsi="Arial" w:cs="Arial"/>
          <w:sz w:val="22"/>
          <w:szCs w:val="22"/>
          <w:lang w:val="es-CO" w:eastAsia="en-US"/>
        </w:rPr>
        <w:t>l</w:t>
      </w:r>
      <w:r w:rsidRPr="00C34F85">
        <w:rPr>
          <w:rFonts w:ascii="Arial" w:eastAsia="Calibri" w:hAnsi="Arial" w:cs="Arial"/>
          <w:sz w:val="22"/>
          <w:szCs w:val="22"/>
          <w:lang w:val="es-CO" w:eastAsia="en-US"/>
        </w:rPr>
        <w:t>os criterios que se toma</w:t>
      </w:r>
      <w:r w:rsidR="00A87AE4">
        <w:rPr>
          <w:rFonts w:ascii="Arial" w:eastAsia="Calibri" w:hAnsi="Arial" w:cs="Arial"/>
          <w:sz w:val="22"/>
          <w:szCs w:val="22"/>
          <w:lang w:val="es-CO" w:eastAsia="en-US"/>
        </w:rPr>
        <w:t>ro</w:t>
      </w:r>
      <w:r w:rsidRPr="00C34F85">
        <w:rPr>
          <w:rFonts w:ascii="Arial" w:eastAsia="Calibri" w:hAnsi="Arial" w:cs="Arial"/>
          <w:sz w:val="22"/>
          <w:szCs w:val="22"/>
          <w:lang w:val="es-CO" w:eastAsia="en-US"/>
        </w:rPr>
        <w:t xml:space="preserve">n a consideración </w:t>
      </w:r>
      <w:r>
        <w:rPr>
          <w:rFonts w:ascii="Arial" w:eastAsia="Calibri" w:hAnsi="Arial" w:cs="Arial"/>
          <w:sz w:val="22"/>
          <w:szCs w:val="22"/>
          <w:lang w:val="es-CO" w:eastAsia="en-US"/>
        </w:rPr>
        <w:t xml:space="preserve">y </w:t>
      </w:r>
      <w:r w:rsidR="00F83A79">
        <w:rPr>
          <w:rFonts w:ascii="Arial" w:eastAsia="Calibri" w:hAnsi="Arial" w:cs="Arial"/>
          <w:sz w:val="22"/>
          <w:szCs w:val="22"/>
          <w:lang w:val="es-CO" w:eastAsia="en-US"/>
        </w:rPr>
        <w:t xml:space="preserve">posteriormente </w:t>
      </w:r>
      <w:r>
        <w:rPr>
          <w:rFonts w:ascii="Arial" w:eastAsia="Calibri" w:hAnsi="Arial" w:cs="Arial"/>
          <w:sz w:val="22"/>
          <w:szCs w:val="22"/>
          <w:lang w:val="es-CO" w:eastAsia="en-US"/>
        </w:rPr>
        <w:t xml:space="preserve">se resume si </w:t>
      </w:r>
      <w:r w:rsidR="00A87AE4">
        <w:rPr>
          <w:rFonts w:ascii="Arial" w:eastAsia="Calibri" w:hAnsi="Arial" w:cs="Arial"/>
          <w:sz w:val="22"/>
          <w:szCs w:val="22"/>
          <w:lang w:val="es-CO" w:eastAsia="en-US"/>
        </w:rPr>
        <w:t xml:space="preserve">la </w:t>
      </w:r>
      <w:r>
        <w:rPr>
          <w:rFonts w:ascii="Arial" w:eastAsia="Calibri" w:hAnsi="Arial" w:cs="Arial"/>
          <w:sz w:val="22"/>
          <w:szCs w:val="22"/>
          <w:lang w:val="es-CO" w:eastAsia="en-US"/>
        </w:rPr>
        <w:t>Ent</w:t>
      </w:r>
      <w:r w:rsidR="00A87AE4">
        <w:rPr>
          <w:rFonts w:ascii="Arial" w:eastAsia="Calibri" w:hAnsi="Arial" w:cs="Arial"/>
          <w:sz w:val="22"/>
          <w:szCs w:val="22"/>
          <w:lang w:val="es-CO" w:eastAsia="en-US"/>
        </w:rPr>
        <w:t>idad</w:t>
      </w:r>
      <w:r w:rsidR="006309C2">
        <w:rPr>
          <w:rFonts w:ascii="Arial" w:eastAsia="Calibri" w:hAnsi="Arial" w:cs="Arial"/>
          <w:sz w:val="22"/>
          <w:szCs w:val="22"/>
          <w:lang w:val="es-CO" w:eastAsia="en-US"/>
        </w:rPr>
        <w:t xml:space="preserve"> </w:t>
      </w:r>
      <w:r>
        <w:rPr>
          <w:rFonts w:ascii="Arial" w:eastAsia="Calibri" w:hAnsi="Arial" w:cs="Arial"/>
          <w:sz w:val="22"/>
          <w:szCs w:val="22"/>
          <w:lang w:val="es-CO" w:eastAsia="en-US"/>
        </w:rPr>
        <w:t xml:space="preserve">Territorial cumple o no </w:t>
      </w:r>
      <w:r w:rsidR="00A87AE4">
        <w:rPr>
          <w:rFonts w:ascii="Arial" w:eastAsia="Calibri" w:hAnsi="Arial" w:cs="Arial"/>
          <w:sz w:val="22"/>
          <w:szCs w:val="22"/>
          <w:lang w:val="es-CO" w:eastAsia="en-US"/>
        </w:rPr>
        <w:t>con dichos aspectos</w:t>
      </w:r>
      <w:r w:rsidRPr="00C34F85">
        <w:rPr>
          <w:rFonts w:ascii="Arial" w:eastAsia="Calibri" w:hAnsi="Arial" w:cs="Arial"/>
          <w:sz w:val="22"/>
          <w:szCs w:val="22"/>
          <w:lang w:val="es-CO" w:eastAsia="en-US"/>
        </w:rPr>
        <w:t>:</w:t>
      </w:r>
    </w:p>
    <w:p w14:paraId="19FFF8C3" w14:textId="77777777" w:rsidR="00004F67" w:rsidRPr="00C34F85" w:rsidRDefault="00004F67" w:rsidP="00835F25">
      <w:pPr>
        <w:contextualSpacing/>
        <w:jc w:val="both"/>
        <w:rPr>
          <w:rFonts w:ascii="Arial" w:eastAsia="Calibri" w:hAnsi="Arial" w:cs="Arial"/>
          <w:sz w:val="22"/>
          <w:szCs w:val="22"/>
          <w:lang w:val="es-CO" w:eastAsia="en-US"/>
        </w:rPr>
      </w:pPr>
    </w:p>
    <w:p w14:paraId="0BF70CF0" w14:textId="77777777" w:rsidR="00004F67" w:rsidRPr="0083658C" w:rsidRDefault="0083658C" w:rsidP="00835F25">
      <w:pPr>
        <w:ind w:left="360"/>
        <w:contextualSpacing/>
        <w:jc w:val="center"/>
        <w:rPr>
          <w:rFonts w:ascii="Arial" w:hAnsi="Arial" w:cs="Arial"/>
        </w:rPr>
      </w:pPr>
      <w:r w:rsidRPr="00B17711">
        <w:rPr>
          <w:rFonts w:ascii="Arial" w:hAnsi="Arial" w:cs="Arial"/>
          <w:b/>
          <w:bCs/>
          <w:i/>
          <w:iCs/>
          <w:color w:val="1F487C"/>
          <w:sz w:val="20"/>
          <w:szCs w:val="20"/>
        </w:rPr>
        <w:t xml:space="preserve">Tabla 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13</w:t>
      </w:r>
      <w:r w:rsidR="00EE0320" w:rsidRPr="00B3648E">
        <w:rPr>
          <w:rFonts w:ascii="Arial" w:hAnsi="Arial" w:cs="Arial"/>
          <w:b/>
          <w:bCs/>
          <w:i/>
          <w:iCs/>
          <w:color w:val="1F497D" w:themeColor="text2"/>
          <w:sz w:val="20"/>
          <w:szCs w:val="20"/>
        </w:rPr>
        <w:fldChar w:fldCharType="end"/>
      </w:r>
      <w:r w:rsidR="00EE0320">
        <w:rPr>
          <w:rFonts w:ascii="Arial" w:hAnsi="Arial" w:cs="Arial"/>
          <w:b/>
          <w:bCs/>
          <w:color w:val="1F497D" w:themeColor="text2"/>
          <w:sz w:val="20"/>
          <w:szCs w:val="20"/>
        </w:rPr>
        <w:t xml:space="preserve"> </w:t>
      </w:r>
      <w:r w:rsidR="00657FDA">
        <w:rPr>
          <w:rFonts w:ascii="Arial" w:hAnsi="Arial" w:cs="Arial"/>
          <w:b/>
          <w:bCs/>
          <w:i/>
          <w:iCs/>
          <w:color w:val="1F487C"/>
          <w:sz w:val="20"/>
          <w:szCs w:val="20"/>
        </w:rPr>
        <w:t xml:space="preserve">Procedimiento de </w:t>
      </w:r>
      <w:r w:rsidR="00A87AE4">
        <w:rPr>
          <w:rFonts w:ascii="Arial" w:hAnsi="Arial" w:cs="Arial"/>
          <w:b/>
          <w:bCs/>
          <w:i/>
          <w:iCs/>
          <w:color w:val="1F487C"/>
          <w:sz w:val="20"/>
          <w:szCs w:val="20"/>
        </w:rPr>
        <w:t>Tesorería</w:t>
      </w:r>
      <w:r w:rsidRPr="00B17711">
        <w:rPr>
          <w:rFonts w:ascii="Arial" w:hAnsi="Arial" w:cs="Arial"/>
          <w:b/>
          <w:bCs/>
          <w:i/>
          <w:iCs/>
          <w:color w:val="1F487C"/>
          <w:sz w:val="20"/>
          <w:szCs w:val="20"/>
        </w:rPr>
        <w:t>. Distrito de Cartagena de Indias - Bolívar, vigencia 2021</w:t>
      </w:r>
      <w:r w:rsidRPr="00F546EC">
        <w:rPr>
          <w:rFonts w:ascii="Arial" w:hAnsi="Arial" w:cs="Arial"/>
          <w:i/>
          <w:iCs/>
          <w:color w:val="1F487C"/>
          <w:sz w:val="20"/>
          <w:szCs w:val="20"/>
        </w:rPr>
        <w:t>.</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3835"/>
        <w:gridCol w:w="1833"/>
        <w:gridCol w:w="1724"/>
      </w:tblGrid>
      <w:tr w:rsidR="00004F67" w:rsidRPr="00FC48D2" w14:paraId="511C8442" w14:textId="77777777" w:rsidTr="00B3648E">
        <w:trPr>
          <w:trHeight w:val="233"/>
          <w:jc w:val="center"/>
        </w:trPr>
        <w:tc>
          <w:tcPr>
            <w:tcW w:w="1266" w:type="dxa"/>
            <w:shd w:val="clear" w:color="auto" w:fill="95B3D7" w:themeFill="accent1" w:themeFillTint="99"/>
            <w:noWrap/>
            <w:vAlign w:val="bottom"/>
            <w:hideMark/>
          </w:tcPr>
          <w:p w14:paraId="1FB8113B" w14:textId="77777777" w:rsidR="00004F67" w:rsidRPr="00FC48D2" w:rsidRDefault="00657FDA" w:rsidP="00835F25">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No.</w:t>
            </w:r>
            <w:r w:rsidR="00004F67" w:rsidRPr="00FC48D2">
              <w:rPr>
                <w:rFonts w:ascii="Arial" w:eastAsia="Times New Roman" w:hAnsi="Arial" w:cs="Arial"/>
                <w:b/>
                <w:bCs/>
                <w:color w:val="000000"/>
                <w:sz w:val="16"/>
                <w:szCs w:val="16"/>
                <w:lang w:val="es-CO" w:eastAsia="es-CO"/>
              </w:rPr>
              <w:t xml:space="preserve"> </w:t>
            </w:r>
            <w:r>
              <w:rPr>
                <w:rFonts w:ascii="Arial" w:eastAsia="Times New Roman" w:hAnsi="Arial" w:cs="Arial"/>
                <w:b/>
                <w:bCs/>
                <w:color w:val="000000"/>
                <w:sz w:val="16"/>
                <w:szCs w:val="16"/>
                <w:lang w:val="es-CO" w:eastAsia="es-CO"/>
              </w:rPr>
              <w:t>C</w:t>
            </w:r>
            <w:r w:rsidR="00004F67" w:rsidRPr="00FC48D2">
              <w:rPr>
                <w:rFonts w:ascii="Arial" w:eastAsia="Times New Roman" w:hAnsi="Arial" w:cs="Arial"/>
                <w:b/>
                <w:bCs/>
                <w:color w:val="000000"/>
                <w:sz w:val="16"/>
                <w:szCs w:val="16"/>
                <w:lang w:val="es-CO" w:eastAsia="es-CO"/>
              </w:rPr>
              <w:t>riterio</w:t>
            </w:r>
          </w:p>
        </w:tc>
        <w:tc>
          <w:tcPr>
            <w:tcW w:w="3835" w:type="dxa"/>
            <w:shd w:val="clear" w:color="auto" w:fill="95B3D7" w:themeFill="accent1" w:themeFillTint="99"/>
            <w:noWrap/>
            <w:vAlign w:val="bottom"/>
            <w:hideMark/>
          </w:tcPr>
          <w:p w14:paraId="7379C731" w14:textId="77777777" w:rsidR="00004F67" w:rsidRPr="00FC48D2" w:rsidRDefault="00004F67" w:rsidP="00835F25">
            <w:pPr>
              <w:contextualSpacing/>
              <w:jc w:val="center"/>
              <w:rPr>
                <w:rFonts w:ascii="Arial" w:eastAsia="Times New Roman" w:hAnsi="Arial" w:cs="Arial"/>
                <w:b/>
                <w:bCs/>
                <w:color w:val="000000"/>
                <w:sz w:val="16"/>
                <w:szCs w:val="16"/>
                <w:lang w:val="es-CO" w:eastAsia="es-CO"/>
              </w:rPr>
            </w:pPr>
            <w:r w:rsidRPr="00FC48D2">
              <w:rPr>
                <w:rFonts w:ascii="Arial" w:eastAsia="Times New Roman" w:hAnsi="Arial" w:cs="Arial"/>
                <w:b/>
                <w:bCs/>
                <w:color w:val="000000"/>
                <w:sz w:val="16"/>
                <w:szCs w:val="16"/>
                <w:lang w:val="es-CO" w:eastAsia="es-CO"/>
              </w:rPr>
              <w:t>Especificación del criterio</w:t>
            </w:r>
          </w:p>
        </w:tc>
        <w:tc>
          <w:tcPr>
            <w:tcW w:w="1833" w:type="dxa"/>
            <w:shd w:val="clear" w:color="auto" w:fill="95B3D7" w:themeFill="accent1" w:themeFillTint="99"/>
            <w:noWrap/>
            <w:vAlign w:val="bottom"/>
            <w:hideMark/>
          </w:tcPr>
          <w:p w14:paraId="21DB9CF0" w14:textId="77777777" w:rsidR="00004F67" w:rsidRPr="00FC48D2" w:rsidRDefault="00004F67" w:rsidP="00835F25">
            <w:pPr>
              <w:contextualSpacing/>
              <w:jc w:val="center"/>
              <w:rPr>
                <w:rFonts w:ascii="Arial" w:eastAsia="Times New Roman" w:hAnsi="Arial" w:cs="Arial"/>
                <w:b/>
                <w:bCs/>
                <w:color w:val="000000"/>
                <w:sz w:val="16"/>
                <w:szCs w:val="16"/>
                <w:lang w:val="es-CO" w:eastAsia="es-CO"/>
              </w:rPr>
            </w:pPr>
            <w:r w:rsidRPr="00FC48D2">
              <w:rPr>
                <w:rFonts w:ascii="Arial" w:eastAsia="Times New Roman" w:hAnsi="Arial" w:cs="Arial"/>
                <w:b/>
                <w:bCs/>
                <w:color w:val="000000"/>
                <w:sz w:val="16"/>
                <w:szCs w:val="16"/>
                <w:lang w:val="es-CO" w:eastAsia="es-CO"/>
              </w:rPr>
              <w:t>Cumplimiento</w:t>
            </w:r>
          </w:p>
        </w:tc>
        <w:tc>
          <w:tcPr>
            <w:tcW w:w="1724" w:type="dxa"/>
            <w:shd w:val="clear" w:color="auto" w:fill="95B3D7" w:themeFill="accent1" w:themeFillTint="99"/>
            <w:noWrap/>
            <w:vAlign w:val="bottom"/>
            <w:hideMark/>
          </w:tcPr>
          <w:p w14:paraId="012059AA" w14:textId="77777777" w:rsidR="00004F67" w:rsidRPr="00FC48D2" w:rsidRDefault="00004F67" w:rsidP="00835F25">
            <w:pPr>
              <w:contextualSpacing/>
              <w:jc w:val="center"/>
              <w:rPr>
                <w:rFonts w:ascii="Arial" w:eastAsia="Times New Roman" w:hAnsi="Arial" w:cs="Arial"/>
                <w:b/>
                <w:bCs/>
                <w:color w:val="000000"/>
                <w:sz w:val="16"/>
                <w:szCs w:val="16"/>
                <w:lang w:val="es-CO" w:eastAsia="es-CO"/>
              </w:rPr>
            </w:pPr>
            <w:r w:rsidRPr="00FC48D2">
              <w:rPr>
                <w:rFonts w:ascii="Arial" w:eastAsia="Times New Roman" w:hAnsi="Arial" w:cs="Arial"/>
                <w:b/>
                <w:bCs/>
                <w:color w:val="000000"/>
                <w:sz w:val="16"/>
                <w:szCs w:val="16"/>
                <w:lang w:val="es-CO" w:eastAsia="es-CO"/>
              </w:rPr>
              <w:t>No cumplimiento</w:t>
            </w:r>
          </w:p>
        </w:tc>
      </w:tr>
      <w:tr w:rsidR="00004F67" w:rsidRPr="00FC48D2" w14:paraId="4091940D" w14:textId="77777777" w:rsidTr="00B3648E">
        <w:trPr>
          <w:trHeight w:val="447"/>
          <w:jc w:val="center"/>
        </w:trPr>
        <w:tc>
          <w:tcPr>
            <w:tcW w:w="1266" w:type="dxa"/>
            <w:shd w:val="clear" w:color="auto" w:fill="auto"/>
            <w:noWrap/>
            <w:vAlign w:val="center"/>
            <w:hideMark/>
          </w:tcPr>
          <w:p w14:paraId="4E0AA5FA" w14:textId="77777777" w:rsidR="00004F67" w:rsidRPr="00FC48D2" w:rsidRDefault="00004F67" w:rsidP="00835F25">
            <w:pPr>
              <w:contextualSpacing/>
              <w:jc w:val="center"/>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1</w:t>
            </w:r>
          </w:p>
        </w:tc>
        <w:tc>
          <w:tcPr>
            <w:tcW w:w="3835" w:type="dxa"/>
            <w:shd w:val="clear" w:color="auto" w:fill="auto"/>
            <w:vAlign w:val="center"/>
            <w:hideMark/>
          </w:tcPr>
          <w:p w14:paraId="098E5080" w14:textId="77777777" w:rsidR="00004F67" w:rsidRPr="00FC48D2" w:rsidRDefault="00004F67" w:rsidP="00835F25">
            <w:pPr>
              <w:contextualSpacing/>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Generar información oportuna y confiable para la toma de decisiones por parte de los responsables de la gestión política y administrativa.</w:t>
            </w:r>
          </w:p>
        </w:tc>
        <w:tc>
          <w:tcPr>
            <w:tcW w:w="1833" w:type="dxa"/>
            <w:shd w:val="clear" w:color="auto" w:fill="auto"/>
            <w:noWrap/>
            <w:vAlign w:val="center"/>
            <w:hideMark/>
          </w:tcPr>
          <w:p w14:paraId="33B2E876"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x</w:t>
            </w:r>
          </w:p>
        </w:tc>
        <w:tc>
          <w:tcPr>
            <w:tcW w:w="1724" w:type="dxa"/>
            <w:shd w:val="clear" w:color="auto" w:fill="auto"/>
            <w:noWrap/>
            <w:vAlign w:val="center"/>
            <w:hideMark/>
          </w:tcPr>
          <w:p w14:paraId="718CC5EA"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 </w:t>
            </w:r>
          </w:p>
        </w:tc>
      </w:tr>
      <w:tr w:rsidR="00004F67" w:rsidRPr="00FC48D2" w14:paraId="27C5126B" w14:textId="77777777" w:rsidTr="00B3648E">
        <w:trPr>
          <w:trHeight w:val="597"/>
          <w:jc w:val="center"/>
        </w:trPr>
        <w:tc>
          <w:tcPr>
            <w:tcW w:w="1266" w:type="dxa"/>
            <w:shd w:val="clear" w:color="auto" w:fill="auto"/>
            <w:noWrap/>
            <w:vAlign w:val="center"/>
            <w:hideMark/>
          </w:tcPr>
          <w:p w14:paraId="2BE97BE2" w14:textId="77777777" w:rsidR="00004F67" w:rsidRPr="00FC48D2" w:rsidRDefault="00004F67" w:rsidP="00835F25">
            <w:pPr>
              <w:contextualSpacing/>
              <w:jc w:val="center"/>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2</w:t>
            </w:r>
          </w:p>
        </w:tc>
        <w:tc>
          <w:tcPr>
            <w:tcW w:w="3835" w:type="dxa"/>
            <w:shd w:val="clear" w:color="auto" w:fill="auto"/>
            <w:vAlign w:val="center"/>
            <w:hideMark/>
          </w:tcPr>
          <w:p w14:paraId="374259AE" w14:textId="77777777" w:rsidR="00004F67" w:rsidRPr="00FC48D2" w:rsidRDefault="00004F67" w:rsidP="00835F25">
            <w:pPr>
              <w:contextualSpacing/>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 xml:space="preserve">Disponer de mecanismos modernos de gestión de caja que permitan la administración de los recursos públicos basados en el principio de unidad de caja. </w:t>
            </w:r>
          </w:p>
        </w:tc>
        <w:tc>
          <w:tcPr>
            <w:tcW w:w="1833" w:type="dxa"/>
            <w:shd w:val="clear" w:color="auto" w:fill="auto"/>
            <w:noWrap/>
            <w:vAlign w:val="center"/>
            <w:hideMark/>
          </w:tcPr>
          <w:p w14:paraId="0777341E"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x</w:t>
            </w:r>
          </w:p>
        </w:tc>
        <w:tc>
          <w:tcPr>
            <w:tcW w:w="1724" w:type="dxa"/>
            <w:shd w:val="clear" w:color="auto" w:fill="auto"/>
            <w:noWrap/>
            <w:vAlign w:val="center"/>
            <w:hideMark/>
          </w:tcPr>
          <w:p w14:paraId="03171674"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 </w:t>
            </w:r>
          </w:p>
        </w:tc>
      </w:tr>
      <w:tr w:rsidR="00004F67" w:rsidRPr="00FC48D2" w14:paraId="4ABB262D" w14:textId="77777777" w:rsidTr="00B3648E">
        <w:trPr>
          <w:trHeight w:val="549"/>
          <w:jc w:val="center"/>
        </w:trPr>
        <w:tc>
          <w:tcPr>
            <w:tcW w:w="1266" w:type="dxa"/>
            <w:shd w:val="clear" w:color="auto" w:fill="auto"/>
            <w:noWrap/>
            <w:vAlign w:val="center"/>
            <w:hideMark/>
          </w:tcPr>
          <w:p w14:paraId="4E606824" w14:textId="77777777" w:rsidR="00004F67" w:rsidRPr="00FC48D2" w:rsidRDefault="00004F67" w:rsidP="00835F25">
            <w:pPr>
              <w:contextualSpacing/>
              <w:jc w:val="center"/>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3</w:t>
            </w:r>
          </w:p>
        </w:tc>
        <w:tc>
          <w:tcPr>
            <w:tcW w:w="3835" w:type="dxa"/>
            <w:shd w:val="clear" w:color="auto" w:fill="auto"/>
            <w:vAlign w:val="center"/>
            <w:hideMark/>
          </w:tcPr>
          <w:p w14:paraId="638812AE" w14:textId="77777777" w:rsidR="00004F67" w:rsidRPr="00FC48D2" w:rsidRDefault="00004F67" w:rsidP="00835F25">
            <w:pPr>
              <w:contextualSpacing/>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Administrar y manejar de forma eficiente, oportuna y confiable un sistema de información y gestión en tiempo real de los recursos.</w:t>
            </w:r>
          </w:p>
        </w:tc>
        <w:tc>
          <w:tcPr>
            <w:tcW w:w="1833" w:type="dxa"/>
            <w:shd w:val="clear" w:color="auto" w:fill="auto"/>
            <w:noWrap/>
            <w:vAlign w:val="center"/>
            <w:hideMark/>
          </w:tcPr>
          <w:p w14:paraId="764182BC"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x</w:t>
            </w:r>
          </w:p>
        </w:tc>
        <w:tc>
          <w:tcPr>
            <w:tcW w:w="1724" w:type="dxa"/>
            <w:shd w:val="clear" w:color="auto" w:fill="auto"/>
            <w:noWrap/>
            <w:vAlign w:val="center"/>
            <w:hideMark/>
          </w:tcPr>
          <w:p w14:paraId="4A416B38"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 </w:t>
            </w:r>
          </w:p>
        </w:tc>
      </w:tr>
      <w:tr w:rsidR="00004F67" w:rsidRPr="00FC48D2" w14:paraId="2AE5DA4A" w14:textId="77777777" w:rsidTr="00B3648E">
        <w:trPr>
          <w:trHeight w:val="557"/>
          <w:jc w:val="center"/>
        </w:trPr>
        <w:tc>
          <w:tcPr>
            <w:tcW w:w="1266" w:type="dxa"/>
            <w:shd w:val="clear" w:color="auto" w:fill="auto"/>
            <w:noWrap/>
            <w:vAlign w:val="center"/>
            <w:hideMark/>
          </w:tcPr>
          <w:p w14:paraId="08B4563B" w14:textId="77777777" w:rsidR="00004F67" w:rsidRPr="00FC48D2" w:rsidRDefault="00004F67" w:rsidP="00835F25">
            <w:pPr>
              <w:contextualSpacing/>
              <w:jc w:val="center"/>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4</w:t>
            </w:r>
          </w:p>
        </w:tc>
        <w:tc>
          <w:tcPr>
            <w:tcW w:w="3835" w:type="dxa"/>
            <w:shd w:val="clear" w:color="auto" w:fill="auto"/>
            <w:vAlign w:val="center"/>
            <w:hideMark/>
          </w:tcPr>
          <w:p w14:paraId="095CCCA9" w14:textId="77777777" w:rsidR="00004F67" w:rsidRPr="00FC48D2" w:rsidRDefault="00004F67" w:rsidP="00835F25">
            <w:pPr>
              <w:contextualSpacing/>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Analizar el saldo medio mantenido en cuentas corrientes bancarias en el último año y la rentabilidad y los costes que han supuesto</w:t>
            </w:r>
          </w:p>
        </w:tc>
        <w:tc>
          <w:tcPr>
            <w:tcW w:w="1833" w:type="dxa"/>
            <w:shd w:val="clear" w:color="auto" w:fill="auto"/>
            <w:noWrap/>
            <w:vAlign w:val="center"/>
            <w:hideMark/>
          </w:tcPr>
          <w:p w14:paraId="48241DDA"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x</w:t>
            </w:r>
          </w:p>
        </w:tc>
        <w:tc>
          <w:tcPr>
            <w:tcW w:w="1724" w:type="dxa"/>
            <w:shd w:val="clear" w:color="auto" w:fill="auto"/>
            <w:noWrap/>
            <w:vAlign w:val="center"/>
            <w:hideMark/>
          </w:tcPr>
          <w:p w14:paraId="2C99FF5A"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 </w:t>
            </w:r>
          </w:p>
        </w:tc>
      </w:tr>
      <w:tr w:rsidR="00004F67" w:rsidRPr="00FC48D2" w14:paraId="6D0F98D9" w14:textId="77777777" w:rsidTr="00B3648E">
        <w:trPr>
          <w:trHeight w:val="551"/>
          <w:jc w:val="center"/>
        </w:trPr>
        <w:tc>
          <w:tcPr>
            <w:tcW w:w="1266" w:type="dxa"/>
            <w:shd w:val="clear" w:color="auto" w:fill="auto"/>
            <w:noWrap/>
            <w:vAlign w:val="center"/>
            <w:hideMark/>
          </w:tcPr>
          <w:p w14:paraId="4EF4245F" w14:textId="77777777" w:rsidR="00004F67" w:rsidRPr="00FC48D2" w:rsidRDefault="00004F67" w:rsidP="00835F25">
            <w:pPr>
              <w:contextualSpacing/>
              <w:jc w:val="center"/>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5</w:t>
            </w:r>
          </w:p>
        </w:tc>
        <w:tc>
          <w:tcPr>
            <w:tcW w:w="3835" w:type="dxa"/>
            <w:shd w:val="clear" w:color="auto" w:fill="auto"/>
            <w:vAlign w:val="center"/>
            <w:hideMark/>
          </w:tcPr>
          <w:p w14:paraId="0724220A" w14:textId="77777777" w:rsidR="00004F67" w:rsidRPr="00FC48D2" w:rsidRDefault="00004F67" w:rsidP="00835F25">
            <w:pPr>
              <w:contextualSpacing/>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 xml:space="preserve">Identificar de manera eficaz si se ha realizado una desviación de los recursos y dejar en claro, cuál sería la manera de enmendar el error cometido. </w:t>
            </w:r>
          </w:p>
        </w:tc>
        <w:tc>
          <w:tcPr>
            <w:tcW w:w="1833" w:type="dxa"/>
            <w:shd w:val="clear" w:color="auto" w:fill="auto"/>
            <w:noWrap/>
            <w:vAlign w:val="center"/>
            <w:hideMark/>
          </w:tcPr>
          <w:p w14:paraId="103A7EBA"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x</w:t>
            </w:r>
          </w:p>
        </w:tc>
        <w:tc>
          <w:tcPr>
            <w:tcW w:w="1724" w:type="dxa"/>
            <w:shd w:val="clear" w:color="auto" w:fill="auto"/>
            <w:noWrap/>
            <w:vAlign w:val="center"/>
            <w:hideMark/>
          </w:tcPr>
          <w:p w14:paraId="2F1C55AD"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 </w:t>
            </w:r>
          </w:p>
        </w:tc>
      </w:tr>
      <w:tr w:rsidR="00004F67" w:rsidRPr="00FC48D2" w14:paraId="7E87B377" w14:textId="77777777" w:rsidTr="00B3648E">
        <w:trPr>
          <w:trHeight w:val="559"/>
          <w:jc w:val="center"/>
        </w:trPr>
        <w:tc>
          <w:tcPr>
            <w:tcW w:w="1266" w:type="dxa"/>
            <w:shd w:val="clear" w:color="auto" w:fill="auto"/>
            <w:noWrap/>
            <w:vAlign w:val="center"/>
            <w:hideMark/>
          </w:tcPr>
          <w:p w14:paraId="0A67B638" w14:textId="77777777" w:rsidR="00004F67" w:rsidRPr="00FC48D2" w:rsidRDefault="00004F67" w:rsidP="00835F25">
            <w:pPr>
              <w:contextualSpacing/>
              <w:jc w:val="center"/>
              <w:rPr>
                <w:rFonts w:ascii="Arial" w:eastAsia="Times New Roman" w:hAnsi="Arial" w:cs="Arial"/>
                <w:color w:val="000000"/>
                <w:sz w:val="16"/>
                <w:szCs w:val="16"/>
                <w:lang w:val="es-CO" w:eastAsia="es-CO"/>
              </w:rPr>
            </w:pPr>
            <w:r w:rsidRPr="00FC48D2">
              <w:rPr>
                <w:rFonts w:ascii="Arial" w:eastAsia="Times New Roman" w:hAnsi="Arial" w:cs="Arial"/>
                <w:color w:val="000000"/>
                <w:sz w:val="16"/>
                <w:szCs w:val="16"/>
                <w:lang w:val="es-CO" w:eastAsia="es-CO"/>
              </w:rPr>
              <w:t>6</w:t>
            </w:r>
          </w:p>
        </w:tc>
        <w:tc>
          <w:tcPr>
            <w:tcW w:w="3835" w:type="dxa"/>
            <w:shd w:val="clear" w:color="auto" w:fill="auto"/>
            <w:vAlign w:val="center"/>
            <w:hideMark/>
          </w:tcPr>
          <w:p w14:paraId="47C63FB6" w14:textId="77777777" w:rsidR="00004F67" w:rsidRPr="00FC48D2" w:rsidRDefault="00004F67" w:rsidP="00835F25">
            <w:pPr>
              <w:contextualSpacing/>
              <w:rPr>
                <w:rFonts w:ascii="Arial" w:eastAsia="Times New Roman" w:hAnsi="Arial" w:cs="Arial"/>
                <w:color w:val="000000"/>
                <w:sz w:val="16"/>
                <w:szCs w:val="16"/>
                <w:lang w:val="es-CO" w:eastAsia="es-CO"/>
              </w:rPr>
            </w:pPr>
            <w:proofErr w:type="gramStart"/>
            <w:r w:rsidRPr="00FC48D2">
              <w:rPr>
                <w:rFonts w:ascii="Arial" w:eastAsia="Times New Roman" w:hAnsi="Arial" w:cs="Arial"/>
                <w:color w:val="000000"/>
                <w:sz w:val="16"/>
                <w:szCs w:val="16"/>
                <w:lang w:val="es-CO" w:eastAsia="es-CO"/>
              </w:rPr>
              <w:t>Asegurar</w:t>
            </w:r>
            <w:proofErr w:type="gramEnd"/>
            <w:r w:rsidRPr="00FC48D2">
              <w:rPr>
                <w:rFonts w:ascii="Arial" w:eastAsia="Times New Roman" w:hAnsi="Arial" w:cs="Arial"/>
                <w:color w:val="000000"/>
                <w:sz w:val="16"/>
                <w:szCs w:val="16"/>
                <w:lang w:val="es-CO" w:eastAsia="es-CO"/>
              </w:rPr>
              <w:t xml:space="preserve"> que el saldo real depositado en las diferentes instituciones financieras coincida con el saldo registrado en la contabilidad.</w:t>
            </w:r>
          </w:p>
        </w:tc>
        <w:tc>
          <w:tcPr>
            <w:tcW w:w="1833" w:type="dxa"/>
            <w:shd w:val="clear" w:color="auto" w:fill="auto"/>
            <w:noWrap/>
            <w:vAlign w:val="center"/>
            <w:hideMark/>
          </w:tcPr>
          <w:p w14:paraId="1B86F9E4"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 </w:t>
            </w:r>
          </w:p>
        </w:tc>
        <w:tc>
          <w:tcPr>
            <w:tcW w:w="1724" w:type="dxa"/>
            <w:shd w:val="clear" w:color="auto" w:fill="auto"/>
            <w:noWrap/>
            <w:vAlign w:val="center"/>
            <w:hideMark/>
          </w:tcPr>
          <w:p w14:paraId="242D7254" w14:textId="77777777" w:rsidR="00004F67" w:rsidRPr="00FC48D2" w:rsidRDefault="00004F67" w:rsidP="00835F25">
            <w:pPr>
              <w:contextualSpacing/>
              <w:jc w:val="center"/>
              <w:rPr>
                <w:rFonts w:ascii="Calibri" w:eastAsia="Times New Roman" w:hAnsi="Calibri" w:cs="Calibri"/>
                <w:color w:val="000000"/>
                <w:sz w:val="22"/>
                <w:szCs w:val="22"/>
                <w:lang w:val="es-CO" w:eastAsia="es-CO"/>
              </w:rPr>
            </w:pPr>
            <w:r w:rsidRPr="00FC48D2">
              <w:rPr>
                <w:rFonts w:ascii="Calibri" w:eastAsia="Times New Roman" w:hAnsi="Calibri" w:cs="Calibri"/>
                <w:color w:val="000000"/>
                <w:sz w:val="22"/>
                <w:szCs w:val="22"/>
                <w:lang w:val="es-CO" w:eastAsia="es-CO"/>
              </w:rPr>
              <w:t>x</w:t>
            </w:r>
          </w:p>
        </w:tc>
      </w:tr>
    </w:tbl>
    <w:p w14:paraId="36FCC9DA" w14:textId="77777777" w:rsidR="0083658C" w:rsidRPr="00A71FBC" w:rsidRDefault="0083658C"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0B14AE">
        <w:rPr>
          <w:rFonts w:ascii="Arial" w:hAnsi="Arial" w:cs="Arial"/>
          <w:sz w:val="16"/>
          <w:szCs w:val="16"/>
        </w:rPr>
        <w:t>partir</w:t>
      </w:r>
      <w:r w:rsidR="000B14AE" w:rsidRPr="00A71FBC">
        <w:rPr>
          <w:rFonts w:ascii="Arial" w:hAnsi="Arial" w:cs="Arial"/>
          <w:sz w:val="16"/>
          <w:szCs w:val="16"/>
        </w:rPr>
        <w:t xml:space="preserve"> </w:t>
      </w:r>
      <w:r w:rsidRPr="00A71FBC">
        <w:rPr>
          <w:rFonts w:ascii="Arial" w:hAnsi="Arial" w:cs="Arial"/>
          <w:sz w:val="16"/>
          <w:szCs w:val="16"/>
        </w:rPr>
        <w:t>de</w:t>
      </w:r>
      <w:r w:rsidR="00CA772F">
        <w:rPr>
          <w:rFonts w:ascii="Arial" w:hAnsi="Arial" w:cs="Arial"/>
          <w:sz w:val="16"/>
          <w:szCs w:val="16"/>
        </w:rPr>
        <w:t xml:space="preserve"> la información remitida por la Entidad Territorial</w:t>
      </w:r>
      <w:r w:rsidRPr="00A71FBC">
        <w:rPr>
          <w:rFonts w:ascii="Arial" w:hAnsi="Arial" w:cs="Arial"/>
          <w:sz w:val="16"/>
          <w:szCs w:val="16"/>
        </w:rPr>
        <w:t>.</w:t>
      </w:r>
    </w:p>
    <w:p w14:paraId="1AD88025" w14:textId="77777777" w:rsidR="00004F67" w:rsidRDefault="00004F67" w:rsidP="00835F25">
      <w:pPr>
        <w:contextualSpacing/>
        <w:jc w:val="both"/>
        <w:rPr>
          <w:rFonts w:ascii="Arial" w:eastAsia="Calibri" w:hAnsi="Arial" w:cs="Arial"/>
          <w:sz w:val="22"/>
          <w:szCs w:val="22"/>
          <w:lang w:val="es-CO" w:eastAsia="en-US"/>
        </w:rPr>
      </w:pPr>
    </w:p>
    <w:p w14:paraId="7EB8DE02" w14:textId="77777777" w:rsidR="005F2EAD"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Se encontró en los diferentes </w:t>
      </w:r>
      <w:r w:rsidR="006309C2">
        <w:rPr>
          <w:rFonts w:ascii="Arial" w:eastAsia="Calibri" w:hAnsi="Arial" w:cs="Arial"/>
          <w:sz w:val="22"/>
          <w:szCs w:val="22"/>
          <w:lang w:val="es-CO" w:eastAsia="en-US"/>
        </w:rPr>
        <w:t>procedimientos</w:t>
      </w:r>
      <w:r>
        <w:rPr>
          <w:rFonts w:ascii="Arial" w:eastAsia="Calibri" w:hAnsi="Arial" w:cs="Arial"/>
          <w:sz w:val="22"/>
          <w:szCs w:val="22"/>
          <w:lang w:val="es-CO" w:eastAsia="en-US"/>
        </w:rPr>
        <w:t xml:space="preserve"> de tesorería que se cumplió con la mayoría de los criterios. Primero, se evidenci</w:t>
      </w:r>
      <w:r w:rsidR="00347988">
        <w:rPr>
          <w:rFonts w:ascii="Arial" w:eastAsia="Calibri" w:hAnsi="Arial" w:cs="Arial"/>
          <w:sz w:val="22"/>
          <w:szCs w:val="22"/>
          <w:lang w:val="es-CO" w:eastAsia="en-US"/>
        </w:rPr>
        <w:t>ó</w:t>
      </w:r>
      <w:r>
        <w:rPr>
          <w:rFonts w:ascii="Arial" w:eastAsia="Calibri" w:hAnsi="Arial" w:cs="Arial"/>
          <w:sz w:val="22"/>
          <w:szCs w:val="22"/>
          <w:lang w:val="es-CO" w:eastAsia="en-US"/>
        </w:rPr>
        <w:t xml:space="preserve"> una articulación entre la gestión política y la administrativa</w:t>
      </w:r>
      <w:r w:rsidR="00D74E12">
        <w:rPr>
          <w:rFonts w:ascii="Arial" w:eastAsia="Calibri" w:hAnsi="Arial" w:cs="Arial"/>
          <w:sz w:val="22"/>
          <w:szCs w:val="22"/>
          <w:lang w:val="es-CO" w:eastAsia="en-US"/>
        </w:rPr>
        <w:t>;</w:t>
      </w:r>
      <w:r>
        <w:rPr>
          <w:rFonts w:ascii="Arial" w:eastAsia="Calibri" w:hAnsi="Arial" w:cs="Arial"/>
          <w:sz w:val="22"/>
          <w:szCs w:val="22"/>
          <w:lang w:val="es-CO" w:eastAsia="en-US"/>
        </w:rPr>
        <w:t xml:space="preserve"> por ejemplo, al momento de sortear los procesos con el Concejo. Segundo, se encuentra la apertura de cuentas bancarias para coordinar pagos y administrar los recursos públicos, donde se tiene en cuenta también temas como la disponibilidad presupuestal</w:t>
      </w:r>
      <w:r w:rsidR="00D74E12">
        <w:rPr>
          <w:rFonts w:ascii="Arial" w:eastAsia="Calibri" w:hAnsi="Arial" w:cs="Arial"/>
          <w:sz w:val="22"/>
          <w:szCs w:val="22"/>
          <w:lang w:val="es-CO" w:eastAsia="en-US"/>
        </w:rPr>
        <w:t>;</w:t>
      </w:r>
      <w:r>
        <w:rPr>
          <w:rFonts w:ascii="Arial" w:eastAsia="Calibri" w:hAnsi="Arial" w:cs="Arial"/>
          <w:sz w:val="22"/>
          <w:szCs w:val="22"/>
          <w:lang w:val="es-CO" w:eastAsia="en-US"/>
        </w:rPr>
        <w:t xml:space="preserve"> es decir</w:t>
      </w:r>
      <w:r w:rsidR="00D74E12">
        <w:rPr>
          <w:rFonts w:ascii="Arial" w:eastAsia="Calibri" w:hAnsi="Arial" w:cs="Arial"/>
          <w:sz w:val="22"/>
          <w:szCs w:val="22"/>
          <w:lang w:val="es-CO" w:eastAsia="en-US"/>
        </w:rPr>
        <w:t>,</w:t>
      </w:r>
      <w:r>
        <w:rPr>
          <w:rFonts w:ascii="Arial" w:eastAsia="Calibri" w:hAnsi="Arial" w:cs="Arial"/>
          <w:sz w:val="22"/>
          <w:szCs w:val="22"/>
          <w:lang w:val="es-CO" w:eastAsia="en-US"/>
        </w:rPr>
        <w:t xml:space="preserve"> hay cumplimiento del criterio dos. Tercero, hay manejo de la información y gestión </w:t>
      </w:r>
      <w:r w:rsidR="00A87AE4">
        <w:rPr>
          <w:rFonts w:ascii="Arial" w:eastAsia="Calibri" w:hAnsi="Arial" w:cs="Arial"/>
          <w:sz w:val="22"/>
          <w:szCs w:val="22"/>
          <w:lang w:val="es-CO" w:eastAsia="en-US"/>
        </w:rPr>
        <w:t xml:space="preserve">de los recursos </w:t>
      </w:r>
      <w:r>
        <w:rPr>
          <w:rFonts w:ascii="Arial" w:eastAsia="Calibri" w:hAnsi="Arial" w:cs="Arial"/>
          <w:sz w:val="22"/>
          <w:szCs w:val="22"/>
          <w:lang w:val="es-CO" w:eastAsia="en-US"/>
        </w:rPr>
        <w:t xml:space="preserve">en tiempo real a través de instrumentos como comprobantes de pago. Cuarto, se </w:t>
      </w:r>
      <w:r w:rsidR="00A87AE4">
        <w:rPr>
          <w:rFonts w:ascii="Arial" w:eastAsia="Calibri" w:hAnsi="Arial" w:cs="Arial"/>
          <w:sz w:val="22"/>
          <w:szCs w:val="22"/>
          <w:lang w:val="es-CO" w:eastAsia="en-US"/>
        </w:rPr>
        <w:t xml:space="preserve">realiza </w:t>
      </w:r>
      <w:r>
        <w:rPr>
          <w:rFonts w:ascii="Arial" w:eastAsia="Calibri" w:hAnsi="Arial" w:cs="Arial"/>
          <w:sz w:val="22"/>
          <w:szCs w:val="22"/>
          <w:lang w:val="es-CO" w:eastAsia="en-US"/>
        </w:rPr>
        <w:t xml:space="preserve">análisis del saldo </w:t>
      </w:r>
      <w:r w:rsidR="00A87AE4">
        <w:rPr>
          <w:rFonts w:ascii="Arial" w:eastAsia="Calibri" w:hAnsi="Arial" w:cs="Arial"/>
          <w:sz w:val="22"/>
          <w:szCs w:val="22"/>
          <w:lang w:val="es-CO" w:eastAsia="en-US"/>
        </w:rPr>
        <w:t>pro</w:t>
      </w:r>
      <w:r>
        <w:rPr>
          <w:rFonts w:ascii="Arial" w:eastAsia="Calibri" w:hAnsi="Arial" w:cs="Arial"/>
          <w:sz w:val="22"/>
          <w:szCs w:val="22"/>
          <w:lang w:val="es-CO" w:eastAsia="en-US"/>
        </w:rPr>
        <w:t>medio mantenido en las cuentas corrientes bancarias donde hay instrucciones como el manejo y revisión del cierre fiscal. Quinto, se constata</w:t>
      </w:r>
      <w:r w:rsidR="00A87AE4">
        <w:rPr>
          <w:rFonts w:ascii="Arial" w:eastAsia="Calibri" w:hAnsi="Arial" w:cs="Arial"/>
          <w:sz w:val="22"/>
          <w:szCs w:val="22"/>
          <w:lang w:val="es-CO" w:eastAsia="en-US"/>
        </w:rPr>
        <w:t>n</w:t>
      </w:r>
      <w:r>
        <w:rPr>
          <w:rFonts w:ascii="Arial" w:eastAsia="Calibri" w:hAnsi="Arial" w:cs="Arial"/>
          <w:sz w:val="22"/>
          <w:szCs w:val="22"/>
          <w:lang w:val="es-CO" w:eastAsia="en-US"/>
        </w:rPr>
        <w:t xml:space="preserve"> lineamientos</w:t>
      </w:r>
      <w:r w:rsidR="00A87AE4">
        <w:rPr>
          <w:rFonts w:ascii="Arial" w:eastAsia="Calibri" w:hAnsi="Arial" w:cs="Arial"/>
          <w:sz w:val="22"/>
          <w:szCs w:val="22"/>
          <w:lang w:val="es-CO" w:eastAsia="en-US"/>
        </w:rPr>
        <w:t xml:space="preserve"> y procedimientos</w:t>
      </w:r>
      <w:r>
        <w:rPr>
          <w:rFonts w:ascii="Arial" w:eastAsia="Calibri" w:hAnsi="Arial" w:cs="Arial"/>
          <w:sz w:val="22"/>
          <w:szCs w:val="22"/>
          <w:lang w:val="es-CO" w:eastAsia="en-US"/>
        </w:rPr>
        <w:t xml:space="preserve"> </w:t>
      </w:r>
      <w:r w:rsidR="00A87AE4">
        <w:rPr>
          <w:rFonts w:ascii="Arial" w:eastAsia="Calibri" w:hAnsi="Arial" w:cs="Arial"/>
          <w:sz w:val="22"/>
          <w:szCs w:val="22"/>
          <w:lang w:val="es-CO" w:eastAsia="en-US"/>
        </w:rPr>
        <w:t xml:space="preserve">frente a la </w:t>
      </w:r>
      <w:r>
        <w:rPr>
          <w:rFonts w:ascii="Arial" w:eastAsia="Calibri" w:hAnsi="Arial" w:cs="Arial"/>
          <w:sz w:val="22"/>
          <w:szCs w:val="22"/>
          <w:lang w:val="es-CO" w:eastAsia="en-US"/>
        </w:rPr>
        <w:t>desviación de los recursos.</w:t>
      </w:r>
    </w:p>
    <w:p w14:paraId="1529F960" w14:textId="77777777" w:rsidR="005F2EAD" w:rsidRDefault="005F2EAD" w:rsidP="00835F25">
      <w:pPr>
        <w:contextualSpacing/>
        <w:jc w:val="both"/>
        <w:rPr>
          <w:rFonts w:ascii="Arial" w:eastAsia="Calibri" w:hAnsi="Arial" w:cs="Arial"/>
          <w:sz w:val="22"/>
          <w:szCs w:val="22"/>
          <w:lang w:val="es-CO" w:eastAsia="en-US"/>
        </w:rPr>
      </w:pPr>
    </w:p>
    <w:p w14:paraId="06509B17" w14:textId="77777777" w:rsidR="00004F67"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No obstante, como la </w:t>
      </w:r>
      <w:r w:rsidR="005F2EAD">
        <w:rPr>
          <w:rFonts w:ascii="Arial" w:eastAsia="Calibri" w:hAnsi="Arial" w:cs="Arial"/>
          <w:sz w:val="22"/>
          <w:szCs w:val="22"/>
          <w:lang w:val="es-CO" w:eastAsia="en-US"/>
        </w:rPr>
        <w:t xml:space="preserve">Entidad Territorial </w:t>
      </w:r>
      <w:r>
        <w:rPr>
          <w:rFonts w:ascii="Arial" w:eastAsia="Calibri" w:hAnsi="Arial" w:cs="Arial"/>
          <w:sz w:val="22"/>
          <w:szCs w:val="22"/>
          <w:lang w:val="es-CO" w:eastAsia="en-US"/>
        </w:rPr>
        <w:t xml:space="preserve">no </w:t>
      </w:r>
      <w:r w:rsidR="005F2EAD">
        <w:rPr>
          <w:rFonts w:ascii="Arial" w:eastAsia="Calibri" w:hAnsi="Arial" w:cs="Arial"/>
          <w:sz w:val="22"/>
          <w:szCs w:val="22"/>
          <w:lang w:val="es-CO" w:eastAsia="en-US"/>
        </w:rPr>
        <w:t>remitió</w:t>
      </w:r>
      <w:r>
        <w:rPr>
          <w:rFonts w:ascii="Arial" w:eastAsia="Calibri" w:hAnsi="Arial" w:cs="Arial"/>
          <w:sz w:val="22"/>
          <w:szCs w:val="22"/>
          <w:lang w:val="es-CO" w:eastAsia="en-US"/>
        </w:rPr>
        <w:t xml:space="preserve"> </w:t>
      </w:r>
      <w:r w:rsidR="00A6705F">
        <w:rPr>
          <w:rFonts w:ascii="Arial" w:eastAsia="Calibri" w:hAnsi="Arial" w:cs="Arial"/>
          <w:sz w:val="22"/>
          <w:szCs w:val="22"/>
          <w:lang w:val="es-CO" w:eastAsia="en-US"/>
        </w:rPr>
        <w:t>el</w:t>
      </w:r>
      <w:r>
        <w:rPr>
          <w:rFonts w:ascii="Arial" w:eastAsia="Calibri" w:hAnsi="Arial" w:cs="Arial"/>
          <w:sz w:val="22"/>
          <w:szCs w:val="22"/>
          <w:lang w:val="es-CO" w:eastAsia="en-US"/>
        </w:rPr>
        <w:t xml:space="preserve"> </w:t>
      </w:r>
      <w:r w:rsidR="00C82613">
        <w:rPr>
          <w:rFonts w:ascii="Arial" w:eastAsia="Calibri" w:hAnsi="Arial" w:cs="Arial"/>
          <w:sz w:val="22"/>
          <w:szCs w:val="22"/>
          <w:lang w:val="es-CO" w:eastAsia="en-US"/>
        </w:rPr>
        <w:t>M</w:t>
      </w:r>
      <w:r>
        <w:rPr>
          <w:rFonts w:ascii="Arial" w:eastAsia="Calibri" w:hAnsi="Arial" w:cs="Arial"/>
          <w:sz w:val="22"/>
          <w:szCs w:val="22"/>
          <w:lang w:val="es-CO" w:eastAsia="en-US"/>
        </w:rPr>
        <w:t xml:space="preserve">anual de </w:t>
      </w:r>
      <w:r w:rsidR="00C82613">
        <w:rPr>
          <w:rFonts w:ascii="Arial" w:eastAsia="Calibri" w:hAnsi="Arial" w:cs="Arial"/>
          <w:sz w:val="22"/>
          <w:szCs w:val="22"/>
          <w:lang w:val="es-CO" w:eastAsia="en-US"/>
        </w:rPr>
        <w:t>T</w:t>
      </w:r>
      <w:r>
        <w:rPr>
          <w:rFonts w:ascii="Arial" w:eastAsia="Calibri" w:hAnsi="Arial" w:cs="Arial"/>
          <w:sz w:val="22"/>
          <w:szCs w:val="22"/>
          <w:lang w:val="es-CO" w:eastAsia="en-US"/>
        </w:rPr>
        <w:t>esorería</w:t>
      </w:r>
      <w:r w:rsidR="00C82613">
        <w:rPr>
          <w:rFonts w:ascii="Arial" w:eastAsia="Calibri" w:hAnsi="Arial" w:cs="Arial"/>
          <w:sz w:val="22"/>
          <w:szCs w:val="22"/>
          <w:lang w:val="es-CO" w:eastAsia="en-US"/>
        </w:rPr>
        <w:t>,</w:t>
      </w:r>
      <w:r w:rsidR="003B527F">
        <w:rPr>
          <w:rFonts w:ascii="Arial" w:eastAsia="Calibri" w:hAnsi="Arial" w:cs="Arial"/>
          <w:sz w:val="22"/>
          <w:szCs w:val="22"/>
          <w:lang w:val="es-CO" w:eastAsia="en-US"/>
        </w:rPr>
        <w:t xml:space="preserve"> la valoración por criterios no se pudo llevar a cabo</w:t>
      </w:r>
      <w:r>
        <w:rPr>
          <w:rFonts w:ascii="Arial" w:eastAsia="Calibri" w:hAnsi="Arial" w:cs="Arial"/>
          <w:sz w:val="22"/>
          <w:szCs w:val="22"/>
          <w:lang w:val="es-CO" w:eastAsia="en-US"/>
        </w:rPr>
        <w:t xml:space="preserve">. Además, cabe resaltar que no se reflejó en ninguno de los </w:t>
      </w:r>
      <w:r w:rsidR="00A6705F">
        <w:rPr>
          <w:rFonts w:ascii="Arial" w:eastAsia="Calibri" w:hAnsi="Arial" w:cs="Arial"/>
          <w:sz w:val="22"/>
          <w:szCs w:val="22"/>
          <w:lang w:val="es-CO" w:eastAsia="en-US"/>
        </w:rPr>
        <w:t>procedimientos</w:t>
      </w:r>
      <w:r>
        <w:rPr>
          <w:rFonts w:ascii="Arial" w:eastAsia="Calibri" w:hAnsi="Arial" w:cs="Arial"/>
          <w:sz w:val="22"/>
          <w:szCs w:val="22"/>
          <w:lang w:val="es-CO" w:eastAsia="en-US"/>
        </w:rPr>
        <w:t xml:space="preserve"> instrucciones para comparar el saldo real depositados en las cuentas bancarias y el saldo registrado en la contabilidad.</w:t>
      </w:r>
    </w:p>
    <w:p w14:paraId="5D5A7235" w14:textId="77777777" w:rsidR="00004F67" w:rsidRDefault="00004F67" w:rsidP="00835F25">
      <w:pPr>
        <w:contextualSpacing/>
        <w:jc w:val="both"/>
        <w:rPr>
          <w:rFonts w:ascii="Arial" w:eastAsia="Calibri" w:hAnsi="Arial" w:cs="Arial"/>
          <w:sz w:val="22"/>
          <w:szCs w:val="22"/>
          <w:lang w:val="es-CO" w:eastAsia="en-US"/>
        </w:rPr>
      </w:pPr>
    </w:p>
    <w:p w14:paraId="71DC4593" w14:textId="77777777" w:rsidR="000B14AE"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lastRenderedPageBreak/>
        <w:t xml:space="preserve">En materia del cumplimiento de la </w:t>
      </w:r>
      <w:r w:rsidR="00506487">
        <w:rPr>
          <w:rFonts w:ascii="Arial" w:eastAsia="Calibri" w:hAnsi="Arial" w:cs="Arial"/>
          <w:sz w:val="22"/>
          <w:szCs w:val="22"/>
          <w:lang w:val="es-CO" w:eastAsia="en-US"/>
        </w:rPr>
        <w:t>A</w:t>
      </w:r>
      <w:r>
        <w:rPr>
          <w:rFonts w:ascii="Arial" w:eastAsia="Calibri" w:hAnsi="Arial" w:cs="Arial"/>
          <w:sz w:val="22"/>
          <w:szCs w:val="22"/>
          <w:lang w:val="es-CO" w:eastAsia="en-US"/>
        </w:rPr>
        <w:t>ctividad del p</w:t>
      </w:r>
      <w:r w:rsidRPr="0070366C">
        <w:rPr>
          <w:rFonts w:ascii="Arial" w:eastAsia="Calibri" w:hAnsi="Arial" w:cs="Arial"/>
          <w:sz w:val="22"/>
          <w:szCs w:val="22"/>
          <w:lang w:val="es-CO" w:eastAsia="en-US"/>
        </w:rPr>
        <w:t>rocedimiento de liquidación y pago de los compromisos del Distrito</w:t>
      </w:r>
      <w:r>
        <w:rPr>
          <w:rFonts w:ascii="Arial" w:eastAsia="Calibri" w:hAnsi="Arial" w:cs="Arial"/>
          <w:sz w:val="22"/>
          <w:szCs w:val="22"/>
          <w:lang w:val="es-CO" w:eastAsia="en-US"/>
        </w:rPr>
        <w:t xml:space="preserve">, se evaluaron los documentos entregados por la Entidad Territorial a través de la creación de unos criterios específicos. Los criterios se construyeron con la </w:t>
      </w:r>
      <w:r w:rsidRPr="00821814">
        <w:rPr>
          <w:rFonts w:ascii="Arial" w:eastAsia="Calibri" w:hAnsi="Arial" w:cs="Arial"/>
          <w:sz w:val="22"/>
          <w:szCs w:val="22"/>
          <w:lang w:val="es-CO" w:eastAsia="en-US"/>
        </w:rPr>
        <w:t>ayuda de los</w:t>
      </w:r>
      <w:r w:rsidRPr="00C753A2">
        <w:rPr>
          <w:rFonts w:ascii="Arial" w:eastAsia="Calibri" w:hAnsi="Arial" w:cs="Arial"/>
          <w:sz w:val="22"/>
          <w:szCs w:val="22"/>
          <w:lang w:val="es-CO" w:eastAsia="en-US"/>
        </w:rPr>
        <w:t xml:space="preserve"> procedimientos contables </w:t>
      </w:r>
      <w:r w:rsidR="00547CAC">
        <w:rPr>
          <w:rFonts w:ascii="Arial" w:eastAsia="Calibri" w:hAnsi="Arial" w:cs="Arial"/>
          <w:sz w:val="22"/>
          <w:szCs w:val="22"/>
          <w:lang w:val="es-CO" w:eastAsia="en-US"/>
        </w:rPr>
        <w:t>emitidos por la Contaduría General de la Nación - CGN</w:t>
      </w:r>
      <w:r w:rsidR="00C82613">
        <w:rPr>
          <w:rFonts w:ascii="Arial" w:eastAsia="Calibri" w:hAnsi="Arial" w:cs="Arial"/>
          <w:sz w:val="22"/>
          <w:szCs w:val="22"/>
          <w:lang w:val="es-CO" w:eastAsia="en-US"/>
        </w:rPr>
        <w:t>, en virtud de su función constitucional</w:t>
      </w:r>
      <w:r>
        <w:rPr>
          <w:rFonts w:ascii="Arial" w:eastAsia="Calibri" w:hAnsi="Arial" w:cs="Arial"/>
          <w:sz w:val="22"/>
          <w:szCs w:val="22"/>
          <w:lang w:val="es-CO" w:eastAsia="en-US"/>
        </w:rPr>
        <w:t>.</w:t>
      </w:r>
    </w:p>
    <w:p w14:paraId="2A660EF1" w14:textId="77777777" w:rsidR="000B14AE" w:rsidRDefault="000B14AE" w:rsidP="00835F25">
      <w:pPr>
        <w:contextualSpacing/>
        <w:jc w:val="both"/>
        <w:rPr>
          <w:rFonts w:ascii="Arial" w:eastAsia="Calibri" w:hAnsi="Arial" w:cs="Arial"/>
          <w:sz w:val="22"/>
          <w:szCs w:val="22"/>
          <w:lang w:val="es-CO" w:eastAsia="en-US"/>
        </w:rPr>
      </w:pPr>
    </w:p>
    <w:p w14:paraId="2857F4D1" w14:textId="77777777" w:rsidR="00004F67"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A continuación, se encuentran l</w:t>
      </w:r>
      <w:r w:rsidRPr="00C34F85">
        <w:rPr>
          <w:rFonts w:ascii="Arial" w:eastAsia="Calibri" w:hAnsi="Arial" w:cs="Arial"/>
          <w:sz w:val="22"/>
          <w:szCs w:val="22"/>
          <w:lang w:val="es-CO" w:eastAsia="en-US"/>
        </w:rPr>
        <w:t xml:space="preserve">os criterios que se toman a consideración </w:t>
      </w:r>
      <w:r>
        <w:rPr>
          <w:rFonts w:ascii="Arial" w:eastAsia="Calibri" w:hAnsi="Arial" w:cs="Arial"/>
          <w:sz w:val="22"/>
          <w:szCs w:val="22"/>
          <w:lang w:val="es-CO" w:eastAsia="en-US"/>
        </w:rPr>
        <w:t xml:space="preserve">y se resume si </w:t>
      </w:r>
      <w:r w:rsidR="000B14AE">
        <w:rPr>
          <w:rFonts w:ascii="Arial" w:eastAsia="Calibri" w:hAnsi="Arial" w:cs="Arial"/>
          <w:sz w:val="22"/>
          <w:szCs w:val="22"/>
          <w:lang w:val="es-CO" w:eastAsia="en-US"/>
        </w:rPr>
        <w:t xml:space="preserve">la </w:t>
      </w:r>
      <w:r>
        <w:rPr>
          <w:rFonts w:ascii="Arial" w:eastAsia="Calibri" w:hAnsi="Arial" w:cs="Arial"/>
          <w:sz w:val="22"/>
          <w:szCs w:val="22"/>
          <w:lang w:val="es-CO" w:eastAsia="en-US"/>
        </w:rPr>
        <w:t>Ent</w:t>
      </w:r>
      <w:r w:rsidR="000B14AE">
        <w:rPr>
          <w:rFonts w:ascii="Arial" w:eastAsia="Calibri" w:hAnsi="Arial" w:cs="Arial"/>
          <w:sz w:val="22"/>
          <w:szCs w:val="22"/>
          <w:lang w:val="es-CO" w:eastAsia="en-US"/>
        </w:rPr>
        <w:t>idad</w:t>
      </w:r>
      <w:r>
        <w:rPr>
          <w:rFonts w:ascii="Arial" w:eastAsia="Calibri" w:hAnsi="Arial" w:cs="Arial"/>
          <w:sz w:val="22"/>
          <w:szCs w:val="22"/>
          <w:lang w:val="es-CO" w:eastAsia="en-US"/>
        </w:rPr>
        <w:t xml:space="preserve"> Territorial cumple o no con los criterios</w:t>
      </w:r>
      <w:r w:rsidRPr="00C34F85">
        <w:rPr>
          <w:rFonts w:ascii="Arial" w:eastAsia="Calibri" w:hAnsi="Arial" w:cs="Arial"/>
          <w:sz w:val="22"/>
          <w:szCs w:val="22"/>
          <w:lang w:val="es-CO" w:eastAsia="en-US"/>
        </w:rPr>
        <w:t>:</w:t>
      </w:r>
    </w:p>
    <w:p w14:paraId="5157B16B" w14:textId="77777777" w:rsidR="00004F67" w:rsidRDefault="00004F67" w:rsidP="00835F25">
      <w:pPr>
        <w:contextualSpacing/>
        <w:jc w:val="both"/>
        <w:rPr>
          <w:rFonts w:ascii="Arial" w:eastAsia="Calibri" w:hAnsi="Arial" w:cs="Arial"/>
          <w:sz w:val="22"/>
          <w:szCs w:val="22"/>
          <w:lang w:val="es-CO" w:eastAsia="en-US"/>
        </w:rPr>
      </w:pPr>
    </w:p>
    <w:p w14:paraId="2C3E3841" w14:textId="77777777" w:rsidR="00793BF7" w:rsidRPr="0083658C" w:rsidRDefault="00793BF7" w:rsidP="00835F25">
      <w:pPr>
        <w:ind w:left="360"/>
        <w:contextualSpacing/>
        <w:jc w:val="center"/>
        <w:rPr>
          <w:rFonts w:ascii="Arial" w:hAnsi="Arial" w:cs="Arial"/>
        </w:rPr>
      </w:pPr>
      <w:r w:rsidRPr="00B17711">
        <w:rPr>
          <w:rFonts w:ascii="Arial" w:hAnsi="Arial" w:cs="Arial"/>
          <w:b/>
          <w:bCs/>
          <w:i/>
          <w:iCs/>
          <w:color w:val="1F487C"/>
          <w:sz w:val="20"/>
          <w:szCs w:val="20"/>
        </w:rPr>
        <w:t xml:space="preserve">Tabla 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14</w:t>
      </w:r>
      <w:r w:rsidR="00EE0320" w:rsidRPr="00B3648E">
        <w:rPr>
          <w:rFonts w:ascii="Arial" w:hAnsi="Arial" w:cs="Arial"/>
          <w:b/>
          <w:bCs/>
          <w:i/>
          <w:iCs/>
          <w:color w:val="1F497D" w:themeColor="text2"/>
          <w:sz w:val="20"/>
          <w:szCs w:val="20"/>
        </w:rPr>
        <w:fldChar w:fldCharType="end"/>
      </w:r>
      <w:r w:rsidR="00EE0320">
        <w:rPr>
          <w:rFonts w:ascii="Arial" w:hAnsi="Arial" w:cs="Arial"/>
          <w:b/>
          <w:bCs/>
          <w:color w:val="1F497D" w:themeColor="text2"/>
          <w:sz w:val="20"/>
          <w:szCs w:val="20"/>
        </w:rPr>
        <w:t xml:space="preserve"> </w:t>
      </w:r>
      <w:r w:rsidR="0033071C">
        <w:rPr>
          <w:rFonts w:ascii="Arial" w:hAnsi="Arial" w:cs="Arial"/>
          <w:b/>
          <w:bCs/>
          <w:i/>
          <w:iCs/>
          <w:color w:val="1F487C"/>
          <w:sz w:val="20"/>
          <w:szCs w:val="20"/>
        </w:rPr>
        <w:t>Procedimiento de liquidación y pago de compromisos</w:t>
      </w:r>
      <w:r w:rsidRPr="00B17711">
        <w:rPr>
          <w:rFonts w:ascii="Arial" w:hAnsi="Arial" w:cs="Arial"/>
          <w:b/>
          <w:bCs/>
          <w:i/>
          <w:iCs/>
          <w:color w:val="1F487C"/>
          <w:sz w:val="20"/>
          <w:szCs w:val="20"/>
        </w:rPr>
        <w:t>. Distrito de Cartagena de Indias - Bolívar, vigencia 2021</w:t>
      </w:r>
      <w:r w:rsidRPr="00F546EC">
        <w:rPr>
          <w:rFonts w:ascii="Arial" w:hAnsi="Arial" w:cs="Arial"/>
          <w:i/>
          <w:iCs/>
          <w:color w:val="1F487C"/>
          <w:sz w:val="20"/>
          <w:szCs w:val="20"/>
        </w:rPr>
        <w:t>.</w:t>
      </w:r>
    </w:p>
    <w:tbl>
      <w:tblPr>
        <w:tblW w:w="8964" w:type="dxa"/>
        <w:tblCellMar>
          <w:left w:w="70" w:type="dxa"/>
          <w:right w:w="70" w:type="dxa"/>
        </w:tblCellMar>
        <w:tblLook w:val="04A0" w:firstRow="1" w:lastRow="0" w:firstColumn="1" w:lastColumn="0" w:noHBand="0" w:noVBand="1"/>
      </w:tblPr>
      <w:tblGrid>
        <w:gridCol w:w="1173"/>
        <w:gridCol w:w="5059"/>
        <w:gridCol w:w="1276"/>
        <w:gridCol w:w="1456"/>
      </w:tblGrid>
      <w:tr w:rsidR="00004F67" w:rsidRPr="00A84A83" w14:paraId="5F3593D4" w14:textId="77777777" w:rsidTr="00E73E6A">
        <w:trPr>
          <w:trHeight w:val="341"/>
        </w:trPr>
        <w:tc>
          <w:tcPr>
            <w:tcW w:w="1173"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6A00DC0B" w14:textId="77777777" w:rsidR="00004F67" w:rsidRPr="00A84A83" w:rsidRDefault="005C7954" w:rsidP="00835F25">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No.</w:t>
            </w:r>
            <w:r w:rsidR="00004F67">
              <w:rPr>
                <w:rFonts w:ascii="Arial" w:eastAsia="Times New Roman" w:hAnsi="Arial" w:cs="Arial"/>
                <w:b/>
                <w:bCs/>
                <w:color w:val="000000"/>
                <w:sz w:val="16"/>
                <w:szCs w:val="16"/>
                <w:lang w:val="es-CO" w:eastAsia="es-CO"/>
              </w:rPr>
              <w:t xml:space="preserve"> </w:t>
            </w:r>
            <w:r>
              <w:rPr>
                <w:rFonts w:ascii="Arial" w:eastAsia="Times New Roman" w:hAnsi="Arial" w:cs="Arial"/>
                <w:b/>
                <w:bCs/>
                <w:color w:val="000000"/>
                <w:sz w:val="16"/>
                <w:szCs w:val="16"/>
                <w:lang w:val="es-CO" w:eastAsia="es-CO"/>
              </w:rPr>
              <w:t>C</w:t>
            </w:r>
            <w:r w:rsidR="00004F67">
              <w:rPr>
                <w:rFonts w:ascii="Arial" w:eastAsia="Times New Roman" w:hAnsi="Arial" w:cs="Arial"/>
                <w:b/>
                <w:bCs/>
                <w:color w:val="000000"/>
                <w:sz w:val="16"/>
                <w:szCs w:val="16"/>
                <w:lang w:val="es-CO" w:eastAsia="es-CO"/>
              </w:rPr>
              <w:t>riterio</w:t>
            </w:r>
          </w:p>
        </w:tc>
        <w:tc>
          <w:tcPr>
            <w:tcW w:w="505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E06884F" w14:textId="77777777" w:rsidR="00004F67" w:rsidRPr="00A84A83" w:rsidRDefault="00004F67" w:rsidP="00835F25">
            <w:pPr>
              <w:contextualSpacing/>
              <w:jc w:val="center"/>
              <w:rPr>
                <w:rFonts w:ascii="Arial" w:eastAsia="Times New Roman" w:hAnsi="Arial" w:cs="Arial"/>
                <w:b/>
                <w:bCs/>
                <w:color w:val="000000"/>
                <w:sz w:val="16"/>
                <w:szCs w:val="16"/>
                <w:lang w:val="es-CO" w:eastAsia="es-CO"/>
              </w:rPr>
            </w:pPr>
            <w:r w:rsidRPr="00A84A83">
              <w:rPr>
                <w:rFonts w:ascii="Arial" w:eastAsia="Times New Roman" w:hAnsi="Arial" w:cs="Arial"/>
                <w:b/>
                <w:bCs/>
                <w:color w:val="000000"/>
                <w:sz w:val="16"/>
                <w:szCs w:val="16"/>
                <w:lang w:val="es-CO" w:eastAsia="es-CO"/>
              </w:rPr>
              <w:t>Especificación del criterio</w:t>
            </w:r>
          </w:p>
        </w:tc>
        <w:tc>
          <w:tcPr>
            <w:tcW w:w="127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BA81146" w14:textId="77777777" w:rsidR="00004F67" w:rsidRPr="00A84A83" w:rsidRDefault="00004F67" w:rsidP="00835F25">
            <w:pPr>
              <w:contextualSpacing/>
              <w:jc w:val="center"/>
              <w:rPr>
                <w:rFonts w:ascii="Arial" w:eastAsia="Times New Roman" w:hAnsi="Arial" w:cs="Arial"/>
                <w:b/>
                <w:bCs/>
                <w:color w:val="000000"/>
                <w:sz w:val="16"/>
                <w:szCs w:val="16"/>
                <w:lang w:val="es-CO" w:eastAsia="es-CO"/>
              </w:rPr>
            </w:pPr>
            <w:r w:rsidRPr="00A84A83">
              <w:rPr>
                <w:rFonts w:ascii="Arial" w:eastAsia="Times New Roman" w:hAnsi="Arial" w:cs="Arial"/>
                <w:b/>
                <w:bCs/>
                <w:color w:val="000000"/>
                <w:sz w:val="16"/>
                <w:szCs w:val="16"/>
                <w:lang w:val="es-CO" w:eastAsia="es-CO"/>
              </w:rPr>
              <w:t>Cumpli</w:t>
            </w:r>
            <w:r>
              <w:rPr>
                <w:rFonts w:ascii="Arial" w:eastAsia="Times New Roman" w:hAnsi="Arial" w:cs="Arial"/>
                <w:b/>
                <w:bCs/>
                <w:color w:val="000000"/>
                <w:sz w:val="16"/>
                <w:szCs w:val="16"/>
                <w:lang w:val="es-CO" w:eastAsia="es-CO"/>
              </w:rPr>
              <w:t>miento</w:t>
            </w:r>
          </w:p>
        </w:tc>
        <w:tc>
          <w:tcPr>
            <w:tcW w:w="145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9AB645A" w14:textId="77777777" w:rsidR="00004F67" w:rsidRPr="00A84A83" w:rsidRDefault="00004F67" w:rsidP="00835F25">
            <w:pPr>
              <w:contextualSpacing/>
              <w:jc w:val="center"/>
              <w:rPr>
                <w:rFonts w:ascii="Arial" w:eastAsia="Times New Roman" w:hAnsi="Arial" w:cs="Arial"/>
                <w:b/>
                <w:bCs/>
                <w:color w:val="000000"/>
                <w:sz w:val="16"/>
                <w:szCs w:val="16"/>
                <w:lang w:val="es-CO" w:eastAsia="es-CO"/>
              </w:rPr>
            </w:pPr>
            <w:r w:rsidRPr="00A84A83">
              <w:rPr>
                <w:rFonts w:ascii="Arial" w:eastAsia="Times New Roman" w:hAnsi="Arial" w:cs="Arial"/>
                <w:b/>
                <w:bCs/>
                <w:color w:val="000000"/>
                <w:sz w:val="16"/>
                <w:szCs w:val="16"/>
                <w:lang w:val="es-CO" w:eastAsia="es-CO"/>
              </w:rPr>
              <w:t>No cumplimiento</w:t>
            </w:r>
          </w:p>
        </w:tc>
      </w:tr>
      <w:tr w:rsidR="00004F67" w:rsidRPr="00A84A83" w14:paraId="6C5C412F" w14:textId="77777777" w:rsidTr="00E73E6A">
        <w:trPr>
          <w:trHeight w:val="493"/>
        </w:trPr>
        <w:tc>
          <w:tcPr>
            <w:tcW w:w="1173" w:type="dxa"/>
            <w:tcBorders>
              <w:top w:val="nil"/>
              <w:left w:val="single" w:sz="4" w:space="0" w:color="auto"/>
              <w:bottom w:val="single" w:sz="4" w:space="0" w:color="auto"/>
              <w:right w:val="single" w:sz="4" w:space="0" w:color="auto"/>
            </w:tcBorders>
            <w:shd w:val="clear" w:color="auto" w:fill="auto"/>
            <w:vAlign w:val="center"/>
            <w:hideMark/>
          </w:tcPr>
          <w:p w14:paraId="257522A1" w14:textId="77777777" w:rsidR="00004F67" w:rsidRPr="00A84A83" w:rsidRDefault="00004F67" w:rsidP="00835F25">
            <w:pPr>
              <w:contextualSpacing/>
              <w:jc w:val="center"/>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1</w:t>
            </w:r>
          </w:p>
        </w:tc>
        <w:tc>
          <w:tcPr>
            <w:tcW w:w="5059" w:type="dxa"/>
            <w:tcBorders>
              <w:top w:val="nil"/>
              <w:left w:val="nil"/>
              <w:bottom w:val="single" w:sz="4" w:space="0" w:color="auto"/>
              <w:right w:val="single" w:sz="4" w:space="0" w:color="auto"/>
            </w:tcBorders>
            <w:shd w:val="clear" w:color="auto" w:fill="auto"/>
            <w:vAlign w:val="center"/>
            <w:hideMark/>
          </w:tcPr>
          <w:p w14:paraId="19BE4292" w14:textId="77777777" w:rsidR="00004F67" w:rsidRPr="00A84A83" w:rsidRDefault="00004F67" w:rsidP="00835F25">
            <w:pPr>
              <w:contextualSpacing/>
              <w:jc w:val="both"/>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Tener un proceso establecido de pago y lineamientos claros en caso de que se tengan que presentar devoluciones.</w:t>
            </w:r>
          </w:p>
        </w:tc>
        <w:tc>
          <w:tcPr>
            <w:tcW w:w="1276" w:type="dxa"/>
            <w:tcBorders>
              <w:top w:val="nil"/>
              <w:left w:val="nil"/>
              <w:bottom w:val="single" w:sz="4" w:space="0" w:color="auto"/>
              <w:right w:val="single" w:sz="4" w:space="0" w:color="auto"/>
            </w:tcBorders>
            <w:shd w:val="clear" w:color="auto" w:fill="auto"/>
            <w:vAlign w:val="center"/>
            <w:hideMark/>
          </w:tcPr>
          <w:p w14:paraId="330CAAD7"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x</w:t>
            </w:r>
          </w:p>
        </w:tc>
        <w:tc>
          <w:tcPr>
            <w:tcW w:w="1456" w:type="dxa"/>
            <w:tcBorders>
              <w:top w:val="nil"/>
              <w:left w:val="nil"/>
              <w:bottom w:val="single" w:sz="4" w:space="0" w:color="auto"/>
              <w:right w:val="single" w:sz="4" w:space="0" w:color="auto"/>
            </w:tcBorders>
            <w:shd w:val="clear" w:color="auto" w:fill="auto"/>
            <w:vAlign w:val="center"/>
            <w:hideMark/>
          </w:tcPr>
          <w:p w14:paraId="0802BEBE"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 </w:t>
            </w:r>
          </w:p>
        </w:tc>
      </w:tr>
      <w:tr w:rsidR="00004F67" w:rsidRPr="00A84A83" w14:paraId="2BB08F93" w14:textId="77777777" w:rsidTr="00E73E6A">
        <w:trPr>
          <w:trHeight w:val="699"/>
        </w:trPr>
        <w:tc>
          <w:tcPr>
            <w:tcW w:w="1173" w:type="dxa"/>
            <w:tcBorders>
              <w:top w:val="nil"/>
              <w:left w:val="single" w:sz="4" w:space="0" w:color="auto"/>
              <w:bottom w:val="single" w:sz="4" w:space="0" w:color="auto"/>
              <w:right w:val="single" w:sz="4" w:space="0" w:color="auto"/>
            </w:tcBorders>
            <w:shd w:val="clear" w:color="auto" w:fill="auto"/>
            <w:vAlign w:val="center"/>
            <w:hideMark/>
          </w:tcPr>
          <w:p w14:paraId="2A3D90D3" w14:textId="77777777" w:rsidR="00004F67" w:rsidRPr="00A84A83" w:rsidRDefault="00004F67" w:rsidP="00835F25">
            <w:pPr>
              <w:contextualSpacing/>
              <w:jc w:val="center"/>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2</w:t>
            </w:r>
          </w:p>
        </w:tc>
        <w:tc>
          <w:tcPr>
            <w:tcW w:w="5059" w:type="dxa"/>
            <w:tcBorders>
              <w:top w:val="nil"/>
              <w:left w:val="nil"/>
              <w:bottom w:val="single" w:sz="4" w:space="0" w:color="auto"/>
              <w:right w:val="single" w:sz="4" w:space="0" w:color="auto"/>
            </w:tcBorders>
            <w:shd w:val="clear" w:color="auto" w:fill="auto"/>
            <w:vAlign w:val="center"/>
            <w:hideMark/>
          </w:tcPr>
          <w:p w14:paraId="16E9C619" w14:textId="77777777" w:rsidR="00004F67" w:rsidRPr="00A84A83" w:rsidRDefault="00004F67" w:rsidP="00835F25">
            <w:pPr>
              <w:contextualSpacing/>
              <w:jc w:val="both"/>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Tener un manejo adecuado de los documentos requeridos para un proceso de liquidación y pago de los compromisos adquiridos por el distrito.</w:t>
            </w:r>
          </w:p>
        </w:tc>
        <w:tc>
          <w:tcPr>
            <w:tcW w:w="1276" w:type="dxa"/>
            <w:tcBorders>
              <w:top w:val="nil"/>
              <w:left w:val="nil"/>
              <w:bottom w:val="single" w:sz="4" w:space="0" w:color="auto"/>
              <w:right w:val="single" w:sz="4" w:space="0" w:color="auto"/>
            </w:tcBorders>
            <w:shd w:val="clear" w:color="auto" w:fill="auto"/>
            <w:vAlign w:val="center"/>
            <w:hideMark/>
          </w:tcPr>
          <w:p w14:paraId="21615F96"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x</w:t>
            </w:r>
          </w:p>
        </w:tc>
        <w:tc>
          <w:tcPr>
            <w:tcW w:w="1456" w:type="dxa"/>
            <w:tcBorders>
              <w:top w:val="nil"/>
              <w:left w:val="nil"/>
              <w:bottom w:val="single" w:sz="4" w:space="0" w:color="auto"/>
              <w:right w:val="single" w:sz="4" w:space="0" w:color="auto"/>
            </w:tcBorders>
            <w:shd w:val="clear" w:color="auto" w:fill="auto"/>
            <w:vAlign w:val="center"/>
            <w:hideMark/>
          </w:tcPr>
          <w:p w14:paraId="2F9CC14E"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 </w:t>
            </w:r>
          </w:p>
        </w:tc>
      </w:tr>
      <w:tr w:rsidR="00004F67" w:rsidRPr="00A84A83" w14:paraId="02705203" w14:textId="77777777" w:rsidTr="00E73E6A">
        <w:trPr>
          <w:trHeight w:val="512"/>
        </w:trPr>
        <w:tc>
          <w:tcPr>
            <w:tcW w:w="1173" w:type="dxa"/>
            <w:tcBorders>
              <w:top w:val="nil"/>
              <w:left w:val="single" w:sz="4" w:space="0" w:color="auto"/>
              <w:bottom w:val="single" w:sz="4" w:space="0" w:color="auto"/>
              <w:right w:val="single" w:sz="4" w:space="0" w:color="auto"/>
            </w:tcBorders>
            <w:shd w:val="clear" w:color="auto" w:fill="auto"/>
            <w:vAlign w:val="center"/>
            <w:hideMark/>
          </w:tcPr>
          <w:p w14:paraId="2F80C3C2" w14:textId="77777777" w:rsidR="00004F67" w:rsidRPr="00A84A83" w:rsidRDefault="00004F67" w:rsidP="00835F25">
            <w:pPr>
              <w:contextualSpacing/>
              <w:jc w:val="center"/>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3</w:t>
            </w:r>
          </w:p>
        </w:tc>
        <w:tc>
          <w:tcPr>
            <w:tcW w:w="5059" w:type="dxa"/>
            <w:tcBorders>
              <w:top w:val="nil"/>
              <w:left w:val="nil"/>
              <w:bottom w:val="single" w:sz="4" w:space="0" w:color="auto"/>
              <w:right w:val="single" w:sz="4" w:space="0" w:color="auto"/>
            </w:tcBorders>
            <w:shd w:val="clear" w:color="auto" w:fill="auto"/>
            <w:vAlign w:val="center"/>
            <w:hideMark/>
          </w:tcPr>
          <w:p w14:paraId="79E2BCA5" w14:textId="77777777" w:rsidR="00004F67" w:rsidRPr="00A84A83" w:rsidRDefault="00004F67" w:rsidP="00835F25">
            <w:pPr>
              <w:contextualSpacing/>
              <w:jc w:val="both"/>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Verificar que los beneficiarios se encuentren debidamente registrados para recibir el beneficio.</w:t>
            </w:r>
          </w:p>
        </w:tc>
        <w:tc>
          <w:tcPr>
            <w:tcW w:w="1276" w:type="dxa"/>
            <w:tcBorders>
              <w:top w:val="nil"/>
              <w:left w:val="nil"/>
              <w:bottom w:val="single" w:sz="4" w:space="0" w:color="auto"/>
              <w:right w:val="single" w:sz="4" w:space="0" w:color="auto"/>
            </w:tcBorders>
            <w:shd w:val="clear" w:color="auto" w:fill="auto"/>
            <w:vAlign w:val="center"/>
            <w:hideMark/>
          </w:tcPr>
          <w:p w14:paraId="0A6BF79C"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 </w:t>
            </w:r>
          </w:p>
        </w:tc>
        <w:tc>
          <w:tcPr>
            <w:tcW w:w="1456" w:type="dxa"/>
            <w:tcBorders>
              <w:top w:val="nil"/>
              <w:left w:val="nil"/>
              <w:bottom w:val="single" w:sz="4" w:space="0" w:color="auto"/>
              <w:right w:val="single" w:sz="4" w:space="0" w:color="auto"/>
            </w:tcBorders>
            <w:shd w:val="clear" w:color="auto" w:fill="auto"/>
            <w:vAlign w:val="center"/>
            <w:hideMark/>
          </w:tcPr>
          <w:p w14:paraId="6B06E446"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x</w:t>
            </w:r>
          </w:p>
        </w:tc>
      </w:tr>
      <w:tr w:rsidR="00004F67" w:rsidRPr="00A84A83" w14:paraId="61D6CAF2" w14:textId="77777777" w:rsidTr="00E73E6A">
        <w:trPr>
          <w:trHeight w:val="770"/>
        </w:trPr>
        <w:tc>
          <w:tcPr>
            <w:tcW w:w="1173" w:type="dxa"/>
            <w:tcBorders>
              <w:top w:val="nil"/>
              <w:left w:val="single" w:sz="4" w:space="0" w:color="auto"/>
              <w:bottom w:val="single" w:sz="4" w:space="0" w:color="auto"/>
              <w:right w:val="single" w:sz="4" w:space="0" w:color="auto"/>
            </w:tcBorders>
            <w:shd w:val="clear" w:color="auto" w:fill="auto"/>
            <w:vAlign w:val="center"/>
            <w:hideMark/>
          </w:tcPr>
          <w:p w14:paraId="2A06E4E1" w14:textId="77777777" w:rsidR="00004F67" w:rsidRPr="00A84A83" w:rsidRDefault="00004F67" w:rsidP="00835F25">
            <w:pPr>
              <w:contextualSpacing/>
              <w:jc w:val="center"/>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4</w:t>
            </w:r>
          </w:p>
        </w:tc>
        <w:tc>
          <w:tcPr>
            <w:tcW w:w="5059" w:type="dxa"/>
            <w:tcBorders>
              <w:top w:val="nil"/>
              <w:left w:val="nil"/>
              <w:bottom w:val="single" w:sz="4" w:space="0" w:color="auto"/>
              <w:right w:val="single" w:sz="4" w:space="0" w:color="auto"/>
            </w:tcBorders>
            <w:shd w:val="clear" w:color="auto" w:fill="auto"/>
            <w:vAlign w:val="center"/>
            <w:hideMark/>
          </w:tcPr>
          <w:p w14:paraId="65875086" w14:textId="77777777" w:rsidR="00004F67" w:rsidRPr="00A84A83" w:rsidRDefault="00004F67" w:rsidP="00835F25">
            <w:pPr>
              <w:contextualSpacing/>
              <w:jc w:val="both"/>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 xml:space="preserve">Mantener actualizado el sistema a través de informes u otros mecanismos de seguimiento para así poder manejar las órdenes de pago efectuadas. </w:t>
            </w:r>
          </w:p>
        </w:tc>
        <w:tc>
          <w:tcPr>
            <w:tcW w:w="1276" w:type="dxa"/>
            <w:tcBorders>
              <w:top w:val="nil"/>
              <w:left w:val="nil"/>
              <w:bottom w:val="single" w:sz="4" w:space="0" w:color="auto"/>
              <w:right w:val="single" w:sz="4" w:space="0" w:color="auto"/>
            </w:tcBorders>
            <w:shd w:val="clear" w:color="auto" w:fill="auto"/>
            <w:vAlign w:val="center"/>
            <w:hideMark/>
          </w:tcPr>
          <w:p w14:paraId="13290BC9"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x</w:t>
            </w:r>
          </w:p>
        </w:tc>
        <w:tc>
          <w:tcPr>
            <w:tcW w:w="1456" w:type="dxa"/>
            <w:tcBorders>
              <w:top w:val="nil"/>
              <w:left w:val="nil"/>
              <w:bottom w:val="single" w:sz="4" w:space="0" w:color="auto"/>
              <w:right w:val="single" w:sz="4" w:space="0" w:color="auto"/>
            </w:tcBorders>
            <w:shd w:val="clear" w:color="auto" w:fill="auto"/>
            <w:vAlign w:val="center"/>
            <w:hideMark/>
          </w:tcPr>
          <w:p w14:paraId="28B5CF19"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 </w:t>
            </w:r>
          </w:p>
        </w:tc>
      </w:tr>
      <w:tr w:rsidR="00004F67" w:rsidRPr="00A84A83" w14:paraId="082EA8B6" w14:textId="77777777" w:rsidTr="00E73E6A">
        <w:trPr>
          <w:trHeight w:val="303"/>
        </w:trPr>
        <w:tc>
          <w:tcPr>
            <w:tcW w:w="1173" w:type="dxa"/>
            <w:tcBorders>
              <w:top w:val="nil"/>
              <w:left w:val="single" w:sz="4" w:space="0" w:color="auto"/>
              <w:bottom w:val="single" w:sz="4" w:space="0" w:color="auto"/>
              <w:right w:val="single" w:sz="4" w:space="0" w:color="auto"/>
            </w:tcBorders>
            <w:shd w:val="clear" w:color="auto" w:fill="auto"/>
            <w:vAlign w:val="center"/>
            <w:hideMark/>
          </w:tcPr>
          <w:p w14:paraId="08349017" w14:textId="77777777" w:rsidR="00004F67" w:rsidRPr="00A84A83" w:rsidRDefault="00004F67" w:rsidP="00835F25">
            <w:pPr>
              <w:contextualSpacing/>
              <w:jc w:val="center"/>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5</w:t>
            </w:r>
          </w:p>
        </w:tc>
        <w:tc>
          <w:tcPr>
            <w:tcW w:w="5059" w:type="dxa"/>
            <w:tcBorders>
              <w:top w:val="nil"/>
              <w:left w:val="nil"/>
              <w:bottom w:val="single" w:sz="4" w:space="0" w:color="auto"/>
              <w:right w:val="single" w:sz="4" w:space="0" w:color="auto"/>
            </w:tcBorders>
            <w:shd w:val="clear" w:color="auto" w:fill="auto"/>
            <w:vAlign w:val="center"/>
            <w:hideMark/>
          </w:tcPr>
          <w:p w14:paraId="63888497" w14:textId="77777777" w:rsidR="00004F67" w:rsidRPr="00A84A83" w:rsidRDefault="00004F67" w:rsidP="00835F25">
            <w:pPr>
              <w:contextualSpacing/>
              <w:jc w:val="both"/>
              <w:rPr>
                <w:rFonts w:ascii="Arial" w:eastAsia="Times New Roman" w:hAnsi="Arial" w:cs="Arial"/>
                <w:color w:val="000000"/>
                <w:sz w:val="16"/>
                <w:szCs w:val="16"/>
                <w:lang w:val="es-CO" w:eastAsia="es-CO"/>
              </w:rPr>
            </w:pPr>
            <w:r w:rsidRPr="00A84A83">
              <w:rPr>
                <w:rFonts w:ascii="Arial" w:eastAsia="Times New Roman" w:hAnsi="Arial" w:cs="Arial"/>
                <w:color w:val="000000"/>
                <w:sz w:val="16"/>
                <w:szCs w:val="16"/>
                <w:lang w:val="es-CO" w:eastAsia="es-CO"/>
              </w:rPr>
              <w:t xml:space="preserve">Manejar un instructivo para entender el porqué de los posibles rechazos de pago y cómo corregir dicha situación en caso tal de presentarse. </w:t>
            </w:r>
          </w:p>
        </w:tc>
        <w:tc>
          <w:tcPr>
            <w:tcW w:w="1276" w:type="dxa"/>
            <w:tcBorders>
              <w:top w:val="nil"/>
              <w:left w:val="nil"/>
              <w:bottom w:val="single" w:sz="4" w:space="0" w:color="auto"/>
              <w:right w:val="single" w:sz="4" w:space="0" w:color="auto"/>
            </w:tcBorders>
            <w:shd w:val="clear" w:color="auto" w:fill="auto"/>
            <w:vAlign w:val="center"/>
            <w:hideMark/>
          </w:tcPr>
          <w:p w14:paraId="07538494"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x</w:t>
            </w:r>
          </w:p>
        </w:tc>
        <w:tc>
          <w:tcPr>
            <w:tcW w:w="1456" w:type="dxa"/>
            <w:tcBorders>
              <w:top w:val="nil"/>
              <w:left w:val="nil"/>
              <w:bottom w:val="single" w:sz="4" w:space="0" w:color="auto"/>
              <w:right w:val="single" w:sz="4" w:space="0" w:color="auto"/>
            </w:tcBorders>
            <w:shd w:val="clear" w:color="auto" w:fill="auto"/>
            <w:vAlign w:val="center"/>
            <w:hideMark/>
          </w:tcPr>
          <w:p w14:paraId="2A11CE93" w14:textId="77777777" w:rsidR="00004F67" w:rsidRPr="00A84A83" w:rsidRDefault="00004F67" w:rsidP="00835F25">
            <w:pPr>
              <w:contextualSpacing/>
              <w:jc w:val="center"/>
              <w:rPr>
                <w:rFonts w:ascii="Calibri" w:eastAsia="Times New Roman" w:hAnsi="Calibri" w:cs="Calibri"/>
                <w:color w:val="000000"/>
                <w:sz w:val="22"/>
                <w:szCs w:val="22"/>
                <w:lang w:val="es-CO" w:eastAsia="es-CO"/>
              </w:rPr>
            </w:pPr>
            <w:r w:rsidRPr="00A84A83">
              <w:rPr>
                <w:rFonts w:ascii="Calibri" w:eastAsia="Times New Roman" w:hAnsi="Calibri" w:cs="Calibri"/>
                <w:color w:val="000000"/>
                <w:sz w:val="22"/>
                <w:szCs w:val="22"/>
                <w:lang w:val="es-CO" w:eastAsia="es-CO"/>
              </w:rPr>
              <w:t> </w:t>
            </w:r>
          </w:p>
        </w:tc>
      </w:tr>
    </w:tbl>
    <w:p w14:paraId="010AF04A" w14:textId="77777777" w:rsidR="00F622EA" w:rsidRPr="00A71FBC" w:rsidRDefault="00F622EA"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0B14AE">
        <w:rPr>
          <w:rFonts w:ascii="Arial" w:hAnsi="Arial" w:cs="Arial"/>
          <w:sz w:val="16"/>
          <w:szCs w:val="16"/>
        </w:rPr>
        <w:t>partir</w:t>
      </w:r>
      <w:r w:rsidR="000B14AE" w:rsidRPr="00A71FBC">
        <w:rPr>
          <w:rFonts w:ascii="Arial" w:hAnsi="Arial" w:cs="Arial"/>
          <w:sz w:val="16"/>
          <w:szCs w:val="16"/>
        </w:rPr>
        <w:t xml:space="preserve"> </w:t>
      </w:r>
      <w:r w:rsidRPr="00A71FBC">
        <w:rPr>
          <w:rFonts w:ascii="Arial" w:hAnsi="Arial" w:cs="Arial"/>
          <w:sz w:val="16"/>
          <w:szCs w:val="16"/>
        </w:rPr>
        <w:t>de</w:t>
      </w:r>
      <w:r>
        <w:rPr>
          <w:rFonts w:ascii="Arial" w:hAnsi="Arial" w:cs="Arial"/>
          <w:sz w:val="16"/>
          <w:szCs w:val="16"/>
        </w:rPr>
        <w:t xml:space="preserve"> la información remitida por la Entidad Territorial</w:t>
      </w:r>
      <w:r w:rsidRPr="00A71FBC">
        <w:rPr>
          <w:rFonts w:ascii="Arial" w:hAnsi="Arial" w:cs="Arial"/>
          <w:sz w:val="16"/>
          <w:szCs w:val="16"/>
        </w:rPr>
        <w:t>.</w:t>
      </w:r>
    </w:p>
    <w:p w14:paraId="1BB0F3C4" w14:textId="77777777" w:rsidR="00004F67" w:rsidRDefault="00004F67" w:rsidP="00835F25">
      <w:pPr>
        <w:contextualSpacing/>
        <w:jc w:val="both"/>
        <w:rPr>
          <w:rFonts w:ascii="Arial" w:eastAsia="Calibri" w:hAnsi="Arial" w:cs="Arial"/>
          <w:sz w:val="22"/>
          <w:szCs w:val="22"/>
          <w:lang w:val="es-CO" w:eastAsia="en-US"/>
        </w:rPr>
      </w:pPr>
    </w:p>
    <w:p w14:paraId="6E847879" w14:textId="77777777" w:rsidR="00004F67"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Luego de examinar los documentos, se encontró que el Distrito cumple con la mayoría de los criterios. Primero, se evidencia que se maneja un proceso establecido de pagos en donde se dan instrucciones como la apertura de cuentas y el manejo de estas. As</w:t>
      </w:r>
      <w:r w:rsidR="00FA3845">
        <w:rPr>
          <w:rFonts w:ascii="Arial" w:eastAsia="Calibri" w:hAnsi="Arial" w:cs="Arial"/>
          <w:sz w:val="22"/>
          <w:szCs w:val="22"/>
          <w:lang w:val="es-CO" w:eastAsia="en-US"/>
        </w:rPr>
        <w:t xml:space="preserve">í </w:t>
      </w:r>
      <w:r>
        <w:rPr>
          <w:rFonts w:ascii="Arial" w:eastAsia="Calibri" w:hAnsi="Arial" w:cs="Arial"/>
          <w:sz w:val="22"/>
          <w:szCs w:val="22"/>
          <w:lang w:val="es-CO" w:eastAsia="en-US"/>
        </w:rPr>
        <w:t>mismo, existe un proceso para la devolución de cuentas. Segundo, se tiene en cuenta que para realizar un proceso de pago se debe contar con la documentación requerida</w:t>
      </w:r>
      <w:r w:rsidR="00635D1C">
        <w:rPr>
          <w:rFonts w:ascii="Arial" w:eastAsia="Calibri" w:hAnsi="Arial" w:cs="Arial"/>
          <w:sz w:val="22"/>
          <w:szCs w:val="22"/>
          <w:lang w:val="es-CO" w:eastAsia="en-US"/>
        </w:rPr>
        <w:t>;</w:t>
      </w:r>
      <w:r>
        <w:rPr>
          <w:rFonts w:ascii="Arial" w:eastAsia="Calibri" w:hAnsi="Arial" w:cs="Arial"/>
          <w:sz w:val="22"/>
          <w:szCs w:val="22"/>
          <w:lang w:val="es-CO" w:eastAsia="en-US"/>
        </w:rPr>
        <w:t xml:space="preserve"> sin embargo, se puede profundizar sobre cuál es el tipo de documentación. Tercero, se mantiene el sistema actualizado a través del uso de un software. </w:t>
      </w:r>
      <w:r w:rsidR="00E73E6A">
        <w:rPr>
          <w:rFonts w:ascii="Arial" w:eastAsia="Calibri" w:hAnsi="Arial" w:cs="Arial"/>
          <w:sz w:val="22"/>
          <w:szCs w:val="22"/>
          <w:lang w:val="es-CO" w:eastAsia="en-US"/>
        </w:rPr>
        <w:t>Y c</w:t>
      </w:r>
      <w:r>
        <w:rPr>
          <w:rFonts w:ascii="Arial" w:eastAsia="Calibri" w:hAnsi="Arial" w:cs="Arial"/>
          <w:sz w:val="22"/>
          <w:szCs w:val="22"/>
          <w:lang w:val="es-CO" w:eastAsia="en-US"/>
        </w:rPr>
        <w:t>uarto, se dan instrucciones en casos de rechazo del pago y los procedimientos ante esta situación. Sin embargo, no es claro para la realización de los diferentes pagos el proceso de verificación que deben tener los beneficiarios</w:t>
      </w:r>
      <w:r w:rsidR="00635D1C">
        <w:rPr>
          <w:rFonts w:ascii="Arial" w:eastAsia="Calibri" w:hAnsi="Arial" w:cs="Arial"/>
          <w:sz w:val="22"/>
          <w:szCs w:val="22"/>
          <w:lang w:val="es-CO" w:eastAsia="en-US"/>
        </w:rPr>
        <w:t>;</w:t>
      </w:r>
      <w:r>
        <w:rPr>
          <w:rFonts w:ascii="Arial" w:eastAsia="Calibri" w:hAnsi="Arial" w:cs="Arial"/>
          <w:sz w:val="22"/>
          <w:szCs w:val="22"/>
          <w:lang w:val="es-CO" w:eastAsia="en-US"/>
        </w:rPr>
        <w:t xml:space="preserve"> es decir</w:t>
      </w:r>
      <w:r w:rsidR="00635D1C">
        <w:rPr>
          <w:rFonts w:ascii="Arial" w:eastAsia="Calibri" w:hAnsi="Arial" w:cs="Arial"/>
          <w:sz w:val="22"/>
          <w:szCs w:val="22"/>
          <w:lang w:val="es-CO" w:eastAsia="en-US"/>
        </w:rPr>
        <w:t>,</w:t>
      </w:r>
      <w:r>
        <w:rPr>
          <w:rFonts w:ascii="Arial" w:eastAsia="Calibri" w:hAnsi="Arial" w:cs="Arial"/>
          <w:sz w:val="22"/>
          <w:szCs w:val="22"/>
          <w:lang w:val="es-CO" w:eastAsia="en-US"/>
        </w:rPr>
        <w:t xml:space="preserve"> el criterio números tre</w:t>
      </w:r>
      <w:r w:rsidR="007E7788">
        <w:rPr>
          <w:rFonts w:ascii="Arial" w:eastAsia="Calibri" w:hAnsi="Arial" w:cs="Arial"/>
          <w:sz w:val="22"/>
          <w:szCs w:val="22"/>
          <w:lang w:val="es-CO" w:eastAsia="en-US"/>
        </w:rPr>
        <w:t>s</w:t>
      </w:r>
      <w:r>
        <w:rPr>
          <w:rFonts w:ascii="Arial" w:eastAsia="Calibri" w:hAnsi="Arial" w:cs="Arial"/>
          <w:sz w:val="22"/>
          <w:szCs w:val="22"/>
          <w:lang w:val="es-CO" w:eastAsia="en-US"/>
        </w:rPr>
        <w:t>.</w:t>
      </w:r>
    </w:p>
    <w:p w14:paraId="6B0EB03B" w14:textId="77777777" w:rsidR="00004F67" w:rsidRDefault="00004F67" w:rsidP="00835F25">
      <w:pPr>
        <w:contextualSpacing/>
        <w:jc w:val="both"/>
        <w:rPr>
          <w:rFonts w:ascii="Arial" w:eastAsia="Calibri" w:hAnsi="Arial" w:cs="Arial"/>
          <w:sz w:val="22"/>
          <w:szCs w:val="22"/>
          <w:lang w:val="es-CO" w:eastAsia="en-US"/>
        </w:rPr>
      </w:pPr>
    </w:p>
    <w:p w14:paraId="2D8BA9D1" w14:textId="77777777" w:rsidR="00442ACD"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Se establece que el </w:t>
      </w:r>
      <w:r w:rsidR="008954F1">
        <w:rPr>
          <w:rFonts w:ascii="Arial" w:eastAsia="Calibri" w:hAnsi="Arial" w:cs="Arial"/>
          <w:sz w:val="22"/>
          <w:szCs w:val="22"/>
          <w:lang w:val="es-CO" w:eastAsia="en-US"/>
        </w:rPr>
        <w:t>Distrito</w:t>
      </w:r>
      <w:r>
        <w:rPr>
          <w:rFonts w:ascii="Arial" w:eastAsia="Calibri" w:hAnsi="Arial" w:cs="Arial"/>
          <w:sz w:val="22"/>
          <w:szCs w:val="22"/>
          <w:lang w:val="es-CO" w:eastAsia="en-US"/>
        </w:rPr>
        <w:t xml:space="preserve"> no cumple con los estipulado en el punto relacionado con el </w:t>
      </w:r>
      <w:r w:rsidRPr="005D2D93">
        <w:rPr>
          <w:rFonts w:ascii="Arial" w:eastAsia="Calibri" w:hAnsi="Arial" w:cs="Arial"/>
          <w:sz w:val="22"/>
          <w:szCs w:val="22"/>
          <w:lang w:val="es-CO" w:eastAsia="en-US"/>
        </w:rPr>
        <w:t>Programa Anual Mensualizado de Caja</w:t>
      </w:r>
      <w:r>
        <w:rPr>
          <w:rFonts w:ascii="Arial" w:eastAsia="Calibri" w:hAnsi="Arial" w:cs="Arial"/>
          <w:sz w:val="22"/>
          <w:szCs w:val="22"/>
          <w:lang w:val="es-CO" w:eastAsia="en-US"/>
        </w:rPr>
        <w:t xml:space="preserve">, esto debido a que no se desarrolla un documento en donde se </w:t>
      </w:r>
      <w:r w:rsidR="007224BB">
        <w:rPr>
          <w:rFonts w:ascii="Arial" w:eastAsia="Calibri" w:hAnsi="Arial" w:cs="Arial"/>
          <w:sz w:val="22"/>
          <w:szCs w:val="22"/>
          <w:lang w:val="es-CO" w:eastAsia="en-US"/>
        </w:rPr>
        <w:t xml:space="preserve">establecen </w:t>
      </w:r>
      <w:r>
        <w:rPr>
          <w:rFonts w:ascii="Arial" w:eastAsia="Calibri" w:hAnsi="Arial" w:cs="Arial"/>
          <w:sz w:val="22"/>
          <w:szCs w:val="22"/>
          <w:lang w:val="es-CO" w:eastAsia="en-US"/>
        </w:rPr>
        <w:t>los procedimientos de elaboración del PAC y por el contrario solo se remite</w:t>
      </w:r>
      <w:r w:rsidR="008954F1">
        <w:rPr>
          <w:rFonts w:ascii="Arial" w:eastAsia="Calibri" w:hAnsi="Arial" w:cs="Arial"/>
          <w:sz w:val="22"/>
          <w:szCs w:val="22"/>
          <w:lang w:val="es-CO" w:eastAsia="en-US"/>
        </w:rPr>
        <w:t>n</w:t>
      </w:r>
      <w:r>
        <w:rPr>
          <w:rFonts w:ascii="Arial" w:eastAsia="Calibri" w:hAnsi="Arial" w:cs="Arial"/>
          <w:sz w:val="22"/>
          <w:szCs w:val="22"/>
          <w:lang w:val="es-CO" w:eastAsia="en-US"/>
        </w:rPr>
        <w:t xml:space="preserve"> los movimientos de </w:t>
      </w:r>
      <w:r w:rsidR="008954F1">
        <w:rPr>
          <w:rFonts w:ascii="Arial" w:eastAsia="Calibri" w:hAnsi="Arial" w:cs="Arial"/>
          <w:sz w:val="22"/>
          <w:szCs w:val="22"/>
          <w:lang w:val="es-CO" w:eastAsia="en-US"/>
        </w:rPr>
        <w:t>é</w:t>
      </w:r>
      <w:r>
        <w:rPr>
          <w:rFonts w:ascii="Arial" w:eastAsia="Calibri" w:hAnsi="Arial" w:cs="Arial"/>
          <w:sz w:val="22"/>
          <w:szCs w:val="22"/>
          <w:lang w:val="es-CO" w:eastAsia="en-US"/>
        </w:rPr>
        <w:t xml:space="preserve">ste a través de archivos de </w:t>
      </w:r>
      <w:r w:rsidR="00261F30" w:rsidRPr="00B3648E">
        <w:rPr>
          <w:rFonts w:ascii="Arial" w:eastAsia="Calibri" w:hAnsi="Arial" w:cs="Arial"/>
          <w:i/>
          <w:iCs/>
          <w:sz w:val="22"/>
          <w:szCs w:val="22"/>
          <w:lang w:val="es-CO" w:eastAsia="en-US"/>
        </w:rPr>
        <w:t>Excel</w:t>
      </w:r>
      <w:r>
        <w:rPr>
          <w:rFonts w:ascii="Arial" w:eastAsia="Calibri" w:hAnsi="Arial" w:cs="Arial"/>
          <w:sz w:val="22"/>
          <w:szCs w:val="22"/>
          <w:lang w:val="es-CO" w:eastAsia="en-US"/>
        </w:rPr>
        <w:t xml:space="preserve">. Sin embargo, se establece que </w:t>
      </w:r>
      <w:r w:rsidR="008954F1">
        <w:rPr>
          <w:rFonts w:ascii="Arial" w:eastAsia="Calibri" w:hAnsi="Arial" w:cs="Arial"/>
          <w:sz w:val="22"/>
          <w:szCs w:val="22"/>
          <w:lang w:val="es-CO" w:eastAsia="en-US"/>
        </w:rPr>
        <w:t xml:space="preserve">la </w:t>
      </w:r>
      <w:r>
        <w:rPr>
          <w:rFonts w:ascii="Arial" w:eastAsia="Calibri" w:hAnsi="Arial" w:cs="Arial"/>
          <w:sz w:val="22"/>
          <w:szCs w:val="22"/>
          <w:lang w:val="es-CO" w:eastAsia="en-US"/>
        </w:rPr>
        <w:t>Ent</w:t>
      </w:r>
      <w:r w:rsidR="008954F1">
        <w:rPr>
          <w:rFonts w:ascii="Arial" w:eastAsia="Calibri" w:hAnsi="Arial" w:cs="Arial"/>
          <w:sz w:val="22"/>
          <w:szCs w:val="22"/>
          <w:lang w:val="es-CO" w:eastAsia="en-US"/>
        </w:rPr>
        <w:t>idad</w:t>
      </w:r>
      <w:r>
        <w:rPr>
          <w:rFonts w:ascii="Arial" w:eastAsia="Calibri" w:hAnsi="Arial" w:cs="Arial"/>
          <w:sz w:val="22"/>
          <w:szCs w:val="22"/>
          <w:lang w:val="es-CO" w:eastAsia="en-US"/>
        </w:rPr>
        <w:t xml:space="preserve"> Territorial debe cumplir con una serie de criterios, los cuales han sido desarrollados a través del</w:t>
      </w:r>
      <w:r w:rsidRPr="00714A04">
        <w:rPr>
          <w:rFonts w:ascii="Arial" w:eastAsia="Calibri" w:hAnsi="Arial" w:cs="Arial"/>
          <w:sz w:val="22"/>
          <w:szCs w:val="22"/>
          <w:lang w:val="es-CO" w:eastAsia="en-US"/>
        </w:rPr>
        <w:t xml:space="preserve"> Decreto 359 de 1995</w:t>
      </w:r>
      <w:r>
        <w:rPr>
          <w:rFonts w:ascii="Arial" w:eastAsia="Calibri" w:hAnsi="Arial" w:cs="Arial"/>
          <w:sz w:val="22"/>
          <w:szCs w:val="22"/>
          <w:lang w:val="es-CO" w:eastAsia="en-US"/>
        </w:rPr>
        <w:t xml:space="preserve"> y la </w:t>
      </w:r>
      <w:r w:rsidR="008954F1">
        <w:rPr>
          <w:rFonts w:ascii="Arial" w:eastAsia="Calibri" w:hAnsi="Arial" w:cs="Arial"/>
          <w:sz w:val="22"/>
          <w:szCs w:val="22"/>
          <w:lang w:val="es-CO" w:eastAsia="en-US"/>
        </w:rPr>
        <w:t>C</w:t>
      </w:r>
      <w:r>
        <w:rPr>
          <w:rFonts w:ascii="Arial" w:eastAsia="Calibri" w:hAnsi="Arial" w:cs="Arial"/>
          <w:sz w:val="22"/>
          <w:szCs w:val="22"/>
          <w:lang w:val="es-CO" w:eastAsia="en-US"/>
        </w:rPr>
        <w:t xml:space="preserve">ircular </w:t>
      </w:r>
      <w:r w:rsidR="008954F1">
        <w:rPr>
          <w:rFonts w:ascii="Arial" w:eastAsia="Calibri" w:hAnsi="Arial" w:cs="Arial"/>
          <w:sz w:val="22"/>
          <w:szCs w:val="22"/>
          <w:lang w:val="es-CO" w:eastAsia="en-US"/>
        </w:rPr>
        <w:t xml:space="preserve">Externa </w:t>
      </w:r>
      <w:r>
        <w:rPr>
          <w:rFonts w:ascii="Arial" w:eastAsia="Calibri" w:hAnsi="Arial" w:cs="Arial"/>
          <w:sz w:val="22"/>
          <w:szCs w:val="22"/>
          <w:lang w:val="es-CO" w:eastAsia="en-US"/>
        </w:rPr>
        <w:t>042 del 31 de diciembre de 2021 del Ministerio de Hacienda y Crédito Público.</w:t>
      </w:r>
    </w:p>
    <w:p w14:paraId="61FE7D6E" w14:textId="77777777" w:rsidR="00442ACD" w:rsidRDefault="00442ACD" w:rsidP="00835F25">
      <w:pPr>
        <w:contextualSpacing/>
        <w:jc w:val="both"/>
        <w:rPr>
          <w:rFonts w:ascii="Arial" w:eastAsia="Calibri" w:hAnsi="Arial" w:cs="Arial"/>
          <w:sz w:val="22"/>
          <w:szCs w:val="22"/>
          <w:lang w:val="es-CO" w:eastAsia="en-US"/>
        </w:rPr>
      </w:pPr>
    </w:p>
    <w:p w14:paraId="7B1EE23D" w14:textId="77777777" w:rsidR="00004F67"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A continuación, se encuentran l</w:t>
      </w:r>
      <w:r w:rsidRPr="00C34F85">
        <w:rPr>
          <w:rFonts w:ascii="Arial" w:eastAsia="Calibri" w:hAnsi="Arial" w:cs="Arial"/>
          <w:sz w:val="22"/>
          <w:szCs w:val="22"/>
          <w:lang w:val="es-CO" w:eastAsia="en-US"/>
        </w:rPr>
        <w:t xml:space="preserve">os criterios que se toman a consideración </w:t>
      </w:r>
      <w:r>
        <w:rPr>
          <w:rFonts w:ascii="Arial" w:eastAsia="Calibri" w:hAnsi="Arial" w:cs="Arial"/>
          <w:sz w:val="22"/>
          <w:szCs w:val="22"/>
          <w:lang w:val="es-CO" w:eastAsia="en-US"/>
        </w:rPr>
        <w:t xml:space="preserve">y se resume si </w:t>
      </w:r>
      <w:r w:rsidR="00442ACD">
        <w:rPr>
          <w:rFonts w:ascii="Arial" w:eastAsia="Calibri" w:hAnsi="Arial" w:cs="Arial"/>
          <w:sz w:val="22"/>
          <w:szCs w:val="22"/>
          <w:lang w:val="es-CO" w:eastAsia="en-US"/>
        </w:rPr>
        <w:t xml:space="preserve">la </w:t>
      </w:r>
      <w:r>
        <w:rPr>
          <w:rFonts w:ascii="Arial" w:eastAsia="Calibri" w:hAnsi="Arial" w:cs="Arial"/>
          <w:sz w:val="22"/>
          <w:szCs w:val="22"/>
          <w:lang w:val="es-CO" w:eastAsia="en-US"/>
        </w:rPr>
        <w:t>Ent</w:t>
      </w:r>
      <w:r w:rsidR="00442ACD">
        <w:rPr>
          <w:rFonts w:ascii="Arial" w:eastAsia="Calibri" w:hAnsi="Arial" w:cs="Arial"/>
          <w:sz w:val="22"/>
          <w:szCs w:val="22"/>
          <w:lang w:val="es-CO" w:eastAsia="en-US"/>
        </w:rPr>
        <w:t>idad</w:t>
      </w:r>
      <w:r>
        <w:rPr>
          <w:rFonts w:ascii="Arial" w:eastAsia="Calibri" w:hAnsi="Arial" w:cs="Arial"/>
          <w:sz w:val="22"/>
          <w:szCs w:val="22"/>
          <w:lang w:val="es-CO" w:eastAsia="en-US"/>
        </w:rPr>
        <w:t xml:space="preserve"> Territorial cumple o no con los criterios</w:t>
      </w:r>
      <w:r w:rsidRPr="00C34F85">
        <w:rPr>
          <w:rFonts w:ascii="Arial" w:eastAsia="Calibri" w:hAnsi="Arial" w:cs="Arial"/>
          <w:sz w:val="22"/>
          <w:szCs w:val="22"/>
          <w:lang w:val="es-CO" w:eastAsia="en-US"/>
        </w:rPr>
        <w:t>:</w:t>
      </w:r>
    </w:p>
    <w:p w14:paraId="6ADA32F9" w14:textId="77777777" w:rsidR="00004F67" w:rsidRDefault="00004F67" w:rsidP="00835F25">
      <w:pPr>
        <w:contextualSpacing/>
        <w:jc w:val="both"/>
        <w:rPr>
          <w:rFonts w:ascii="Arial" w:eastAsia="Calibri" w:hAnsi="Arial" w:cs="Arial"/>
          <w:sz w:val="22"/>
          <w:szCs w:val="22"/>
          <w:lang w:val="es-CO" w:eastAsia="en-US"/>
        </w:rPr>
      </w:pPr>
    </w:p>
    <w:p w14:paraId="4FE25B30" w14:textId="77777777" w:rsidR="000D501E" w:rsidRPr="0083658C" w:rsidRDefault="000D501E" w:rsidP="00835F25">
      <w:pPr>
        <w:ind w:left="360"/>
        <w:contextualSpacing/>
        <w:jc w:val="center"/>
        <w:rPr>
          <w:rFonts w:ascii="Arial" w:hAnsi="Arial" w:cs="Arial"/>
        </w:rPr>
      </w:pPr>
      <w:r w:rsidRPr="00B17711">
        <w:rPr>
          <w:rFonts w:ascii="Arial" w:hAnsi="Arial" w:cs="Arial"/>
          <w:b/>
          <w:bCs/>
          <w:i/>
          <w:iCs/>
          <w:color w:val="1F487C"/>
          <w:sz w:val="20"/>
          <w:szCs w:val="20"/>
        </w:rPr>
        <w:t xml:space="preserve">Tabla 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15</w:t>
      </w:r>
      <w:r w:rsidR="00EE0320" w:rsidRPr="00B3648E">
        <w:rPr>
          <w:rFonts w:ascii="Arial" w:hAnsi="Arial" w:cs="Arial"/>
          <w:b/>
          <w:bCs/>
          <w:i/>
          <w:iCs/>
          <w:color w:val="1F497D" w:themeColor="text2"/>
          <w:sz w:val="20"/>
          <w:szCs w:val="20"/>
        </w:rPr>
        <w:fldChar w:fldCharType="end"/>
      </w:r>
      <w:r w:rsidR="00EE0320">
        <w:rPr>
          <w:rFonts w:ascii="Arial" w:hAnsi="Arial" w:cs="Arial"/>
          <w:b/>
          <w:bCs/>
          <w:color w:val="1F497D" w:themeColor="text2"/>
          <w:sz w:val="20"/>
          <w:szCs w:val="20"/>
        </w:rPr>
        <w:t xml:space="preserve"> </w:t>
      </w:r>
      <w:r w:rsidR="00800C50">
        <w:rPr>
          <w:rFonts w:ascii="Arial" w:hAnsi="Arial" w:cs="Arial"/>
          <w:b/>
          <w:bCs/>
          <w:i/>
          <w:iCs/>
          <w:color w:val="1F487C"/>
          <w:sz w:val="20"/>
          <w:szCs w:val="20"/>
        </w:rPr>
        <w:t>Programa Anual Mensualizado de Caja - PAC</w:t>
      </w:r>
      <w:r w:rsidRPr="00B17711">
        <w:rPr>
          <w:rFonts w:ascii="Arial" w:hAnsi="Arial" w:cs="Arial"/>
          <w:b/>
          <w:bCs/>
          <w:i/>
          <w:iCs/>
          <w:color w:val="1F487C"/>
          <w:sz w:val="20"/>
          <w:szCs w:val="20"/>
        </w:rPr>
        <w:t>. Distrito de Cartagena de Indias - Bolívar, vigencia 2021</w:t>
      </w:r>
      <w:r w:rsidRPr="00F546EC">
        <w:rPr>
          <w:rFonts w:ascii="Arial" w:hAnsi="Arial" w:cs="Arial"/>
          <w:i/>
          <w:iCs/>
          <w:color w:val="1F487C"/>
          <w:sz w:val="20"/>
          <w:szCs w:val="20"/>
        </w:rPr>
        <w:t>.</w:t>
      </w:r>
    </w:p>
    <w:tbl>
      <w:tblPr>
        <w:tblW w:w="9142" w:type="dxa"/>
        <w:tblCellMar>
          <w:left w:w="70" w:type="dxa"/>
          <w:right w:w="70" w:type="dxa"/>
        </w:tblCellMar>
        <w:tblLook w:val="04A0" w:firstRow="1" w:lastRow="0" w:firstColumn="1" w:lastColumn="0" w:noHBand="0" w:noVBand="1"/>
      </w:tblPr>
      <w:tblGrid>
        <w:gridCol w:w="1129"/>
        <w:gridCol w:w="5241"/>
        <w:gridCol w:w="1330"/>
        <w:gridCol w:w="1442"/>
      </w:tblGrid>
      <w:tr w:rsidR="00004F67" w:rsidRPr="00502A4F" w14:paraId="2AD4B221" w14:textId="77777777" w:rsidTr="00261F30">
        <w:trPr>
          <w:trHeight w:val="262"/>
        </w:trPr>
        <w:tc>
          <w:tcPr>
            <w:tcW w:w="112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9D12D75" w14:textId="77777777" w:rsidR="00004F67" w:rsidRPr="00502A4F" w:rsidRDefault="005C7954" w:rsidP="00835F25">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No. C</w:t>
            </w:r>
            <w:r w:rsidR="00004F67" w:rsidRPr="00502A4F">
              <w:rPr>
                <w:rFonts w:ascii="Arial" w:eastAsia="Times New Roman" w:hAnsi="Arial" w:cs="Arial"/>
                <w:b/>
                <w:bCs/>
                <w:color w:val="000000"/>
                <w:sz w:val="16"/>
                <w:szCs w:val="16"/>
                <w:lang w:val="es-CO" w:eastAsia="es-CO"/>
              </w:rPr>
              <w:t>riterio</w:t>
            </w:r>
          </w:p>
        </w:tc>
        <w:tc>
          <w:tcPr>
            <w:tcW w:w="5241" w:type="dxa"/>
            <w:tcBorders>
              <w:top w:val="single" w:sz="4" w:space="0" w:color="auto"/>
              <w:left w:val="nil"/>
              <w:bottom w:val="single" w:sz="4" w:space="0" w:color="auto"/>
              <w:right w:val="single" w:sz="4" w:space="0" w:color="auto"/>
            </w:tcBorders>
            <w:shd w:val="clear" w:color="000000" w:fill="95B3D7"/>
            <w:noWrap/>
            <w:vAlign w:val="center"/>
            <w:hideMark/>
          </w:tcPr>
          <w:p w14:paraId="28C9C65C" w14:textId="77777777" w:rsidR="00004F67" w:rsidRPr="00502A4F" w:rsidRDefault="00004F67" w:rsidP="00835F25">
            <w:pPr>
              <w:contextualSpacing/>
              <w:jc w:val="center"/>
              <w:rPr>
                <w:rFonts w:ascii="Arial" w:eastAsia="Times New Roman" w:hAnsi="Arial" w:cs="Arial"/>
                <w:b/>
                <w:bCs/>
                <w:color w:val="000000"/>
                <w:sz w:val="16"/>
                <w:szCs w:val="16"/>
                <w:lang w:val="es-CO" w:eastAsia="es-CO"/>
              </w:rPr>
            </w:pPr>
            <w:r w:rsidRPr="00502A4F">
              <w:rPr>
                <w:rFonts w:ascii="Arial" w:eastAsia="Times New Roman" w:hAnsi="Arial" w:cs="Arial"/>
                <w:b/>
                <w:bCs/>
                <w:color w:val="000000"/>
                <w:sz w:val="16"/>
                <w:szCs w:val="16"/>
                <w:lang w:val="es-CO" w:eastAsia="es-CO"/>
              </w:rPr>
              <w:t>Especificación del criterio</w:t>
            </w:r>
          </w:p>
        </w:tc>
        <w:tc>
          <w:tcPr>
            <w:tcW w:w="133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FCB7DA1" w14:textId="77777777" w:rsidR="00004F67" w:rsidRPr="00502A4F" w:rsidRDefault="00004F67" w:rsidP="00835F25">
            <w:pPr>
              <w:contextualSpacing/>
              <w:jc w:val="center"/>
              <w:rPr>
                <w:rFonts w:ascii="Arial" w:eastAsia="Times New Roman" w:hAnsi="Arial" w:cs="Arial"/>
                <w:b/>
                <w:bCs/>
                <w:color w:val="000000"/>
                <w:sz w:val="16"/>
                <w:szCs w:val="16"/>
                <w:lang w:val="es-CO" w:eastAsia="es-CO"/>
              </w:rPr>
            </w:pPr>
            <w:r w:rsidRPr="00502A4F">
              <w:rPr>
                <w:rFonts w:ascii="Arial" w:eastAsia="Times New Roman" w:hAnsi="Arial" w:cs="Arial"/>
                <w:b/>
                <w:bCs/>
                <w:color w:val="000000"/>
                <w:sz w:val="16"/>
                <w:szCs w:val="16"/>
                <w:lang w:val="es-CO" w:eastAsia="es-CO"/>
              </w:rPr>
              <w:t>Cumplimiento</w:t>
            </w:r>
          </w:p>
        </w:tc>
        <w:tc>
          <w:tcPr>
            <w:tcW w:w="1442"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1C9F6AE6" w14:textId="77777777" w:rsidR="00004F67" w:rsidRPr="00502A4F" w:rsidRDefault="00004F67" w:rsidP="00835F25">
            <w:pPr>
              <w:contextualSpacing/>
              <w:jc w:val="center"/>
              <w:rPr>
                <w:rFonts w:ascii="Arial" w:eastAsia="Times New Roman" w:hAnsi="Arial" w:cs="Arial"/>
                <w:b/>
                <w:bCs/>
                <w:color w:val="000000"/>
                <w:sz w:val="16"/>
                <w:szCs w:val="16"/>
                <w:lang w:val="es-CO" w:eastAsia="es-CO"/>
              </w:rPr>
            </w:pPr>
            <w:r w:rsidRPr="00502A4F">
              <w:rPr>
                <w:rFonts w:ascii="Arial" w:eastAsia="Times New Roman" w:hAnsi="Arial" w:cs="Arial"/>
                <w:b/>
                <w:bCs/>
                <w:color w:val="000000"/>
                <w:sz w:val="16"/>
                <w:szCs w:val="16"/>
                <w:lang w:val="es-CO" w:eastAsia="es-CO"/>
              </w:rPr>
              <w:t>No cumplimiento</w:t>
            </w:r>
          </w:p>
        </w:tc>
      </w:tr>
      <w:tr w:rsidR="00004F67" w:rsidRPr="00502A4F" w14:paraId="11EBCB0D" w14:textId="77777777" w:rsidTr="00C003A4">
        <w:trPr>
          <w:trHeight w:val="5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C254C9" w14:textId="77777777" w:rsidR="00004F67" w:rsidRPr="00502A4F" w:rsidRDefault="00004F67" w:rsidP="00835F25">
            <w:pPr>
              <w:contextualSpacing/>
              <w:jc w:val="center"/>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1</w:t>
            </w:r>
          </w:p>
        </w:tc>
        <w:tc>
          <w:tcPr>
            <w:tcW w:w="5241" w:type="dxa"/>
            <w:tcBorders>
              <w:top w:val="nil"/>
              <w:left w:val="nil"/>
              <w:bottom w:val="single" w:sz="4" w:space="0" w:color="auto"/>
              <w:right w:val="single" w:sz="4" w:space="0" w:color="auto"/>
            </w:tcBorders>
            <w:shd w:val="clear" w:color="auto" w:fill="auto"/>
            <w:vAlign w:val="center"/>
            <w:hideMark/>
          </w:tcPr>
          <w:p w14:paraId="063B70B9" w14:textId="77777777" w:rsidR="00004F67" w:rsidRPr="00502A4F" w:rsidRDefault="00004F67" w:rsidP="00835F25">
            <w:pPr>
              <w:contextualSpacing/>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Establecer que las cuentas deben estar autorizadas y registradas ante La Dirección del Tesoro Nacional del Ministerio de Hacienda y Crédito Público.</w:t>
            </w:r>
          </w:p>
        </w:tc>
        <w:tc>
          <w:tcPr>
            <w:tcW w:w="1330" w:type="dxa"/>
            <w:tcBorders>
              <w:top w:val="nil"/>
              <w:left w:val="nil"/>
              <w:bottom w:val="single" w:sz="4" w:space="0" w:color="auto"/>
              <w:right w:val="single" w:sz="4" w:space="0" w:color="auto"/>
            </w:tcBorders>
            <w:shd w:val="clear" w:color="auto" w:fill="auto"/>
            <w:noWrap/>
            <w:vAlign w:val="bottom"/>
            <w:hideMark/>
          </w:tcPr>
          <w:p w14:paraId="31602A8C" w14:textId="77777777" w:rsidR="00004F67" w:rsidRPr="00502A4F" w:rsidRDefault="00004F67" w:rsidP="00835F25">
            <w:pPr>
              <w:contextualSpacing/>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 </w:t>
            </w:r>
          </w:p>
        </w:tc>
        <w:tc>
          <w:tcPr>
            <w:tcW w:w="1442" w:type="dxa"/>
            <w:tcBorders>
              <w:top w:val="nil"/>
              <w:left w:val="nil"/>
              <w:bottom w:val="single" w:sz="4" w:space="0" w:color="auto"/>
              <w:right w:val="single" w:sz="4" w:space="0" w:color="auto"/>
            </w:tcBorders>
            <w:shd w:val="clear" w:color="auto" w:fill="auto"/>
            <w:vAlign w:val="center"/>
            <w:hideMark/>
          </w:tcPr>
          <w:p w14:paraId="514CFF52" w14:textId="77777777" w:rsidR="00004F67" w:rsidRPr="00502A4F" w:rsidRDefault="00004F67" w:rsidP="00835F25">
            <w:pPr>
              <w:contextualSpacing/>
              <w:jc w:val="center"/>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x</w:t>
            </w:r>
          </w:p>
        </w:tc>
      </w:tr>
      <w:tr w:rsidR="00004F67" w:rsidRPr="00502A4F" w14:paraId="2C807F89" w14:textId="77777777" w:rsidTr="00B3648E">
        <w:trPr>
          <w:trHeight w:val="317"/>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DD97888" w14:textId="77777777" w:rsidR="00004F67" w:rsidRPr="00502A4F" w:rsidRDefault="00004F67" w:rsidP="00835F25">
            <w:pPr>
              <w:contextualSpacing/>
              <w:jc w:val="center"/>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2</w:t>
            </w:r>
          </w:p>
        </w:tc>
        <w:tc>
          <w:tcPr>
            <w:tcW w:w="5241" w:type="dxa"/>
            <w:tcBorders>
              <w:top w:val="nil"/>
              <w:left w:val="nil"/>
              <w:bottom w:val="single" w:sz="4" w:space="0" w:color="auto"/>
              <w:right w:val="single" w:sz="4" w:space="0" w:color="auto"/>
            </w:tcBorders>
            <w:shd w:val="clear" w:color="auto" w:fill="auto"/>
            <w:vAlign w:val="center"/>
            <w:hideMark/>
          </w:tcPr>
          <w:p w14:paraId="3AF1C5D5" w14:textId="77777777" w:rsidR="00004F67" w:rsidRPr="00502A4F" w:rsidRDefault="00004F67" w:rsidP="00835F25">
            <w:pPr>
              <w:contextualSpacing/>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Dejar claro cuáles son los movimientos financieros autorizados.</w:t>
            </w:r>
          </w:p>
        </w:tc>
        <w:tc>
          <w:tcPr>
            <w:tcW w:w="1330" w:type="dxa"/>
            <w:tcBorders>
              <w:top w:val="nil"/>
              <w:left w:val="nil"/>
              <w:bottom w:val="single" w:sz="4" w:space="0" w:color="auto"/>
              <w:right w:val="single" w:sz="4" w:space="0" w:color="auto"/>
            </w:tcBorders>
            <w:shd w:val="clear" w:color="auto" w:fill="auto"/>
            <w:noWrap/>
            <w:vAlign w:val="bottom"/>
            <w:hideMark/>
          </w:tcPr>
          <w:p w14:paraId="683F60B5" w14:textId="77777777" w:rsidR="00004F67" w:rsidRPr="00502A4F" w:rsidRDefault="00004F67" w:rsidP="00835F25">
            <w:pPr>
              <w:contextualSpacing/>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 </w:t>
            </w:r>
          </w:p>
        </w:tc>
        <w:tc>
          <w:tcPr>
            <w:tcW w:w="1442" w:type="dxa"/>
            <w:tcBorders>
              <w:top w:val="nil"/>
              <w:left w:val="nil"/>
              <w:bottom w:val="single" w:sz="4" w:space="0" w:color="auto"/>
              <w:right w:val="single" w:sz="4" w:space="0" w:color="auto"/>
            </w:tcBorders>
            <w:shd w:val="clear" w:color="auto" w:fill="auto"/>
            <w:vAlign w:val="center"/>
            <w:hideMark/>
          </w:tcPr>
          <w:p w14:paraId="626DE1E8" w14:textId="77777777" w:rsidR="00004F67" w:rsidRPr="00502A4F" w:rsidRDefault="00004F67" w:rsidP="00835F25">
            <w:pPr>
              <w:contextualSpacing/>
              <w:jc w:val="center"/>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x</w:t>
            </w:r>
          </w:p>
        </w:tc>
      </w:tr>
      <w:tr w:rsidR="00004F67" w:rsidRPr="00502A4F" w14:paraId="1355D8FA" w14:textId="77777777" w:rsidTr="00B3648E">
        <w:trPr>
          <w:trHeight w:val="40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8A98714" w14:textId="77777777" w:rsidR="00004F67" w:rsidRPr="00502A4F" w:rsidRDefault="00004F67" w:rsidP="00835F25">
            <w:pPr>
              <w:contextualSpacing/>
              <w:jc w:val="center"/>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3</w:t>
            </w:r>
          </w:p>
        </w:tc>
        <w:tc>
          <w:tcPr>
            <w:tcW w:w="5241" w:type="dxa"/>
            <w:tcBorders>
              <w:top w:val="nil"/>
              <w:left w:val="nil"/>
              <w:bottom w:val="single" w:sz="4" w:space="0" w:color="auto"/>
              <w:right w:val="single" w:sz="4" w:space="0" w:color="auto"/>
            </w:tcBorders>
            <w:shd w:val="clear" w:color="auto" w:fill="auto"/>
            <w:vAlign w:val="center"/>
            <w:hideMark/>
          </w:tcPr>
          <w:p w14:paraId="7AB00213" w14:textId="77777777" w:rsidR="00004F67" w:rsidRPr="00502A4F" w:rsidRDefault="00004F67" w:rsidP="00835F25">
            <w:pPr>
              <w:contextualSpacing/>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Tener en cuenta que los rendimientos generados deben ser utilizados exclusivamente para suplir las necesidades del gasto público.</w:t>
            </w:r>
          </w:p>
        </w:tc>
        <w:tc>
          <w:tcPr>
            <w:tcW w:w="1330" w:type="dxa"/>
            <w:tcBorders>
              <w:top w:val="nil"/>
              <w:left w:val="nil"/>
              <w:bottom w:val="single" w:sz="4" w:space="0" w:color="auto"/>
              <w:right w:val="single" w:sz="4" w:space="0" w:color="auto"/>
            </w:tcBorders>
            <w:shd w:val="clear" w:color="auto" w:fill="auto"/>
            <w:noWrap/>
            <w:vAlign w:val="bottom"/>
            <w:hideMark/>
          </w:tcPr>
          <w:p w14:paraId="4D4C7DC0" w14:textId="77777777" w:rsidR="00004F67" w:rsidRPr="00502A4F" w:rsidRDefault="00004F67" w:rsidP="00835F25">
            <w:pPr>
              <w:contextualSpacing/>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 </w:t>
            </w:r>
          </w:p>
        </w:tc>
        <w:tc>
          <w:tcPr>
            <w:tcW w:w="1442" w:type="dxa"/>
            <w:tcBorders>
              <w:top w:val="nil"/>
              <w:left w:val="nil"/>
              <w:bottom w:val="single" w:sz="4" w:space="0" w:color="auto"/>
              <w:right w:val="single" w:sz="4" w:space="0" w:color="auto"/>
            </w:tcBorders>
            <w:shd w:val="clear" w:color="auto" w:fill="auto"/>
            <w:vAlign w:val="center"/>
            <w:hideMark/>
          </w:tcPr>
          <w:p w14:paraId="0A81097E" w14:textId="77777777" w:rsidR="00004F67" w:rsidRPr="00502A4F" w:rsidRDefault="00004F67" w:rsidP="00835F25">
            <w:pPr>
              <w:contextualSpacing/>
              <w:jc w:val="center"/>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x</w:t>
            </w:r>
          </w:p>
        </w:tc>
      </w:tr>
      <w:tr w:rsidR="00004F67" w:rsidRPr="00502A4F" w14:paraId="18D390FF" w14:textId="77777777" w:rsidTr="00B3648E">
        <w:trPr>
          <w:trHeight w:val="5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F71BD1E" w14:textId="77777777" w:rsidR="00004F67" w:rsidRPr="00502A4F" w:rsidRDefault="00004F67" w:rsidP="00835F25">
            <w:pPr>
              <w:contextualSpacing/>
              <w:jc w:val="center"/>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4</w:t>
            </w:r>
          </w:p>
        </w:tc>
        <w:tc>
          <w:tcPr>
            <w:tcW w:w="5241" w:type="dxa"/>
            <w:tcBorders>
              <w:top w:val="nil"/>
              <w:left w:val="nil"/>
              <w:bottom w:val="single" w:sz="4" w:space="0" w:color="auto"/>
              <w:right w:val="single" w:sz="4" w:space="0" w:color="auto"/>
            </w:tcBorders>
            <w:shd w:val="clear" w:color="auto" w:fill="auto"/>
            <w:vAlign w:val="center"/>
            <w:hideMark/>
          </w:tcPr>
          <w:p w14:paraId="297120FC" w14:textId="77777777" w:rsidR="00004F67" w:rsidRPr="00502A4F" w:rsidRDefault="00004F67" w:rsidP="00835F25">
            <w:pPr>
              <w:contextualSpacing/>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Estipular la fecha de la constitución de las cuentas por pagar, teniendo en cuenta el parágrafo del artículo 31 del Decreto 359 de 1995 y el inciso cuarto del artículo 38 de la Ley 179 de 1994.</w:t>
            </w:r>
          </w:p>
        </w:tc>
        <w:tc>
          <w:tcPr>
            <w:tcW w:w="1330" w:type="dxa"/>
            <w:tcBorders>
              <w:top w:val="nil"/>
              <w:left w:val="nil"/>
              <w:bottom w:val="single" w:sz="4" w:space="0" w:color="auto"/>
              <w:right w:val="single" w:sz="4" w:space="0" w:color="auto"/>
            </w:tcBorders>
            <w:shd w:val="clear" w:color="auto" w:fill="auto"/>
            <w:noWrap/>
            <w:vAlign w:val="bottom"/>
            <w:hideMark/>
          </w:tcPr>
          <w:p w14:paraId="740B2B66" w14:textId="77777777" w:rsidR="00004F67" w:rsidRPr="00502A4F" w:rsidRDefault="00004F67" w:rsidP="00835F25">
            <w:pPr>
              <w:contextualSpacing/>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 </w:t>
            </w:r>
          </w:p>
        </w:tc>
        <w:tc>
          <w:tcPr>
            <w:tcW w:w="1442" w:type="dxa"/>
            <w:tcBorders>
              <w:top w:val="nil"/>
              <w:left w:val="nil"/>
              <w:bottom w:val="single" w:sz="4" w:space="0" w:color="auto"/>
              <w:right w:val="single" w:sz="4" w:space="0" w:color="auto"/>
            </w:tcBorders>
            <w:shd w:val="clear" w:color="auto" w:fill="auto"/>
            <w:vAlign w:val="center"/>
            <w:hideMark/>
          </w:tcPr>
          <w:p w14:paraId="6B8CEFAC" w14:textId="77777777" w:rsidR="00004F67" w:rsidRPr="00502A4F" w:rsidRDefault="00004F67" w:rsidP="00835F25">
            <w:pPr>
              <w:contextualSpacing/>
              <w:jc w:val="center"/>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x</w:t>
            </w:r>
          </w:p>
        </w:tc>
      </w:tr>
      <w:tr w:rsidR="00004F67" w:rsidRPr="00502A4F" w14:paraId="1C09032B" w14:textId="77777777" w:rsidTr="00C003A4">
        <w:trPr>
          <w:trHeight w:val="5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6E55B1" w14:textId="77777777" w:rsidR="00004F67" w:rsidRPr="00502A4F" w:rsidRDefault="00004F67" w:rsidP="00835F25">
            <w:pPr>
              <w:contextualSpacing/>
              <w:jc w:val="center"/>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5</w:t>
            </w:r>
          </w:p>
        </w:tc>
        <w:tc>
          <w:tcPr>
            <w:tcW w:w="5241" w:type="dxa"/>
            <w:tcBorders>
              <w:top w:val="nil"/>
              <w:left w:val="nil"/>
              <w:bottom w:val="single" w:sz="4" w:space="0" w:color="auto"/>
              <w:right w:val="single" w:sz="4" w:space="0" w:color="auto"/>
            </w:tcBorders>
            <w:shd w:val="clear" w:color="auto" w:fill="auto"/>
            <w:vAlign w:val="center"/>
            <w:hideMark/>
          </w:tcPr>
          <w:p w14:paraId="2EDA0C9E" w14:textId="77777777" w:rsidR="00004F67" w:rsidRPr="00502A4F" w:rsidRDefault="00004F67" w:rsidP="00835F25">
            <w:pPr>
              <w:contextualSpacing/>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Manejar un procedimiento en donde se den las instrucciones de cómo controlar los recursos de la Nación procedentes de saldos de vigencias anteriores.</w:t>
            </w:r>
          </w:p>
        </w:tc>
        <w:tc>
          <w:tcPr>
            <w:tcW w:w="1330" w:type="dxa"/>
            <w:tcBorders>
              <w:top w:val="nil"/>
              <w:left w:val="nil"/>
              <w:bottom w:val="single" w:sz="4" w:space="0" w:color="auto"/>
              <w:right w:val="single" w:sz="4" w:space="0" w:color="auto"/>
            </w:tcBorders>
            <w:shd w:val="clear" w:color="auto" w:fill="auto"/>
            <w:noWrap/>
            <w:vAlign w:val="bottom"/>
            <w:hideMark/>
          </w:tcPr>
          <w:p w14:paraId="7E22CE67" w14:textId="77777777" w:rsidR="00004F67" w:rsidRPr="00502A4F" w:rsidRDefault="00004F67" w:rsidP="00835F25">
            <w:pPr>
              <w:contextualSpacing/>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 </w:t>
            </w:r>
          </w:p>
        </w:tc>
        <w:tc>
          <w:tcPr>
            <w:tcW w:w="1442" w:type="dxa"/>
            <w:tcBorders>
              <w:top w:val="nil"/>
              <w:left w:val="nil"/>
              <w:bottom w:val="single" w:sz="4" w:space="0" w:color="auto"/>
              <w:right w:val="single" w:sz="4" w:space="0" w:color="auto"/>
            </w:tcBorders>
            <w:shd w:val="clear" w:color="auto" w:fill="auto"/>
            <w:vAlign w:val="center"/>
            <w:hideMark/>
          </w:tcPr>
          <w:p w14:paraId="185550CA" w14:textId="77777777" w:rsidR="00004F67" w:rsidRPr="00502A4F" w:rsidRDefault="00004F67" w:rsidP="00835F25">
            <w:pPr>
              <w:contextualSpacing/>
              <w:jc w:val="center"/>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x</w:t>
            </w:r>
          </w:p>
        </w:tc>
      </w:tr>
      <w:tr w:rsidR="00004F67" w:rsidRPr="00502A4F" w14:paraId="5766DBC9" w14:textId="77777777" w:rsidTr="00C003A4">
        <w:trPr>
          <w:trHeight w:val="394"/>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CB3B6D" w14:textId="77777777" w:rsidR="00004F67" w:rsidRPr="00502A4F" w:rsidRDefault="00004F67" w:rsidP="00835F25">
            <w:pPr>
              <w:contextualSpacing/>
              <w:jc w:val="center"/>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6</w:t>
            </w:r>
          </w:p>
        </w:tc>
        <w:tc>
          <w:tcPr>
            <w:tcW w:w="5241" w:type="dxa"/>
            <w:tcBorders>
              <w:top w:val="nil"/>
              <w:left w:val="nil"/>
              <w:bottom w:val="single" w:sz="4" w:space="0" w:color="auto"/>
              <w:right w:val="single" w:sz="4" w:space="0" w:color="auto"/>
            </w:tcBorders>
            <w:shd w:val="clear" w:color="auto" w:fill="auto"/>
            <w:vAlign w:val="center"/>
            <w:hideMark/>
          </w:tcPr>
          <w:p w14:paraId="2FB37DEB" w14:textId="77777777" w:rsidR="00004F67" w:rsidRPr="00502A4F" w:rsidRDefault="00004F67" w:rsidP="00835F25">
            <w:pPr>
              <w:contextualSpacing/>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Establecer el proceso a realizar frente las solicitudes de modificación del PAC.</w:t>
            </w:r>
          </w:p>
        </w:tc>
        <w:tc>
          <w:tcPr>
            <w:tcW w:w="1330" w:type="dxa"/>
            <w:tcBorders>
              <w:top w:val="nil"/>
              <w:left w:val="nil"/>
              <w:bottom w:val="single" w:sz="4" w:space="0" w:color="auto"/>
              <w:right w:val="single" w:sz="4" w:space="0" w:color="auto"/>
            </w:tcBorders>
            <w:shd w:val="clear" w:color="auto" w:fill="auto"/>
            <w:noWrap/>
            <w:vAlign w:val="bottom"/>
            <w:hideMark/>
          </w:tcPr>
          <w:p w14:paraId="13F2787D" w14:textId="77777777" w:rsidR="00004F67" w:rsidRPr="00502A4F" w:rsidRDefault="00004F67" w:rsidP="00835F25">
            <w:pPr>
              <w:contextualSpacing/>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 </w:t>
            </w:r>
          </w:p>
        </w:tc>
        <w:tc>
          <w:tcPr>
            <w:tcW w:w="1442" w:type="dxa"/>
            <w:tcBorders>
              <w:top w:val="nil"/>
              <w:left w:val="nil"/>
              <w:bottom w:val="single" w:sz="4" w:space="0" w:color="auto"/>
              <w:right w:val="single" w:sz="4" w:space="0" w:color="auto"/>
            </w:tcBorders>
            <w:shd w:val="clear" w:color="auto" w:fill="auto"/>
            <w:vAlign w:val="center"/>
            <w:hideMark/>
          </w:tcPr>
          <w:p w14:paraId="58051E43" w14:textId="77777777" w:rsidR="00004F67" w:rsidRPr="00502A4F" w:rsidRDefault="00004F67" w:rsidP="00835F25">
            <w:pPr>
              <w:contextualSpacing/>
              <w:jc w:val="center"/>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x</w:t>
            </w:r>
          </w:p>
        </w:tc>
      </w:tr>
      <w:tr w:rsidR="00004F67" w:rsidRPr="00502A4F" w14:paraId="5322549A" w14:textId="77777777" w:rsidTr="00B3648E">
        <w:trPr>
          <w:trHeight w:val="12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0A99FE" w14:textId="77777777" w:rsidR="00004F67" w:rsidRPr="00502A4F" w:rsidRDefault="00004F67" w:rsidP="00835F25">
            <w:pPr>
              <w:contextualSpacing/>
              <w:jc w:val="center"/>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7</w:t>
            </w:r>
          </w:p>
        </w:tc>
        <w:tc>
          <w:tcPr>
            <w:tcW w:w="5241" w:type="dxa"/>
            <w:tcBorders>
              <w:top w:val="nil"/>
              <w:left w:val="nil"/>
              <w:bottom w:val="single" w:sz="4" w:space="0" w:color="auto"/>
              <w:right w:val="single" w:sz="4" w:space="0" w:color="auto"/>
            </w:tcBorders>
            <w:shd w:val="clear" w:color="auto" w:fill="auto"/>
            <w:vAlign w:val="center"/>
            <w:hideMark/>
          </w:tcPr>
          <w:p w14:paraId="51C2754C" w14:textId="77777777" w:rsidR="00004F67" w:rsidRPr="00502A4F" w:rsidRDefault="00004F67" w:rsidP="00835F25">
            <w:pPr>
              <w:contextualSpacing/>
              <w:rPr>
                <w:rFonts w:ascii="Arial" w:eastAsia="Times New Roman" w:hAnsi="Arial" w:cs="Arial"/>
                <w:color w:val="000000"/>
                <w:sz w:val="16"/>
                <w:szCs w:val="16"/>
                <w:lang w:val="es-CO" w:eastAsia="es-CO"/>
              </w:rPr>
            </w:pPr>
            <w:r w:rsidRPr="00502A4F">
              <w:rPr>
                <w:rFonts w:ascii="Arial" w:eastAsia="Times New Roman" w:hAnsi="Arial" w:cs="Arial"/>
                <w:color w:val="000000"/>
                <w:sz w:val="16"/>
                <w:szCs w:val="16"/>
                <w:lang w:val="es-CO" w:eastAsia="es-CO"/>
              </w:rPr>
              <w:t>Realizar una programación y ejecución clara de los recursos del PAC.</w:t>
            </w:r>
          </w:p>
        </w:tc>
        <w:tc>
          <w:tcPr>
            <w:tcW w:w="1330" w:type="dxa"/>
            <w:tcBorders>
              <w:top w:val="nil"/>
              <w:left w:val="nil"/>
              <w:bottom w:val="single" w:sz="4" w:space="0" w:color="auto"/>
              <w:right w:val="single" w:sz="4" w:space="0" w:color="auto"/>
            </w:tcBorders>
            <w:shd w:val="clear" w:color="auto" w:fill="auto"/>
            <w:noWrap/>
            <w:vAlign w:val="bottom"/>
            <w:hideMark/>
          </w:tcPr>
          <w:p w14:paraId="2C1ABE26" w14:textId="77777777" w:rsidR="00004F67" w:rsidRPr="00502A4F" w:rsidRDefault="00004F67" w:rsidP="00835F25">
            <w:pPr>
              <w:contextualSpacing/>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 </w:t>
            </w:r>
          </w:p>
        </w:tc>
        <w:tc>
          <w:tcPr>
            <w:tcW w:w="1442" w:type="dxa"/>
            <w:tcBorders>
              <w:top w:val="nil"/>
              <w:left w:val="nil"/>
              <w:bottom w:val="single" w:sz="4" w:space="0" w:color="auto"/>
              <w:right w:val="single" w:sz="4" w:space="0" w:color="auto"/>
            </w:tcBorders>
            <w:shd w:val="clear" w:color="auto" w:fill="auto"/>
            <w:vAlign w:val="center"/>
            <w:hideMark/>
          </w:tcPr>
          <w:p w14:paraId="18FD93F8" w14:textId="77777777" w:rsidR="00004F67" w:rsidRPr="00502A4F" w:rsidRDefault="00004F67" w:rsidP="00835F25">
            <w:pPr>
              <w:contextualSpacing/>
              <w:jc w:val="center"/>
              <w:rPr>
                <w:rFonts w:ascii="Calibri" w:eastAsia="Times New Roman" w:hAnsi="Calibri" w:cs="Calibri"/>
                <w:color w:val="000000"/>
                <w:sz w:val="22"/>
                <w:szCs w:val="22"/>
                <w:lang w:val="es-CO" w:eastAsia="es-CO"/>
              </w:rPr>
            </w:pPr>
            <w:r w:rsidRPr="00502A4F">
              <w:rPr>
                <w:rFonts w:ascii="Calibri" w:eastAsia="Times New Roman" w:hAnsi="Calibri" w:cs="Calibri"/>
                <w:color w:val="000000"/>
                <w:sz w:val="22"/>
                <w:szCs w:val="22"/>
                <w:lang w:val="es-CO" w:eastAsia="es-CO"/>
              </w:rPr>
              <w:t>x</w:t>
            </w:r>
          </w:p>
        </w:tc>
      </w:tr>
    </w:tbl>
    <w:p w14:paraId="67148B08" w14:textId="77777777" w:rsidR="00F622EA" w:rsidRPr="00A71FBC" w:rsidRDefault="00F622EA"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442ACD">
        <w:rPr>
          <w:rFonts w:ascii="Arial" w:hAnsi="Arial" w:cs="Arial"/>
          <w:sz w:val="16"/>
          <w:szCs w:val="16"/>
        </w:rPr>
        <w:t>partir</w:t>
      </w:r>
      <w:r w:rsidR="00442ACD" w:rsidRPr="00A71FBC">
        <w:rPr>
          <w:rFonts w:ascii="Arial" w:hAnsi="Arial" w:cs="Arial"/>
          <w:sz w:val="16"/>
          <w:szCs w:val="16"/>
        </w:rPr>
        <w:t xml:space="preserve"> </w:t>
      </w:r>
      <w:r w:rsidRPr="00A71FBC">
        <w:rPr>
          <w:rFonts w:ascii="Arial" w:hAnsi="Arial" w:cs="Arial"/>
          <w:sz w:val="16"/>
          <w:szCs w:val="16"/>
        </w:rPr>
        <w:t>de</w:t>
      </w:r>
      <w:r>
        <w:rPr>
          <w:rFonts w:ascii="Arial" w:hAnsi="Arial" w:cs="Arial"/>
          <w:sz w:val="16"/>
          <w:szCs w:val="16"/>
        </w:rPr>
        <w:t xml:space="preserve"> la información remitida por la Entidad Territorial</w:t>
      </w:r>
      <w:r w:rsidRPr="00A71FBC">
        <w:rPr>
          <w:rFonts w:ascii="Arial" w:hAnsi="Arial" w:cs="Arial"/>
          <w:sz w:val="16"/>
          <w:szCs w:val="16"/>
        </w:rPr>
        <w:t>.</w:t>
      </w:r>
    </w:p>
    <w:p w14:paraId="1A26B21C" w14:textId="77777777" w:rsidR="00004F67" w:rsidRDefault="00004F67" w:rsidP="00835F25">
      <w:pPr>
        <w:contextualSpacing/>
        <w:jc w:val="both"/>
        <w:rPr>
          <w:rFonts w:ascii="Arial" w:eastAsia="Calibri" w:hAnsi="Arial" w:cs="Arial"/>
          <w:sz w:val="22"/>
          <w:szCs w:val="22"/>
          <w:lang w:val="es-CO" w:eastAsia="en-US"/>
        </w:rPr>
      </w:pPr>
    </w:p>
    <w:p w14:paraId="598BADD8" w14:textId="77777777" w:rsidR="00442ACD"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Para el cumplimiento de la </w:t>
      </w:r>
      <w:r w:rsidR="00635D1C">
        <w:rPr>
          <w:rFonts w:ascii="Arial" w:eastAsia="Calibri" w:hAnsi="Arial" w:cs="Arial"/>
          <w:sz w:val="22"/>
          <w:szCs w:val="22"/>
          <w:lang w:val="es-CO" w:eastAsia="en-US"/>
        </w:rPr>
        <w:t>A</w:t>
      </w:r>
      <w:r>
        <w:rPr>
          <w:rFonts w:ascii="Arial" w:eastAsia="Calibri" w:hAnsi="Arial" w:cs="Arial"/>
          <w:sz w:val="22"/>
          <w:szCs w:val="22"/>
          <w:lang w:val="es-CO" w:eastAsia="en-US"/>
        </w:rPr>
        <w:t xml:space="preserve">ctividad de los procedimientos de elaboración de </w:t>
      </w:r>
      <w:r w:rsidR="00E73E6A">
        <w:rPr>
          <w:rFonts w:ascii="Arial" w:eastAsia="Calibri" w:hAnsi="Arial" w:cs="Arial"/>
          <w:sz w:val="22"/>
          <w:szCs w:val="22"/>
          <w:lang w:val="es-CO" w:eastAsia="en-US"/>
        </w:rPr>
        <w:t xml:space="preserve">los </w:t>
      </w:r>
      <w:r>
        <w:rPr>
          <w:rFonts w:ascii="Arial" w:eastAsia="Calibri" w:hAnsi="Arial" w:cs="Arial"/>
          <w:sz w:val="22"/>
          <w:szCs w:val="22"/>
          <w:lang w:val="es-CO" w:eastAsia="en-US"/>
        </w:rPr>
        <w:t xml:space="preserve">Estados Financieros, se evaluaron los documentos entregados por </w:t>
      </w:r>
      <w:r w:rsidR="00442ACD">
        <w:rPr>
          <w:rFonts w:ascii="Arial" w:eastAsia="Calibri" w:hAnsi="Arial" w:cs="Arial"/>
          <w:sz w:val="22"/>
          <w:szCs w:val="22"/>
          <w:lang w:val="es-CO" w:eastAsia="en-US"/>
        </w:rPr>
        <w:t xml:space="preserve">la </w:t>
      </w:r>
      <w:r>
        <w:rPr>
          <w:rFonts w:ascii="Arial" w:eastAsia="Calibri" w:hAnsi="Arial" w:cs="Arial"/>
          <w:sz w:val="22"/>
          <w:szCs w:val="22"/>
          <w:lang w:val="es-CO" w:eastAsia="en-US"/>
        </w:rPr>
        <w:t>Ent</w:t>
      </w:r>
      <w:r w:rsidR="00442ACD">
        <w:rPr>
          <w:rFonts w:ascii="Arial" w:eastAsia="Calibri" w:hAnsi="Arial" w:cs="Arial"/>
          <w:sz w:val="22"/>
          <w:szCs w:val="22"/>
          <w:lang w:val="es-CO" w:eastAsia="en-US"/>
        </w:rPr>
        <w:t>idad</w:t>
      </w:r>
      <w:r>
        <w:rPr>
          <w:rFonts w:ascii="Arial" w:eastAsia="Calibri" w:hAnsi="Arial" w:cs="Arial"/>
          <w:sz w:val="22"/>
          <w:szCs w:val="22"/>
          <w:lang w:val="es-CO" w:eastAsia="en-US"/>
        </w:rPr>
        <w:t xml:space="preserve"> Territorial a través de la creación de una serie de criterios, dichos criterios se construyeron con la ayuda </w:t>
      </w:r>
      <w:r w:rsidR="005A26F7">
        <w:rPr>
          <w:rFonts w:ascii="Arial" w:eastAsia="Calibri" w:hAnsi="Arial" w:cs="Arial"/>
          <w:sz w:val="22"/>
          <w:szCs w:val="22"/>
          <w:lang w:val="es-CO" w:eastAsia="en-US"/>
        </w:rPr>
        <w:t>d</w:t>
      </w:r>
      <w:r>
        <w:rPr>
          <w:rFonts w:ascii="Arial" w:eastAsia="Calibri" w:hAnsi="Arial" w:cs="Arial"/>
          <w:sz w:val="22"/>
          <w:szCs w:val="22"/>
          <w:lang w:val="es-CO" w:eastAsia="en-US"/>
        </w:rPr>
        <w:t xml:space="preserve">el régimen de contabilidad pública de la Contaduría General de la Nación. </w:t>
      </w:r>
    </w:p>
    <w:p w14:paraId="5E9910DB" w14:textId="77777777" w:rsidR="00442ACD" w:rsidRDefault="00442ACD" w:rsidP="00835F25">
      <w:pPr>
        <w:contextualSpacing/>
        <w:jc w:val="both"/>
        <w:rPr>
          <w:rFonts w:ascii="Arial" w:eastAsia="Calibri" w:hAnsi="Arial" w:cs="Arial"/>
          <w:sz w:val="22"/>
          <w:szCs w:val="22"/>
          <w:lang w:val="es-CO" w:eastAsia="en-US"/>
        </w:rPr>
      </w:pPr>
    </w:p>
    <w:p w14:paraId="31289626" w14:textId="77777777" w:rsidR="00004F67"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A continuación, se encuentran l</w:t>
      </w:r>
      <w:r w:rsidRPr="00C34F85">
        <w:rPr>
          <w:rFonts w:ascii="Arial" w:eastAsia="Calibri" w:hAnsi="Arial" w:cs="Arial"/>
          <w:sz w:val="22"/>
          <w:szCs w:val="22"/>
          <w:lang w:val="es-CO" w:eastAsia="en-US"/>
        </w:rPr>
        <w:t xml:space="preserve">os criterios que se toman a consideración </w:t>
      </w:r>
      <w:r>
        <w:rPr>
          <w:rFonts w:ascii="Arial" w:eastAsia="Calibri" w:hAnsi="Arial" w:cs="Arial"/>
          <w:sz w:val="22"/>
          <w:szCs w:val="22"/>
          <w:lang w:val="es-CO" w:eastAsia="en-US"/>
        </w:rPr>
        <w:t xml:space="preserve">y se resume si </w:t>
      </w:r>
      <w:r w:rsidR="00442ACD">
        <w:rPr>
          <w:rFonts w:ascii="Arial" w:eastAsia="Calibri" w:hAnsi="Arial" w:cs="Arial"/>
          <w:sz w:val="22"/>
          <w:szCs w:val="22"/>
          <w:lang w:val="es-CO" w:eastAsia="en-US"/>
        </w:rPr>
        <w:t xml:space="preserve">la </w:t>
      </w:r>
      <w:r>
        <w:rPr>
          <w:rFonts w:ascii="Arial" w:eastAsia="Calibri" w:hAnsi="Arial" w:cs="Arial"/>
          <w:sz w:val="22"/>
          <w:szCs w:val="22"/>
          <w:lang w:val="es-CO" w:eastAsia="en-US"/>
        </w:rPr>
        <w:t>Ent</w:t>
      </w:r>
      <w:r w:rsidR="00442ACD">
        <w:rPr>
          <w:rFonts w:ascii="Arial" w:eastAsia="Calibri" w:hAnsi="Arial" w:cs="Arial"/>
          <w:sz w:val="22"/>
          <w:szCs w:val="22"/>
          <w:lang w:val="es-CO" w:eastAsia="en-US"/>
        </w:rPr>
        <w:t>idad</w:t>
      </w:r>
      <w:r>
        <w:rPr>
          <w:rFonts w:ascii="Arial" w:eastAsia="Calibri" w:hAnsi="Arial" w:cs="Arial"/>
          <w:sz w:val="22"/>
          <w:szCs w:val="22"/>
          <w:lang w:val="es-CO" w:eastAsia="en-US"/>
        </w:rPr>
        <w:t xml:space="preserve"> Territorial cumple o no con los criterios</w:t>
      </w:r>
      <w:r w:rsidRPr="00C34F85">
        <w:rPr>
          <w:rFonts w:ascii="Arial" w:eastAsia="Calibri" w:hAnsi="Arial" w:cs="Arial"/>
          <w:sz w:val="22"/>
          <w:szCs w:val="22"/>
          <w:lang w:val="es-CO" w:eastAsia="en-US"/>
        </w:rPr>
        <w:t>:</w:t>
      </w:r>
    </w:p>
    <w:p w14:paraId="7D14FB8E" w14:textId="77777777" w:rsidR="00004F67" w:rsidRDefault="00004F67" w:rsidP="00835F25">
      <w:pPr>
        <w:contextualSpacing/>
        <w:jc w:val="both"/>
        <w:rPr>
          <w:rFonts w:ascii="Arial" w:eastAsia="Calibri" w:hAnsi="Arial" w:cs="Arial"/>
          <w:sz w:val="22"/>
          <w:szCs w:val="22"/>
          <w:lang w:val="es-CO" w:eastAsia="en-US"/>
        </w:rPr>
      </w:pPr>
    </w:p>
    <w:p w14:paraId="290368EE" w14:textId="77777777" w:rsidR="00EF0890" w:rsidRPr="0083658C" w:rsidRDefault="00EF0890" w:rsidP="00835F25">
      <w:pPr>
        <w:ind w:left="360"/>
        <w:contextualSpacing/>
        <w:jc w:val="center"/>
        <w:rPr>
          <w:rFonts w:ascii="Arial" w:hAnsi="Arial" w:cs="Arial"/>
        </w:rPr>
      </w:pPr>
      <w:r w:rsidRPr="00B17711">
        <w:rPr>
          <w:rFonts w:ascii="Arial" w:hAnsi="Arial" w:cs="Arial"/>
          <w:b/>
          <w:bCs/>
          <w:i/>
          <w:iCs/>
          <w:color w:val="1F487C"/>
          <w:sz w:val="20"/>
          <w:szCs w:val="20"/>
        </w:rPr>
        <w:t xml:space="preserve">Tabla 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16</w:t>
      </w:r>
      <w:r w:rsidR="00EE0320" w:rsidRPr="00B3648E">
        <w:rPr>
          <w:rFonts w:ascii="Arial" w:hAnsi="Arial" w:cs="Arial"/>
          <w:b/>
          <w:bCs/>
          <w:i/>
          <w:iCs/>
          <w:color w:val="1F497D" w:themeColor="text2"/>
          <w:sz w:val="20"/>
          <w:szCs w:val="20"/>
        </w:rPr>
        <w:fldChar w:fldCharType="end"/>
      </w:r>
      <w:r w:rsidRPr="00B17711">
        <w:rPr>
          <w:rFonts w:ascii="Arial" w:hAnsi="Arial" w:cs="Arial"/>
          <w:b/>
          <w:bCs/>
          <w:i/>
          <w:iCs/>
          <w:color w:val="1F487C"/>
          <w:sz w:val="20"/>
          <w:szCs w:val="20"/>
        </w:rPr>
        <w:t xml:space="preserve"> </w:t>
      </w:r>
      <w:r w:rsidR="003B3C56">
        <w:rPr>
          <w:rFonts w:ascii="Arial" w:hAnsi="Arial" w:cs="Arial"/>
          <w:b/>
          <w:bCs/>
          <w:i/>
          <w:iCs/>
          <w:color w:val="1F487C"/>
          <w:sz w:val="20"/>
          <w:szCs w:val="20"/>
        </w:rPr>
        <w:t>Elaboración Estados Financieros</w:t>
      </w:r>
      <w:r w:rsidRPr="00B17711">
        <w:rPr>
          <w:rFonts w:ascii="Arial" w:hAnsi="Arial" w:cs="Arial"/>
          <w:b/>
          <w:bCs/>
          <w:i/>
          <w:iCs/>
          <w:color w:val="1F487C"/>
          <w:sz w:val="20"/>
          <w:szCs w:val="20"/>
        </w:rPr>
        <w:t>. Distrito de Cartagena de Indias - Bolívar, vigencia 2021</w:t>
      </w:r>
      <w:r w:rsidRPr="00F546EC">
        <w:rPr>
          <w:rFonts w:ascii="Arial" w:hAnsi="Arial" w:cs="Arial"/>
          <w:i/>
          <w:iCs/>
          <w:color w:val="1F487C"/>
          <w:sz w:val="20"/>
          <w:szCs w:val="20"/>
        </w:rPr>
        <w:t>.</w:t>
      </w:r>
    </w:p>
    <w:tbl>
      <w:tblPr>
        <w:tblW w:w="8965" w:type="dxa"/>
        <w:tblCellMar>
          <w:left w:w="70" w:type="dxa"/>
          <w:right w:w="70" w:type="dxa"/>
        </w:tblCellMar>
        <w:tblLook w:val="04A0" w:firstRow="1" w:lastRow="0" w:firstColumn="1" w:lastColumn="0" w:noHBand="0" w:noVBand="1"/>
      </w:tblPr>
      <w:tblGrid>
        <w:gridCol w:w="1204"/>
        <w:gridCol w:w="4887"/>
        <w:gridCol w:w="1417"/>
        <w:gridCol w:w="1457"/>
      </w:tblGrid>
      <w:tr w:rsidR="00004F67" w:rsidRPr="00E76B85" w14:paraId="26E7135C" w14:textId="77777777" w:rsidTr="00E73E6A">
        <w:trPr>
          <w:trHeight w:val="307"/>
        </w:trPr>
        <w:tc>
          <w:tcPr>
            <w:tcW w:w="120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2DD2D22" w14:textId="77777777" w:rsidR="00004F67" w:rsidRPr="00E76B85" w:rsidRDefault="005C7954" w:rsidP="00835F25">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No.</w:t>
            </w:r>
            <w:r w:rsidR="00004F67" w:rsidRPr="00E76B85">
              <w:rPr>
                <w:rFonts w:ascii="Arial" w:eastAsia="Times New Roman" w:hAnsi="Arial" w:cs="Arial"/>
                <w:b/>
                <w:bCs/>
                <w:color w:val="000000"/>
                <w:sz w:val="16"/>
                <w:szCs w:val="16"/>
                <w:lang w:val="es-CO" w:eastAsia="es-CO"/>
              </w:rPr>
              <w:t xml:space="preserve"> </w:t>
            </w:r>
            <w:r>
              <w:rPr>
                <w:rFonts w:ascii="Arial" w:eastAsia="Times New Roman" w:hAnsi="Arial" w:cs="Arial"/>
                <w:b/>
                <w:bCs/>
                <w:color w:val="000000"/>
                <w:sz w:val="16"/>
                <w:szCs w:val="16"/>
                <w:lang w:val="es-CO" w:eastAsia="es-CO"/>
              </w:rPr>
              <w:t>C</w:t>
            </w:r>
            <w:r w:rsidR="00004F67" w:rsidRPr="00E76B85">
              <w:rPr>
                <w:rFonts w:ascii="Arial" w:eastAsia="Times New Roman" w:hAnsi="Arial" w:cs="Arial"/>
                <w:b/>
                <w:bCs/>
                <w:color w:val="000000"/>
                <w:sz w:val="16"/>
                <w:szCs w:val="16"/>
                <w:lang w:val="es-CO" w:eastAsia="es-CO"/>
              </w:rPr>
              <w:t xml:space="preserve">riterio </w:t>
            </w:r>
          </w:p>
        </w:tc>
        <w:tc>
          <w:tcPr>
            <w:tcW w:w="4887" w:type="dxa"/>
            <w:tcBorders>
              <w:top w:val="single" w:sz="4" w:space="0" w:color="auto"/>
              <w:left w:val="nil"/>
              <w:bottom w:val="single" w:sz="4" w:space="0" w:color="auto"/>
              <w:right w:val="single" w:sz="4" w:space="0" w:color="auto"/>
            </w:tcBorders>
            <w:shd w:val="clear" w:color="000000" w:fill="B4C6E7"/>
            <w:vAlign w:val="center"/>
            <w:hideMark/>
          </w:tcPr>
          <w:p w14:paraId="7A192D71" w14:textId="77777777" w:rsidR="00004F67" w:rsidRPr="00E76B85" w:rsidRDefault="00004F67" w:rsidP="00835F25">
            <w:pPr>
              <w:contextualSpacing/>
              <w:jc w:val="center"/>
              <w:rPr>
                <w:rFonts w:ascii="Arial" w:eastAsia="Times New Roman" w:hAnsi="Arial" w:cs="Arial"/>
                <w:b/>
                <w:bCs/>
                <w:color w:val="000000"/>
                <w:sz w:val="16"/>
                <w:szCs w:val="16"/>
                <w:lang w:val="es-CO" w:eastAsia="es-CO"/>
              </w:rPr>
            </w:pPr>
            <w:r w:rsidRPr="00E76B85">
              <w:rPr>
                <w:rFonts w:ascii="Arial" w:eastAsia="Times New Roman" w:hAnsi="Arial" w:cs="Arial"/>
                <w:b/>
                <w:bCs/>
                <w:color w:val="000000"/>
                <w:sz w:val="16"/>
                <w:szCs w:val="16"/>
                <w:lang w:val="es-CO" w:eastAsia="es-CO"/>
              </w:rPr>
              <w:t>Especificación del criterio</w:t>
            </w:r>
          </w:p>
        </w:tc>
        <w:tc>
          <w:tcPr>
            <w:tcW w:w="1417" w:type="dxa"/>
            <w:tcBorders>
              <w:top w:val="single" w:sz="4" w:space="0" w:color="auto"/>
              <w:left w:val="nil"/>
              <w:bottom w:val="single" w:sz="4" w:space="0" w:color="auto"/>
              <w:right w:val="single" w:sz="4" w:space="0" w:color="auto"/>
            </w:tcBorders>
            <w:shd w:val="clear" w:color="000000" w:fill="B4C6E7"/>
            <w:vAlign w:val="center"/>
            <w:hideMark/>
          </w:tcPr>
          <w:p w14:paraId="32F13BD2" w14:textId="77777777" w:rsidR="00004F67" w:rsidRPr="00E76B85" w:rsidRDefault="00004F67" w:rsidP="00835F25">
            <w:pPr>
              <w:contextualSpacing/>
              <w:jc w:val="center"/>
              <w:rPr>
                <w:rFonts w:ascii="Arial" w:eastAsia="Times New Roman" w:hAnsi="Arial" w:cs="Arial"/>
                <w:b/>
                <w:bCs/>
                <w:color w:val="000000"/>
                <w:sz w:val="16"/>
                <w:szCs w:val="16"/>
                <w:lang w:val="es-CO" w:eastAsia="es-CO"/>
              </w:rPr>
            </w:pPr>
            <w:r w:rsidRPr="00E76B85">
              <w:rPr>
                <w:rFonts w:ascii="Arial" w:eastAsia="Times New Roman" w:hAnsi="Arial" w:cs="Arial"/>
                <w:b/>
                <w:bCs/>
                <w:color w:val="000000"/>
                <w:sz w:val="16"/>
                <w:szCs w:val="16"/>
                <w:lang w:val="es-CO" w:eastAsia="es-CO"/>
              </w:rPr>
              <w:t xml:space="preserve">Cumplimiento </w:t>
            </w:r>
          </w:p>
        </w:tc>
        <w:tc>
          <w:tcPr>
            <w:tcW w:w="1457" w:type="dxa"/>
            <w:tcBorders>
              <w:top w:val="single" w:sz="4" w:space="0" w:color="auto"/>
              <w:left w:val="nil"/>
              <w:bottom w:val="single" w:sz="4" w:space="0" w:color="auto"/>
              <w:right w:val="single" w:sz="4" w:space="0" w:color="auto"/>
            </w:tcBorders>
            <w:shd w:val="clear" w:color="000000" w:fill="B4C6E7"/>
            <w:vAlign w:val="center"/>
            <w:hideMark/>
          </w:tcPr>
          <w:p w14:paraId="6B90A3C1" w14:textId="77777777" w:rsidR="00004F67" w:rsidRPr="00E76B85" w:rsidRDefault="00004F67" w:rsidP="00835F25">
            <w:pPr>
              <w:contextualSpacing/>
              <w:jc w:val="center"/>
              <w:rPr>
                <w:rFonts w:ascii="Arial" w:eastAsia="Times New Roman" w:hAnsi="Arial" w:cs="Arial"/>
                <w:b/>
                <w:bCs/>
                <w:color w:val="000000"/>
                <w:sz w:val="16"/>
                <w:szCs w:val="16"/>
                <w:lang w:val="es-CO" w:eastAsia="es-CO"/>
              </w:rPr>
            </w:pPr>
            <w:r w:rsidRPr="00E76B85">
              <w:rPr>
                <w:rFonts w:ascii="Arial" w:eastAsia="Times New Roman" w:hAnsi="Arial" w:cs="Arial"/>
                <w:b/>
                <w:bCs/>
                <w:color w:val="000000"/>
                <w:sz w:val="16"/>
                <w:szCs w:val="16"/>
                <w:lang w:val="es-CO" w:eastAsia="es-CO"/>
              </w:rPr>
              <w:t>No cumplimiento</w:t>
            </w:r>
          </w:p>
        </w:tc>
      </w:tr>
      <w:tr w:rsidR="00004F67" w:rsidRPr="00E76B85" w14:paraId="018126AA" w14:textId="77777777" w:rsidTr="00E73E6A">
        <w:trPr>
          <w:trHeight w:val="541"/>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09DE67CC" w14:textId="77777777" w:rsidR="00004F67" w:rsidRPr="00E76B85" w:rsidRDefault="00004F67" w:rsidP="00835F25">
            <w:pPr>
              <w:contextualSpacing/>
              <w:jc w:val="center"/>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1</w:t>
            </w:r>
          </w:p>
        </w:tc>
        <w:tc>
          <w:tcPr>
            <w:tcW w:w="4887" w:type="dxa"/>
            <w:tcBorders>
              <w:top w:val="nil"/>
              <w:left w:val="nil"/>
              <w:bottom w:val="single" w:sz="4" w:space="0" w:color="auto"/>
              <w:right w:val="single" w:sz="4" w:space="0" w:color="auto"/>
            </w:tcBorders>
            <w:shd w:val="clear" w:color="auto" w:fill="auto"/>
            <w:vAlign w:val="center"/>
            <w:hideMark/>
          </w:tcPr>
          <w:p w14:paraId="3440B981" w14:textId="77777777" w:rsidR="00004F67" w:rsidRPr="00E76B85" w:rsidRDefault="00004F67" w:rsidP="00835F25">
            <w:pPr>
              <w:contextualSpacing/>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Expresa que los estados financieros deben cumplir con el criterio de publicidad, es decir estos son accesibles para la ciudadanía a través de la web o en las carteleras institucionales.</w:t>
            </w:r>
          </w:p>
        </w:tc>
        <w:tc>
          <w:tcPr>
            <w:tcW w:w="1417" w:type="dxa"/>
            <w:tcBorders>
              <w:top w:val="nil"/>
              <w:left w:val="nil"/>
              <w:bottom w:val="single" w:sz="4" w:space="0" w:color="auto"/>
              <w:right w:val="single" w:sz="4" w:space="0" w:color="auto"/>
            </w:tcBorders>
            <w:shd w:val="clear" w:color="auto" w:fill="auto"/>
            <w:vAlign w:val="center"/>
            <w:hideMark/>
          </w:tcPr>
          <w:p w14:paraId="32194CC7"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x</w:t>
            </w:r>
          </w:p>
        </w:tc>
        <w:tc>
          <w:tcPr>
            <w:tcW w:w="1457" w:type="dxa"/>
            <w:tcBorders>
              <w:top w:val="nil"/>
              <w:left w:val="nil"/>
              <w:bottom w:val="single" w:sz="4" w:space="0" w:color="auto"/>
              <w:right w:val="single" w:sz="4" w:space="0" w:color="auto"/>
            </w:tcBorders>
            <w:shd w:val="clear" w:color="auto" w:fill="auto"/>
            <w:vAlign w:val="center"/>
            <w:hideMark/>
          </w:tcPr>
          <w:p w14:paraId="0FA329A4"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 </w:t>
            </w:r>
          </w:p>
        </w:tc>
      </w:tr>
      <w:tr w:rsidR="00004F67" w:rsidRPr="00E76B85" w14:paraId="2EBA11D0" w14:textId="77777777" w:rsidTr="00E73E6A">
        <w:trPr>
          <w:trHeight w:val="425"/>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52B4F012" w14:textId="77777777" w:rsidR="00EF0890" w:rsidRDefault="00EF0890" w:rsidP="00835F25">
            <w:pPr>
              <w:contextualSpacing/>
              <w:jc w:val="center"/>
              <w:rPr>
                <w:rFonts w:ascii="Arial" w:eastAsia="Times New Roman" w:hAnsi="Arial" w:cs="Arial"/>
                <w:color w:val="000000"/>
                <w:sz w:val="16"/>
                <w:szCs w:val="16"/>
                <w:lang w:val="es-CO" w:eastAsia="es-CO"/>
              </w:rPr>
            </w:pPr>
          </w:p>
          <w:p w14:paraId="026AB1BE" w14:textId="77777777" w:rsidR="00004F67" w:rsidRPr="00E76B85" w:rsidRDefault="00004F67" w:rsidP="00835F25">
            <w:pPr>
              <w:contextualSpacing/>
              <w:jc w:val="center"/>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2</w:t>
            </w:r>
          </w:p>
        </w:tc>
        <w:tc>
          <w:tcPr>
            <w:tcW w:w="4887" w:type="dxa"/>
            <w:tcBorders>
              <w:top w:val="nil"/>
              <w:left w:val="nil"/>
              <w:bottom w:val="single" w:sz="4" w:space="0" w:color="auto"/>
              <w:right w:val="single" w:sz="4" w:space="0" w:color="auto"/>
            </w:tcBorders>
            <w:shd w:val="clear" w:color="auto" w:fill="auto"/>
            <w:vAlign w:val="center"/>
            <w:hideMark/>
          </w:tcPr>
          <w:p w14:paraId="523184BD" w14:textId="77777777" w:rsidR="00004F67" w:rsidRPr="00E76B85" w:rsidRDefault="00004F67" w:rsidP="00835F25">
            <w:pPr>
              <w:contextualSpacing/>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Especificar los encargados de cada uno de los procesos.</w:t>
            </w:r>
          </w:p>
        </w:tc>
        <w:tc>
          <w:tcPr>
            <w:tcW w:w="1417" w:type="dxa"/>
            <w:tcBorders>
              <w:top w:val="nil"/>
              <w:left w:val="nil"/>
              <w:bottom w:val="single" w:sz="4" w:space="0" w:color="auto"/>
              <w:right w:val="single" w:sz="4" w:space="0" w:color="auto"/>
            </w:tcBorders>
            <w:shd w:val="clear" w:color="auto" w:fill="auto"/>
            <w:vAlign w:val="center"/>
            <w:hideMark/>
          </w:tcPr>
          <w:p w14:paraId="50BE21C6"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x</w:t>
            </w:r>
          </w:p>
        </w:tc>
        <w:tc>
          <w:tcPr>
            <w:tcW w:w="1457" w:type="dxa"/>
            <w:tcBorders>
              <w:top w:val="nil"/>
              <w:left w:val="nil"/>
              <w:bottom w:val="single" w:sz="4" w:space="0" w:color="auto"/>
              <w:right w:val="single" w:sz="4" w:space="0" w:color="auto"/>
            </w:tcBorders>
            <w:shd w:val="clear" w:color="auto" w:fill="auto"/>
            <w:vAlign w:val="center"/>
            <w:hideMark/>
          </w:tcPr>
          <w:p w14:paraId="292294FA"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 </w:t>
            </w:r>
          </w:p>
        </w:tc>
      </w:tr>
      <w:tr w:rsidR="00004F67" w:rsidRPr="00E76B85" w14:paraId="7B7D4303" w14:textId="77777777" w:rsidTr="00E73E6A">
        <w:trPr>
          <w:trHeight w:val="564"/>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334A2DFB" w14:textId="77777777" w:rsidR="00004F67" w:rsidRPr="00E76B85" w:rsidRDefault="00004F67" w:rsidP="00835F25">
            <w:pPr>
              <w:contextualSpacing/>
              <w:jc w:val="center"/>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3</w:t>
            </w:r>
          </w:p>
        </w:tc>
        <w:tc>
          <w:tcPr>
            <w:tcW w:w="4887" w:type="dxa"/>
            <w:tcBorders>
              <w:top w:val="nil"/>
              <w:left w:val="nil"/>
              <w:bottom w:val="single" w:sz="4" w:space="0" w:color="auto"/>
              <w:right w:val="single" w:sz="4" w:space="0" w:color="auto"/>
            </w:tcBorders>
            <w:shd w:val="clear" w:color="auto" w:fill="auto"/>
            <w:vAlign w:val="center"/>
            <w:hideMark/>
          </w:tcPr>
          <w:p w14:paraId="3FD2D2B8" w14:textId="77777777" w:rsidR="00004F67" w:rsidRPr="00E76B85" w:rsidRDefault="00004F67" w:rsidP="00835F25">
            <w:pPr>
              <w:contextualSpacing/>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Debe haber claridad sobre las actividades requeridas para vigilar el proceso contable, es decir debe haber una comprobación periódica.</w:t>
            </w:r>
          </w:p>
        </w:tc>
        <w:tc>
          <w:tcPr>
            <w:tcW w:w="1417" w:type="dxa"/>
            <w:tcBorders>
              <w:top w:val="nil"/>
              <w:left w:val="nil"/>
              <w:bottom w:val="single" w:sz="4" w:space="0" w:color="auto"/>
              <w:right w:val="single" w:sz="4" w:space="0" w:color="auto"/>
            </w:tcBorders>
            <w:shd w:val="clear" w:color="auto" w:fill="auto"/>
            <w:vAlign w:val="center"/>
            <w:hideMark/>
          </w:tcPr>
          <w:p w14:paraId="15EAC333"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x</w:t>
            </w:r>
          </w:p>
        </w:tc>
        <w:tc>
          <w:tcPr>
            <w:tcW w:w="1457" w:type="dxa"/>
            <w:tcBorders>
              <w:top w:val="nil"/>
              <w:left w:val="nil"/>
              <w:bottom w:val="single" w:sz="4" w:space="0" w:color="auto"/>
              <w:right w:val="single" w:sz="4" w:space="0" w:color="auto"/>
            </w:tcBorders>
            <w:shd w:val="clear" w:color="auto" w:fill="auto"/>
            <w:vAlign w:val="center"/>
            <w:hideMark/>
          </w:tcPr>
          <w:p w14:paraId="6A4F33A5"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 </w:t>
            </w:r>
          </w:p>
        </w:tc>
      </w:tr>
      <w:tr w:rsidR="00004F67" w:rsidRPr="00E76B85" w14:paraId="6D97491F" w14:textId="77777777" w:rsidTr="00E73E6A">
        <w:trPr>
          <w:trHeight w:val="428"/>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0F80D6E2" w14:textId="77777777" w:rsidR="00004F67" w:rsidRPr="00E76B85" w:rsidRDefault="00004F67" w:rsidP="00835F25">
            <w:pPr>
              <w:contextualSpacing/>
              <w:jc w:val="center"/>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4</w:t>
            </w:r>
          </w:p>
        </w:tc>
        <w:tc>
          <w:tcPr>
            <w:tcW w:w="4887" w:type="dxa"/>
            <w:tcBorders>
              <w:top w:val="nil"/>
              <w:left w:val="nil"/>
              <w:bottom w:val="single" w:sz="4" w:space="0" w:color="auto"/>
              <w:right w:val="single" w:sz="4" w:space="0" w:color="auto"/>
            </w:tcBorders>
            <w:shd w:val="clear" w:color="auto" w:fill="auto"/>
            <w:vAlign w:val="center"/>
            <w:hideMark/>
          </w:tcPr>
          <w:p w14:paraId="5CC05B44" w14:textId="77777777" w:rsidR="00004F67" w:rsidRPr="00E76B85" w:rsidRDefault="00004F67" w:rsidP="00835F25">
            <w:pPr>
              <w:contextualSpacing/>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Debe haber instrucciones para que se deje en claro la situación de endeudamiento y la capacidad de pago.</w:t>
            </w:r>
          </w:p>
        </w:tc>
        <w:tc>
          <w:tcPr>
            <w:tcW w:w="1417" w:type="dxa"/>
            <w:tcBorders>
              <w:top w:val="nil"/>
              <w:left w:val="nil"/>
              <w:bottom w:val="single" w:sz="4" w:space="0" w:color="auto"/>
              <w:right w:val="single" w:sz="4" w:space="0" w:color="auto"/>
            </w:tcBorders>
            <w:shd w:val="clear" w:color="auto" w:fill="auto"/>
            <w:vAlign w:val="center"/>
            <w:hideMark/>
          </w:tcPr>
          <w:p w14:paraId="5A7A1E43"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x</w:t>
            </w:r>
          </w:p>
        </w:tc>
        <w:tc>
          <w:tcPr>
            <w:tcW w:w="1457" w:type="dxa"/>
            <w:tcBorders>
              <w:top w:val="nil"/>
              <w:left w:val="nil"/>
              <w:bottom w:val="single" w:sz="4" w:space="0" w:color="auto"/>
              <w:right w:val="single" w:sz="4" w:space="0" w:color="auto"/>
            </w:tcBorders>
            <w:shd w:val="clear" w:color="auto" w:fill="auto"/>
            <w:vAlign w:val="center"/>
            <w:hideMark/>
          </w:tcPr>
          <w:p w14:paraId="19E7D306"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 </w:t>
            </w:r>
          </w:p>
        </w:tc>
      </w:tr>
      <w:tr w:rsidR="00004F67" w:rsidRPr="00E76B85" w14:paraId="787E092A" w14:textId="77777777" w:rsidTr="00E73E6A">
        <w:trPr>
          <w:trHeight w:val="579"/>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5FDD1016" w14:textId="77777777" w:rsidR="00004F67" w:rsidRPr="00E76B85" w:rsidRDefault="00004F67" w:rsidP="00835F25">
            <w:pPr>
              <w:contextualSpacing/>
              <w:jc w:val="center"/>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5</w:t>
            </w:r>
          </w:p>
        </w:tc>
        <w:tc>
          <w:tcPr>
            <w:tcW w:w="4887" w:type="dxa"/>
            <w:tcBorders>
              <w:top w:val="nil"/>
              <w:left w:val="nil"/>
              <w:bottom w:val="single" w:sz="4" w:space="0" w:color="auto"/>
              <w:right w:val="single" w:sz="4" w:space="0" w:color="auto"/>
            </w:tcBorders>
            <w:shd w:val="clear" w:color="auto" w:fill="auto"/>
            <w:vAlign w:val="center"/>
            <w:hideMark/>
          </w:tcPr>
          <w:p w14:paraId="3EBF1680" w14:textId="77777777" w:rsidR="00004F67" w:rsidRPr="00E76B85" w:rsidRDefault="00004F67" w:rsidP="00835F25">
            <w:pPr>
              <w:contextualSpacing/>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Tener una instrucción donde se estipule los elementos de los saldos contables (activos, pasivos, patrimonio, ingresos,</w:t>
            </w:r>
            <w:r>
              <w:rPr>
                <w:rFonts w:ascii="Arial" w:eastAsia="Times New Roman" w:hAnsi="Arial" w:cs="Arial"/>
                <w:color w:val="000000"/>
                <w:sz w:val="16"/>
                <w:szCs w:val="16"/>
                <w:lang w:val="es-CO" w:eastAsia="es-CO"/>
              </w:rPr>
              <w:t xml:space="preserve"> costos y cuentas de orden).</w:t>
            </w:r>
          </w:p>
        </w:tc>
        <w:tc>
          <w:tcPr>
            <w:tcW w:w="1417" w:type="dxa"/>
            <w:tcBorders>
              <w:top w:val="nil"/>
              <w:left w:val="nil"/>
              <w:bottom w:val="single" w:sz="4" w:space="0" w:color="auto"/>
              <w:right w:val="single" w:sz="4" w:space="0" w:color="auto"/>
            </w:tcBorders>
            <w:shd w:val="clear" w:color="auto" w:fill="auto"/>
            <w:vAlign w:val="center"/>
            <w:hideMark/>
          </w:tcPr>
          <w:p w14:paraId="43CF05AA"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x</w:t>
            </w:r>
          </w:p>
        </w:tc>
        <w:tc>
          <w:tcPr>
            <w:tcW w:w="1457" w:type="dxa"/>
            <w:tcBorders>
              <w:top w:val="nil"/>
              <w:left w:val="nil"/>
              <w:bottom w:val="single" w:sz="4" w:space="0" w:color="auto"/>
              <w:right w:val="single" w:sz="4" w:space="0" w:color="auto"/>
            </w:tcBorders>
            <w:shd w:val="clear" w:color="auto" w:fill="auto"/>
            <w:vAlign w:val="center"/>
            <w:hideMark/>
          </w:tcPr>
          <w:p w14:paraId="78192A70"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 </w:t>
            </w:r>
          </w:p>
        </w:tc>
      </w:tr>
      <w:tr w:rsidR="00004F67" w:rsidRPr="00E76B85" w14:paraId="471FC770" w14:textId="77777777" w:rsidTr="00E73E6A">
        <w:trPr>
          <w:trHeight w:val="307"/>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1632817A" w14:textId="77777777" w:rsidR="00004F67" w:rsidRPr="00E76B85" w:rsidRDefault="00004F67" w:rsidP="00835F25">
            <w:pPr>
              <w:contextualSpacing/>
              <w:jc w:val="center"/>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6</w:t>
            </w:r>
          </w:p>
        </w:tc>
        <w:tc>
          <w:tcPr>
            <w:tcW w:w="4887" w:type="dxa"/>
            <w:tcBorders>
              <w:top w:val="nil"/>
              <w:left w:val="nil"/>
              <w:bottom w:val="single" w:sz="4" w:space="0" w:color="auto"/>
              <w:right w:val="single" w:sz="4" w:space="0" w:color="auto"/>
            </w:tcBorders>
            <w:shd w:val="clear" w:color="auto" w:fill="auto"/>
            <w:vAlign w:val="center"/>
            <w:hideMark/>
          </w:tcPr>
          <w:p w14:paraId="2A9DEA7B" w14:textId="77777777" w:rsidR="00004F67" w:rsidRPr="00E76B85" w:rsidRDefault="00004F67" w:rsidP="00835F25">
            <w:pPr>
              <w:contextualSpacing/>
              <w:rPr>
                <w:rFonts w:ascii="Arial" w:eastAsia="Times New Roman" w:hAnsi="Arial" w:cs="Arial"/>
                <w:color w:val="000000"/>
                <w:sz w:val="16"/>
                <w:szCs w:val="16"/>
                <w:lang w:val="es-CO" w:eastAsia="es-CO"/>
              </w:rPr>
            </w:pPr>
            <w:r w:rsidRPr="00E76B85">
              <w:rPr>
                <w:rFonts w:ascii="Arial" w:eastAsia="Times New Roman" w:hAnsi="Arial" w:cs="Arial"/>
                <w:color w:val="000000"/>
                <w:sz w:val="16"/>
                <w:szCs w:val="16"/>
                <w:lang w:val="es-CO" w:eastAsia="es-CO"/>
              </w:rPr>
              <w:t>Señalar la fecha del cierre contable.</w:t>
            </w:r>
          </w:p>
        </w:tc>
        <w:tc>
          <w:tcPr>
            <w:tcW w:w="1417" w:type="dxa"/>
            <w:tcBorders>
              <w:top w:val="nil"/>
              <w:left w:val="nil"/>
              <w:bottom w:val="single" w:sz="4" w:space="0" w:color="auto"/>
              <w:right w:val="single" w:sz="4" w:space="0" w:color="auto"/>
            </w:tcBorders>
            <w:shd w:val="clear" w:color="auto" w:fill="auto"/>
            <w:vAlign w:val="center"/>
            <w:hideMark/>
          </w:tcPr>
          <w:p w14:paraId="07393D44"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x</w:t>
            </w:r>
          </w:p>
        </w:tc>
        <w:tc>
          <w:tcPr>
            <w:tcW w:w="1457" w:type="dxa"/>
            <w:tcBorders>
              <w:top w:val="nil"/>
              <w:left w:val="nil"/>
              <w:bottom w:val="single" w:sz="4" w:space="0" w:color="auto"/>
              <w:right w:val="single" w:sz="4" w:space="0" w:color="auto"/>
            </w:tcBorders>
            <w:shd w:val="clear" w:color="auto" w:fill="auto"/>
            <w:vAlign w:val="center"/>
            <w:hideMark/>
          </w:tcPr>
          <w:p w14:paraId="39EFFF3E" w14:textId="77777777" w:rsidR="00004F67" w:rsidRPr="00E76B85" w:rsidRDefault="00004F67" w:rsidP="00835F25">
            <w:pPr>
              <w:contextualSpacing/>
              <w:jc w:val="center"/>
              <w:rPr>
                <w:rFonts w:ascii="Calibri" w:eastAsia="Times New Roman" w:hAnsi="Calibri" w:cs="Calibri"/>
                <w:color w:val="000000"/>
                <w:sz w:val="22"/>
                <w:szCs w:val="22"/>
                <w:lang w:val="es-CO" w:eastAsia="es-CO"/>
              </w:rPr>
            </w:pPr>
            <w:r w:rsidRPr="00E76B85">
              <w:rPr>
                <w:rFonts w:ascii="Calibri" w:eastAsia="Times New Roman" w:hAnsi="Calibri" w:cs="Calibri"/>
                <w:color w:val="000000"/>
                <w:sz w:val="22"/>
                <w:szCs w:val="22"/>
                <w:lang w:val="es-CO" w:eastAsia="es-CO"/>
              </w:rPr>
              <w:t> </w:t>
            </w:r>
          </w:p>
        </w:tc>
      </w:tr>
    </w:tbl>
    <w:p w14:paraId="2932EC54" w14:textId="77777777" w:rsidR="00F622EA" w:rsidRPr="00A71FBC" w:rsidRDefault="00F622EA" w:rsidP="00835F25">
      <w:pPr>
        <w:contextualSpacing/>
        <w:jc w:val="center"/>
        <w:rPr>
          <w:rFonts w:ascii="Arial" w:hAnsi="Arial" w:cs="Arial"/>
          <w:lang w:eastAsia="en-US"/>
        </w:rPr>
      </w:pPr>
      <w:r w:rsidRPr="00A71FBC">
        <w:rPr>
          <w:rFonts w:ascii="Arial" w:hAnsi="Arial" w:cs="Arial"/>
          <w:sz w:val="16"/>
          <w:szCs w:val="16"/>
        </w:rPr>
        <w:t xml:space="preserve">Fuente: Elaboración DAF a </w:t>
      </w:r>
      <w:r w:rsidR="00442ACD">
        <w:rPr>
          <w:rFonts w:ascii="Arial" w:hAnsi="Arial" w:cs="Arial"/>
          <w:sz w:val="16"/>
          <w:szCs w:val="16"/>
        </w:rPr>
        <w:t>partir</w:t>
      </w:r>
      <w:r w:rsidR="00442ACD" w:rsidRPr="00A71FBC">
        <w:rPr>
          <w:rFonts w:ascii="Arial" w:hAnsi="Arial" w:cs="Arial"/>
          <w:sz w:val="16"/>
          <w:szCs w:val="16"/>
        </w:rPr>
        <w:t xml:space="preserve"> </w:t>
      </w:r>
      <w:r w:rsidRPr="00A71FBC">
        <w:rPr>
          <w:rFonts w:ascii="Arial" w:hAnsi="Arial" w:cs="Arial"/>
          <w:sz w:val="16"/>
          <w:szCs w:val="16"/>
        </w:rPr>
        <w:t>de</w:t>
      </w:r>
      <w:r>
        <w:rPr>
          <w:rFonts w:ascii="Arial" w:hAnsi="Arial" w:cs="Arial"/>
          <w:sz w:val="16"/>
          <w:szCs w:val="16"/>
        </w:rPr>
        <w:t xml:space="preserve"> la información remitida por la Entidad Territorial</w:t>
      </w:r>
      <w:r w:rsidRPr="00A71FBC">
        <w:rPr>
          <w:rFonts w:ascii="Arial" w:hAnsi="Arial" w:cs="Arial"/>
          <w:sz w:val="16"/>
          <w:szCs w:val="16"/>
        </w:rPr>
        <w:t>.</w:t>
      </w:r>
    </w:p>
    <w:p w14:paraId="21A127C9" w14:textId="77777777" w:rsidR="00004F67" w:rsidRDefault="00004F67" w:rsidP="00835F25">
      <w:pPr>
        <w:contextualSpacing/>
        <w:jc w:val="both"/>
        <w:rPr>
          <w:rFonts w:ascii="Arial" w:eastAsia="Calibri" w:hAnsi="Arial" w:cs="Arial"/>
          <w:sz w:val="22"/>
          <w:szCs w:val="22"/>
          <w:lang w:val="es-CO" w:eastAsia="en-US"/>
        </w:rPr>
      </w:pPr>
    </w:p>
    <w:p w14:paraId="3E80189F" w14:textId="77777777" w:rsidR="00533D74" w:rsidRDefault="00004F67"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Luego de la revisión de los documentos enviados por la Alcaldía</w:t>
      </w:r>
      <w:r w:rsidR="00533D74">
        <w:rPr>
          <w:rFonts w:ascii="Arial" w:eastAsia="Calibri" w:hAnsi="Arial" w:cs="Arial"/>
          <w:sz w:val="22"/>
          <w:szCs w:val="22"/>
          <w:lang w:val="es-CO" w:eastAsia="en-US"/>
        </w:rPr>
        <w:t xml:space="preserve"> Distrital</w:t>
      </w:r>
      <w:r>
        <w:rPr>
          <w:rFonts w:ascii="Arial" w:eastAsia="Calibri" w:hAnsi="Arial" w:cs="Arial"/>
          <w:sz w:val="22"/>
          <w:szCs w:val="22"/>
          <w:lang w:val="es-CO" w:eastAsia="en-US"/>
        </w:rPr>
        <w:t>, se concluyó que la Entidad Territorial cumple en su totalidad con todos los criterios mostrados anteriormente.</w:t>
      </w:r>
    </w:p>
    <w:p w14:paraId="533D53FE" w14:textId="77777777" w:rsidR="00635D1C" w:rsidRDefault="00635D1C" w:rsidP="00835F25">
      <w:pPr>
        <w:contextualSpacing/>
        <w:jc w:val="both"/>
        <w:rPr>
          <w:rFonts w:ascii="Arial" w:eastAsia="Calibri" w:hAnsi="Arial" w:cs="Arial"/>
          <w:sz w:val="22"/>
          <w:szCs w:val="22"/>
          <w:lang w:val="es-CO" w:eastAsia="en-US"/>
        </w:rPr>
      </w:pPr>
    </w:p>
    <w:p w14:paraId="72CC1502" w14:textId="77777777" w:rsidR="00004F67" w:rsidRDefault="007224BB"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lastRenderedPageBreak/>
        <w:t>En primer lugar</w:t>
      </w:r>
      <w:r w:rsidR="00004F67">
        <w:rPr>
          <w:rFonts w:ascii="Arial" w:eastAsia="Calibri" w:hAnsi="Arial" w:cs="Arial"/>
          <w:sz w:val="22"/>
          <w:szCs w:val="22"/>
          <w:lang w:val="es-CO" w:eastAsia="en-US"/>
        </w:rPr>
        <w:t xml:space="preserve">, se cumplió con el criterio de publicidad ya que se deja claro que se debe garantizar </w:t>
      </w:r>
      <w:r>
        <w:rPr>
          <w:rFonts w:ascii="Arial" w:eastAsia="Calibri" w:hAnsi="Arial" w:cs="Arial"/>
          <w:sz w:val="22"/>
          <w:szCs w:val="22"/>
          <w:lang w:val="es-CO" w:eastAsia="en-US"/>
        </w:rPr>
        <w:t xml:space="preserve">que </w:t>
      </w:r>
      <w:r w:rsidR="00004F67">
        <w:rPr>
          <w:rFonts w:ascii="Arial" w:eastAsia="Calibri" w:hAnsi="Arial" w:cs="Arial"/>
          <w:sz w:val="22"/>
          <w:szCs w:val="22"/>
          <w:lang w:val="es-CO" w:eastAsia="en-US"/>
        </w:rPr>
        <w:t xml:space="preserve">la información contable sea publicada y que esta se debe hacer a través de la </w:t>
      </w:r>
      <w:r w:rsidRPr="00B3648E">
        <w:rPr>
          <w:rFonts w:ascii="Arial" w:eastAsia="Calibri" w:hAnsi="Arial" w:cs="Arial"/>
          <w:i/>
          <w:iCs/>
          <w:sz w:val="22"/>
          <w:szCs w:val="22"/>
          <w:lang w:val="es-CO" w:eastAsia="en-US"/>
        </w:rPr>
        <w:t>W</w:t>
      </w:r>
      <w:r w:rsidR="00004F67" w:rsidRPr="00B3648E">
        <w:rPr>
          <w:rFonts w:ascii="Arial" w:eastAsia="Calibri" w:hAnsi="Arial" w:cs="Arial"/>
          <w:i/>
          <w:iCs/>
          <w:sz w:val="22"/>
          <w:szCs w:val="22"/>
          <w:lang w:val="es-CO" w:eastAsia="en-US"/>
        </w:rPr>
        <w:t>eb</w:t>
      </w:r>
      <w:r w:rsidR="00004F67">
        <w:rPr>
          <w:rFonts w:ascii="Arial" w:eastAsia="Calibri" w:hAnsi="Arial" w:cs="Arial"/>
          <w:sz w:val="22"/>
          <w:szCs w:val="22"/>
          <w:lang w:val="es-CO" w:eastAsia="en-US"/>
        </w:rPr>
        <w:t xml:space="preserve">. </w:t>
      </w:r>
      <w:r>
        <w:rPr>
          <w:rFonts w:ascii="Arial" w:eastAsia="Calibri" w:hAnsi="Arial" w:cs="Arial"/>
          <w:sz w:val="22"/>
          <w:szCs w:val="22"/>
          <w:lang w:val="es-CO" w:eastAsia="en-US"/>
        </w:rPr>
        <w:t>En s</w:t>
      </w:r>
      <w:r w:rsidR="00004F67">
        <w:rPr>
          <w:rFonts w:ascii="Arial" w:eastAsia="Calibri" w:hAnsi="Arial" w:cs="Arial"/>
          <w:sz w:val="22"/>
          <w:szCs w:val="22"/>
          <w:lang w:val="es-CO" w:eastAsia="en-US"/>
        </w:rPr>
        <w:t>egundo</w:t>
      </w:r>
      <w:r w:rsidR="00E73E6A">
        <w:rPr>
          <w:rFonts w:ascii="Arial" w:eastAsia="Calibri" w:hAnsi="Arial" w:cs="Arial"/>
          <w:sz w:val="22"/>
          <w:szCs w:val="22"/>
          <w:lang w:val="es-CO" w:eastAsia="en-US"/>
        </w:rPr>
        <w:t xml:space="preserve"> lugar</w:t>
      </w:r>
      <w:r w:rsidR="00004F67">
        <w:rPr>
          <w:rFonts w:ascii="Arial" w:eastAsia="Calibri" w:hAnsi="Arial" w:cs="Arial"/>
          <w:sz w:val="22"/>
          <w:szCs w:val="22"/>
          <w:lang w:val="es-CO" w:eastAsia="en-US"/>
        </w:rPr>
        <w:t xml:space="preserve">, se especifican los cargos de las personas encargadas. </w:t>
      </w:r>
      <w:r>
        <w:rPr>
          <w:rFonts w:ascii="Arial" w:eastAsia="Calibri" w:hAnsi="Arial" w:cs="Arial"/>
          <w:sz w:val="22"/>
          <w:szCs w:val="22"/>
          <w:lang w:val="es-CO" w:eastAsia="en-US"/>
        </w:rPr>
        <w:t>En t</w:t>
      </w:r>
      <w:r w:rsidR="00004F67">
        <w:rPr>
          <w:rFonts w:ascii="Arial" w:eastAsia="Calibri" w:hAnsi="Arial" w:cs="Arial"/>
          <w:sz w:val="22"/>
          <w:szCs w:val="22"/>
          <w:lang w:val="es-CO" w:eastAsia="en-US"/>
        </w:rPr>
        <w:t>ercer</w:t>
      </w:r>
      <w:r>
        <w:rPr>
          <w:rFonts w:ascii="Arial" w:eastAsia="Calibri" w:hAnsi="Arial" w:cs="Arial"/>
          <w:sz w:val="22"/>
          <w:szCs w:val="22"/>
          <w:lang w:val="es-CO" w:eastAsia="en-US"/>
        </w:rPr>
        <w:t xml:space="preserve"> lugar</w:t>
      </w:r>
      <w:r w:rsidR="00004F67">
        <w:rPr>
          <w:rFonts w:ascii="Arial" w:eastAsia="Calibri" w:hAnsi="Arial" w:cs="Arial"/>
          <w:sz w:val="22"/>
          <w:szCs w:val="22"/>
          <w:lang w:val="es-CO" w:eastAsia="en-US"/>
        </w:rPr>
        <w:t xml:space="preserve">, hay un proceso de comprobación que se da a través de mecanismos como el seguimiento a las variaciones trimestrales significativas. </w:t>
      </w:r>
      <w:r>
        <w:rPr>
          <w:rFonts w:ascii="Arial" w:eastAsia="Calibri" w:hAnsi="Arial" w:cs="Arial"/>
          <w:sz w:val="22"/>
          <w:szCs w:val="22"/>
          <w:lang w:val="es-CO" w:eastAsia="en-US"/>
        </w:rPr>
        <w:t>En c</w:t>
      </w:r>
      <w:r w:rsidR="00004F67">
        <w:rPr>
          <w:rFonts w:ascii="Arial" w:eastAsia="Calibri" w:hAnsi="Arial" w:cs="Arial"/>
          <w:sz w:val="22"/>
          <w:szCs w:val="22"/>
          <w:lang w:val="es-CO" w:eastAsia="en-US"/>
        </w:rPr>
        <w:t xml:space="preserve">uarto, se cumple con el análisis de la capacidad de pago a través de procesos que se titulan “mantenimiento”, en donde también se analizan las deudas. </w:t>
      </w:r>
      <w:r>
        <w:rPr>
          <w:rFonts w:ascii="Arial" w:eastAsia="Calibri" w:hAnsi="Arial" w:cs="Arial"/>
          <w:sz w:val="22"/>
          <w:szCs w:val="22"/>
          <w:lang w:val="es-CO" w:eastAsia="en-US"/>
        </w:rPr>
        <w:t>En q</w:t>
      </w:r>
      <w:r w:rsidR="00004F67">
        <w:rPr>
          <w:rFonts w:ascii="Arial" w:eastAsia="Calibri" w:hAnsi="Arial" w:cs="Arial"/>
          <w:sz w:val="22"/>
          <w:szCs w:val="22"/>
          <w:lang w:val="es-CO" w:eastAsia="en-US"/>
        </w:rPr>
        <w:t xml:space="preserve">uinto, se vinculan en el manual en su totalidad todos los elementos de los saldos contables estipulados en el criterio número cinco. </w:t>
      </w:r>
      <w:r>
        <w:rPr>
          <w:rFonts w:ascii="Arial" w:eastAsia="Calibri" w:hAnsi="Arial" w:cs="Arial"/>
          <w:sz w:val="22"/>
          <w:szCs w:val="22"/>
          <w:lang w:val="es-CO" w:eastAsia="en-US"/>
        </w:rPr>
        <w:t>Y en s</w:t>
      </w:r>
      <w:r w:rsidR="00004F67">
        <w:rPr>
          <w:rFonts w:ascii="Arial" w:eastAsia="Calibri" w:hAnsi="Arial" w:cs="Arial"/>
          <w:sz w:val="22"/>
          <w:szCs w:val="22"/>
          <w:lang w:val="es-CO" w:eastAsia="en-US"/>
        </w:rPr>
        <w:t>exto</w:t>
      </w:r>
      <w:r>
        <w:rPr>
          <w:rFonts w:ascii="Arial" w:eastAsia="Calibri" w:hAnsi="Arial" w:cs="Arial"/>
          <w:sz w:val="22"/>
          <w:szCs w:val="22"/>
          <w:lang w:val="es-CO" w:eastAsia="en-US"/>
        </w:rPr>
        <w:t xml:space="preserve"> lugar</w:t>
      </w:r>
      <w:r w:rsidR="00004F67">
        <w:rPr>
          <w:rFonts w:ascii="Arial" w:eastAsia="Calibri" w:hAnsi="Arial" w:cs="Arial"/>
          <w:sz w:val="22"/>
          <w:szCs w:val="22"/>
          <w:lang w:val="es-CO" w:eastAsia="en-US"/>
        </w:rPr>
        <w:t xml:space="preserve">, se señala que la fecha de cierre contable es el 31 de diciembre. </w:t>
      </w:r>
    </w:p>
    <w:p w14:paraId="1A4ED07C" w14:textId="77777777" w:rsidR="008F095B" w:rsidRPr="006021DA" w:rsidRDefault="008F095B" w:rsidP="00835F25">
      <w:pPr>
        <w:contextualSpacing/>
        <w:jc w:val="both"/>
        <w:rPr>
          <w:rFonts w:ascii="Arial" w:eastAsia="Calibri" w:hAnsi="Arial" w:cs="Arial"/>
          <w:sz w:val="22"/>
          <w:szCs w:val="22"/>
          <w:lang w:val="es-CO" w:eastAsia="en-US"/>
        </w:rPr>
      </w:pPr>
    </w:p>
    <w:p w14:paraId="5CA0E81B" w14:textId="77777777" w:rsidR="009D6BA8" w:rsidRPr="006021DA" w:rsidRDefault="009D6BA8"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EA2D44">
        <w:rPr>
          <w:rFonts w:ascii="Arial" w:eastAsia="Calibri" w:hAnsi="Arial" w:cs="Arial"/>
          <w:b/>
          <w:sz w:val="22"/>
          <w:szCs w:val="22"/>
          <w:lang w:val="es-CO" w:eastAsia="en-US"/>
        </w:rPr>
        <w:t>No Cumple.</w:t>
      </w:r>
    </w:p>
    <w:p w14:paraId="23F54374" w14:textId="77777777" w:rsidR="00DE1838" w:rsidRPr="006021DA" w:rsidRDefault="00DE1838" w:rsidP="00835F25">
      <w:pPr>
        <w:contextualSpacing/>
        <w:jc w:val="both"/>
        <w:rPr>
          <w:rFonts w:ascii="Arial" w:eastAsia="Calibri" w:hAnsi="Arial" w:cs="Arial"/>
          <w:b/>
          <w:sz w:val="22"/>
          <w:szCs w:val="22"/>
          <w:lang w:val="es-CO" w:eastAsia="en-US"/>
        </w:rPr>
      </w:pPr>
    </w:p>
    <w:p w14:paraId="13298559" w14:textId="77777777" w:rsidR="00DE1838" w:rsidRPr="006021DA" w:rsidRDefault="00DE1838"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Actividad 1.1.5. Llevar a cabo las conciliaciones bancarias de la Cuenta Maestra del Programa de Alimentación Escolar - PAE a nivel de todas las fuentes de financiación.</w:t>
      </w:r>
    </w:p>
    <w:p w14:paraId="3AED5065" w14:textId="77777777" w:rsidR="0034776F" w:rsidRPr="006021DA" w:rsidRDefault="0034776F" w:rsidP="00835F25">
      <w:pPr>
        <w:pStyle w:val="Sinespaciado"/>
        <w:contextualSpacing/>
        <w:rPr>
          <w:rFonts w:ascii="Arial" w:eastAsia="Times New Roman" w:hAnsi="Arial" w:cs="Arial"/>
          <w:szCs w:val="24"/>
          <w:lang w:val="es-ES" w:eastAsia="es-CO"/>
        </w:rPr>
      </w:pPr>
    </w:p>
    <w:p w14:paraId="3D31FAD9" w14:textId="77777777" w:rsidR="00735958" w:rsidRPr="00AC63AD" w:rsidRDefault="00735958" w:rsidP="00835F25">
      <w:pPr>
        <w:pStyle w:val="Sinespaciado"/>
        <w:contextualSpacing/>
        <w:rPr>
          <w:rFonts w:ascii="Arial" w:hAnsi="Arial" w:cs="Arial"/>
          <w:sz w:val="20"/>
        </w:rPr>
      </w:pPr>
      <w:r w:rsidRPr="00AC63AD">
        <w:rPr>
          <w:rFonts w:ascii="Arial" w:eastAsia="Times New Roman" w:hAnsi="Arial" w:cs="Arial"/>
          <w:szCs w:val="24"/>
          <w:lang w:val="es-ES" w:eastAsia="es-CO"/>
        </w:rPr>
        <w:t>La Entidad Territorial entregó las conciliaciones bancarias junto con sus soportes del período enero a diciembre de 202</w:t>
      </w:r>
      <w:r w:rsidR="00AC63AD" w:rsidRPr="00AC63AD">
        <w:rPr>
          <w:rFonts w:ascii="Arial" w:eastAsia="Times New Roman" w:hAnsi="Arial" w:cs="Arial"/>
          <w:szCs w:val="24"/>
          <w:lang w:val="es-ES" w:eastAsia="es-CO"/>
        </w:rPr>
        <w:t>1</w:t>
      </w:r>
      <w:r w:rsidRPr="00AC63AD">
        <w:rPr>
          <w:rFonts w:ascii="Arial" w:eastAsia="Times New Roman" w:hAnsi="Arial" w:cs="Arial"/>
          <w:szCs w:val="24"/>
          <w:lang w:val="es-ES" w:eastAsia="es-CO"/>
        </w:rPr>
        <w:t xml:space="preserve"> y </w:t>
      </w:r>
      <w:r w:rsidR="002E67D3">
        <w:rPr>
          <w:rFonts w:ascii="Arial" w:eastAsia="Times New Roman" w:hAnsi="Arial" w:cs="Arial"/>
          <w:szCs w:val="24"/>
          <w:lang w:val="es-ES" w:eastAsia="es-CO"/>
        </w:rPr>
        <w:t xml:space="preserve">enero a </w:t>
      </w:r>
      <w:r w:rsidR="00AC63AD" w:rsidRPr="00AC63AD">
        <w:rPr>
          <w:rFonts w:ascii="Arial" w:eastAsia="Times New Roman" w:hAnsi="Arial" w:cs="Arial"/>
          <w:szCs w:val="24"/>
          <w:lang w:val="es-ES" w:eastAsia="es-CO"/>
        </w:rPr>
        <w:t xml:space="preserve">marzo de </w:t>
      </w:r>
      <w:r w:rsidRPr="00AC63AD">
        <w:rPr>
          <w:rFonts w:ascii="Arial" w:eastAsia="Times New Roman" w:hAnsi="Arial" w:cs="Arial"/>
          <w:szCs w:val="24"/>
          <w:lang w:val="es-ES" w:eastAsia="es-CO"/>
        </w:rPr>
        <w:t>202</w:t>
      </w:r>
      <w:r w:rsidR="00AC63AD" w:rsidRPr="00AC63AD">
        <w:rPr>
          <w:rFonts w:ascii="Arial" w:eastAsia="Times New Roman" w:hAnsi="Arial" w:cs="Arial"/>
          <w:szCs w:val="24"/>
          <w:lang w:val="es-ES" w:eastAsia="es-CO"/>
        </w:rPr>
        <w:t>2</w:t>
      </w:r>
      <w:r w:rsidRPr="00AC63AD">
        <w:rPr>
          <w:rFonts w:ascii="Arial" w:eastAsia="Times New Roman" w:hAnsi="Arial" w:cs="Arial"/>
          <w:szCs w:val="24"/>
          <w:lang w:val="es-ES" w:eastAsia="es-CO"/>
        </w:rPr>
        <w:t xml:space="preserve">; sin embargo, se evidencia que el Libro Auxiliar de Contabilidad correspondiente a la Cuenta Maestra No. </w:t>
      </w:r>
      <w:r w:rsidR="00A129DE">
        <w:rPr>
          <w:rFonts w:ascii="Arial" w:eastAsia="Times New Roman" w:hAnsi="Arial" w:cs="Arial"/>
          <w:szCs w:val="24"/>
          <w:lang w:val="es-ES" w:eastAsia="es-CO"/>
        </w:rPr>
        <w:t>830-96726-6 del Banco de Occidente</w:t>
      </w:r>
      <w:r w:rsidRPr="00AC63AD">
        <w:rPr>
          <w:rFonts w:ascii="Arial" w:eastAsia="Times New Roman" w:hAnsi="Arial" w:cs="Arial"/>
          <w:szCs w:val="24"/>
          <w:lang w:val="es-ES" w:eastAsia="es-CO"/>
        </w:rPr>
        <w:t xml:space="preserve"> donde se </w:t>
      </w:r>
      <w:r w:rsidR="00A129DE">
        <w:rPr>
          <w:rFonts w:ascii="Arial" w:eastAsia="Times New Roman" w:hAnsi="Arial" w:cs="Arial"/>
          <w:szCs w:val="24"/>
          <w:lang w:val="es-ES" w:eastAsia="es-CO"/>
        </w:rPr>
        <w:t>administr</w:t>
      </w:r>
      <w:r w:rsidR="00FE5755">
        <w:rPr>
          <w:rFonts w:ascii="Arial" w:eastAsia="Times New Roman" w:hAnsi="Arial" w:cs="Arial"/>
          <w:szCs w:val="24"/>
          <w:lang w:val="es-ES" w:eastAsia="es-CO"/>
        </w:rPr>
        <w:t>aron</w:t>
      </w:r>
      <w:r w:rsidRPr="00AC63AD">
        <w:rPr>
          <w:rFonts w:ascii="Arial" w:eastAsia="Times New Roman" w:hAnsi="Arial" w:cs="Arial"/>
          <w:szCs w:val="24"/>
          <w:lang w:val="es-ES" w:eastAsia="es-CO"/>
        </w:rPr>
        <w:t xml:space="preserve"> los recursos del Programa de Alimentación Escolar</w:t>
      </w:r>
      <w:r w:rsidR="00A129DE">
        <w:rPr>
          <w:rFonts w:ascii="Arial" w:eastAsia="Times New Roman" w:hAnsi="Arial" w:cs="Arial"/>
          <w:szCs w:val="24"/>
          <w:lang w:val="es-ES" w:eastAsia="es-CO"/>
        </w:rPr>
        <w:t xml:space="preserve"> hasta principios del mes de diciembre de 2021 y la Cuenta Maestra No. 220-230-41201-7 del Banco Popular</w:t>
      </w:r>
      <w:r w:rsidRPr="00AC63AD">
        <w:rPr>
          <w:rFonts w:ascii="Arial" w:eastAsia="Times New Roman" w:hAnsi="Arial" w:cs="Arial"/>
          <w:szCs w:val="24"/>
          <w:lang w:val="es-ES" w:eastAsia="es-CO"/>
        </w:rPr>
        <w:t>, difiere materialmente de la realidad económica del Distrito,</w:t>
      </w:r>
      <w:r w:rsidR="00FC26CA">
        <w:rPr>
          <w:rFonts w:ascii="Arial" w:eastAsia="Times New Roman" w:hAnsi="Arial" w:cs="Arial"/>
          <w:szCs w:val="24"/>
          <w:lang w:val="es-ES" w:eastAsia="es-CO"/>
        </w:rPr>
        <w:t xml:space="preserve"> esto del resultado de </w:t>
      </w:r>
      <w:r w:rsidRPr="00AC63AD">
        <w:rPr>
          <w:rFonts w:ascii="Arial" w:eastAsia="Times New Roman" w:hAnsi="Arial" w:cs="Arial"/>
          <w:szCs w:val="24"/>
          <w:lang w:val="es-ES" w:eastAsia="es-CO"/>
        </w:rPr>
        <w:t>comparar mes a mes el saldo de los libros contables</w:t>
      </w:r>
      <w:r w:rsidR="00D755B7">
        <w:rPr>
          <w:rFonts w:ascii="Arial" w:eastAsia="Times New Roman" w:hAnsi="Arial" w:cs="Arial"/>
          <w:szCs w:val="24"/>
          <w:lang w:val="es-ES" w:eastAsia="es-CO"/>
        </w:rPr>
        <w:t xml:space="preserve"> con </w:t>
      </w:r>
      <w:r w:rsidR="00FC26CA">
        <w:rPr>
          <w:rFonts w:ascii="Arial" w:eastAsia="Times New Roman" w:hAnsi="Arial" w:cs="Arial"/>
          <w:szCs w:val="24"/>
          <w:lang w:val="es-ES" w:eastAsia="es-CO"/>
        </w:rPr>
        <w:t>el</w:t>
      </w:r>
      <w:r w:rsidR="00D755B7">
        <w:rPr>
          <w:rFonts w:ascii="Arial" w:eastAsia="Times New Roman" w:hAnsi="Arial" w:cs="Arial"/>
          <w:szCs w:val="24"/>
          <w:lang w:val="es-ES" w:eastAsia="es-CO"/>
        </w:rPr>
        <w:t xml:space="preserve"> saldo </w:t>
      </w:r>
      <w:r w:rsidRPr="00AC63AD">
        <w:rPr>
          <w:rFonts w:ascii="Arial" w:eastAsia="Times New Roman" w:hAnsi="Arial" w:cs="Arial"/>
          <w:szCs w:val="24"/>
          <w:lang w:val="es-ES" w:eastAsia="es-CO"/>
        </w:rPr>
        <w:t xml:space="preserve">del extracto bancario; como se </w:t>
      </w:r>
      <w:r w:rsidR="00A129DE">
        <w:rPr>
          <w:rFonts w:ascii="Arial" w:eastAsia="Times New Roman" w:hAnsi="Arial" w:cs="Arial"/>
          <w:szCs w:val="24"/>
          <w:lang w:val="es-ES" w:eastAsia="es-CO"/>
        </w:rPr>
        <w:t xml:space="preserve">observa en la Tabla </w:t>
      </w:r>
      <w:r w:rsidR="00FE5755">
        <w:rPr>
          <w:rFonts w:ascii="Arial" w:eastAsia="Times New Roman" w:hAnsi="Arial" w:cs="Arial"/>
          <w:szCs w:val="24"/>
          <w:lang w:val="es-ES" w:eastAsia="es-CO"/>
        </w:rPr>
        <w:t xml:space="preserve">No. </w:t>
      </w:r>
      <w:r w:rsidR="00A129DE">
        <w:rPr>
          <w:rFonts w:ascii="Arial" w:eastAsia="Times New Roman" w:hAnsi="Arial" w:cs="Arial"/>
          <w:szCs w:val="24"/>
          <w:lang w:val="es-ES" w:eastAsia="es-CO"/>
        </w:rPr>
        <w:t>1</w:t>
      </w:r>
      <w:r w:rsidR="007224BB">
        <w:rPr>
          <w:rFonts w:ascii="Arial" w:eastAsia="Times New Roman" w:hAnsi="Arial" w:cs="Arial"/>
          <w:szCs w:val="24"/>
          <w:lang w:val="es-ES" w:eastAsia="es-CO"/>
        </w:rPr>
        <w:t>7</w:t>
      </w:r>
      <w:r w:rsidR="00A129DE">
        <w:rPr>
          <w:rFonts w:ascii="Arial" w:eastAsia="Times New Roman" w:hAnsi="Arial" w:cs="Arial"/>
          <w:szCs w:val="24"/>
          <w:lang w:val="es-ES" w:eastAsia="es-CO"/>
        </w:rPr>
        <w:t>.</w:t>
      </w:r>
    </w:p>
    <w:p w14:paraId="41712D99" w14:textId="77777777" w:rsidR="00735958" w:rsidRPr="00AC63AD" w:rsidRDefault="00735958" w:rsidP="00835F25">
      <w:pPr>
        <w:pStyle w:val="Sinespaciado"/>
        <w:contextualSpacing/>
        <w:rPr>
          <w:rFonts w:ascii="Arial" w:hAnsi="Arial" w:cs="Arial"/>
          <w:sz w:val="20"/>
        </w:rPr>
      </w:pPr>
    </w:p>
    <w:p w14:paraId="2DEF2D76" w14:textId="77777777" w:rsidR="00DC5A55" w:rsidRPr="00581D22" w:rsidRDefault="0056273C" w:rsidP="00835F25">
      <w:pPr>
        <w:pStyle w:val="Sinespaciado"/>
        <w:contextualSpacing/>
        <w:rPr>
          <w:rFonts w:ascii="Arial" w:eastAsia="Times New Roman" w:hAnsi="Arial" w:cs="Arial"/>
          <w:szCs w:val="24"/>
          <w:lang w:val="es-ES" w:eastAsia="es-CO"/>
        </w:rPr>
      </w:pPr>
      <w:r>
        <w:rPr>
          <w:rFonts w:ascii="Arial" w:eastAsia="Times New Roman" w:hAnsi="Arial" w:cs="Arial"/>
          <w:szCs w:val="24"/>
          <w:lang w:val="es-ES" w:eastAsia="es-CO"/>
        </w:rPr>
        <w:t>En línea con lo anterior</w:t>
      </w:r>
      <w:r w:rsidR="00735958" w:rsidRPr="00AC63AD">
        <w:rPr>
          <w:rFonts w:ascii="Arial" w:eastAsia="Times New Roman" w:hAnsi="Arial" w:cs="Arial"/>
          <w:szCs w:val="24"/>
          <w:lang w:val="es-ES" w:eastAsia="es-CO"/>
        </w:rPr>
        <w:t>, según</w:t>
      </w:r>
      <w:r w:rsidR="00581D22">
        <w:rPr>
          <w:rFonts w:ascii="Arial" w:eastAsia="Times New Roman" w:hAnsi="Arial" w:cs="Arial"/>
          <w:szCs w:val="24"/>
          <w:lang w:val="es-ES" w:eastAsia="es-CO"/>
        </w:rPr>
        <w:t xml:space="preserve"> los</w:t>
      </w:r>
      <w:r w:rsidR="00735958" w:rsidRPr="00AC63AD">
        <w:rPr>
          <w:rFonts w:ascii="Arial" w:eastAsia="Times New Roman" w:hAnsi="Arial" w:cs="Arial"/>
          <w:szCs w:val="24"/>
          <w:lang w:val="es-ES" w:eastAsia="es-CO"/>
        </w:rPr>
        <w:t xml:space="preserve"> </w:t>
      </w:r>
      <w:r w:rsidR="00DC5A55">
        <w:rPr>
          <w:rFonts w:ascii="Arial" w:eastAsia="Times New Roman" w:hAnsi="Arial" w:cs="Arial"/>
          <w:szCs w:val="24"/>
          <w:lang w:val="es-ES" w:eastAsia="es-CO"/>
        </w:rPr>
        <w:t>formatos de conciliaciones bancarias</w:t>
      </w:r>
      <w:r w:rsidR="00735958" w:rsidRPr="00AC63AD">
        <w:rPr>
          <w:rFonts w:ascii="Arial" w:eastAsia="Times New Roman" w:hAnsi="Arial" w:cs="Arial"/>
          <w:szCs w:val="24"/>
          <w:lang w:val="es-ES" w:eastAsia="es-CO"/>
        </w:rPr>
        <w:t xml:space="preserve"> entregados por el Distrito el saldo de la Cuenta Maestra de Alimentación Escolar</w:t>
      </w:r>
      <w:r w:rsidR="00C5526A">
        <w:rPr>
          <w:rFonts w:ascii="Arial" w:eastAsia="Times New Roman" w:hAnsi="Arial" w:cs="Arial"/>
          <w:szCs w:val="24"/>
          <w:lang w:val="es-ES" w:eastAsia="es-CO"/>
        </w:rPr>
        <w:t xml:space="preserve"> del Banco de Occidente</w:t>
      </w:r>
      <w:r w:rsidR="00DC5A55">
        <w:rPr>
          <w:rFonts w:ascii="Arial" w:eastAsia="Times New Roman" w:hAnsi="Arial" w:cs="Arial"/>
          <w:szCs w:val="24"/>
          <w:lang w:val="es-ES" w:eastAsia="es-CO"/>
        </w:rPr>
        <w:t xml:space="preserve"> difiere en los meses entre abril y junio de 2021 bajo el concepto </w:t>
      </w:r>
      <w:r w:rsidR="00DC5A55" w:rsidRPr="00DC5A55">
        <w:rPr>
          <w:rFonts w:ascii="Arial" w:eastAsia="Times New Roman" w:hAnsi="Arial" w:cs="Arial"/>
          <w:i/>
          <w:iCs/>
          <w:szCs w:val="24"/>
          <w:lang w:val="es-ES" w:eastAsia="es-CO"/>
        </w:rPr>
        <w:t>“diferencia en traslado estampillas</w:t>
      </w:r>
      <w:r w:rsidR="00DC5A55" w:rsidRPr="00DC5A55">
        <w:rPr>
          <w:rFonts w:ascii="Arial" w:hAnsi="Arial" w:cs="Arial"/>
          <w:i/>
          <w:iCs/>
          <w:sz w:val="18"/>
          <w:szCs w:val="18"/>
        </w:rPr>
        <w:t>”</w:t>
      </w:r>
      <w:r w:rsidR="00DC5A55">
        <w:rPr>
          <w:rFonts w:ascii="Arial" w:eastAsia="Times New Roman" w:hAnsi="Arial" w:cs="Arial"/>
          <w:szCs w:val="24"/>
          <w:lang w:val="es-ES" w:eastAsia="es-CO"/>
        </w:rPr>
        <w:t xml:space="preserve"> y entre agosto y septiembre de la misma vigencia con la denominación </w:t>
      </w:r>
      <w:r w:rsidR="00DC5A55" w:rsidRPr="00DC5A55">
        <w:rPr>
          <w:rFonts w:ascii="Arial" w:eastAsia="Times New Roman" w:hAnsi="Arial" w:cs="Arial"/>
          <w:i/>
          <w:iCs/>
          <w:szCs w:val="24"/>
          <w:lang w:val="es-ES" w:eastAsia="es-CO"/>
        </w:rPr>
        <w:t>“giro recibido desde cenit”</w:t>
      </w:r>
      <w:r w:rsidR="00DC5A55">
        <w:rPr>
          <w:rFonts w:ascii="Arial" w:eastAsia="Times New Roman" w:hAnsi="Arial" w:cs="Arial"/>
          <w:i/>
          <w:iCs/>
          <w:szCs w:val="24"/>
          <w:lang w:val="es-ES" w:eastAsia="es-CO"/>
        </w:rPr>
        <w:t xml:space="preserve"> y “</w:t>
      </w:r>
      <w:r w:rsidR="00DC5A55" w:rsidRPr="00DC5A55">
        <w:rPr>
          <w:rFonts w:ascii="Arial" w:eastAsia="Times New Roman" w:hAnsi="Arial" w:cs="Arial"/>
          <w:i/>
          <w:iCs/>
          <w:szCs w:val="24"/>
          <w:lang w:val="es-ES" w:eastAsia="es-CO"/>
        </w:rPr>
        <w:t>traslado descuentos y estampillas</w:t>
      </w:r>
      <w:r w:rsidR="00DC5A55">
        <w:rPr>
          <w:rFonts w:ascii="Arial" w:eastAsia="Times New Roman" w:hAnsi="Arial" w:cs="Arial"/>
          <w:i/>
          <w:iCs/>
          <w:szCs w:val="24"/>
          <w:lang w:val="es-ES" w:eastAsia="es-CO"/>
        </w:rPr>
        <w:t xml:space="preserve">”, </w:t>
      </w:r>
      <w:r w:rsidR="00581D22">
        <w:rPr>
          <w:rFonts w:ascii="Arial" w:eastAsia="Times New Roman" w:hAnsi="Arial" w:cs="Arial"/>
          <w:szCs w:val="24"/>
          <w:lang w:val="es-ES" w:eastAsia="es-CO"/>
        </w:rPr>
        <w:t xml:space="preserve">sobre el segundo, llama la atención que dentro del formato de conciliación bancaria a su vez esta diferencia la clasifiquen como </w:t>
      </w:r>
      <w:r w:rsidR="00581D22" w:rsidRPr="00581D22">
        <w:rPr>
          <w:rFonts w:ascii="Arial" w:eastAsia="Times New Roman" w:hAnsi="Arial" w:cs="Arial"/>
          <w:i/>
          <w:iCs/>
          <w:szCs w:val="24"/>
          <w:lang w:val="es-ES" w:eastAsia="es-CO"/>
        </w:rPr>
        <w:t>“Cheques pendientes de Cobros”</w:t>
      </w:r>
      <w:r w:rsidR="00581D22">
        <w:rPr>
          <w:rFonts w:ascii="Arial" w:eastAsia="Times New Roman" w:hAnsi="Arial" w:cs="Arial"/>
          <w:i/>
          <w:iCs/>
          <w:szCs w:val="24"/>
          <w:lang w:val="es-ES" w:eastAsia="es-CO"/>
        </w:rPr>
        <w:t xml:space="preserve"> </w:t>
      </w:r>
      <w:r w:rsidR="00581D22">
        <w:rPr>
          <w:rFonts w:ascii="Arial" w:eastAsia="Times New Roman" w:hAnsi="Arial" w:cs="Arial"/>
          <w:szCs w:val="24"/>
          <w:lang w:val="es-ES" w:eastAsia="es-CO"/>
        </w:rPr>
        <w:t>en la sección de Notas Créditos. Esto teniendo en cuenta que por disposición expresa de las resoluciones reglamentarias de las Cuentas Maestras</w:t>
      </w:r>
      <w:r w:rsidR="00581D22">
        <w:rPr>
          <w:rStyle w:val="Refdenotaalpie"/>
          <w:rFonts w:ascii="Arial" w:eastAsia="Times New Roman" w:hAnsi="Arial" w:cs="Arial"/>
          <w:szCs w:val="24"/>
          <w:lang w:val="es-ES" w:eastAsia="es-CO"/>
        </w:rPr>
        <w:footnoteReference w:id="10"/>
      </w:r>
      <w:r w:rsidR="00581D22">
        <w:rPr>
          <w:rFonts w:ascii="Arial" w:eastAsia="Times New Roman" w:hAnsi="Arial" w:cs="Arial"/>
          <w:szCs w:val="24"/>
          <w:lang w:val="es-ES" w:eastAsia="es-CO"/>
        </w:rPr>
        <w:t xml:space="preserve">, </w:t>
      </w:r>
      <w:r w:rsidR="005D0FC2">
        <w:rPr>
          <w:rFonts w:ascii="Arial" w:eastAsia="Times New Roman" w:hAnsi="Arial" w:cs="Arial"/>
          <w:szCs w:val="24"/>
          <w:lang w:val="es-ES" w:eastAsia="es-CO"/>
        </w:rPr>
        <w:t xml:space="preserve">estás </w:t>
      </w:r>
      <w:r w:rsidR="00581D22">
        <w:rPr>
          <w:rFonts w:ascii="Arial" w:eastAsia="Times New Roman" w:hAnsi="Arial" w:cs="Arial"/>
          <w:szCs w:val="24"/>
          <w:lang w:val="es-ES" w:eastAsia="es-CO"/>
        </w:rPr>
        <w:t>no permiten la expedición de cheques.</w:t>
      </w:r>
    </w:p>
    <w:p w14:paraId="4BAFCA67" w14:textId="77777777" w:rsidR="00F02D8E" w:rsidRPr="00AC63AD" w:rsidRDefault="00F02D8E" w:rsidP="00835F25">
      <w:pPr>
        <w:pStyle w:val="Sinespaciado"/>
        <w:contextualSpacing/>
        <w:rPr>
          <w:rFonts w:ascii="Arial" w:eastAsia="Times New Roman" w:hAnsi="Arial" w:cs="Arial"/>
          <w:szCs w:val="24"/>
          <w:lang w:val="es-ES" w:eastAsia="es-CO"/>
        </w:rPr>
      </w:pPr>
    </w:p>
    <w:p w14:paraId="31F4B6A6" w14:textId="77777777" w:rsidR="00F02D8E" w:rsidRDefault="00F02D8E" w:rsidP="00835F25">
      <w:pPr>
        <w:pStyle w:val="Sinespaciado"/>
        <w:contextualSpacing/>
        <w:rPr>
          <w:rFonts w:ascii="Arial" w:hAnsi="Arial" w:cs="Arial"/>
        </w:rPr>
      </w:pPr>
      <w:r>
        <w:rPr>
          <w:rFonts w:ascii="Arial" w:hAnsi="Arial" w:cs="Arial"/>
        </w:rPr>
        <w:t>En contraste para</w:t>
      </w:r>
      <w:r w:rsidR="00735958" w:rsidRPr="00AC63AD">
        <w:rPr>
          <w:rFonts w:ascii="Arial" w:hAnsi="Arial" w:cs="Arial"/>
        </w:rPr>
        <w:t xml:space="preserve"> </w:t>
      </w:r>
      <w:r>
        <w:rPr>
          <w:rFonts w:ascii="Arial" w:hAnsi="Arial" w:cs="Arial"/>
        </w:rPr>
        <w:t>el per</w:t>
      </w:r>
      <w:r w:rsidR="007224BB">
        <w:rPr>
          <w:rFonts w:ascii="Arial" w:hAnsi="Arial" w:cs="Arial"/>
        </w:rPr>
        <w:t>í</w:t>
      </w:r>
      <w:r>
        <w:rPr>
          <w:rFonts w:ascii="Arial" w:hAnsi="Arial" w:cs="Arial"/>
        </w:rPr>
        <w:t>odo enero a marzo de la vigencia fiscal 2022, no presenta estas diferencias tempora</w:t>
      </w:r>
      <w:r w:rsidR="00BD69B1">
        <w:rPr>
          <w:rFonts w:ascii="Arial" w:hAnsi="Arial" w:cs="Arial"/>
        </w:rPr>
        <w:t>les</w:t>
      </w:r>
      <w:r>
        <w:rPr>
          <w:rFonts w:ascii="Arial" w:hAnsi="Arial" w:cs="Arial"/>
        </w:rPr>
        <w:t>.</w:t>
      </w:r>
    </w:p>
    <w:p w14:paraId="140FC0FE" w14:textId="77777777" w:rsidR="00C64BE0" w:rsidRDefault="00C64BE0" w:rsidP="00835F25">
      <w:pPr>
        <w:pStyle w:val="Sinespaciado"/>
        <w:contextualSpacing/>
        <w:rPr>
          <w:rFonts w:ascii="Arial" w:hAnsi="Arial" w:cs="Arial"/>
        </w:rPr>
      </w:pPr>
    </w:p>
    <w:p w14:paraId="3B6B9D13" w14:textId="77777777" w:rsidR="00C64BE0" w:rsidRPr="006021DA" w:rsidRDefault="00C64BE0" w:rsidP="00835F25">
      <w:pPr>
        <w:pStyle w:val="Sinespaciado"/>
        <w:contextualSpacing/>
        <w:rPr>
          <w:rFonts w:ascii="Arial" w:hAnsi="Arial" w:cs="Arial"/>
        </w:rPr>
      </w:pPr>
      <w:r>
        <w:rPr>
          <w:rFonts w:ascii="Arial" w:hAnsi="Arial" w:cs="Arial"/>
        </w:rPr>
        <w:t xml:space="preserve">Así las cosas, si bien es cierto está Dirección comprende que en el ciclo económico de una </w:t>
      </w:r>
      <w:r w:rsidR="008C7E1F">
        <w:rPr>
          <w:rFonts w:ascii="Arial" w:hAnsi="Arial" w:cs="Arial"/>
        </w:rPr>
        <w:t>E</w:t>
      </w:r>
      <w:r>
        <w:rPr>
          <w:rFonts w:ascii="Arial" w:hAnsi="Arial" w:cs="Arial"/>
        </w:rPr>
        <w:t xml:space="preserve">ntidad de </w:t>
      </w:r>
      <w:r w:rsidR="008C7E1F">
        <w:rPr>
          <w:rFonts w:ascii="Arial" w:hAnsi="Arial" w:cs="Arial"/>
        </w:rPr>
        <w:t xml:space="preserve">Gobierno </w:t>
      </w:r>
      <w:r>
        <w:rPr>
          <w:rFonts w:ascii="Arial" w:hAnsi="Arial" w:cs="Arial"/>
        </w:rPr>
        <w:t>se pueden presentar dichas situaciones</w:t>
      </w:r>
      <w:r w:rsidR="00FE5755">
        <w:rPr>
          <w:rFonts w:ascii="Arial" w:hAnsi="Arial" w:cs="Arial"/>
        </w:rPr>
        <w:t>;</w:t>
      </w:r>
      <w:r>
        <w:rPr>
          <w:rFonts w:ascii="Arial" w:hAnsi="Arial" w:cs="Arial"/>
        </w:rPr>
        <w:t xml:space="preserve"> es decir, </w:t>
      </w:r>
      <w:r w:rsidRPr="00AC63AD">
        <w:rPr>
          <w:rFonts w:ascii="Arial" w:hAnsi="Arial" w:cs="Arial"/>
        </w:rPr>
        <w:t>partidas temporales por conciliar, estás deben ajustarse máximo al mes siguiente.</w:t>
      </w:r>
      <w:r>
        <w:rPr>
          <w:rFonts w:ascii="Arial" w:hAnsi="Arial" w:cs="Arial"/>
        </w:rPr>
        <w:t xml:space="preserve"> Por el contrario, lo que no puede suceder, es que las partidas pendientes de conciliación, se vuelvan partidas permanentes y que trasciendan de un cierre de mes a otro.</w:t>
      </w:r>
    </w:p>
    <w:p w14:paraId="2A75C2B6" w14:textId="77777777" w:rsidR="00646700" w:rsidRDefault="00646700">
      <w:pPr>
        <w:rPr>
          <w:rFonts w:ascii="Arial" w:eastAsia="Calibri" w:hAnsi="Arial" w:cs="Arial"/>
          <w:b/>
          <w:sz w:val="22"/>
          <w:szCs w:val="22"/>
          <w:lang w:val="es-CO" w:eastAsia="en-US"/>
        </w:rPr>
      </w:pPr>
      <w:r>
        <w:rPr>
          <w:rFonts w:ascii="Arial" w:eastAsia="Calibri" w:hAnsi="Arial" w:cs="Arial"/>
          <w:b/>
          <w:sz w:val="22"/>
          <w:szCs w:val="22"/>
          <w:lang w:val="es-CO" w:eastAsia="en-US"/>
        </w:rPr>
        <w:br w:type="page"/>
      </w:r>
    </w:p>
    <w:p w14:paraId="02BB8DAC" w14:textId="77777777" w:rsidR="00735958" w:rsidRPr="00735958" w:rsidRDefault="00735958" w:rsidP="00835F25">
      <w:pPr>
        <w:contextualSpacing/>
        <w:jc w:val="center"/>
        <w:rPr>
          <w:rFonts w:ascii="Arial" w:hAnsi="Arial" w:cs="Arial"/>
          <w:b/>
          <w:bCs/>
          <w:i/>
          <w:iCs/>
          <w:color w:val="1F487C"/>
          <w:sz w:val="20"/>
          <w:szCs w:val="20"/>
        </w:rPr>
      </w:pPr>
      <w:r w:rsidRPr="00735958">
        <w:rPr>
          <w:rFonts w:ascii="Arial" w:hAnsi="Arial" w:cs="Arial"/>
          <w:b/>
          <w:bCs/>
          <w:i/>
          <w:iCs/>
          <w:color w:val="1F487C"/>
          <w:sz w:val="20"/>
          <w:szCs w:val="20"/>
        </w:rPr>
        <w:lastRenderedPageBreak/>
        <w:t xml:space="preserve">Tabla 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17</w:t>
      </w:r>
      <w:r w:rsidR="00EE0320" w:rsidRPr="00B3648E">
        <w:rPr>
          <w:rFonts w:ascii="Arial" w:hAnsi="Arial" w:cs="Arial"/>
          <w:b/>
          <w:bCs/>
          <w:i/>
          <w:iCs/>
          <w:color w:val="1F497D" w:themeColor="text2"/>
          <w:sz w:val="20"/>
          <w:szCs w:val="20"/>
        </w:rPr>
        <w:fldChar w:fldCharType="end"/>
      </w:r>
      <w:r w:rsidR="00EE0320">
        <w:rPr>
          <w:rFonts w:ascii="Arial" w:hAnsi="Arial" w:cs="Arial"/>
          <w:b/>
          <w:bCs/>
          <w:color w:val="1F497D" w:themeColor="text2"/>
          <w:sz w:val="20"/>
          <w:szCs w:val="20"/>
        </w:rPr>
        <w:t xml:space="preserve"> </w:t>
      </w:r>
      <w:r w:rsidRPr="00735958">
        <w:rPr>
          <w:rFonts w:ascii="Arial" w:hAnsi="Arial" w:cs="Arial"/>
          <w:b/>
          <w:bCs/>
          <w:i/>
          <w:iCs/>
          <w:color w:val="1F487C"/>
          <w:sz w:val="20"/>
          <w:szCs w:val="20"/>
        </w:rPr>
        <w:t>Conciliación bancaria contable 202</w:t>
      </w:r>
      <w:r w:rsidR="00997513">
        <w:rPr>
          <w:rFonts w:ascii="Arial" w:hAnsi="Arial" w:cs="Arial"/>
          <w:b/>
          <w:bCs/>
          <w:i/>
          <w:iCs/>
          <w:color w:val="1F487C"/>
          <w:sz w:val="20"/>
          <w:szCs w:val="20"/>
        </w:rPr>
        <w:t xml:space="preserve">1 a marzo </w:t>
      </w:r>
      <w:r w:rsidRPr="00735958">
        <w:rPr>
          <w:rFonts w:ascii="Arial" w:hAnsi="Arial" w:cs="Arial"/>
          <w:b/>
          <w:bCs/>
          <w:i/>
          <w:iCs/>
          <w:color w:val="1F487C"/>
          <w:sz w:val="20"/>
          <w:szCs w:val="20"/>
        </w:rPr>
        <w:t>202</w:t>
      </w:r>
      <w:r w:rsidR="00997513">
        <w:rPr>
          <w:rFonts w:ascii="Arial" w:hAnsi="Arial" w:cs="Arial"/>
          <w:b/>
          <w:bCs/>
          <w:i/>
          <w:iCs/>
          <w:color w:val="1F487C"/>
          <w:sz w:val="20"/>
          <w:szCs w:val="20"/>
        </w:rPr>
        <w:t>2</w:t>
      </w:r>
      <w:r w:rsidRPr="00735958">
        <w:rPr>
          <w:rFonts w:ascii="Arial" w:hAnsi="Arial" w:cs="Arial"/>
          <w:b/>
          <w:bCs/>
          <w:i/>
          <w:iCs/>
          <w:color w:val="1F487C"/>
          <w:sz w:val="20"/>
          <w:szCs w:val="20"/>
        </w:rPr>
        <w:t xml:space="preserve"> (cifras en pesos)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560"/>
        <w:gridCol w:w="1559"/>
        <w:gridCol w:w="1417"/>
        <w:gridCol w:w="1560"/>
        <w:gridCol w:w="1559"/>
        <w:gridCol w:w="992"/>
      </w:tblGrid>
      <w:tr w:rsidR="005C17C1" w:rsidRPr="006021DA" w14:paraId="4BF71293" w14:textId="77777777" w:rsidTr="00B9788D">
        <w:trPr>
          <w:trHeight w:val="231"/>
          <w:jc w:val="center"/>
        </w:trPr>
        <w:tc>
          <w:tcPr>
            <w:tcW w:w="1129" w:type="dxa"/>
            <w:vMerge w:val="restart"/>
            <w:tcBorders>
              <w:top w:val="single" w:sz="4" w:space="0" w:color="auto"/>
              <w:left w:val="single" w:sz="4" w:space="0" w:color="auto"/>
              <w:right w:val="single" w:sz="4" w:space="0" w:color="auto"/>
            </w:tcBorders>
            <w:shd w:val="clear" w:color="auto" w:fill="666699"/>
            <w:vAlign w:val="center"/>
            <w:hideMark/>
          </w:tcPr>
          <w:p w14:paraId="7036B2E2"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MES</w:t>
            </w:r>
          </w:p>
        </w:tc>
        <w:tc>
          <w:tcPr>
            <w:tcW w:w="4536" w:type="dxa"/>
            <w:gridSpan w:val="3"/>
            <w:tcBorders>
              <w:top w:val="single" w:sz="4" w:space="0" w:color="auto"/>
              <w:left w:val="single" w:sz="4" w:space="0" w:color="auto"/>
              <w:bottom w:val="single" w:sz="4" w:space="0" w:color="auto"/>
              <w:right w:val="single" w:sz="4" w:space="0" w:color="auto"/>
            </w:tcBorders>
            <w:shd w:val="clear" w:color="auto" w:fill="666699"/>
            <w:vAlign w:val="center"/>
          </w:tcPr>
          <w:p w14:paraId="7D79792B" w14:textId="77777777" w:rsidR="00735958" w:rsidRPr="00E1297B" w:rsidRDefault="004A4956" w:rsidP="00835F25">
            <w:pPr>
              <w:contextualSpacing/>
              <w:jc w:val="center"/>
              <w:rPr>
                <w:rFonts w:ascii="Arial" w:eastAsia="Times New Roman" w:hAnsi="Arial" w:cs="Arial"/>
                <w:b/>
                <w:color w:val="FFFFFF" w:themeColor="background1"/>
                <w:sz w:val="17"/>
                <w:szCs w:val="17"/>
                <w:lang w:eastAsia="es-CO"/>
              </w:rPr>
            </w:pPr>
            <w:r>
              <w:rPr>
                <w:rFonts w:ascii="Arial" w:eastAsia="Times New Roman" w:hAnsi="Arial" w:cs="Arial"/>
                <w:b/>
                <w:color w:val="FFFFFF" w:themeColor="background1"/>
                <w:sz w:val="17"/>
                <w:szCs w:val="17"/>
                <w:lang w:eastAsia="es-CO"/>
              </w:rPr>
              <w:t>2021</w:t>
            </w:r>
          </w:p>
        </w:tc>
        <w:tc>
          <w:tcPr>
            <w:tcW w:w="4111" w:type="dxa"/>
            <w:gridSpan w:val="3"/>
            <w:tcBorders>
              <w:top w:val="single" w:sz="4" w:space="0" w:color="auto"/>
              <w:left w:val="single" w:sz="4" w:space="0" w:color="auto"/>
              <w:right w:val="single" w:sz="4" w:space="0" w:color="auto"/>
            </w:tcBorders>
            <w:shd w:val="clear" w:color="auto" w:fill="666699"/>
            <w:vAlign w:val="center"/>
          </w:tcPr>
          <w:p w14:paraId="382A5B23" w14:textId="77777777" w:rsidR="00735958" w:rsidRPr="00E1297B" w:rsidRDefault="004A4956" w:rsidP="00835F25">
            <w:pPr>
              <w:contextualSpacing/>
              <w:jc w:val="center"/>
              <w:rPr>
                <w:rFonts w:ascii="Arial" w:eastAsia="Times New Roman" w:hAnsi="Arial" w:cs="Arial"/>
                <w:b/>
                <w:color w:val="FFFFFF" w:themeColor="background1"/>
                <w:sz w:val="17"/>
                <w:szCs w:val="17"/>
                <w:lang w:eastAsia="es-CO"/>
              </w:rPr>
            </w:pPr>
            <w:r>
              <w:rPr>
                <w:rFonts w:ascii="Arial" w:eastAsia="Times New Roman" w:hAnsi="Arial" w:cs="Arial"/>
                <w:b/>
                <w:color w:val="FFFFFF" w:themeColor="background1"/>
                <w:sz w:val="17"/>
                <w:szCs w:val="17"/>
                <w:lang w:eastAsia="es-CO"/>
              </w:rPr>
              <w:t>2022 (marzo)</w:t>
            </w:r>
          </w:p>
        </w:tc>
      </w:tr>
      <w:tr w:rsidR="009C70E3" w:rsidRPr="006021DA" w14:paraId="2F47AE74" w14:textId="77777777" w:rsidTr="00B9788D">
        <w:trPr>
          <w:trHeight w:val="231"/>
          <w:jc w:val="center"/>
        </w:trPr>
        <w:tc>
          <w:tcPr>
            <w:tcW w:w="1129" w:type="dxa"/>
            <w:vMerge/>
            <w:tcBorders>
              <w:left w:val="single" w:sz="4" w:space="0" w:color="auto"/>
              <w:bottom w:val="single" w:sz="4" w:space="0" w:color="auto"/>
              <w:right w:val="single" w:sz="4" w:space="0" w:color="auto"/>
            </w:tcBorders>
            <w:shd w:val="clear" w:color="auto" w:fill="666699"/>
            <w:vAlign w:val="center"/>
          </w:tcPr>
          <w:p w14:paraId="60906878"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666699"/>
            <w:vAlign w:val="center"/>
          </w:tcPr>
          <w:p w14:paraId="1F049FFC"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EXTRACTO </w:t>
            </w:r>
          </w:p>
        </w:tc>
        <w:tc>
          <w:tcPr>
            <w:tcW w:w="1559" w:type="dxa"/>
            <w:tcBorders>
              <w:left w:val="single" w:sz="4" w:space="0" w:color="auto"/>
              <w:bottom w:val="single" w:sz="4" w:space="0" w:color="auto"/>
              <w:right w:val="single" w:sz="4" w:space="0" w:color="auto"/>
            </w:tcBorders>
            <w:shd w:val="clear" w:color="auto" w:fill="666699"/>
            <w:vAlign w:val="center"/>
          </w:tcPr>
          <w:p w14:paraId="0F7A389A" w14:textId="77777777" w:rsidR="003A2ADA"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w:t>
            </w:r>
          </w:p>
          <w:p w14:paraId="5EDA2C4F"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LIBROS</w:t>
            </w:r>
          </w:p>
        </w:tc>
        <w:tc>
          <w:tcPr>
            <w:tcW w:w="1417" w:type="dxa"/>
            <w:tcBorders>
              <w:left w:val="single" w:sz="4" w:space="0" w:color="auto"/>
              <w:bottom w:val="single" w:sz="4" w:space="0" w:color="auto"/>
              <w:right w:val="single" w:sz="4" w:space="0" w:color="auto"/>
            </w:tcBorders>
            <w:shd w:val="clear" w:color="auto" w:fill="666699"/>
            <w:vAlign w:val="center"/>
          </w:tcPr>
          <w:p w14:paraId="72E2ADA9"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Diferencia</w:t>
            </w:r>
          </w:p>
        </w:tc>
        <w:tc>
          <w:tcPr>
            <w:tcW w:w="1560" w:type="dxa"/>
            <w:tcBorders>
              <w:left w:val="single" w:sz="4" w:space="0" w:color="auto"/>
              <w:bottom w:val="single" w:sz="4" w:space="0" w:color="auto"/>
              <w:right w:val="single" w:sz="4" w:space="0" w:color="auto"/>
            </w:tcBorders>
            <w:shd w:val="clear" w:color="auto" w:fill="666699"/>
            <w:vAlign w:val="center"/>
          </w:tcPr>
          <w:p w14:paraId="7D2D19DD"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EXTRACTO </w:t>
            </w:r>
          </w:p>
        </w:tc>
        <w:tc>
          <w:tcPr>
            <w:tcW w:w="1559" w:type="dxa"/>
            <w:tcBorders>
              <w:left w:val="single" w:sz="4" w:space="0" w:color="auto"/>
              <w:bottom w:val="single" w:sz="4" w:space="0" w:color="auto"/>
              <w:right w:val="single" w:sz="4" w:space="0" w:color="auto"/>
            </w:tcBorders>
            <w:shd w:val="clear" w:color="auto" w:fill="666699"/>
            <w:vAlign w:val="center"/>
          </w:tcPr>
          <w:p w14:paraId="46461BA9" w14:textId="77777777" w:rsidR="003A2ADA"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w:t>
            </w:r>
          </w:p>
          <w:p w14:paraId="0A9FFD49"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LIBROS</w:t>
            </w:r>
          </w:p>
        </w:tc>
        <w:tc>
          <w:tcPr>
            <w:tcW w:w="992" w:type="dxa"/>
            <w:tcBorders>
              <w:left w:val="single" w:sz="4" w:space="0" w:color="auto"/>
              <w:bottom w:val="single" w:sz="4" w:space="0" w:color="auto"/>
              <w:right w:val="single" w:sz="4" w:space="0" w:color="auto"/>
            </w:tcBorders>
            <w:shd w:val="clear" w:color="auto" w:fill="666699"/>
            <w:vAlign w:val="center"/>
          </w:tcPr>
          <w:p w14:paraId="36C499A9" w14:textId="77777777" w:rsidR="00735958" w:rsidRPr="00E1297B" w:rsidRDefault="00735958" w:rsidP="00835F25">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Diferencia</w:t>
            </w:r>
          </w:p>
        </w:tc>
      </w:tr>
      <w:tr w:rsidR="009C70E3" w:rsidRPr="006021DA" w14:paraId="2983D471" w14:textId="77777777" w:rsidTr="00B9788D">
        <w:trPr>
          <w:trHeight w:val="6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C6B9C" w14:textId="77777777" w:rsidR="00735958" w:rsidRPr="006021DA" w:rsidRDefault="0073595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Enero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DB926D9" w14:textId="77777777" w:rsidR="00735958" w:rsidRPr="00FB4708" w:rsidRDefault="005C17C1"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14.919.868.644.11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3143151" w14:textId="77777777" w:rsidR="00735958" w:rsidRPr="006021DA" w:rsidRDefault="0046653A"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14.919.868.643,92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B4CC23" w14:textId="77777777" w:rsidR="0073595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0,19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B084124" w14:textId="77777777" w:rsidR="00735958" w:rsidRPr="006021DA" w:rsidRDefault="009C70E3"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17.948.625.720,55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B7E787" w14:textId="77777777" w:rsidR="00735958" w:rsidRPr="006021DA" w:rsidRDefault="009C70E3"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17.948.625.720,55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3A2400" w14:textId="77777777" w:rsidR="00735958" w:rsidRPr="006021DA" w:rsidRDefault="00870879" w:rsidP="00835F25">
            <w:pPr>
              <w:contextualSpacing/>
              <w:jc w:val="center"/>
              <w:rPr>
                <w:rFonts w:ascii="Arial" w:eastAsia="Times New Roman" w:hAnsi="Arial" w:cs="Arial"/>
                <w:sz w:val="16"/>
                <w:szCs w:val="16"/>
                <w:lang w:eastAsia="es-CO"/>
              </w:rPr>
            </w:pPr>
            <w:r>
              <w:rPr>
                <w:rFonts w:ascii="Arial" w:eastAsia="Times New Roman" w:hAnsi="Arial" w:cs="Arial"/>
                <w:sz w:val="16"/>
                <w:szCs w:val="16"/>
                <w:lang w:eastAsia="es-CO"/>
              </w:rPr>
              <w:t>-</w:t>
            </w:r>
          </w:p>
        </w:tc>
      </w:tr>
      <w:tr w:rsidR="00DF3742" w:rsidRPr="006021DA" w14:paraId="5A589ABF"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9AE9E" w14:textId="77777777" w:rsidR="00DF3742" w:rsidRPr="006021DA" w:rsidRDefault="00DF3742"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Febrero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42CCCBF" w14:textId="77777777" w:rsidR="00DF3742" w:rsidRPr="00FB4708" w:rsidRDefault="00DF3742"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15.926.288.861,22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B7A40F" w14:textId="77777777" w:rsidR="00DF3742" w:rsidRPr="006021DA" w:rsidRDefault="00DF3742"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15.926.288.861,03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1DCA36" w14:textId="77777777" w:rsidR="00DF3742"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0,19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EE34FB7" w14:textId="77777777" w:rsidR="00DF3742" w:rsidRPr="006021DA" w:rsidRDefault="00DF3742"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17.977.263.581,09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175C7A4" w14:textId="77777777" w:rsidR="00DF3742" w:rsidRPr="006021DA" w:rsidRDefault="00DF3742"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17.977.263.581,09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78C634" w14:textId="77777777" w:rsidR="00DF3742" w:rsidRPr="006021DA" w:rsidRDefault="00870879" w:rsidP="00835F25">
            <w:pPr>
              <w:contextualSpacing/>
              <w:jc w:val="center"/>
              <w:rPr>
                <w:rFonts w:ascii="Arial" w:eastAsia="Times New Roman" w:hAnsi="Arial" w:cs="Arial"/>
                <w:sz w:val="16"/>
                <w:szCs w:val="16"/>
                <w:lang w:eastAsia="es-CO"/>
              </w:rPr>
            </w:pPr>
            <w:r>
              <w:rPr>
                <w:rFonts w:ascii="Arial" w:eastAsia="Times New Roman" w:hAnsi="Arial" w:cs="Arial"/>
                <w:sz w:val="16"/>
                <w:szCs w:val="16"/>
                <w:lang w:eastAsia="es-CO"/>
              </w:rPr>
              <w:t>-</w:t>
            </w:r>
          </w:p>
        </w:tc>
      </w:tr>
      <w:tr w:rsidR="00DF3742" w:rsidRPr="006021DA" w14:paraId="5263E066"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573C5" w14:textId="77777777" w:rsidR="00DF3742" w:rsidRPr="006021DA" w:rsidRDefault="00DF3742"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Marzo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1A712FF" w14:textId="77777777" w:rsidR="00DF3742" w:rsidRPr="00FB4708" w:rsidRDefault="00DF3742"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16.983.284.543,52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90B6F2" w14:textId="77777777" w:rsidR="00DF3742" w:rsidRPr="006021DA" w:rsidRDefault="00DF3742"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16.983.284.543,22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C75ADA" w14:textId="77777777" w:rsidR="00DF3742"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0,30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5F5171E" w14:textId="77777777" w:rsidR="00DF3742" w:rsidRPr="006021DA" w:rsidRDefault="00DF3742"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19.266.777.836,49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849D09" w14:textId="77777777" w:rsidR="00DF3742" w:rsidRPr="006021DA" w:rsidRDefault="00DF3742"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19.266.777.836,49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893284" w14:textId="77777777" w:rsidR="00DF3742" w:rsidRPr="006021DA" w:rsidRDefault="00870879" w:rsidP="00835F25">
            <w:pPr>
              <w:contextualSpacing/>
              <w:jc w:val="center"/>
              <w:rPr>
                <w:rFonts w:ascii="Arial" w:eastAsia="Times New Roman" w:hAnsi="Arial" w:cs="Arial"/>
                <w:sz w:val="16"/>
                <w:szCs w:val="16"/>
                <w:lang w:eastAsia="es-CO"/>
              </w:rPr>
            </w:pPr>
            <w:r>
              <w:rPr>
                <w:rFonts w:ascii="Arial" w:eastAsia="Times New Roman" w:hAnsi="Arial" w:cs="Arial"/>
                <w:sz w:val="16"/>
                <w:szCs w:val="16"/>
                <w:lang w:eastAsia="es-CO"/>
              </w:rPr>
              <w:t>-</w:t>
            </w:r>
          </w:p>
        </w:tc>
      </w:tr>
      <w:tr w:rsidR="005E12C8" w:rsidRPr="006021DA" w14:paraId="28EE094A"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478DA"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Abril</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BD2E32"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16.388.422.499,01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A1F653"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16.388.119.277,71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73B6E8" w14:textId="77777777" w:rsidR="005E12C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303.221,30</w:t>
            </w:r>
          </w:p>
        </w:tc>
        <w:tc>
          <w:tcPr>
            <w:tcW w:w="4111" w:type="dxa"/>
            <w:gridSpan w:val="3"/>
            <w:vMerge w:val="restart"/>
            <w:tcBorders>
              <w:top w:val="single" w:sz="4" w:space="0" w:color="auto"/>
              <w:left w:val="single" w:sz="4" w:space="0" w:color="auto"/>
              <w:right w:val="single" w:sz="4" w:space="0" w:color="auto"/>
            </w:tcBorders>
            <w:shd w:val="clear" w:color="auto" w:fill="FFFFFF"/>
            <w:vAlign w:val="center"/>
          </w:tcPr>
          <w:p w14:paraId="423C935C" w14:textId="77777777" w:rsidR="005E12C8" w:rsidRPr="006021DA" w:rsidRDefault="005E12C8" w:rsidP="00835F25">
            <w:pPr>
              <w:contextualSpacing/>
              <w:jc w:val="center"/>
              <w:rPr>
                <w:rFonts w:ascii="Arial" w:eastAsia="Times New Roman" w:hAnsi="Arial" w:cs="Arial"/>
                <w:sz w:val="16"/>
                <w:szCs w:val="16"/>
                <w:lang w:eastAsia="es-CO"/>
              </w:rPr>
            </w:pPr>
            <w:r>
              <w:rPr>
                <w:rFonts w:ascii="Arial" w:eastAsia="Times New Roman" w:hAnsi="Arial" w:cs="Arial"/>
                <w:sz w:val="17"/>
                <w:szCs w:val="17"/>
                <w:lang w:eastAsia="es-CO"/>
              </w:rPr>
              <w:t>No Aplica.</w:t>
            </w:r>
          </w:p>
        </w:tc>
      </w:tr>
      <w:tr w:rsidR="005E12C8" w:rsidRPr="006021DA" w14:paraId="0C29B6C9"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71FB1"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Mayo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3B7B1E7"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15.654.071.318,62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0B447"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15.653.768.097,32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80B49A" w14:textId="77777777" w:rsidR="005E12C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303.221,30</w:t>
            </w:r>
          </w:p>
        </w:tc>
        <w:tc>
          <w:tcPr>
            <w:tcW w:w="4111" w:type="dxa"/>
            <w:gridSpan w:val="3"/>
            <w:vMerge/>
            <w:tcBorders>
              <w:left w:val="single" w:sz="4" w:space="0" w:color="auto"/>
              <w:right w:val="single" w:sz="4" w:space="0" w:color="auto"/>
            </w:tcBorders>
            <w:shd w:val="clear" w:color="auto" w:fill="FFFFFF"/>
            <w:vAlign w:val="center"/>
          </w:tcPr>
          <w:p w14:paraId="609D433F" w14:textId="77777777" w:rsidR="005E12C8" w:rsidRPr="006021DA" w:rsidRDefault="005E12C8" w:rsidP="00835F25">
            <w:pPr>
              <w:contextualSpacing/>
              <w:jc w:val="center"/>
              <w:rPr>
                <w:rFonts w:ascii="Arial" w:eastAsia="Times New Roman" w:hAnsi="Arial" w:cs="Arial"/>
                <w:sz w:val="16"/>
                <w:szCs w:val="16"/>
                <w:lang w:eastAsia="es-CO"/>
              </w:rPr>
            </w:pPr>
          </w:p>
        </w:tc>
      </w:tr>
      <w:tr w:rsidR="005E12C8" w:rsidRPr="006021DA" w14:paraId="74FA48B3"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5E9E7"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Junio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5FB1530"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16.272.000.595,08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C68BD36"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16.271.697.373,10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2F9451" w14:textId="77777777" w:rsidR="005E12C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303.221,30</w:t>
            </w:r>
          </w:p>
        </w:tc>
        <w:tc>
          <w:tcPr>
            <w:tcW w:w="4111" w:type="dxa"/>
            <w:gridSpan w:val="3"/>
            <w:vMerge/>
            <w:tcBorders>
              <w:left w:val="single" w:sz="4" w:space="0" w:color="auto"/>
              <w:right w:val="single" w:sz="4" w:space="0" w:color="auto"/>
            </w:tcBorders>
            <w:shd w:val="clear" w:color="auto" w:fill="FFFFFF"/>
            <w:vAlign w:val="center"/>
          </w:tcPr>
          <w:p w14:paraId="515996C8" w14:textId="77777777" w:rsidR="005E12C8" w:rsidRPr="006021DA" w:rsidRDefault="005E12C8" w:rsidP="00835F25">
            <w:pPr>
              <w:contextualSpacing/>
              <w:jc w:val="center"/>
              <w:rPr>
                <w:rFonts w:ascii="Arial" w:eastAsia="Times New Roman" w:hAnsi="Arial" w:cs="Arial"/>
                <w:sz w:val="16"/>
                <w:szCs w:val="16"/>
                <w:lang w:eastAsia="es-CO"/>
              </w:rPr>
            </w:pPr>
          </w:p>
        </w:tc>
      </w:tr>
      <w:tr w:rsidR="005E12C8" w:rsidRPr="006021DA" w14:paraId="0C7AB353"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3F742"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Julio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F17F1C"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16.683.527.702,68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3A630BC"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16.683.527.702,68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9A874CA" w14:textId="77777777" w:rsidR="005E12C8" w:rsidRPr="006021DA" w:rsidRDefault="00870879" w:rsidP="00835F25">
            <w:pPr>
              <w:contextualSpacing/>
              <w:jc w:val="center"/>
              <w:rPr>
                <w:rFonts w:ascii="Arial" w:eastAsia="Times New Roman" w:hAnsi="Arial" w:cs="Arial"/>
                <w:sz w:val="16"/>
                <w:szCs w:val="16"/>
                <w:lang w:eastAsia="es-CO"/>
              </w:rPr>
            </w:pPr>
            <w:r>
              <w:rPr>
                <w:rFonts w:ascii="Arial" w:eastAsia="Times New Roman" w:hAnsi="Arial" w:cs="Arial"/>
                <w:sz w:val="16"/>
                <w:szCs w:val="16"/>
                <w:lang w:eastAsia="es-CO"/>
              </w:rPr>
              <w:t>-</w:t>
            </w:r>
          </w:p>
        </w:tc>
        <w:tc>
          <w:tcPr>
            <w:tcW w:w="4111" w:type="dxa"/>
            <w:gridSpan w:val="3"/>
            <w:vMerge/>
            <w:tcBorders>
              <w:left w:val="single" w:sz="4" w:space="0" w:color="auto"/>
              <w:right w:val="single" w:sz="4" w:space="0" w:color="auto"/>
            </w:tcBorders>
            <w:shd w:val="clear" w:color="auto" w:fill="FFFFFF"/>
            <w:vAlign w:val="center"/>
          </w:tcPr>
          <w:p w14:paraId="0E9530B8" w14:textId="77777777" w:rsidR="005E12C8" w:rsidRPr="006021DA" w:rsidRDefault="005E12C8" w:rsidP="00835F25">
            <w:pPr>
              <w:contextualSpacing/>
              <w:jc w:val="center"/>
              <w:rPr>
                <w:rFonts w:ascii="Arial" w:eastAsia="Times New Roman" w:hAnsi="Arial" w:cs="Arial"/>
                <w:sz w:val="16"/>
                <w:szCs w:val="16"/>
                <w:lang w:eastAsia="es-CO"/>
              </w:rPr>
            </w:pPr>
          </w:p>
        </w:tc>
      </w:tr>
      <w:tr w:rsidR="005E12C8" w:rsidRPr="006021DA" w14:paraId="6D4D7013"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E3EA2"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Agosto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F5B1A2"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16.679.146.420,70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AC5318"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16.384.985.319,70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FC7EE2" w14:textId="77777777" w:rsidR="005E12C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294.161.101,00</w:t>
            </w:r>
          </w:p>
        </w:tc>
        <w:tc>
          <w:tcPr>
            <w:tcW w:w="4111" w:type="dxa"/>
            <w:gridSpan w:val="3"/>
            <w:vMerge/>
            <w:tcBorders>
              <w:left w:val="single" w:sz="4" w:space="0" w:color="auto"/>
              <w:right w:val="single" w:sz="4" w:space="0" w:color="auto"/>
            </w:tcBorders>
            <w:shd w:val="clear" w:color="auto" w:fill="FFFFFF"/>
            <w:vAlign w:val="center"/>
          </w:tcPr>
          <w:p w14:paraId="769C82A8" w14:textId="77777777" w:rsidR="005E12C8" w:rsidRPr="006021DA" w:rsidRDefault="005E12C8" w:rsidP="00835F25">
            <w:pPr>
              <w:contextualSpacing/>
              <w:jc w:val="center"/>
              <w:rPr>
                <w:rFonts w:ascii="Arial" w:eastAsia="Times New Roman" w:hAnsi="Arial" w:cs="Arial"/>
                <w:sz w:val="16"/>
                <w:szCs w:val="16"/>
                <w:lang w:eastAsia="es-CO"/>
              </w:rPr>
            </w:pPr>
          </w:p>
        </w:tc>
      </w:tr>
      <w:tr w:rsidR="005E12C8" w:rsidRPr="006021DA" w14:paraId="3906899B"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16B48"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Septiembre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0D9607"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17.094.006.531,01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B416176"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16.788.368.031,57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44BA52" w14:textId="77777777" w:rsidR="005E12C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305.638.499,44</w:t>
            </w:r>
          </w:p>
        </w:tc>
        <w:tc>
          <w:tcPr>
            <w:tcW w:w="4111" w:type="dxa"/>
            <w:gridSpan w:val="3"/>
            <w:vMerge/>
            <w:tcBorders>
              <w:left w:val="single" w:sz="4" w:space="0" w:color="auto"/>
              <w:right w:val="single" w:sz="4" w:space="0" w:color="auto"/>
            </w:tcBorders>
            <w:shd w:val="clear" w:color="auto" w:fill="FFFFFF"/>
            <w:vAlign w:val="center"/>
          </w:tcPr>
          <w:p w14:paraId="35AC9616" w14:textId="77777777" w:rsidR="005E12C8" w:rsidRPr="006021DA" w:rsidRDefault="005E12C8" w:rsidP="00835F25">
            <w:pPr>
              <w:contextualSpacing/>
              <w:jc w:val="center"/>
              <w:rPr>
                <w:rFonts w:ascii="Arial" w:eastAsia="Times New Roman" w:hAnsi="Arial" w:cs="Arial"/>
                <w:sz w:val="16"/>
                <w:szCs w:val="16"/>
                <w:lang w:eastAsia="es-CO"/>
              </w:rPr>
            </w:pPr>
          </w:p>
        </w:tc>
      </w:tr>
      <w:tr w:rsidR="005E12C8" w:rsidRPr="006021DA" w14:paraId="35E061FD"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9E151"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Octubre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A5AA62"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17.480.713.265,67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862FCB"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17.480.713.266,40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7E44F72" w14:textId="77777777" w:rsidR="005E12C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0,73</w:t>
            </w:r>
          </w:p>
        </w:tc>
        <w:tc>
          <w:tcPr>
            <w:tcW w:w="4111" w:type="dxa"/>
            <w:gridSpan w:val="3"/>
            <w:vMerge/>
            <w:tcBorders>
              <w:left w:val="single" w:sz="4" w:space="0" w:color="auto"/>
              <w:right w:val="single" w:sz="4" w:space="0" w:color="auto"/>
            </w:tcBorders>
            <w:shd w:val="clear" w:color="auto" w:fill="FFFFFF"/>
            <w:vAlign w:val="center"/>
          </w:tcPr>
          <w:p w14:paraId="7CC893F0" w14:textId="77777777" w:rsidR="005E12C8" w:rsidRPr="006021DA" w:rsidRDefault="005E12C8" w:rsidP="00835F25">
            <w:pPr>
              <w:contextualSpacing/>
              <w:jc w:val="center"/>
              <w:rPr>
                <w:rFonts w:ascii="Arial" w:eastAsia="Times New Roman" w:hAnsi="Arial" w:cs="Arial"/>
                <w:sz w:val="16"/>
                <w:szCs w:val="16"/>
                <w:lang w:eastAsia="es-CO"/>
              </w:rPr>
            </w:pPr>
          </w:p>
        </w:tc>
      </w:tr>
      <w:tr w:rsidR="005E12C8" w:rsidRPr="006021DA" w14:paraId="58446ABD"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BEDDD"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Noviembre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6813803" w14:textId="77777777" w:rsidR="005E12C8" w:rsidRPr="00FB4708" w:rsidRDefault="005E12C8" w:rsidP="00835F25">
            <w:pPr>
              <w:contextualSpacing/>
              <w:jc w:val="center"/>
              <w:rPr>
                <w:rFonts w:ascii="Arial" w:eastAsia="Times New Roman" w:hAnsi="Arial" w:cs="Arial"/>
                <w:sz w:val="17"/>
                <w:szCs w:val="17"/>
                <w:lang w:eastAsia="es-CO"/>
              </w:rPr>
            </w:pPr>
            <w:r w:rsidRPr="00FB4708">
              <w:rPr>
                <w:rFonts w:ascii="Arial" w:eastAsia="Times New Roman" w:hAnsi="Arial" w:cs="Arial"/>
                <w:sz w:val="17"/>
                <w:szCs w:val="17"/>
                <w:lang w:eastAsia="es-CO"/>
              </w:rPr>
              <w:t>17.409.794.012,62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4EA754"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17.409.794.013,35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760C00" w14:textId="77777777" w:rsidR="005E12C8" w:rsidRPr="005E12C8" w:rsidRDefault="005E12C8" w:rsidP="00835F25">
            <w:pPr>
              <w:contextualSpacing/>
              <w:jc w:val="center"/>
              <w:rPr>
                <w:rFonts w:ascii="Arial" w:eastAsia="Times New Roman" w:hAnsi="Arial" w:cs="Arial"/>
                <w:color w:val="FF0000"/>
                <w:sz w:val="16"/>
                <w:szCs w:val="16"/>
                <w:lang w:eastAsia="es-CO"/>
              </w:rPr>
            </w:pPr>
            <w:r w:rsidRPr="005E12C8">
              <w:rPr>
                <w:rFonts w:ascii="Arial" w:eastAsia="Times New Roman" w:hAnsi="Arial" w:cs="Arial"/>
                <w:color w:val="FF0000"/>
                <w:sz w:val="16"/>
                <w:szCs w:val="16"/>
                <w:lang w:eastAsia="es-CO"/>
              </w:rPr>
              <w:t>0,73</w:t>
            </w:r>
          </w:p>
        </w:tc>
        <w:tc>
          <w:tcPr>
            <w:tcW w:w="4111" w:type="dxa"/>
            <w:gridSpan w:val="3"/>
            <w:vMerge/>
            <w:tcBorders>
              <w:left w:val="single" w:sz="4" w:space="0" w:color="auto"/>
              <w:right w:val="single" w:sz="4" w:space="0" w:color="auto"/>
            </w:tcBorders>
            <w:shd w:val="clear" w:color="auto" w:fill="FFFFFF"/>
            <w:vAlign w:val="center"/>
          </w:tcPr>
          <w:p w14:paraId="05B6FE3F" w14:textId="77777777" w:rsidR="005E12C8" w:rsidRPr="006021DA" w:rsidRDefault="005E12C8" w:rsidP="00835F25">
            <w:pPr>
              <w:contextualSpacing/>
              <w:jc w:val="center"/>
              <w:rPr>
                <w:rFonts w:ascii="Arial" w:eastAsia="Times New Roman" w:hAnsi="Arial" w:cs="Arial"/>
                <w:sz w:val="16"/>
                <w:szCs w:val="16"/>
                <w:lang w:eastAsia="es-CO"/>
              </w:rPr>
            </w:pPr>
          </w:p>
        </w:tc>
      </w:tr>
      <w:tr w:rsidR="005E12C8" w:rsidRPr="006021DA" w14:paraId="2DBEDF40"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FB9CE" w14:textId="77777777" w:rsidR="005E12C8" w:rsidRPr="006021DA" w:rsidRDefault="005E12C8" w:rsidP="00835F25">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Diciembre</w:t>
            </w:r>
            <w:r>
              <w:rPr>
                <w:rFonts w:ascii="Arial" w:eastAsia="Times New Roman" w:hAnsi="Arial" w:cs="Arial"/>
                <w:b/>
                <w:bCs/>
                <w:sz w:val="17"/>
                <w:szCs w:val="17"/>
                <w:lang w:eastAsia="es-CO"/>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D47E6A1"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17.299.588.898,97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67A3AD" w14:textId="77777777" w:rsidR="005E12C8" w:rsidRPr="006021DA" w:rsidRDefault="005E12C8" w:rsidP="00835F25">
            <w:pPr>
              <w:contextualSpacing/>
              <w:jc w:val="center"/>
              <w:rPr>
                <w:rFonts w:ascii="Arial" w:eastAsia="Times New Roman" w:hAnsi="Arial" w:cs="Arial"/>
                <w:sz w:val="17"/>
                <w:szCs w:val="17"/>
                <w:lang w:eastAsia="es-CO"/>
              </w:rPr>
            </w:pPr>
            <w:r>
              <w:rPr>
                <w:rFonts w:ascii="Arial" w:eastAsia="Times New Roman" w:hAnsi="Arial" w:cs="Arial"/>
                <w:sz w:val="17"/>
                <w:szCs w:val="17"/>
                <w:lang w:eastAsia="es-CO"/>
              </w:rPr>
              <w:t>17.299.588.898,97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FF00FD" w14:textId="77777777" w:rsidR="005E12C8" w:rsidRPr="006021DA" w:rsidRDefault="00870879" w:rsidP="00835F25">
            <w:pPr>
              <w:contextualSpacing/>
              <w:jc w:val="center"/>
              <w:rPr>
                <w:rFonts w:ascii="Arial" w:eastAsia="Times New Roman" w:hAnsi="Arial" w:cs="Arial"/>
                <w:sz w:val="16"/>
                <w:szCs w:val="16"/>
                <w:lang w:eastAsia="es-CO"/>
              </w:rPr>
            </w:pPr>
            <w:r>
              <w:rPr>
                <w:rFonts w:ascii="Arial" w:eastAsia="Times New Roman" w:hAnsi="Arial" w:cs="Arial"/>
                <w:sz w:val="16"/>
                <w:szCs w:val="16"/>
                <w:lang w:eastAsia="es-CO"/>
              </w:rPr>
              <w:t>-</w:t>
            </w:r>
          </w:p>
        </w:tc>
        <w:tc>
          <w:tcPr>
            <w:tcW w:w="4111" w:type="dxa"/>
            <w:gridSpan w:val="3"/>
            <w:vMerge/>
            <w:tcBorders>
              <w:left w:val="single" w:sz="4" w:space="0" w:color="auto"/>
              <w:bottom w:val="single" w:sz="4" w:space="0" w:color="auto"/>
              <w:right w:val="single" w:sz="4" w:space="0" w:color="auto"/>
            </w:tcBorders>
            <w:shd w:val="clear" w:color="auto" w:fill="FFFFFF"/>
            <w:vAlign w:val="center"/>
          </w:tcPr>
          <w:p w14:paraId="45D594EB" w14:textId="77777777" w:rsidR="005E12C8" w:rsidRPr="006021DA" w:rsidRDefault="005E12C8" w:rsidP="00835F25">
            <w:pPr>
              <w:contextualSpacing/>
              <w:jc w:val="center"/>
              <w:rPr>
                <w:rFonts w:ascii="Arial" w:eastAsia="Times New Roman" w:hAnsi="Arial" w:cs="Arial"/>
                <w:sz w:val="16"/>
                <w:szCs w:val="16"/>
                <w:lang w:eastAsia="es-CO"/>
              </w:rPr>
            </w:pPr>
          </w:p>
        </w:tc>
      </w:tr>
      <w:tr w:rsidR="00DF3742" w:rsidRPr="006021DA" w14:paraId="2E9C6309" w14:textId="77777777" w:rsidTr="00B9788D">
        <w:trPr>
          <w:trHeight w:val="66"/>
          <w:jc w:val="center"/>
        </w:trPr>
        <w:tc>
          <w:tcPr>
            <w:tcW w:w="1129"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0E8778F6" w14:textId="77777777" w:rsidR="00DF3742" w:rsidRPr="00B9788D" w:rsidRDefault="00B9788D" w:rsidP="00835F25">
            <w:pPr>
              <w:contextualSpacing/>
              <w:jc w:val="center"/>
              <w:rPr>
                <w:rFonts w:ascii="Arial" w:eastAsia="Times New Roman" w:hAnsi="Arial" w:cs="Arial"/>
                <w:b/>
                <w:color w:val="FFFFFF" w:themeColor="background1"/>
                <w:sz w:val="17"/>
                <w:szCs w:val="17"/>
                <w:lang w:eastAsia="es-CO"/>
              </w:rPr>
            </w:pPr>
            <w:r w:rsidRPr="00B9788D">
              <w:rPr>
                <w:rFonts w:ascii="Arial" w:eastAsia="Times New Roman" w:hAnsi="Arial" w:cs="Arial"/>
                <w:b/>
                <w:color w:val="FFFFFF" w:themeColor="background1"/>
                <w:sz w:val="17"/>
                <w:szCs w:val="17"/>
                <w:lang w:eastAsia="es-CO"/>
              </w:rPr>
              <w:t>TOTAL</w:t>
            </w:r>
          </w:p>
        </w:tc>
        <w:tc>
          <w:tcPr>
            <w:tcW w:w="1560" w:type="dxa"/>
            <w:tcBorders>
              <w:top w:val="single" w:sz="4" w:space="0" w:color="auto"/>
              <w:left w:val="single" w:sz="4" w:space="0" w:color="auto"/>
              <w:bottom w:val="single" w:sz="4" w:space="0" w:color="auto"/>
              <w:right w:val="single" w:sz="4" w:space="0" w:color="auto"/>
            </w:tcBorders>
            <w:shd w:val="clear" w:color="auto" w:fill="666699"/>
            <w:vAlign w:val="center"/>
          </w:tcPr>
          <w:p w14:paraId="7E383F9E" w14:textId="77777777" w:rsidR="00DF3742" w:rsidRPr="00B9788D" w:rsidRDefault="00DF3742" w:rsidP="00835F25">
            <w:pPr>
              <w:contextualSpacing/>
              <w:jc w:val="center"/>
              <w:rPr>
                <w:rFonts w:ascii="Arial" w:eastAsia="Times New Roman" w:hAnsi="Arial" w:cs="Arial"/>
                <w:b/>
                <w:color w:val="FFFFFF" w:themeColor="background1"/>
                <w:sz w:val="17"/>
                <w:szCs w:val="17"/>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666699"/>
            <w:vAlign w:val="center"/>
          </w:tcPr>
          <w:p w14:paraId="4EED90D3" w14:textId="77777777" w:rsidR="00DF3742" w:rsidRPr="00B9788D" w:rsidRDefault="00DF3742" w:rsidP="00835F25">
            <w:pPr>
              <w:contextualSpacing/>
              <w:jc w:val="center"/>
              <w:rPr>
                <w:rFonts w:ascii="Arial" w:eastAsia="Times New Roman" w:hAnsi="Arial" w:cs="Arial"/>
                <w:b/>
                <w:color w:val="FFFFFF" w:themeColor="background1"/>
                <w:sz w:val="17"/>
                <w:szCs w:val="17"/>
                <w:lang w:eastAsia="es-CO"/>
              </w:rPr>
            </w:pPr>
          </w:p>
        </w:tc>
        <w:tc>
          <w:tcPr>
            <w:tcW w:w="1417" w:type="dxa"/>
            <w:tcBorders>
              <w:top w:val="single" w:sz="4" w:space="0" w:color="auto"/>
              <w:left w:val="single" w:sz="4" w:space="0" w:color="auto"/>
              <w:bottom w:val="single" w:sz="4" w:space="0" w:color="auto"/>
              <w:right w:val="single" w:sz="4" w:space="0" w:color="auto"/>
            </w:tcBorders>
            <w:shd w:val="clear" w:color="auto" w:fill="666699"/>
            <w:vAlign w:val="bottom"/>
          </w:tcPr>
          <w:p w14:paraId="0AD9D562" w14:textId="77777777" w:rsidR="00DF3742" w:rsidRPr="00B9788D" w:rsidRDefault="00B9788D" w:rsidP="00835F25">
            <w:pPr>
              <w:contextualSpacing/>
              <w:jc w:val="center"/>
              <w:rPr>
                <w:rFonts w:ascii="Arial" w:eastAsia="Times New Roman" w:hAnsi="Arial" w:cs="Arial"/>
                <w:b/>
                <w:color w:val="FFFFFF" w:themeColor="background1"/>
                <w:sz w:val="17"/>
                <w:szCs w:val="17"/>
                <w:lang w:eastAsia="es-CO"/>
              </w:rPr>
            </w:pPr>
            <w:r>
              <w:rPr>
                <w:rFonts w:ascii="Arial" w:eastAsia="Times New Roman" w:hAnsi="Arial" w:cs="Arial"/>
                <w:b/>
                <w:color w:val="FFFFFF" w:themeColor="background1"/>
                <w:sz w:val="17"/>
                <w:szCs w:val="17"/>
                <w:lang w:eastAsia="es-CO"/>
              </w:rPr>
              <w:t>600.709.264,24</w:t>
            </w:r>
          </w:p>
        </w:tc>
        <w:tc>
          <w:tcPr>
            <w:tcW w:w="1560" w:type="dxa"/>
            <w:tcBorders>
              <w:top w:val="single" w:sz="4" w:space="0" w:color="auto"/>
              <w:left w:val="single" w:sz="4" w:space="0" w:color="auto"/>
              <w:bottom w:val="single" w:sz="4" w:space="0" w:color="auto"/>
              <w:right w:val="single" w:sz="4" w:space="0" w:color="auto"/>
            </w:tcBorders>
            <w:shd w:val="clear" w:color="auto" w:fill="666699"/>
          </w:tcPr>
          <w:p w14:paraId="61DBC533" w14:textId="77777777" w:rsidR="00DF3742" w:rsidRPr="00B9788D" w:rsidRDefault="00DF3742" w:rsidP="00835F25">
            <w:pPr>
              <w:contextualSpacing/>
              <w:jc w:val="center"/>
              <w:rPr>
                <w:rFonts w:ascii="Arial" w:eastAsia="Times New Roman" w:hAnsi="Arial" w:cs="Arial"/>
                <w:b/>
                <w:color w:val="FFFFFF" w:themeColor="background1"/>
                <w:sz w:val="17"/>
                <w:szCs w:val="17"/>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666699"/>
            <w:vAlign w:val="bottom"/>
          </w:tcPr>
          <w:p w14:paraId="472922FF" w14:textId="77777777" w:rsidR="00DF3742" w:rsidRPr="00B9788D" w:rsidRDefault="00DF3742" w:rsidP="00835F25">
            <w:pPr>
              <w:contextualSpacing/>
              <w:jc w:val="center"/>
              <w:rPr>
                <w:rFonts w:ascii="Arial" w:eastAsia="Times New Roman" w:hAnsi="Arial" w:cs="Arial"/>
                <w:b/>
                <w:color w:val="FFFFFF" w:themeColor="background1"/>
                <w:sz w:val="17"/>
                <w:szCs w:val="17"/>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666699"/>
            <w:vAlign w:val="bottom"/>
          </w:tcPr>
          <w:p w14:paraId="103078F1" w14:textId="77777777" w:rsidR="00DF3742" w:rsidRPr="00B9788D" w:rsidRDefault="00B9788D" w:rsidP="00835F25">
            <w:pPr>
              <w:contextualSpacing/>
              <w:jc w:val="center"/>
              <w:rPr>
                <w:rFonts w:ascii="Arial" w:eastAsia="Times New Roman" w:hAnsi="Arial" w:cs="Arial"/>
                <w:b/>
                <w:color w:val="FFFFFF" w:themeColor="background1"/>
                <w:sz w:val="17"/>
                <w:szCs w:val="17"/>
                <w:lang w:eastAsia="es-CO"/>
              </w:rPr>
            </w:pPr>
            <w:r>
              <w:rPr>
                <w:rFonts w:ascii="Arial" w:eastAsia="Times New Roman" w:hAnsi="Arial" w:cs="Arial"/>
                <w:b/>
                <w:color w:val="FFFFFF" w:themeColor="background1"/>
                <w:sz w:val="17"/>
                <w:szCs w:val="17"/>
                <w:lang w:eastAsia="es-CO"/>
              </w:rPr>
              <w:t>0</w:t>
            </w:r>
          </w:p>
        </w:tc>
      </w:tr>
    </w:tbl>
    <w:p w14:paraId="40900D90" w14:textId="77777777" w:rsidR="00735958" w:rsidRDefault="00735958" w:rsidP="00835F25">
      <w:pPr>
        <w:contextualSpacing/>
        <w:jc w:val="center"/>
        <w:rPr>
          <w:rFonts w:ascii="Arial" w:eastAsia="Calibri" w:hAnsi="Arial" w:cs="Arial"/>
          <w:sz w:val="16"/>
          <w:szCs w:val="16"/>
          <w:lang w:val="es-CO" w:eastAsia="en-US"/>
        </w:rPr>
      </w:pPr>
      <w:r w:rsidRPr="006021DA">
        <w:rPr>
          <w:rFonts w:ascii="Arial" w:eastAsia="Calibri" w:hAnsi="Arial" w:cs="Arial"/>
          <w:sz w:val="16"/>
          <w:szCs w:val="16"/>
          <w:lang w:val="es-CO" w:eastAsia="en-US"/>
        </w:rPr>
        <w:t>Fuente: Información remitida por la Entidad Territorial.</w:t>
      </w:r>
    </w:p>
    <w:p w14:paraId="7165171D" w14:textId="77777777" w:rsidR="00074C27" w:rsidRPr="006021DA" w:rsidRDefault="00074C27" w:rsidP="00835F25">
      <w:pPr>
        <w:contextualSpacing/>
        <w:jc w:val="center"/>
        <w:rPr>
          <w:rFonts w:ascii="Arial" w:eastAsia="Calibri" w:hAnsi="Arial" w:cs="Arial"/>
          <w:sz w:val="16"/>
          <w:szCs w:val="16"/>
          <w:lang w:val="es-CO" w:eastAsia="en-US"/>
        </w:rPr>
      </w:pPr>
      <w:r>
        <w:rPr>
          <w:rFonts w:ascii="Arial" w:eastAsia="Calibri" w:hAnsi="Arial" w:cs="Arial"/>
          <w:sz w:val="16"/>
          <w:szCs w:val="16"/>
          <w:lang w:val="es-CO" w:eastAsia="en-US"/>
        </w:rPr>
        <w:t xml:space="preserve">*A partir de diciembre de 2021 se hizo la sustitución de la </w:t>
      </w:r>
      <w:r w:rsidR="00FE5755">
        <w:rPr>
          <w:rFonts w:ascii="Arial" w:eastAsia="Calibri" w:hAnsi="Arial" w:cs="Arial"/>
          <w:sz w:val="16"/>
          <w:szCs w:val="16"/>
          <w:lang w:val="es-CO" w:eastAsia="en-US"/>
        </w:rPr>
        <w:t>C</w:t>
      </w:r>
      <w:r>
        <w:rPr>
          <w:rFonts w:ascii="Arial" w:eastAsia="Calibri" w:hAnsi="Arial" w:cs="Arial"/>
          <w:sz w:val="16"/>
          <w:szCs w:val="16"/>
          <w:lang w:val="es-CO" w:eastAsia="en-US"/>
        </w:rPr>
        <w:t xml:space="preserve">uenta </w:t>
      </w:r>
      <w:r w:rsidR="00FE5755">
        <w:rPr>
          <w:rFonts w:ascii="Arial" w:eastAsia="Calibri" w:hAnsi="Arial" w:cs="Arial"/>
          <w:sz w:val="16"/>
          <w:szCs w:val="16"/>
          <w:lang w:val="es-CO" w:eastAsia="en-US"/>
        </w:rPr>
        <w:t>M</w:t>
      </w:r>
      <w:r>
        <w:rPr>
          <w:rFonts w:ascii="Arial" w:eastAsia="Calibri" w:hAnsi="Arial" w:cs="Arial"/>
          <w:sz w:val="16"/>
          <w:szCs w:val="16"/>
          <w:lang w:val="es-CO" w:eastAsia="en-US"/>
        </w:rPr>
        <w:t>aestra del Banco de Occidente al Banco Popular.</w:t>
      </w:r>
    </w:p>
    <w:p w14:paraId="4E34B084" w14:textId="77777777" w:rsidR="00735958" w:rsidRPr="006021DA" w:rsidRDefault="00735958" w:rsidP="00835F25">
      <w:pPr>
        <w:contextualSpacing/>
        <w:jc w:val="both"/>
        <w:rPr>
          <w:rFonts w:ascii="Arial" w:eastAsia="Calibri" w:hAnsi="Arial" w:cs="Arial"/>
          <w:b/>
          <w:sz w:val="22"/>
          <w:szCs w:val="22"/>
          <w:lang w:val="es-CO" w:eastAsia="en-US"/>
        </w:rPr>
      </w:pPr>
    </w:p>
    <w:p w14:paraId="566490E4" w14:textId="77777777" w:rsidR="00735958" w:rsidRDefault="00735958" w:rsidP="00835F25">
      <w:pPr>
        <w:contextualSpacing/>
        <w:jc w:val="both"/>
        <w:rPr>
          <w:rFonts w:ascii="Arial" w:eastAsia="Times New Roman" w:hAnsi="Arial" w:cs="Arial"/>
          <w:sz w:val="22"/>
          <w:lang w:eastAsia="es-CO"/>
        </w:rPr>
      </w:pPr>
      <w:r w:rsidRPr="00A06AD3">
        <w:rPr>
          <w:rFonts w:ascii="Arial" w:eastAsia="Times New Roman" w:hAnsi="Arial" w:cs="Arial"/>
          <w:sz w:val="22"/>
          <w:lang w:eastAsia="es-CO"/>
        </w:rPr>
        <w:t>Por lo tanto, para la vigencia</w:t>
      </w:r>
      <w:r w:rsidR="00A06AD3">
        <w:rPr>
          <w:rFonts w:ascii="Arial" w:eastAsia="Times New Roman" w:hAnsi="Arial" w:cs="Arial"/>
          <w:sz w:val="22"/>
          <w:lang w:eastAsia="es-CO"/>
        </w:rPr>
        <w:t xml:space="preserve"> 2021</w:t>
      </w:r>
      <w:r w:rsidRPr="00A06AD3">
        <w:rPr>
          <w:rFonts w:ascii="Arial" w:eastAsia="Times New Roman" w:hAnsi="Arial" w:cs="Arial"/>
          <w:sz w:val="22"/>
          <w:lang w:eastAsia="es-CO"/>
        </w:rPr>
        <w:t xml:space="preserve">, se pudo evidenciar que el Distrito de </w:t>
      </w:r>
      <w:r w:rsidR="00A06AD3">
        <w:rPr>
          <w:rFonts w:ascii="Arial" w:eastAsia="Times New Roman" w:hAnsi="Arial" w:cs="Arial"/>
          <w:sz w:val="22"/>
          <w:lang w:eastAsia="es-CO"/>
        </w:rPr>
        <w:t>Cartagena de Indias</w:t>
      </w:r>
      <w:r w:rsidRPr="00A06AD3">
        <w:rPr>
          <w:rFonts w:ascii="Arial" w:eastAsia="Times New Roman" w:hAnsi="Arial" w:cs="Arial"/>
          <w:sz w:val="22"/>
          <w:lang w:eastAsia="es-CO"/>
        </w:rPr>
        <w:t xml:space="preserve"> contraviene la norma contable relacionada con el Marco Conceptual para la Preparación y Presentación de Información Financiera de las Entidades de Gobierno</w:t>
      </w:r>
      <w:r w:rsidRPr="00A06AD3">
        <w:rPr>
          <w:rStyle w:val="Refdenotaalpie"/>
          <w:rFonts w:ascii="Arial" w:eastAsia="Times New Roman" w:hAnsi="Arial" w:cs="Arial"/>
          <w:sz w:val="22"/>
          <w:lang w:eastAsia="es-CO"/>
        </w:rPr>
        <w:footnoteReference w:id="11"/>
      </w:r>
      <w:r w:rsidRPr="00A06AD3">
        <w:rPr>
          <w:rFonts w:ascii="Arial" w:eastAsia="Times New Roman" w:hAnsi="Arial" w:cs="Arial"/>
          <w:sz w:val="22"/>
          <w:lang w:eastAsia="es-CO"/>
        </w:rPr>
        <w:t>. Sumado a esto, la misma situación de riesgo se había evidenciado por esta Dirección en el Informe de Reconocimiento Institucional, el cual dio lugar a la Medida Preventiva de Plan de Desempeño.</w:t>
      </w:r>
    </w:p>
    <w:p w14:paraId="6B176BF8" w14:textId="77777777" w:rsidR="00B45DA8" w:rsidRDefault="00B45DA8" w:rsidP="00835F25">
      <w:pPr>
        <w:contextualSpacing/>
        <w:jc w:val="both"/>
        <w:rPr>
          <w:rFonts w:ascii="Arial" w:eastAsia="Times New Roman" w:hAnsi="Arial" w:cs="Arial"/>
          <w:sz w:val="22"/>
          <w:lang w:eastAsia="es-CO"/>
        </w:rPr>
      </w:pPr>
    </w:p>
    <w:p w14:paraId="7C95ED92" w14:textId="77777777" w:rsidR="00B45DA8" w:rsidRPr="00A06AD3" w:rsidRDefault="00B45DA8" w:rsidP="00835F25">
      <w:pPr>
        <w:contextualSpacing/>
        <w:jc w:val="both"/>
        <w:rPr>
          <w:rFonts w:ascii="Arial" w:eastAsia="Times New Roman" w:hAnsi="Arial" w:cs="Arial"/>
          <w:sz w:val="22"/>
          <w:lang w:eastAsia="es-CO"/>
        </w:rPr>
      </w:pPr>
      <w:r>
        <w:rPr>
          <w:rFonts w:ascii="Arial" w:eastAsia="Times New Roman" w:hAnsi="Arial" w:cs="Arial"/>
          <w:sz w:val="22"/>
          <w:lang w:eastAsia="es-CO"/>
        </w:rPr>
        <w:t xml:space="preserve">Por último, se rescata el hecho que el equipo contable de la Entidad este diligenciando la herramienta de autoayuda para el prorrateo de los rendimientos financieros publicada en la página </w:t>
      </w:r>
      <w:r w:rsidR="00FE5755" w:rsidRPr="00B3648E">
        <w:rPr>
          <w:rFonts w:ascii="Arial" w:eastAsia="Times New Roman" w:hAnsi="Arial" w:cs="Arial"/>
          <w:i/>
          <w:iCs/>
          <w:sz w:val="22"/>
          <w:lang w:eastAsia="es-CO"/>
        </w:rPr>
        <w:t>W</w:t>
      </w:r>
      <w:r w:rsidRPr="00B3648E">
        <w:rPr>
          <w:rFonts w:ascii="Arial" w:eastAsia="Times New Roman" w:hAnsi="Arial" w:cs="Arial"/>
          <w:i/>
          <w:iCs/>
          <w:sz w:val="22"/>
          <w:lang w:eastAsia="es-CO"/>
        </w:rPr>
        <w:t>eb</w:t>
      </w:r>
      <w:r>
        <w:rPr>
          <w:rFonts w:ascii="Arial" w:eastAsia="Times New Roman" w:hAnsi="Arial" w:cs="Arial"/>
          <w:sz w:val="22"/>
          <w:lang w:eastAsia="es-CO"/>
        </w:rPr>
        <w:t xml:space="preserve"> de este Ministerio. Por lo cual, resulta de imperiosa necesidad que el Distrito siga fortaleciendo su proceso contable, tome nota de estas observaciones con el fin de que sean subsanadas para el próximo seguimiento a la Medida.</w:t>
      </w:r>
    </w:p>
    <w:p w14:paraId="1EC7EA36" w14:textId="77777777" w:rsidR="00DE1838" w:rsidRPr="00735958" w:rsidRDefault="00DE1838" w:rsidP="00835F25">
      <w:pPr>
        <w:contextualSpacing/>
        <w:jc w:val="both"/>
        <w:rPr>
          <w:rFonts w:ascii="Arial" w:eastAsia="Calibri" w:hAnsi="Arial" w:cs="Arial"/>
          <w:b/>
          <w:sz w:val="22"/>
          <w:szCs w:val="22"/>
          <w:highlight w:val="yellow"/>
          <w:lang w:val="es-CO" w:eastAsia="en-US"/>
        </w:rPr>
      </w:pPr>
    </w:p>
    <w:p w14:paraId="7670C9F1" w14:textId="77777777" w:rsidR="009D6BA8" w:rsidRPr="006021DA" w:rsidRDefault="009D6BA8" w:rsidP="00835F25">
      <w:pPr>
        <w:contextualSpacing/>
        <w:jc w:val="both"/>
        <w:rPr>
          <w:rFonts w:ascii="Arial" w:eastAsia="Calibri" w:hAnsi="Arial" w:cs="Arial"/>
          <w:b/>
          <w:sz w:val="22"/>
          <w:szCs w:val="22"/>
          <w:lang w:val="es-CO" w:eastAsia="en-US"/>
        </w:rPr>
      </w:pPr>
      <w:r w:rsidRPr="00F02D8E">
        <w:rPr>
          <w:rFonts w:ascii="Arial" w:eastAsia="Calibri" w:hAnsi="Arial" w:cs="Arial"/>
          <w:b/>
          <w:sz w:val="22"/>
          <w:szCs w:val="22"/>
          <w:lang w:val="es-CO" w:eastAsia="en-US"/>
        </w:rPr>
        <w:t xml:space="preserve">Estado: </w:t>
      </w:r>
      <w:r w:rsidR="00F02D8E" w:rsidRPr="00F02D8E">
        <w:rPr>
          <w:rFonts w:ascii="Arial" w:eastAsia="Calibri" w:hAnsi="Arial" w:cs="Arial"/>
          <w:b/>
          <w:sz w:val="22"/>
          <w:szCs w:val="22"/>
          <w:lang w:val="es-CO" w:eastAsia="en-US"/>
        </w:rPr>
        <w:t>No Cumple.</w:t>
      </w:r>
    </w:p>
    <w:p w14:paraId="600028D2" w14:textId="77777777" w:rsidR="00510625" w:rsidRPr="006021DA" w:rsidRDefault="00510625" w:rsidP="00835F25">
      <w:pPr>
        <w:contextualSpacing/>
        <w:jc w:val="both"/>
        <w:rPr>
          <w:rFonts w:ascii="Arial" w:eastAsia="Calibri" w:hAnsi="Arial" w:cs="Arial"/>
          <w:b/>
          <w:sz w:val="22"/>
          <w:szCs w:val="22"/>
          <w:lang w:val="es-CO" w:eastAsia="en-US"/>
        </w:rPr>
      </w:pPr>
    </w:p>
    <w:p w14:paraId="012AED50" w14:textId="77777777" w:rsidR="008F095B" w:rsidRPr="006021DA" w:rsidRDefault="008F095B" w:rsidP="00835F25">
      <w:pPr>
        <w:pStyle w:val="Prrafodelista"/>
        <w:numPr>
          <w:ilvl w:val="0"/>
          <w:numId w:val="9"/>
        </w:numPr>
        <w:spacing w:after="160"/>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Categoría Contractual</w:t>
      </w:r>
      <w:r w:rsidR="00D00DDF" w:rsidRPr="006021DA">
        <w:rPr>
          <w:rFonts w:ascii="Arial" w:eastAsia="Calibri" w:hAnsi="Arial" w:cs="Arial"/>
          <w:b/>
          <w:sz w:val="22"/>
          <w:szCs w:val="22"/>
          <w:lang w:val="es-CO" w:eastAsia="en-US"/>
        </w:rPr>
        <w:t>.</w:t>
      </w:r>
    </w:p>
    <w:p w14:paraId="66DED48D" w14:textId="77777777" w:rsidR="008F095B" w:rsidRPr="006021DA" w:rsidRDefault="008F095B" w:rsidP="00835F25">
      <w:pPr>
        <w:spacing w:before="240"/>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Objetivo:</w:t>
      </w:r>
      <w:r w:rsidRPr="006021DA">
        <w:rPr>
          <w:rFonts w:ascii="Arial" w:eastAsia="Calibri" w:hAnsi="Arial" w:cs="Arial"/>
          <w:sz w:val="22"/>
          <w:szCs w:val="22"/>
          <w:lang w:val="es-CO" w:eastAsia="en-US"/>
        </w:rPr>
        <w:t xml:space="preserve"> Suscribir y ejecutar los contratos y/o convenios de para la prestación del Servicio de Alimentación Escolar en el marco de los Lineamientos Técnicos del PAE y las normas de contratación vigentes para garantizar la prestación del Servicio a los titulares de derecho durante el calendario escolar.</w:t>
      </w:r>
    </w:p>
    <w:p w14:paraId="0D8D11CC" w14:textId="77777777" w:rsidR="008F095B" w:rsidRPr="006021DA" w:rsidRDefault="008F095B" w:rsidP="00835F25">
      <w:pPr>
        <w:spacing w:before="240"/>
        <w:contextualSpacing/>
        <w:jc w:val="both"/>
        <w:rPr>
          <w:rFonts w:ascii="Arial" w:eastAsia="Calibri" w:hAnsi="Arial" w:cs="Arial"/>
          <w:sz w:val="22"/>
          <w:szCs w:val="22"/>
          <w:lang w:val="es-CO" w:eastAsia="en-US"/>
        </w:rPr>
      </w:pPr>
    </w:p>
    <w:p w14:paraId="77F0859D" w14:textId="77777777" w:rsidR="008F095B" w:rsidRPr="006021DA" w:rsidRDefault="008F095B" w:rsidP="00835F25">
      <w:pPr>
        <w:spacing w:before="24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D4744C" w:rsidRPr="006021DA">
        <w:rPr>
          <w:rFonts w:ascii="Arial" w:eastAsia="Calibri" w:hAnsi="Arial" w:cs="Arial"/>
          <w:b/>
          <w:sz w:val="22"/>
          <w:szCs w:val="22"/>
          <w:lang w:val="es-CO" w:eastAsia="en-US"/>
        </w:rPr>
        <w:t xml:space="preserve">2.1.1. Llevar a cabo los procesos contractuales conforme el Estatuto General de la Contratación Pública, garantizando la prestación del </w:t>
      </w:r>
      <w:r w:rsidR="006841B7" w:rsidRPr="006021DA">
        <w:rPr>
          <w:rFonts w:ascii="Arial" w:eastAsia="Calibri" w:hAnsi="Arial" w:cs="Arial"/>
          <w:b/>
          <w:sz w:val="22"/>
          <w:szCs w:val="22"/>
          <w:lang w:val="es-CO" w:eastAsia="en-US"/>
        </w:rPr>
        <w:t>S</w:t>
      </w:r>
      <w:r w:rsidR="00D4744C" w:rsidRPr="006021DA">
        <w:rPr>
          <w:rFonts w:ascii="Arial" w:eastAsia="Calibri" w:hAnsi="Arial" w:cs="Arial"/>
          <w:b/>
          <w:sz w:val="22"/>
          <w:szCs w:val="22"/>
          <w:lang w:val="es-CO" w:eastAsia="en-US"/>
        </w:rPr>
        <w:t xml:space="preserve">ervicio desde el primer día del calendario escolar para cada vigencia y publicar en el Sistema Electrónico de Contratación Pública </w:t>
      </w:r>
      <w:r w:rsidR="006841B7" w:rsidRPr="006021DA">
        <w:rPr>
          <w:rFonts w:ascii="Arial" w:eastAsia="Calibri" w:hAnsi="Arial" w:cs="Arial"/>
          <w:b/>
          <w:sz w:val="22"/>
          <w:szCs w:val="22"/>
          <w:lang w:val="es-CO" w:eastAsia="en-US"/>
        </w:rPr>
        <w:t xml:space="preserve">- </w:t>
      </w:r>
      <w:r w:rsidR="00D4744C" w:rsidRPr="006021DA">
        <w:rPr>
          <w:rFonts w:ascii="Arial" w:eastAsia="Calibri" w:hAnsi="Arial" w:cs="Arial"/>
          <w:b/>
          <w:sz w:val="22"/>
          <w:szCs w:val="22"/>
          <w:lang w:val="es-CO" w:eastAsia="en-US"/>
        </w:rPr>
        <w:t>SECOP la totalidad de documentos y actos relacionados con el proceso de contratación conforme la normatividad vigente.</w:t>
      </w:r>
    </w:p>
    <w:p w14:paraId="6142D550" w14:textId="77777777" w:rsidR="00D4744C" w:rsidRPr="006021DA" w:rsidRDefault="00D4744C" w:rsidP="00835F25">
      <w:pPr>
        <w:spacing w:before="240"/>
        <w:contextualSpacing/>
        <w:jc w:val="both"/>
        <w:rPr>
          <w:rFonts w:ascii="Arial" w:eastAsia="Calibri" w:hAnsi="Arial" w:cs="Arial"/>
          <w:b/>
          <w:sz w:val="22"/>
          <w:szCs w:val="22"/>
          <w:lang w:val="es-CO" w:eastAsia="en-US"/>
        </w:rPr>
      </w:pPr>
    </w:p>
    <w:p w14:paraId="5BFE52E0" w14:textId="77777777" w:rsidR="00DA6090" w:rsidRPr="006021DA" w:rsidRDefault="008F095B"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lastRenderedPageBreak/>
        <w:t xml:space="preserve">El </w:t>
      </w:r>
      <w:r w:rsidR="00F96256" w:rsidRPr="006021DA">
        <w:rPr>
          <w:rFonts w:ascii="Arial" w:eastAsia="Calibri" w:hAnsi="Arial" w:cs="Arial"/>
          <w:sz w:val="22"/>
          <w:szCs w:val="22"/>
          <w:lang w:val="es-CO" w:eastAsia="en-US"/>
        </w:rPr>
        <w:t xml:space="preserve">Distrito de </w:t>
      </w:r>
      <w:r w:rsidR="00AC0429">
        <w:rPr>
          <w:rFonts w:ascii="Arial" w:eastAsia="Calibri" w:hAnsi="Arial" w:cs="Arial"/>
          <w:sz w:val="22"/>
          <w:szCs w:val="22"/>
          <w:lang w:val="es-CO" w:eastAsia="en-US"/>
        </w:rPr>
        <w:t>Cartagena de Indias</w:t>
      </w:r>
      <w:r w:rsidRPr="006021DA">
        <w:rPr>
          <w:rFonts w:ascii="Arial" w:eastAsia="Calibri" w:hAnsi="Arial" w:cs="Arial"/>
          <w:sz w:val="22"/>
          <w:szCs w:val="22"/>
          <w:lang w:val="es-CO" w:eastAsia="en-US"/>
        </w:rPr>
        <w:t xml:space="preserve">, remitió a la Dirección General de Apoyo Fiscal, </w:t>
      </w:r>
      <w:r w:rsidR="00E40ED1">
        <w:rPr>
          <w:rFonts w:ascii="Arial" w:eastAsia="Calibri" w:hAnsi="Arial" w:cs="Arial"/>
          <w:sz w:val="22"/>
          <w:szCs w:val="22"/>
          <w:lang w:val="es-CO" w:eastAsia="en-US"/>
        </w:rPr>
        <w:t>los</w:t>
      </w:r>
      <w:r w:rsidRPr="006021DA">
        <w:rPr>
          <w:rFonts w:ascii="Arial" w:eastAsia="Calibri" w:hAnsi="Arial" w:cs="Arial"/>
          <w:sz w:val="22"/>
          <w:szCs w:val="22"/>
          <w:lang w:val="es-CO" w:eastAsia="en-US"/>
        </w:rPr>
        <w:t xml:space="preserve"> producto</w:t>
      </w:r>
      <w:r w:rsidR="00E40ED1">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relacionado</w:t>
      </w:r>
      <w:r w:rsidR="001629F9">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con esta Actividad </w:t>
      </w:r>
      <w:r w:rsidR="00E40ED1">
        <w:rPr>
          <w:rFonts w:ascii="Arial" w:eastAsia="Calibri" w:hAnsi="Arial" w:cs="Arial"/>
          <w:sz w:val="22"/>
          <w:szCs w:val="22"/>
          <w:lang w:val="es-CO" w:eastAsia="en-US"/>
        </w:rPr>
        <w:t>los</w:t>
      </w:r>
      <w:r w:rsidRPr="006021DA">
        <w:rPr>
          <w:rFonts w:ascii="Arial" w:eastAsia="Calibri" w:hAnsi="Arial" w:cs="Arial"/>
          <w:sz w:val="22"/>
          <w:szCs w:val="22"/>
          <w:lang w:val="es-CO" w:eastAsia="en-US"/>
        </w:rPr>
        <w:t xml:space="preserve"> cual</w:t>
      </w:r>
      <w:r w:rsidR="00E40ED1">
        <w:rPr>
          <w:rFonts w:ascii="Arial" w:eastAsia="Calibri" w:hAnsi="Arial" w:cs="Arial"/>
          <w:sz w:val="22"/>
          <w:szCs w:val="22"/>
          <w:lang w:val="es-CO" w:eastAsia="en-US"/>
        </w:rPr>
        <w:t>es</w:t>
      </w:r>
      <w:r w:rsidRPr="006021DA">
        <w:rPr>
          <w:rFonts w:ascii="Arial" w:eastAsia="Calibri" w:hAnsi="Arial" w:cs="Arial"/>
          <w:sz w:val="22"/>
          <w:szCs w:val="22"/>
          <w:lang w:val="es-CO" w:eastAsia="en-US"/>
        </w:rPr>
        <w:t xml:space="preserve"> según </w:t>
      </w:r>
      <w:r w:rsidR="00C77B7F">
        <w:rPr>
          <w:rFonts w:ascii="Arial" w:eastAsia="Calibri" w:hAnsi="Arial" w:cs="Arial"/>
          <w:sz w:val="22"/>
          <w:szCs w:val="22"/>
          <w:lang w:val="es-CO" w:eastAsia="en-US"/>
        </w:rPr>
        <w:t>la</w:t>
      </w:r>
      <w:r w:rsidRPr="006021DA">
        <w:rPr>
          <w:rFonts w:ascii="Arial" w:eastAsia="Calibri" w:hAnsi="Arial" w:cs="Arial"/>
          <w:sz w:val="22"/>
          <w:szCs w:val="22"/>
          <w:lang w:val="es-CO" w:eastAsia="en-US"/>
        </w:rPr>
        <w:t xml:space="preserve"> </w:t>
      </w:r>
      <w:r w:rsidR="00C77B7F">
        <w:rPr>
          <w:rFonts w:ascii="Arial" w:eastAsia="Calibri" w:hAnsi="Arial" w:cs="Arial"/>
          <w:sz w:val="22"/>
          <w:szCs w:val="22"/>
          <w:lang w:val="es-CO" w:eastAsia="en-US"/>
        </w:rPr>
        <w:t>Resolución</w:t>
      </w:r>
      <w:r w:rsidRPr="006021DA">
        <w:rPr>
          <w:rFonts w:ascii="Arial" w:eastAsia="Calibri" w:hAnsi="Arial" w:cs="Arial"/>
          <w:sz w:val="22"/>
          <w:szCs w:val="22"/>
          <w:lang w:val="es-CO" w:eastAsia="en-US"/>
        </w:rPr>
        <w:t xml:space="preserve"> </w:t>
      </w:r>
      <w:r w:rsidR="00C77B7F">
        <w:rPr>
          <w:rFonts w:ascii="Arial" w:eastAsia="Calibri" w:hAnsi="Arial" w:cs="Arial"/>
          <w:sz w:val="22"/>
          <w:szCs w:val="22"/>
          <w:lang w:val="es-CO" w:eastAsia="en-US"/>
        </w:rPr>
        <w:t>4389</w:t>
      </w:r>
      <w:r w:rsidRPr="006021DA">
        <w:rPr>
          <w:rFonts w:ascii="Arial" w:eastAsia="Calibri" w:hAnsi="Arial" w:cs="Arial"/>
          <w:sz w:val="22"/>
          <w:szCs w:val="22"/>
          <w:lang w:val="es-CO" w:eastAsia="en-US"/>
        </w:rPr>
        <w:t xml:space="preserve"> del </w:t>
      </w:r>
      <w:r w:rsidR="00C77B7F">
        <w:rPr>
          <w:rFonts w:ascii="Arial" w:eastAsia="Calibri" w:hAnsi="Arial" w:cs="Arial"/>
          <w:sz w:val="22"/>
          <w:szCs w:val="22"/>
          <w:lang w:val="es-CO" w:eastAsia="en-US"/>
        </w:rPr>
        <w:t>5</w:t>
      </w:r>
      <w:r w:rsidRPr="006021DA">
        <w:rPr>
          <w:rFonts w:ascii="Arial" w:eastAsia="Calibri" w:hAnsi="Arial" w:cs="Arial"/>
          <w:sz w:val="22"/>
          <w:szCs w:val="22"/>
          <w:lang w:val="es-CO" w:eastAsia="en-US"/>
        </w:rPr>
        <w:t xml:space="preserve"> de </w:t>
      </w:r>
      <w:r w:rsidR="00C77B7F">
        <w:rPr>
          <w:rFonts w:ascii="Arial" w:eastAsia="Calibri" w:hAnsi="Arial" w:cs="Arial"/>
          <w:sz w:val="22"/>
          <w:szCs w:val="22"/>
          <w:lang w:val="es-CO" w:eastAsia="en-US"/>
        </w:rPr>
        <w:t>agosto</w:t>
      </w:r>
      <w:r w:rsidRPr="006021DA">
        <w:rPr>
          <w:rFonts w:ascii="Arial" w:eastAsia="Calibri" w:hAnsi="Arial" w:cs="Arial"/>
          <w:sz w:val="22"/>
          <w:szCs w:val="22"/>
          <w:lang w:val="es-CO" w:eastAsia="en-US"/>
        </w:rPr>
        <w:t xml:space="preserve"> de </w:t>
      </w:r>
      <w:r w:rsidR="00C77B7F">
        <w:rPr>
          <w:rFonts w:ascii="Arial" w:eastAsia="Calibri" w:hAnsi="Arial" w:cs="Arial"/>
          <w:sz w:val="22"/>
          <w:szCs w:val="22"/>
          <w:lang w:val="es-CO" w:eastAsia="en-US"/>
        </w:rPr>
        <w:t>2021</w:t>
      </w:r>
      <w:r w:rsidRPr="006021DA">
        <w:rPr>
          <w:rFonts w:ascii="Arial" w:eastAsia="Calibri" w:hAnsi="Arial" w:cs="Arial"/>
          <w:sz w:val="22"/>
          <w:szCs w:val="22"/>
          <w:lang w:val="es-CO" w:eastAsia="en-US"/>
        </w:rPr>
        <w:t xml:space="preserve">, </w:t>
      </w:r>
      <w:r w:rsidR="00E40ED1">
        <w:rPr>
          <w:rFonts w:ascii="Arial" w:eastAsia="Calibri" w:hAnsi="Arial" w:cs="Arial"/>
          <w:sz w:val="22"/>
          <w:szCs w:val="22"/>
          <w:lang w:val="es-CO" w:eastAsia="en-US"/>
        </w:rPr>
        <w:t>son</w:t>
      </w:r>
      <w:r w:rsidR="007175EE" w:rsidRPr="006021DA">
        <w:rPr>
          <w:rFonts w:ascii="Arial" w:eastAsia="Calibri" w:hAnsi="Arial" w:cs="Arial"/>
          <w:sz w:val="22"/>
          <w:szCs w:val="22"/>
          <w:lang w:val="es-CO" w:eastAsia="en-US"/>
        </w:rPr>
        <w:t>:</w:t>
      </w:r>
    </w:p>
    <w:p w14:paraId="46BE3C08" w14:textId="77777777" w:rsidR="00DA6090" w:rsidRPr="00C95337" w:rsidRDefault="00DA6090" w:rsidP="00835F25">
      <w:pPr>
        <w:contextualSpacing/>
        <w:jc w:val="both"/>
        <w:rPr>
          <w:rFonts w:ascii="Arial" w:eastAsia="Calibri" w:hAnsi="Arial" w:cs="Arial"/>
          <w:lang w:val="es-CO" w:eastAsia="en-US"/>
        </w:rPr>
      </w:pPr>
    </w:p>
    <w:p w14:paraId="0B11E4E3" w14:textId="77777777" w:rsidR="00FD7B16" w:rsidRPr="00B3648E" w:rsidRDefault="008F095B" w:rsidP="00835F25">
      <w:pPr>
        <w:ind w:left="567"/>
        <w:contextualSpacing/>
        <w:jc w:val="both"/>
        <w:rPr>
          <w:rFonts w:ascii="Arial" w:eastAsia="Calibri" w:hAnsi="Arial" w:cs="Arial"/>
          <w:i/>
          <w:iCs/>
          <w:sz w:val="18"/>
          <w:szCs w:val="20"/>
          <w:lang w:val="es-CO" w:eastAsia="en-US"/>
        </w:rPr>
      </w:pPr>
      <w:r w:rsidRPr="00B3648E">
        <w:rPr>
          <w:rFonts w:ascii="Arial" w:eastAsia="Calibri" w:hAnsi="Arial" w:cs="Arial"/>
          <w:i/>
          <w:iCs/>
          <w:sz w:val="18"/>
          <w:szCs w:val="20"/>
          <w:lang w:val="es-CO" w:eastAsia="en-US"/>
        </w:rPr>
        <w:t>“</w:t>
      </w:r>
      <w:r w:rsidR="00FD7B16" w:rsidRPr="00B3648E">
        <w:rPr>
          <w:rFonts w:ascii="Arial" w:eastAsia="Calibri" w:hAnsi="Arial" w:cs="Arial"/>
          <w:i/>
          <w:iCs/>
          <w:sz w:val="18"/>
          <w:szCs w:val="20"/>
          <w:lang w:val="es-CO" w:eastAsia="en-US"/>
        </w:rPr>
        <w:t>-Contratos de la prestación del servicio para cada vigencia, con su respectiva acta de inicio. Publicación en el SECOP de los expedientes contractuales de los contratos de alimentación escolar con los documentos de cada una de las etapas (</w:t>
      </w:r>
      <w:r w:rsidR="008A7BE0" w:rsidRPr="00B3648E">
        <w:rPr>
          <w:rFonts w:ascii="Arial" w:eastAsia="Calibri" w:hAnsi="Arial" w:cs="Arial"/>
          <w:i/>
          <w:iCs/>
          <w:sz w:val="18"/>
          <w:szCs w:val="20"/>
          <w:lang w:val="es-CO" w:eastAsia="en-US"/>
        </w:rPr>
        <w:t>precontractual</w:t>
      </w:r>
      <w:r w:rsidR="00FD7B16" w:rsidRPr="00B3648E">
        <w:rPr>
          <w:rFonts w:ascii="Arial" w:eastAsia="Calibri" w:hAnsi="Arial" w:cs="Arial"/>
          <w:i/>
          <w:iCs/>
          <w:sz w:val="18"/>
          <w:szCs w:val="20"/>
          <w:lang w:val="es-CO" w:eastAsia="en-US"/>
        </w:rPr>
        <w:t xml:space="preserve">, contractual y </w:t>
      </w:r>
      <w:proofErr w:type="spellStart"/>
      <w:r w:rsidR="00FD7B16" w:rsidRPr="00B3648E">
        <w:rPr>
          <w:rFonts w:ascii="Arial" w:eastAsia="Calibri" w:hAnsi="Arial" w:cs="Arial"/>
          <w:i/>
          <w:iCs/>
          <w:sz w:val="18"/>
          <w:szCs w:val="20"/>
          <w:lang w:val="es-CO" w:eastAsia="en-US"/>
        </w:rPr>
        <w:t>pos</w:t>
      </w:r>
      <w:proofErr w:type="spellEnd"/>
      <w:r w:rsidR="00FD7B16" w:rsidRPr="00B3648E">
        <w:rPr>
          <w:rFonts w:ascii="Arial" w:eastAsia="Calibri" w:hAnsi="Arial" w:cs="Arial"/>
          <w:i/>
          <w:iCs/>
          <w:sz w:val="18"/>
          <w:szCs w:val="20"/>
          <w:lang w:val="es-CO" w:eastAsia="en-US"/>
        </w:rPr>
        <w:t xml:space="preserve"> contractual) con los informes de supervisión parciales y definitivos.</w:t>
      </w:r>
    </w:p>
    <w:p w14:paraId="4886941C" w14:textId="77777777" w:rsidR="00701E23" w:rsidRPr="00B3648E" w:rsidRDefault="00FD7B16" w:rsidP="00835F25">
      <w:pPr>
        <w:ind w:left="567"/>
        <w:contextualSpacing/>
        <w:jc w:val="both"/>
        <w:rPr>
          <w:rFonts w:ascii="Arial" w:eastAsia="Calibri" w:hAnsi="Arial" w:cs="Arial"/>
          <w:i/>
          <w:iCs/>
          <w:sz w:val="18"/>
          <w:szCs w:val="20"/>
          <w:lang w:val="es-CO" w:eastAsia="en-US"/>
        </w:rPr>
      </w:pPr>
      <w:r w:rsidRPr="00B3648E">
        <w:rPr>
          <w:rFonts w:ascii="Arial" w:eastAsia="Calibri" w:hAnsi="Arial" w:cs="Arial"/>
          <w:i/>
          <w:iCs/>
          <w:sz w:val="18"/>
          <w:szCs w:val="20"/>
          <w:lang w:val="es-CO" w:eastAsia="en-US"/>
        </w:rPr>
        <w:t xml:space="preserve">-Copia de los informes de supervisión de conformidad con la Guía para el ejercicio de las funciones de Supervisión e Interventoría de los contratos del Estado - Agencia Nacional de Contratación Pública, </w:t>
      </w:r>
      <w:r w:rsidR="00701E23" w:rsidRPr="00B3648E">
        <w:rPr>
          <w:rFonts w:ascii="Arial" w:eastAsia="Calibri" w:hAnsi="Arial" w:cs="Arial"/>
          <w:i/>
          <w:iCs/>
          <w:sz w:val="18"/>
          <w:szCs w:val="20"/>
          <w:lang w:val="es-CO" w:eastAsia="en-US"/>
        </w:rPr>
        <w:t>c</w:t>
      </w:r>
      <w:r w:rsidRPr="00B3648E">
        <w:rPr>
          <w:rFonts w:ascii="Arial" w:eastAsia="Calibri" w:hAnsi="Arial" w:cs="Arial"/>
          <w:i/>
          <w:iCs/>
          <w:sz w:val="18"/>
          <w:szCs w:val="20"/>
          <w:lang w:val="es-CO" w:eastAsia="en-US"/>
        </w:rPr>
        <w:t xml:space="preserve">onforme con la normatividad vigente. </w:t>
      </w:r>
      <w:proofErr w:type="gramStart"/>
      <w:r w:rsidRPr="00B3648E">
        <w:rPr>
          <w:rFonts w:ascii="Arial" w:eastAsia="Calibri" w:hAnsi="Arial" w:cs="Arial"/>
          <w:i/>
          <w:iCs/>
          <w:sz w:val="18"/>
          <w:szCs w:val="20"/>
          <w:lang w:val="es-CO" w:eastAsia="en-US"/>
        </w:rPr>
        <w:t>Link</w:t>
      </w:r>
      <w:proofErr w:type="gramEnd"/>
      <w:r w:rsidRPr="00B3648E">
        <w:rPr>
          <w:rFonts w:ascii="Arial" w:eastAsia="Calibri" w:hAnsi="Arial" w:cs="Arial"/>
          <w:i/>
          <w:iCs/>
          <w:sz w:val="18"/>
          <w:szCs w:val="20"/>
          <w:lang w:val="es-CO" w:eastAsia="en-US"/>
        </w:rPr>
        <w:t xml:space="preserve"> de publicación en el SECOP.</w:t>
      </w:r>
    </w:p>
    <w:p w14:paraId="6DECC020" w14:textId="77777777" w:rsidR="009D6794" w:rsidRPr="00B3648E" w:rsidRDefault="00701E23" w:rsidP="00835F25">
      <w:pPr>
        <w:ind w:left="567"/>
        <w:contextualSpacing/>
        <w:jc w:val="both"/>
        <w:rPr>
          <w:rFonts w:ascii="Arial" w:eastAsia="Calibri" w:hAnsi="Arial" w:cs="Arial"/>
          <w:sz w:val="20"/>
          <w:szCs w:val="22"/>
          <w:lang w:val="es-CO" w:eastAsia="en-US"/>
        </w:rPr>
      </w:pPr>
      <w:r w:rsidRPr="00B3648E">
        <w:rPr>
          <w:rFonts w:ascii="Arial" w:eastAsia="Calibri" w:hAnsi="Arial" w:cs="Arial"/>
          <w:i/>
          <w:iCs/>
          <w:sz w:val="18"/>
          <w:szCs w:val="20"/>
          <w:lang w:val="es-CO" w:eastAsia="en-US"/>
        </w:rPr>
        <w:t>-Relación en Excel del número del proceso contractual, objeto, contratista, fecha de suscripción, cuantía, duración, CDP, RP fuentes de financiación</w:t>
      </w:r>
      <w:r w:rsidR="008F095B" w:rsidRPr="00B3648E">
        <w:rPr>
          <w:rFonts w:ascii="Arial" w:eastAsia="Calibri" w:hAnsi="Arial" w:cs="Arial"/>
          <w:i/>
          <w:iCs/>
          <w:sz w:val="18"/>
          <w:szCs w:val="20"/>
          <w:lang w:val="es-CO" w:eastAsia="en-US"/>
        </w:rPr>
        <w:t>”.</w:t>
      </w:r>
    </w:p>
    <w:p w14:paraId="2E93702E" w14:textId="77777777" w:rsidR="002E7672" w:rsidRPr="006021DA" w:rsidRDefault="002E7672" w:rsidP="00835F25">
      <w:pPr>
        <w:contextualSpacing/>
        <w:jc w:val="both"/>
        <w:rPr>
          <w:rFonts w:ascii="Arial" w:eastAsia="Calibri" w:hAnsi="Arial" w:cs="Arial"/>
          <w:sz w:val="22"/>
          <w:szCs w:val="22"/>
          <w:lang w:val="es-CO" w:eastAsia="en-US"/>
        </w:rPr>
      </w:pPr>
    </w:p>
    <w:p w14:paraId="6943658E" w14:textId="77777777" w:rsidR="002E7672" w:rsidRPr="002E7672" w:rsidRDefault="002E7672" w:rsidP="00835F25">
      <w:pPr>
        <w:contextualSpacing/>
        <w:jc w:val="center"/>
        <w:rPr>
          <w:rFonts w:ascii="Arial" w:hAnsi="Arial" w:cs="Arial"/>
          <w:b/>
          <w:bCs/>
          <w:i/>
          <w:iCs/>
          <w:color w:val="1F487C"/>
          <w:sz w:val="20"/>
          <w:szCs w:val="20"/>
        </w:rPr>
      </w:pPr>
      <w:r w:rsidRPr="002E7672">
        <w:rPr>
          <w:rFonts w:ascii="Arial" w:hAnsi="Arial" w:cs="Arial"/>
          <w:b/>
          <w:bCs/>
          <w:i/>
          <w:iCs/>
          <w:color w:val="1F487C"/>
          <w:sz w:val="20"/>
          <w:szCs w:val="20"/>
        </w:rPr>
        <w:t xml:space="preserve">Tabla No. </w:t>
      </w:r>
      <w:r w:rsidR="00EE0320" w:rsidRPr="00B3648E">
        <w:rPr>
          <w:rFonts w:ascii="Arial" w:hAnsi="Arial" w:cs="Arial"/>
          <w:b/>
          <w:bCs/>
          <w:i/>
          <w:iCs/>
          <w:color w:val="1F497D" w:themeColor="text2"/>
          <w:sz w:val="20"/>
          <w:szCs w:val="20"/>
        </w:rPr>
        <w:fldChar w:fldCharType="begin"/>
      </w:r>
      <w:r w:rsidR="00EE0320" w:rsidRPr="00B3648E">
        <w:rPr>
          <w:rFonts w:ascii="Arial" w:hAnsi="Arial" w:cs="Arial"/>
          <w:b/>
          <w:bCs/>
          <w:i/>
          <w:iCs/>
          <w:color w:val="1F497D" w:themeColor="text2"/>
          <w:sz w:val="20"/>
          <w:szCs w:val="20"/>
        </w:rPr>
        <w:instrText xml:space="preserve"> SEQ Ilustración \* ARABIC </w:instrText>
      </w:r>
      <w:r w:rsidR="00EE0320" w:rsidRPr="00B3648E">
        <w:rPr>
          <w:rFonts w:ascii="Arial" w:hAnsi="Arial" w:cs="Arial"/>
          <w:b/>
          <w:bCs/>
          <w:i/>
          <w:iCs/>
          <w:color w:val="1F497D" w:themeColor="text2"/>
          <w:sz w:val="20"/>
          <w:szCs w:val="20"/>
        </w:rPr>
        <w:fldChar w:fldCharType="separate"/>
      </w:r>
      <w:r w:rsidR="00EE0320" w:rsidRPr="00B3648E">
        <w:rPr>
          <w:rFonts w:ascii="Arial" w:hAnsi="Arial" w:cs="Arial"/>
          <w:b/>
          <w:bCs/>
          <w:i/>
          <w:iCs/>
          <w:noProof/>
          <w:color w:val="1F497D" w:themeColor="text2"/>
          <w:sz w:val="20"/>
          <w:szCs w:val="20"/>
        </w:rPr>
        <w:t>18</w:t>
      </w:r>
      <w:r w:rsidR="00EE0320" w:rsidRPr="00B3648E">
        <w:rPr>
          <w:rFonts w:ascii="Arial" w:hAnsi="Arial" w:cs="Arial"/>
          <w:b/>
          <w:bCs/>
          <w:i/>
          <w:iCs/>
          <w:color w:val="1F497D" w:themeColor="text2"/>
          <w:sz w:val="20"/>
          <w:szCs w:val="20"/>
        </w:rPr>
        <w:fldChar w:fldCharType="end"/>
      </w:r>
      <w:r w:rsidR="00EE0320">
        <w:rPr>
          <w:rFonts w:ascii="Arial" w:hAnsi="Arial" w:cs="Arial"/>
          <w:b/>
          <w:bCs/>
          <w:color w:val="1F497D" w:themeColor="text2"/>
          <w:sz w:val="20"/>
          <w:szCs w:val="20"/>
        </w:rPr>
        <w:t xml:space="preserve"> </w:t>
      </w:r>
      <w:r w:rsidRPr="002E7672">
        <w:rPr>
          <w:rFonts w:ascii="Arial" w:hAnsi="Arial" w:cs="Arial"/>
          <w:b/>
          <w:bCs/>
          <w:i/>
          <w:iCs/>
          <w:color w:val="1F487C"/>
          <w:sz w:val="20"/>
          <w:szCs w:val="20"/>
        </w:rPr>
        <w:t xml:space="preserve">Relación contractual. Vigencias </w:t>
      </w:r>
      <w:r>
        <w:rPr>
          <w:rFonts w:ascii="Arial" w:hAnsi="Arial" w:cs="Arial"/>
          <w:b/>
          <w:bCs/>
          <w:i/>
          <w:iCs/>
          <w:color w:val="1F487C"/>
          <w:sz w:val="20"/>
          <w:szCs w:val="20"/>
        </w:rPr>
        <w:t xml:space="preserve">2021 </w:t>
      </w:r>
      <w:r w:rsidRPr="002E7672">
        <w:rPr>
          <w:rFonts w:ascii="Arial" w:hAnsi="Arial" w:cs="Arial"/>
          <w:b/>
          <w:bCs/>
          <w:i/>
          <w:iCs/>
          <w:color w:val="1F487C"/>
          <w:sz w:val="20"/>
          <w:szCs w:val="20"/>
        </w:rPr>
        <w:t>-</w:t>
      </w:r>
      <w:r>
        <w:rPr>
          <w:rFonts w:ascii="Arial" w:hAnsi="Arial" w:cs="Arial"/>
          <w:b/>
          <w:bCs/>
          <w:i/>
          <w:iCs/>
          <w:color w:val="1F487C"/>
          <w:sz w:val="20"/>
          <w:szCs w:val="20"/>
        </w:rPr>
        <w:t xml:space="preserve"> </w:t>
      </w:r>
      <w:r w:rsidRPr="002E7672">
        <w:rPr>
          <w:rFonts w:ascii="Arial" w:hAnsi="Arial" w:cs="Arial"/>
          <w:b/>
          <w:bCs/>
          <w:i/>
          <w:iCs/>
          <w:color w:val="1F487C"/>
          <w:sz w:val="20"/>
          <w:szCs w:val="20"/>
        </w:rPr>
        <w:t>202</w:t>
      </w:r>
      <w:r>
        <w:rPr>
          <w:rFonts w:ascii="Arial" w:hAnsi="Arial" w:cs="Arial"/>
          <w:b/>
          <w:bCs/>
          <w:i/>
          <w:iCs/>
          <w:color w:val="1F487C"/>
          <w:sz w:val="20"/>
          <w:szCs w:val="20"/>
        </w:rPr>
        <w:t>2</w:t>
      </w:r>
      <w:r w:rsidRPr="002E7672">
        <w:rPr>
          <w:rFonts w:ascii="Arial" w:hAnsi="Arial" w:cs="Arial"/>
          <w:b/>
          <w:bCs/>
          <w:i/>
          <w:iCs/>
          <w:color w:val="1F487C"/>
          <w:sz w:val="20"/>
          <w:szCs w:val="20"/>
        </w:rPr>
        <w:t>.</w:t>
      </w:r>
    </w:p>
    <w:tbl>
      <w:tblPr>
        <w:tblStyle w:val="Tablaconcuadrcula"/>
        <w:tblW w:w="10910" w:type="dxa"/>
        <w:jc w:val="center"/>
        <w:tblLayout w:type="fixed"/>
        <w:tblLook w:val="04A0" w:firstRow="1" w:lastRow="0" w:firstColumn="1" w:lastColumn="0" w:noHBand="0" w:noVBand="1"/>
      </w:tblPr>
      <w:tblGrid>
        <w:gridCol w:w="617"/>
        <w:gridCol w:w="975"/>
        <w:gridCol w:w="3081"/>
        <w:gridCol w:w="1032"/>
        <w:gridCol w:w="1094"/>
        <w:gridCol w:w="1117"/>
        <w:gridCol w:w="1407"/>
        <w:gridCol w:w="1587"/>
      </w:tblGrid>
      <w:tr w:rsidR="002E7672" w:rsidRPr="00FE5755" w14:paraId="4F95CFB3" w14:textId="77777777" w:rsidTr="009505F3">
        <w:trPr>
          <w:tblHeader/>
          <w:jc w:val="center"/>
        </w:trPr>
        <w:tc>
          <w:tcPr>
            <w:tcW w:w="10910" w:type="dxa"/>
            <w:gridSpan w:val="8"/>
            <w:tcBorders>
              <w:top w:val="single" w:sz="4" w:space="0" w:color="auto"/>
              <w:left w:val="single" w:sz="4" w:space="0" w:color="auto"/>
              <w:bottom w:val="single" w:sz="4" w:space="0" w:color="auto"/>
              <w:right w:val="single" w:sz="4" w:space="0" w:color="auto"/>
            </w:tcBorders>
            <w:shd w:val="clear" w:color="auto" w:fill="666699"/>
          </w:tcPr>
          <w:p w14:paraId="599BF86A" w14:textId="77777777" w:rsidR="002E7672" w:rsidRPr="00B3648E" w:rsidRDefault="002E7672" w:rsidP="00835F25">
            <w:pPr>
              <w:ind w:right="-609"/>
              <w:contextualSpacing/>
              <w:jc w:val="center"/>
              <w:rPr>
                <w:rFonts w:ascii="Arial" w:eastAsia="Calibri" w:hAnsi="Arial" w:cs="Arial"/>
                <w:sz w:val="16"/>
                <w:szCs w:val="16"/>
                <w:lang w:val="es-CO" w:eastAsia="en-US"/>
              </w:rPr>
            </w:pPr>
            <w:r w:rsidRPr="00B3648E">
              <w:rPr>
                <w:rFonts w:ascii="Arial" w:eastAsia="Times New Roman" w:hAnsi="Arial" w:cs="Arial"/>
                <w:b/>
                <w:bCs/>
                <w:color w:val="FFFFFF" w:themeColor="background1"/>
                <w:sz w:val="16"/>
                <w:szCs w:val="16"/>
                <w:lang w:val="es-419" w:eastAsia="es-419"/>
              </w:rPr>
              <w:t>(Cifras en Pesos)</w:t>
            </w:r>
          </w:p>
        </w:tc>
      </w:tr>
      <w:tr w:rsidR="002E7672" w:rsidRPr="00FE5755" w14:paraId="72F9C08C" w14:textId="77777777" w:rsidTr="00A367A5">
        <w:trPr>
          <w:tblHeader/>
          <w:jc w:val="center"/>
        </w:trPr>
        <w:tc>
          <w:tcPr>
            <w:tcW w:w="617" w:type="dxa"/>
            <w:tcBorders>
              <w:top w:val="single" w:sz="4" w:space="0" w:color="auto"/>
              <w:left w:val="single" w:sz="4" w:space="0" w:color="auto"/>
              <w:bottom w:val="single" w:sz="4" w:space="0" w:color="auto"/>
              <w:right w:val="single" w:sz="4" w:space="0" w:color="auto"/>
            </w:tcBorders>
            <w:shd w:val="clear" w:color="auto" w:fill="CCCCFF"/>
            <w:vAlign w:val="center"/>
          </w:tcPr>
          <w:p w14:paraId="414DF406" w14:textId="77777777" w:rsidR="002E7672" w:rsidRPr="00B3648E" w:rsidRDefault="002E7672"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Año</w:t>
            </w:r>
          </w:p>
        </w:tc>
        <w:tc>
          <w:tcPr>
            <w:tcW w:w="975"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6975688" w14:textId="77777777" w:rsidR="002E7672" w:rsidRPr="00B3648E" w:rsidRDefault="002E7672"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No. Contrato</w:t>
            </w:r>
          </w:p>
        </w:tc>
        <w:tc>
          <w:tcPr>
            <w:tcW w:w="308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6DF7CC4" w14:textId="77777777" w:rsidR="002E7672" w:rsidRPr="00B3648E" w:rsidRDefault="002E7672"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Objeto</w:t>
            </w:r>
          </w:p>
        </w:tc>
        <w:tc>
          <w:tcPr>
            <w:tcW w:w="103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6C2517B" w14:textId="77777777" w:rsidR="002E7672" w:rsidRPr="00B3648E" w:rsidRDefault="00E22C98"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Operador</w:t>
            </w:r>
          </w:p>
        </w:tc>
        <w:tc>
          <w:tcPr>
            <w:tcW w:w="109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7BCB332" w14:textId="77777777" w:rsidR="002E7672" w:rsidRPr="00B3648E" w:rsidRDefault="00A367A5"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Días</w:t>
            </w:r>
            <w:r w:rsidR="002E7672" w:rsidRPr="00B3648E">
              <w:rPr>
                <w:rFonts w:ascii="Arial" w:eastAsia="Calibri" w:hAnsi="Arial" w:cs="Arial"/>
                <w:b/>
                <w:sz w:val="16"/>
                <w:szCs w:val="16"/>
                <w:lang w:val="es-CO" w:eastAsia="en-US"/>
              </w:rPr>
              <w:t xml:space="preserve"> Escolar</w:t>
            </w:r>
            <w:r w:rsidRPr="00B3648E">
              <w:rPr>
                <w:rFonts w:ascii="Arial" w:eastAsia="Calibri" w:hAnsi="Arial" w:cs="Arial"/>
                <w:b/>
                <w:sz w:val="16"/>
                <w:szCs w:val="16"/>
                <w:lang w:val="es-CO" w:eastAsia="en-US"/>
              </w:rPr>
              <w:t>es</w:t>
            </w:r>
          </w:p>
        </w:tc>
        <w:tc>
          <w:tcPr>
            <w:tcW w:w="111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D338B5D" w14:textId="77777777" w:rsidR="002E7672" w:rsidRPr="00B3648E" w:rsidRDefault="002E7672"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 xml:space="preserve">Fecha </w:t>
            </w:r>
            <w:r w:rsidR="00AA5319" w:rsidRPr="00B3648E">
              <w:rPr>
                <w:rFonts w:ascii="Arial" w:eastAsia="Calibri" w:hAnsi="Arial" w:cs="Arial"/>
                <w:b/>
                <w:sz w:val="16"/>
                <w:szCs w:val="16"/>
                <w:lang w:val="es-CO" w:eastAsia="en-US"/>
              </w:rPr>
              <w:t>de Contrato</w:t>
            </w:r>
          </w:p>
        </w:tc>
        <w:tc>
          <w:tcPr>
            <w:tcW w:w="140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D762E8C" w14:textId="77777777" w:rsidR="002E7672" w:rsidRPr="00B3648E" w:rsidRDefault="002E7672"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Fuente de Financiación</w:t>
            </w:r>
          </w:p>
        </w:tc>
        <w:tc>
          <w:tcPr>
            <w:tcW w:w="158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9E4A0CE" w14:textId="77777777" w:rsidR="002E7672" w:rsidRPr="00B3648E" w:rsidRDefault="002E7672" w:rsidP="00835F25">
            <w:pPr>
              <w:contextualSpacing/>
              <w:jc w:val="center"/>
              <w:rPr>
                <w:rFonts w:ascii="Arial" w:eastAsia="Calibri" w:hAnsi="Arial" w:cs="Arial"/>
                <w:b/>
                <w:sz w:val="16"/>
                <w:szCs w:val="16"/>
                <w:lang w:val="es-CO" w:eastAsia="en-US"/>
              </w:rPr>
            </w:pPr>
            <w:r w:rsidRPr="00B3648E">
              <w:rPr>
                <w:rFonts w:ascii="Arial" w:eastAsia="Calibri" w:hAnsi="Arial" w:cs="Arial"/>
                <w:b/>
                <w:sz w:val="16"/>
                <w:szCs w:val="16"/>
                <w:lang w:val="es-CO" w:eastAsia="en-US"/>
              </w:rPr>
              <w:t>Valor del Compromiso</w:t>
            </w:r>
          </w:p>
        </w:tc>
      </w:tr>
      <w:tr w:rsidR="00631564" w:rsidRPr="00FE5755" w14:paraId="0BC027B9" w14:textId="77777777" w:rsidTr="00A367A5">
        <w:trPr>
          <w:trHeight w:val="1098"/>
          <w:jc w:val="center"/>
        </w:trPr>
        <w:tc>
          <w:tcPr>
            <w:tcW w:w="617" w:type="dxa"/>
            <w:vMerge w:val="restart"/>
            <w:tcBorders>
              <w:top w:val="single" w:sz="4" w:space="0" w:color="auto"/>
              <w:left w:val="single" w:sz="4" w:space="0" w:color="auto"/>
              <w:right w:val="single" w:sz="4" w:space="0" w:color="auto"/>
            </w:tcBorders>
            <w:vAlign w:val="center"/>
          </w:tcPr>
          <w:p w14:paraId="725CA029" w14:textId="77777777" w:rsidR="00631564" w:rsidRPr="00B3648E" w:rsidRDefault="00631564" w:rsidP="00835F25">
            <w:pPr>
              <w:contextualSpacing/>
              <w:jc w:val="center"/>
              <w:rPr>
                <w:rFonts w:ascii="Arial" w:eastAsia="Calibri" w:hAnsi="Arial" w:cs="Arial"/>
                <w:b/>
                <w:bCs/>
                <w:sz w:val="16"/>
                <w:szCs w:val="16"/>
                <w:lang w:val="es-CO" w:eastAsia="en-US"/>
              </w:rPr>
            </w:pPr>
            <w:r w:rsidRPr="00B3648E">
              <w:rPr>
                <w:rFonts w:ascii="Arial" w:eastAsia="Calibri" w:hAnsi="Arial" w:cs="Arial"/>
                <w:b/>
                <w:bCs/>
                <w:sz w:val="16"/>
                <w:szCs w:val="16"/>
                <w:lang w:val="es-CO" w:eastAsia="en-US"/>
              </w:rPr>
              <w:t>2021 - 2022</w:t>
            </w:r>
          </w:p>
        </w:tc>
        <w:tc>
          <w:tcPr>
            <w:tcW w:w="975" w:type="dxa"/>
            <w:vMerge w:val="restart"/>
            <w:tcBorders>
              <w:top w:val="single" w:sz="4" w:space="0" w:color="auto"/>
              <w:left w:val="single" w:sz="4" w:space="0" w:color="auto"/>
              <w:right w:val="single" w:sz="4" w:space="0" w:color="auto"/>
            </w:tcBorders>
            <w:vAlign w:val="center"/>
          </w:tcPr>
          <w:p w14:paraId="667934E9"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CC-SED-001-2021</w:t>
            </w:r>
          </w:p>
        </w:tc>
        <w:tc>
          <w:tcPr>
            <w:tcW w:w="3081" w:type="dxa"/>
            <w:vMerge w:val="restart"/>
            <w:tcBorders>
              <w:top w:val="single" w:sz="4" w:space="0" w:color="auto"/>
              <w:left w:val="single" w:sz="4" w:space="0" w:color="auto"/>
              <w:right w:val="single" w:sz="4" w:space="0" w:color="auto"/>
            </w:tcBorders>
            <w:vAlign w:val="center"/>
          </w:tcPr>
          <w:p w14:paraId="52EFBDC3" w14:textId="77777777" w:rsidR="00631564" w:rsidRPr="00B3648E" w:rsidRDefault="00631564" w:rsidP="00835F25">
            <w:pPr>
              <w:contextualSpacing/>
              <w:jc w:val="both"/>
              <w:rPr>
                <w:rFonts w:ascii="Arial" w:eastAsia="Calibri" w:hAnsi="Arial" w:cs="Arial"/>
                <w:i/>
                <w:iCs/>
                <w:sz w:val="16"/>
                <w:szCs w:val="16"/>
                <w:lang w:val="es-CO" w:eastAsia="en-US"/>
              </w:rPr>
            </w:pPr>
            <w:r w:rsidRPr="00B3648E">
              <w:rPr>
                <w:rFonts w:ascii="Arial" w:hAnsi="Arial" w:cs="Arial"/>
                <w:i/>
                <w:iCs/>
                <w:color w:val="000000"/>
                <w:sz w:val="16"/>
                <w:szCs w:val="16"/>
                <w:shd w:val="clear" w:color="auto" w:fill="FFFFFF"/>
              </w:rPr>
              <w:t xml:space="preserve">Contratar la prestación del servicio de alimentación escolar consistente en la entrega diaria de complemento alimentario para las niñas, niños y adolescentes focalizados y registrados en el SIMAT como estudiantes oficiales del Distrito de Cartagena de Indias, a todo costo y acorde con los </w:t>
            </w:r>
            <w:r w:rsidR="001629F9" w:rsidRPr="00B3648E">
              <w:rPr>
                <w:rFonts w:ascii="Arial" w:hAnsi="Arial" w:cs="Arial"/>
                <w:i/>
                <w:iCs/>
                <w:color w:val="000000"/>
                <w:sz w:val="16"/>
                <w:szCs w:val="16"/>
                <w:shd w:val="clear" w:color="auto" w:fill="FFFFFF"/>
              </w:rPr>
              <w:t>L</w:t>
            </w:r>
            <w:r w:rsidRPr="00B3648E">
              <w:rPr>
                <w:rFonts w:ascii="Arial" w:hAnsi="Arial" w:cs="Arial"/>
                <w:i/>
                <w:iCs/>
                <w:color w:val="000000"/>
                <w:sz w:val="16"/>
                <w:szCs w:val="16"/>
                <w:shd w:val="clear" w:color="auto" w:fill="FFFFFF"/>
              </w:rPr>
              <w:t xml:space="preserve">ineamientos </w:t>
            </w:r>
            <w:r w:rsidR="001629F9" w:rsidRPr="00B3648E">
              <w:rPr>
                <w:rFonts w:ascii="Arial" w:hAnsi="Arial" w:cs="Arial"/>
                <w:i/>
                <w:iCs/>
                <w:color w:val="000000"/>
                <w:sz w:val="16"/>
                <w:szCs w:val="16"/>
                <w:shd w:val="clear" w:color="auto" w:fill="FFFFFF"/>
              </w:rPr>
              <w:t>Técnicos</w:t>
            </w:r>
            <w:r w:rsidRPr="00B3648E">
              <w:rPr>
                <w:rFonts w:ascii="Arial" w:hAnsi="Arial" w:cs="Arial"/>
                <w:i/>
                <w:iCs/>
                <w:color w:val="000000"/>
                <w:sz w:val="16"/>
                <w:szCs w:val="16"/>
                <w:shd w:val="clear" w:color="auto" w:fill="FFFFFF"/>
              </w:rPr>
              <w:t xml:space="preserve">, </w:t>
            </w:r>
            <w:r w:rsidR="001629F9" w:rsidRPr="00B3648E">
              <w:rPr>
                <w:rFonts w:ascii="Arial" w:hAnsi="Arial" w:cs="Arial"/>
                <w:i/>
                <w:iCs/>
                <w:color w:val="000000"/>
                <w:sz w:val="16"/>
                <w:szCs w:val="16"/>
                <w:shd w:val="clear" w:color="auto" w:fill="FFFFFF"/>
              </w:rPr>
              <w:t xml:space="preserve">Administrativos </w:t>
            </w:r>
            <w:r w:rsidRPr="00B3648E">
              <w:rPr>
                <w:rFonts w:ascii="Arial" w:hAnsi="Arial" w:cs="Arial"/>
                <w:i/>
                <w:iCs/>
                <w:color w:val="000000"/>
                <w:sz w:val="16"/>
                <w:szCs w:val="16"/>
                <w:shd w:val="clear" w:color="auto" w:fill="FFFFFF"/>
              </w:rPr>
              <w:t xml:space="preserve">y </w:t>
            </w:r>
            <w:r w:rsidR="001629F9" w:rsidRPr="00B3648E">
              <w:rPr>
                <w:rFonts w:ascii="Arial" w:hAnsi="Arial" w:cs="Arial"/>
                <w:i/>
                <w:iCs/>
                <w:color w:val="000000"/>
                <w:sz w:val="16"/>
                <w:szCs w:val="16"/>
                <w:shd w:val="clear" w:color="auto" w:fill="FFFFFF"/>
              </w:rPr>
              <w:t xml:space="preserve">Estándares </w:t>
            </w:r>
            <w:r w:rsidRPr="00B3648E">
              <w:rPr>
                <w:rFonts w:ascii="Arial" w:hAnsi="Arial" w:cs="Arial"/>
                <w:i/>
                <w:iCs/>
                <w:color w:val="000000"/>
                <w:sz w:val="16"/>
                <w:szCs w:val="16"/>
                <w:shd w:val="clear" w:color="auto" w:fill="FFFFFF"/>
              </w:rPr>
              <w:t>de</w:t>
            </w:r>
            <w:r w:rsidR="001629F9" w:rsidRPr="00B3648E">
              <w:rPr>
                <w:rFonts w:ascii="Arial" w:hAnsi="Arial" w:cs="Arial"/>
                <w:i/>
                <w:iCs/>
                <w:color w:val="000000"/>
                <w:sz w:val="16"/>
                <w:szCs w:val="16"/>
                <w:shd w:val="clear" w:color="auto" w:fill="FFFFFF"/>
              </w:rPr>
              <w:t>l</w:t>
            </w:r>
            <w:r w:rsidRPr="00B3648E">
              <w:rPr>
                <w:rFonts w:ascii="Arial" w:hAnsi="Arial" w:cs="Arial"/>
                <w:i/>
                <w:iCs/>
                <w:color w:val="000000"/>
                <w:sz w:val="16"/>
                <w:szCs w:val="16"/>
                <w:shd w:val="clear" w:color="auto" w:fill="FFFFFF"/>
              </w:rPr>
              <w:t xml:space="preserve"> </w:t>
            </w:r>
            <w:r w:rsidR="001629F9" w:rsidRPr="00B3648E">
              <w:rPr>
                <w:rFonts w:ascii="Arial" w:hAnsi="Arial" w:cs="Arial"/>
                <w:i/>
                <w:iCs/>
                <w:color w:val="000000"/>
                <w:sz w:val="16"/>
                <w:szCs w:val="16"/>
                <w:shd w:val="clear" w:color="auto" w:fill="FFFFFF"/>
              </w:rPr>
              <w:t xml:space="preserve">Programa </w:t>
            </w:r>
            <w:r w:rsidRPr="00B3648E">
              <w:rPr>
                <w:rFonts w:ascii="Arial" w:hAnsi="Arial" w:cs="Arial"/>
                <w:i/>
                <w:iCs/>
                <w:color w:val="000000"/>
                <w:sz w:val="16"/>
                <w:szCs w:val="16"/>
                <w:shd w:val="clear" w:color="auto" w:fill="FFFFFF"/>
              </w:rPr>
              <w:t xml:space="preserve">de </w:t>
            </w:r>
            <w:r w:rsidR="001629F9" w:rsidRPr="00B3648E">
              <w:rPr>
                <w:rFonts w:ascii="Arial" w:hAnsi="Arial" w:cs="Arial"/>
                <w:i/>
                <w:iCs/>
                <w:color w:val="000000"/>
                <w:sz w:val="16"/>
                <w:szCs w:val="16"/>
                <w:shd w:val="clear" w:color="auto" w:fill="FFFFFF"/>
              </w:rPr>
              <w:t>Alimentación Escolar</w:t>
            </w:r>
            <w:r w:rsidRPr="00B3648E">
              <w:rPr>
                <w:rFonts w:ascii="Arial" w:hAnsi="Arial" w:cs="Arial"/>
                <w:i/>
                <w:iCs/>
                <w:color w:val="000000"/>
                <w:sz w:val="16"/>
                <w:szCs w:val="16"/>
                <w:shd w:val="clear" w:color="auto" w:fill="FFFFFF"/>
              </w:rPr>
              <w:t>–PAE, Resolución 29452 de</w:t>
            </w:r>
            <w:r w:rsidR="001629F9" w:rsidRPr="00B3648E">
              <w:rPr>
                <w:rFonts w:ascii="Arial" w:hAnsi="Arial" w:cs="Arial"/>
                <w:i/>
                <w:iCs/>
                <w:color w:val="000000"/>
                <w:sz w:val="16"/>
                <w:szCs w:val="16"/>
                <w:shd w:val="clear" w:color="auto" w:fill="FFFFFF"/>
              </w:rPr>
              <w:t>l</w:t>
            </w:r>
            <w:r w:rsidRPr="00B3648E">
              <w:rPr>
                <w:rFonts w:ascii="Arial" w:hAnsi="Arial" w:cs="Arial"/>
                <w:i/>
                <w:iCs/>
                <w:color w:val="000000"/>
                <w:sz w:val="16"/>
                <w:szCs w:val="16"/>
                <w:shd w:val="clear" w:color="auto" w:fill="FFFFFF"/>
              </w:rPr>
              <w:t xml:space="preserve"> 29 de diciembre de 2017 y/o Resoluciones 006 y 007 del 2020, y/o aquellas que las aclaren o modifiquen.</w:t>
            </w:r>
          </w:p>
        </w:tc>
        <w:tc>
          <w:tcPr>
            <w:tcW w:w="1032" w:type="dxa"/>
            <w:vMerge w:val="restart"/>
            <w:tcBorders>
              <w:top w:val="single" w:sz="4" w:space="0" w:color="auto"/>
              <w:left w:val="single" w:sz="4" w:space="0" w:color="auto"/>
              <w:right w:val="single" w:sz="4" w:space="0" w:color="auto"/>
            </w:tcBorders>
            <w:vAlign w:val="center"/>
          </w:tcPr>
          <w:p w14:paraId="524FC9FD"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UT Por Los Niños de la Heroica</w:t>
            </w:r>
          </w:p>
        </w:tc>
        <w:tc>
          <w:tcPr>
            <w:tcW w:w="1094" w:type="dxa"/>
            <w:vMerge w:val="restart"/>
            <w:tcBorders>
              <w:top w:val="single" w:sz="4" w:space="0" w:color="auto"/>
              <w:left w:val="single" w:sz="4" w:space="0" w:color="auto"/>
              <w:right w:val="single" w:sz="4" w:space="0" w:color="auto"/>
            </w:tcBorders>
            <w:vAlign w:val="center"/>
          </w:tcPr>
          <w:p w14:paraId="5A04DB2E"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240</w:t>
            </w:r>
          </w:p>
        </w:tc>
        <w:tc>
          <w:tcPr>
            <w:tcW w:w="1117" w:type="dxa"/>
            <w:vMerge w:val="restart"/>
            <w:tcBorders>
              <w:top w:val="single" w:sz="4" w:space="0" w:color="auto"/>
              <w:left w:val="single" w:sz="4" w:space="0" w:color="auto"/>
              <w:right w:val="single" w:sz="4" w:space="0" w:color="auto"/>
            </w:tcBorders>
            <w:vAlign w:val="center"/>
          </w:tcPr>
          <w:p w14:paraId="07595F9D" w14:textId="77777777" w:rsidR="00631564" w:rsidRPr="00B3648E" w:rsidRDefault="00631564" w:rsidP="00835F25">
            <w:pPr>
              <w:contextualSpacing/>
              <w:jc w:val="center"/>
              <w:rPr>
                <w:rFonts w:ascii="Arial" w:eastAsia="Calibri" w:hAnsi="Arial" w:cs="Arial"/>
                <w:b/>
                <w:bCs/>
                <w:sz w:val="16"/>
                <w:szCs w:val="16"/>
                <w:lang w:val="es-CO" w:eastAsia="en-US"/>
              </w:rPr>
            </w:pPr>
            <w:r w:rsidRPr="00B3648E">
              <w:rPr>
                <w:rFonts w:ascii="Arial" w:eastAsia="Calibri" w:hAnsi="Arial" w:cs="Arial"/>
                <w:b/>
                <w:bCs/>
                <w:sz w:val="16"/>
                <w:szCs w:val="16"/>
                <w:lang w:val="es-CO" w:eastAsia="en-US"/>
              </w:rPr>
              <w:t xml:space="preserve">Fecha de inicio: </w:t>
            </w:r>
          </w:p>
          <w:p w14:paraId="0AB5ACBB"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2</w:t>
            </w:r>
            <w:r w:rsidR="001303AD" w:rsidRPr="00B3648E">
              <w:rPr>
                <w:rFonts w:ascii="Arial" w:eastAsia="Calibri" w:hAnsi="Arial" w:cs="Arial"/>
                <w:sz w:val="16"/>
                <w:szCs w:val="16"/>
                <w:lang w:val="es-CO" w:eastAsia="en-US"/>
              </w:rPr>
              <w:t>1</w:t>
            </w:r>
            <w:r w:rsidRPr="00B3648E">
              <w:rPr>
                <w:rFonts w:ascii="Arial" w:eastAsia="Calibri" w:hAnsi="Arial" w:cs="Arial"/>
                <w:sz w:val="16"/>
                <w:szCs w:val="16"/>
                <w:lang w:val="es-CO" w:eastAsia="en-US"/>
              </w:rPr>
              <w:t xml:space="preserve"> de enero de 2021</w:t>
            </w:r>
          </w:p>
          <w:p w14:paraId="76B0393A" w14:textId="77777777" w:rsidR="00631564" w:rsidRPr="00B3648E" w:rsidRDefault="00631564" w:rsidP="00835F25">
            <w:pPr>
              <w:contextualSpacing/>
              <w:jc w:val="center"/>
              <w:rPr>
                <w:rFonts w:ascii="Arial" w:eastAsia="Calibri" w:hAnsi="Arial" w:cs="Arial"/>
                <w:sz w:val="16"/>
                <w:szCs w:val="16"/>
                <w:lang w:val="es-CO" w:eastAsia="en-US"/>
              </w:rPr>
            </w:pPr>
          </w:p>
          <w:p w14:paraId="61906838" w14:textId="77777777" w:rsidR="00A367A5" w:rsidRPr="00B3648E" w:rsidRDefault="00631564" w:rsidP="00835F25">
            <w:pPr>
              <w:contextualSpacing/>
              <w:jc w:val="center"/>
              <w:rPr>
                <w:rFonts w:ascii="Arial" w:eastAsia="Calibri" w:hAnsi="Arial" w:cs="Arial"/>
                <w:b/>
                <w:bCs/>
                <w:sz w:val="16"/>
                <w:szCs w:val="16"/>
                <w:lang w:val="es-CO" w:eastAsia="en-US"/>
              </w:rPr>
            </w:pPr>
            <w:r w:rsidRPr="00B3648E">
              <w:rPr>
                <w:rFonts w:ascii="Arial" w:eastAsia="Calibri" w:hAnsi="Arial" w:cs="Arial"/>
                <w:b/>
                <w:bCs/>
                <w:sz w:val="16"/>
                <w:szCs w:val="16"/>
                <w:lang w:val="es-CO" w:eastAsia="en-US"/>
              </w:rPr>
              <w:t xml:space="preserve">Fecha final: </w:t>
            </w:r>
          </w:p>
          <w:p w14:paraId="7BFB19D0"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25 de abril de 2022</w:t>
            </w:r>
          </w:p>
        </w:tc>
        <w:tc>
          <w:tcPr>
            <w:tcW w:w="1407" w:type="dxa"/>
            <w:tcBorders>
              <w:top w:val="single" w:sz="4" w:space="0" w:color="auto"/>
              <w:left w:val="single" w:sz="4" w:space="0" w:color="auto"/>
              <w:right w:val="single" w:sz="4" w:space="0" w:color="auto"/>
            </w:tcBorders>
            <w:vAlign w:val="center"/>
          </w:tcPr>
          <w:p w14:paraId="6B1A28DC"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SGP – Alimentación Escolar</w:t>
            </w:r>
          </w:p>
        </w:tc>
        <w:tc>
          <w:tcPr>
            <w:tcW w:w="1587" w:type="dxa"/>
            <w:vMerge w:val="restart"/>
            <w:tcBorders>
              <w:top w:val="single" w:sz="4" w:space="0" w:color="auto"/>
              <w:left w:val="single" w:sz="4" w:space="0" w:color="auto"/>
              <w:right w:val="single" w:sz="4" w:space="0" w:color="auto"/>
            </w:tcBorders>
            <w:vAlign w:val="center"/>
          </w:tcPr>
          <w:p w14:paraId="659E7A21"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$23.169.145.792</w:t>
            </w:r>
          </w:p>
        </w:tc>
      </w:tr>
      <w:tr w:rsidR="00631564" w:rsidRPr="00FE5755" w14:paraId="5BACD45A" w14:textId="77777777" w:rsidTr="00A367A5">
        <w:trPr>
          <w:trHeight w:val="1114"/>
          <w:jc w:val="center"/>
        </w:trPr>
        <w:tc>
          <w:tcPr>
            <w:tcW w:w="617" w:type="dxa"/>
            <w:vMerge/>
            <w:tcBorders>
              <w:left w:val="single" w:sz="4" w:space="0" w:color="auto"/>
              <w:right w:val="single" w:sz="4" w:space="0" w:color="auto"/>
            </w:tcBorders>
          </w:tcPr>
          <w:p w14:paraId="65C08E9D" w14:textId="77777777" w:rsidR="00631564" w:rsidRPr="00B3648E" w:rsidRDefault="00631564" w:rsidP="00835F25">
            <w:pPr>
              <w:contextualSpacing/>
              <w:jc w:val="center"/>
              <w:rPr>
                <w:rFonts w:ascii="Arial" w:eastAsia="Calibri" w:hAnsi="Arial" w:cs="Arial"/>
                <w:sz w:val="16"/>
                <w:szCs w:val="16"/>
                <w:lang w:val="es-CO" w:eastAsia="en-US"/>
              </w:rPr>
            </w:pPr>
          </w:p>
        </w:tc>
        <w:tc>
          <w:tcPr>
            <w:tcW w:w="975" w:type="dxa"/>
            <w:vMerge/>
            <w:tcBorders>
              <w:left w:val="single" w:sz="4" w:space="0" w:color="auto"/>
              <w:right w:val="single" w:sz="4" w:space="0" w:color="auto"/>
            </w:tcBorders>
            <w:vAlign w:val="center"/>
          </w:tcPr>
          <w:p w14:paraId="272C15E5" w14:textId="77777777" w:rsidR="00631564" w:rsidRPr="00B3648E" w:rsidRDefault="00631564" w:rsidP="00835F25">
            <w:pPr>
              <w:contextualSpacing/>
              <w:jc w:val="center"/>
              <w:rPr>
                <w:rFonts w:ascii="Arial" w:eastAsia="Calibri" w:hAnsi="Arial" w:cs="Arial"/>
                <w:sz w:val="16"/>
                <w:szCs w:val="16"/>
                <w:lang w:val="es-CO" w:eastAsia="en-US"/>
              </w:rPr>
            </w:pPr>
          </w:p>
        </w:tc>
        <w:tc>
          <w:tcPr>
            <w:tcW w:w="3081" w:type="dxa"/>
            <w:vMerge/>
            <w:tcBorders>
              <w:left w:val="single" w:sz="4" w:space="0" w:color="auto"/>
              <w:right w:val="single" w:sz="4" w:space="0" w:color="auto"/>
            </w:tcBorders>
            <w:vAlign w:val="center"/>
          </w:tcPr>
          <w:p w14:paraId="6150CB81" w14:textId="77777777" w:rsidR="00631564" w:rsidRPr="00B3648E" w:rsidRDefault="00631564" w:rsidP="00835F25">
            <w:pPr>
              <w:contextualSpacing/>
              <w:jc w:val="center"/>
              <w:rPr>
                <w:rFonts w:ascii="Arial" w:eastAsia="Calibri" w:hAnsi="Arial" w:cs="Arial"/>
                <w:i/>
                <w:iCs/>
                <w:sz w:val="16"/>
                <w:szCs w:val="16"/>
                <w:lang w:val="es-CO" w:eastAsia="en-US"/>
              </w:rPr>
            </w:pPr>
          </w:p>
        </w:tc>
        <w:tc>
          <w:tcPr>
            <w:tcW w:w="1032" w:type="dxa"/>
            <w:vMerge/>
            <w:tcBorders>
              <w:left w:val="single" w:sz="4" w:space="0" w:color="auto"/>
              <w:right w:val="single" w:sz="4" w:space="0" w:color="auto"/>
            </w:tcBorders>
            <w:vAlign w:val="center"/>
          </w:tcPr>
          <w:p w14:paraId="739C017B" w14:textId="77777777" w:rsidR="00631564" w:rsidRPr="00B3648E" w:rsidRDefault="00631564" w:rsidP="00835F25">
            <w:pPr>
              <w:contextualSpacing/>
              <w:jc w:val="center"/>
              <w:rPr>
                <w:rFonts w:ascii="Arial" w:eastAsia="Calibri" w:hAnsi="Arial" w:cs="Arial"/>
                <w:sz w:val="16"/>
                <w:szCs w:val="16"/>
                <w:lang w:val="es-CO" w:eastAsia="en-US"/>
              </w:rPr>
            </w:pPr>
          </w:p>
        </w:tc>
        <w:tc>
          <w:tcPr>
            <w:tcW w:w="1094" w:type="dxa"/>
            <w:vMerge/>
            <w:tcBorders>
              <w:left w:val="single" w:sz="4" w:space="0" w:color="auto"/>
              <w:right w:val="single" w:sz="4" w:space="0" w:color="auto"/>
            </w:tcBorders>
            <w:vAlign w:val="center"/>
          </w:tcPr>
          <w:p w14:paraId="42F1C1EC" w14:textId="77777777" w:rsidR="00631564" w:rsidRPr="00B3648E" w:rsidRDefault="00631564" w:rsidP="00835F25">
            <w:pPr>
              <w:contextualSpacing/>
              <w:jc w:val="center"/>
              <w:rPr>
                <w:rFonts w:ascii="Arial" w:eastAsia="Calibri" w:hAnsi="Arial" w:cs="Arial"/>
                <w:sz w:val="16"/>
                <w:szCs w:val="16"/>
                <w:lang w:val="es-CO" w:eastAsia="en-US"/>
              </w:rPr>
            </w:pPr>
          </w:p>
        </w:tc>
        <w:tc>
          <w:tcPr>
            <w:tcW w:w="1117" w:type="dxa"/>
            <w:vMerge/>
            <w:tcBorders>
              <w:left w:val="single" w:sz="4" w:space="0" w:color="auto"/>
              <w:right w:val="single" w:sz="4" w:space="0" w:color="auto"/>
            </w:tcBorders>
            <w:vAlign w:val="center"/>
          </w:tcPr>
          <w:p w14:paraId="4FA9467C" w14:textId="77777777" w:rsidR="00631564" w:rsidRPr="00B3648E" w:rsidRDefault="00631564" w:rsidP="00835F25">
            <w:pPr>
              <w:contextualSpacing/>
              <w:jc w:val="center"/>
              <w:rPr>
                <w:rFonts w:ascii="Arial" w:eastAsia="Calibri" w:hAnsi="Arial" w:cs="Arial"/>
                <w:sz w:val="16"/>
                <w:szCs w:val="16"/>
                <w:lang w:val="es-CO" w:eastAsia="en-US"/>
              </w:rPr>
            </w:pPr>
          </w:p>
        </w:tc>
        <w:tc>
          <w:tcPr>
            <w:tcW w:w="1407" w:type="dxa"/>
            <w:tcBorders>
              <w:left w:val="single" w:sz="4" w:space="0" w:color="auto"/>
              <w:right w:val="single" w:sz="4" w:space="0" w:color="auto"/>
            </w:tcBorders>
            <w:vAlign w:val="center"/>
          </w:tcPr>
          <w:p w14:paraId="2C01F564" w14:textId="77777777" w:rsidR="00631564"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Transferencias PGN</w:t>
            </w:r>
          </w:p>
        </w:tc>
        <w:tc>
          <w:tcPr>
            <w:tcW w:w="1587" w:type="dxa"/>
            <w:vMerge/>
            <w:tcBorders>
              <w:left w:val="single" w:sz="4" w:space="0" w:color="auto"/>
              <w:right w:val="single" w:sz="4" w:space="0" w:color="auto"/>
            </w:tcBorders>
            <w:vAlign w:val="center"/>
          </w:tcPr>
          <w:p w14:paraId="622FB7D8" w14:textId="77777777" w:rsidR="00631564" w:rsidRPr="00B3648E" w:rsidRDefault="00631564" w:rsidP="00835F25">
            <w:pPr>
              <w:contextualSpacing/>
              <w:jc w:val="center"/>
              <w:rPr>
                <w:rFonts w:ascii="Arial" w:eastAsia="Calibri" w:hAnsi="Arial" w:cs="Arial"/>
                <w:sz w:val="16"/>
                <w:szCs w:val="16"/>
                <w:lang w:val="es-CO" w:eastAsia="en-US"/>
              </w:rPr>
            </w:pPr>
          </w:p>
        </w:tc>
      </w:tr>
      <w:tr w:rsidR="000C2767" w:rsidRPr="00FE5755" w14:paraId="083107E9" w14:textId="77777777" w:rsidTr="00A367A5">
        <w:trPr>
          <w:trHeight w:val="448"/>
          <w:jc w:val="center"/>
        </w:trPr>
        <w:tc>
          <w:tcPr>
            <w:tcW w:w="617" w:type="dxa"/>
            <w:vMerge/>
            <w:tcBorders>
              <w:left w:val="single" w:sz="4" w:space="0" w:color="auto"/>
              <w:bottom w:val="single" w:sz="4" w:space="0" w:color="auto"/>
              <w:right w:val="single" w:sz="4" w:space="0" w:color="auto"/>
            </w:tcBorders>
          </w:tcPr>
          <w:p w14:paraId="105B5657" w14:textId="77777777" w:rsidR="000C2767" w:rsidRPr="00B3648E" w:rsidRDefault="000C2767" w:rsidP="00835F25">
            <w:pPr>
              <w:contextualSpacing/>
              <w:jc w:val="center"/>
              <w:rPr>
                <w:rFonts w:ascii="Arial" w:eastAsia="Calibri" w:hAnsi="Arial" w:cs="Arial"/>
                <w:sz w:val="16"/>
                <w:szCs w:val="16"/>
                <w:lang w:val="es-CO" w:eastAsia="en-US"/>
              </w:rPr>
            </w:pPr>
          </w:p>
        </w:tc>
        <w:tc>
          <w:tcPr>
            <w:tcW w:w="975" w:type="dxa"/>
            <w:vMerge/>
            <w:tcBorders>
              <w:left w:val="single" w:sz="4" w:space="0" w:color="auto"/>
              <w:bottom w:val="single" w:sz="4" w:space="0" w:color="auto"/>
              <w:right w:val="single" w:sz="4" w:space="0" w:color="auto"/>
            </w:tcBorders>
            <w:vAlign w:val="center"/>
          </w:tcPr>
          <w:p w14:paraId="1B0C12B0" w14:textId="77777777" w:rsidR="000C2767" w:rsidRPr="00B3648E" w:rsidRDefault="000C2767" w:rsidP="00835F25">
            <w:pPr>
              <w:contextualSpacing/>
              <w:jc w:val="center"/>
              <w:rPr>
                <w:rFonts w:ascii="Arial" w:eastAsia="Calibri" w:hAnsi="Arial" w:cs="Arial"/>
                <w:sz w:val="16"/>
                <w:szCs w:val="16"/>
                <w:lang w:val="es-CO" w:eastAsia="en-US"/>
              </w:rPr>
            </w:pPr>
          </w:p>
        </w:tc>
        <w:tc>
          <w:tcPr>
            <w:tcW w:w="3081" w:type="dxa"/>
            <w:vMerge/>
            <w:tcBorders>
              <w:left w:val="single" w:sz="4" w:space="0" w:color="auto"/>
              <w:bottom w:val="single" w:sz="4" w:space="0" w:color="auto"/>
              <w:right w:val="single" w:sz="4" w:space="0" w:color="auto"/>
            </w:tcBorders>
            <w:vAlign w:val="center"/>
          </w:tcPr>
          <w:p w14:paraId="39359D90" w14:textId="77777777" w:rsidR="000C2767" w:rsidRPr="00B3648E" w:rsidRDefault="000C2767" w:rsidP="00835F25">
            <w:pPr>
              <w:contextualSpacing/>
              <w:jc w:val="center"/>
              <w:rPr>
                <w:rFonts w:ascii="Arial" w:eastAsia="Calibri" w:hAnsi="Arial" w:cs="Arial"/>
                <w:i/>
                <w:iCs/>
                <w:sz w:val="16"/>
                <w:szCs w:val="16"/>
                <w:lang w:val="es-CO" w:eastAsia="en-US"/>
              </w:rPr>
            </w:pPr>
          </w:p>
        </w:tc>
        <w:tc>
          <w:tcPr>
            <w:tcW w:w="1032" w:type="dxa"/>
            <w:vMerge/>
            <w:tcBorders>
              <w:left w:val="single" w:sz="4" w:space="0" w:color="auto"/>
              <w:bottom w:val="single" w:sz="4" w:space="0" w:color="auto"/>
              <w:right w:val="single" w:sz="4" w:space="0" w:color="auto"/>
            </w:tcBorders>
            <w:vAlign w:val="center"/>
          </w:tcPr>
          <w:p w14:paraId="58EA7CEB" w14:textId="77777777" w:rsidR="000C2767" w:rsidRPr="00B3648E" w:rsidRDefault="000C2767" w:rsidP="00835F25">
            <w:pPr>
              <w:contextualSpacing/>
              <w:jc w:val="center"/>
              <w:rPr>
                <w:rFonts w:ascii="Arial" w:eastAsia="Calibri" w:hAnsi="Arial" w:cs="Arial"/>
                <w:sz w:val="16"/>
                <w:szCs w:val="16"/>
                <w:lang w:val="es-CO" w:eastAsia="en-US"/>
              </w:rPr>
            </w:pPr>
          </w:p>
        </w:tc>
        <w:tc>
          <w:tcPr>
            <w:tcW w:w="1094" w:type="dxa"/>
            <w:vMerge/>
            <w:tcBorders>
              <w:left w:val="single" w:sz="4" w:space="0" w:color="auto"/>
              <w:bottom w:val="single" w:sz="4" w:space="0" w:color="auto"/>
              <w:right w:val="single" w:sz="4" w:space="0" w:color="auto"/>
            </w:tcBorders>
            <w:vAlign w:val="center"/>
          </w:tcPr>
          <w:p w14:paraId="36C73AE2" w14:textId="77777777" w:rsidR="000C2767" w:rsidRPr="00B3648E" w:rsidRDefault="000C2767" w:rsidP="00835F25">
            <w:pPr>
              <w:contextualSpacing/>
              <w:jc w:val="center"/>
              <w:rPr>
                <w:rFonts w:ascii="Arial" w:eastAsia="Calibri" w:hAnsi="Arial" w:cs="Arial"/>
                <w:sz w:val="16"/>
                <w:szCs w:val="16"/>
                <w:lang w:val="es-CO" w:eastAsia="en-US"/>
              </w:rPr>
            </w:pPr>
          </w:p>
        </w:tc>
        <w:tc>
          <w:tcPr>
            <w:tcW w:w="1117" w:type="dxa"/>
            <w:vMerge/>
            <w:tcBorders>
              <w:left w:val="single" w:sz="4" w:space="0" w:color="auto"/>
              <w:bottom w:val="single" w:sz="4" w:space="0" w:color="auto"/>
              <w:right w:val="single" w:sz="4" w:space="0" w:color="auto"/>
            </w:tcBorders>
            <w:vAlign w:val="center"/>
          </w:tcPr>
          <w:p w14:paraId="142ABF14" w14:textId="77777777" w:rsidR="000C2767" w:rsidRPr="00B3648E" w:rsidRDefault="000C2767" w:rsidP="00835F25">
            <w:pPr>
              <w:contextualSpacing/>
              <w:jc w:val="center"/>
              <w:rPr>
                <w:rFonts w:ascii="Arial" w:eastAsia="Calibri" w:hAnsi="Arial" w:cs="Arial"/>
                <w:sz w:val="16"/>
                <w:szCs w:val="16"/>
                <w:lang w:val="es-CO" w:eastAsia="en-US"/>
              </w:rPr>
            </w:pPr>
          </w:p>
        </w:tc>
        <w:tc>
          <w:tcPr>
            <w:tcW w:w="1407" w:type="dxa"/>
            <w:tcBorders>
              <w:left w:val="single" w:sz="4" w:space="0" w:color="auto"/>
              <w:bottom w:val="single" w:sz="4" w:space="0" w:color="auto"/>
              <w:right w:val="single" w:sz="4" w:space="0" w:color="auto"/>
            </w:tcBorders>
            <w:vAlign w:val="center"/>
          </w:tcPr>
          <w:p w14:paraId="46F126FA" w14:textId="77777777" w:rsidR="000C2767" w:rsidRPr="00B3648E" w:rsidRDefault="00631564"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Recursos Propios</w:t>
            </w:r>
          </w:p>
        </w:tc>
        <w:tc>
          <w:tcPr>
            <w:tcW w:w="1587" w:type="dxa"/>
            <w:vMerge/>
            <w:tcBorders>
              <w:left w:val="single" w:sz="4" w:space="0" w:color="auto"/>
              <w:bottom w:val="single" w:sz="4" w:space="0" w:color="auto"/>
              <w:right w:val="single" w:sz="4" w:space="0" w:color="auto"/>
            </w:tcBorders>
            <w:vAlign w:val="center"/>
          </w:tcPr>
          <w:p w14:paraId="2C710DF4" w14:textId="77777777" w:rsidR="000C2767" w:rsidRPr="00B3648E" w:rsidRDefault="000C2767" w:rsidP="00835F25">
            <w:pPr>
              <w:contextualSpacing/>
              <w:jc w:val="center"/>
              <w:rPr>
                <w:rFonts w:ascii="Arial" w:eastAsia="Calibri" w:hAnsi="Arial" w:cs="Arial"/>
                <w:sz w:val="16"/>
                <w:szCs w:val="16"/>
                <w:lang w:val="es-CO" w:eastAsia="en-US"/>
              </w:rPr>
            </w:pPr>
          </w:p>
        </w:tc>
      </w:tr>
      <w:tr w:rsidR="00C9675F" w:rsidRPr="00FE5755" w14:paraId="0B6E3EA5" w14:textId="77777777" w:rsidTr="00B3648E">
        <w:trPr>
          <w:trHeight w:val="2532"/>
          <w:jc w:val="center"/>
        </w:trPr>
        <w:tc>
          <w:tcPr>
            <w:tcW w:w="617" w:type="dxa"/>
            <w:tcBorders>
              <w:top w:val="single" w:sz="4" w:space="0" w:color="auto"/>
              <w:left w:val="single" w:sz="4" w:space="0" w:color="auto"/>
              <w:right w:val="single" w:sz="4" w:space="0" w:color="auto"/>
            </w:tcBorders>
            <w:vAlign w:val="center"/>
          </w:tcPr>
          <w:p w14:paraId="5C0926F2" w14:textId="77777777" w:rsidR="00C9675F" w:rsidRPr="00B3648E" w:rsidRDefault="00C9675F" w:rsidP="00835F25">
            <w:pPr>
              <w:contextualSpacing/>
              <w:jc w:val="center"/>
              <w:rPr>
                <w:rFonts w:ascii="Arial" w:eastAsia="Calibri" w:hAnsi="Arial" w:cs="Arial"/>
                <w:b/>
                <w:bCs/>
                <w:sz w:val="16"/>
                <w:szCs w:val="16"/>
                <w:lang w:val="es-CO" w:eastAsia="en-US"/>
              </w:rPr>
            </w:pPr>
            <w:r w:rsidRPr="00B3648E">
              <w:rPr>
                <w:rFonts w:ascii="Arial" w:eastAsia="Calibri" w:hAnsi="Arial" w:cs="Arial"/>
                <w:b/>
                <w:bCs/>
                <w:sz w:val="16"/>
                <w:szCs w:val="16"/>
                <w:lang w:val="es-CO" w:eastAsia="en-US"/>
              </w:rPr>
              <w:t>2021 - 2022</w:t>
            </w:r>
          </w:p>
        </w:tc>
        <w:tc>
          <w:tcPr>
            <w:tcW w:w="975" w:type="dxa"/>
            <w:tcBorders>
              <w:top w:val="single" w:sz="4" w:space="0" w:color="auto"/>
              <w:left w:val="single" w:sz="4" w:space="0" w:color="auto"/>
              <w:right w:val="single" w:sz="4" w:space="0" w:color="auto"/>
            </w:tcBorders>
            <w:vAlign w:val="center"/>
          </w:tcPr>
          <w:p w14:paraId="6627FFAF" w14:textId="77777777" w:rsidR="00C9675F" w:rsidRPr="00B3648E" w:rsidRDefault="00C9675F"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CC-SED-047-2021</w:t>
            </w:r>
          </w:p>
        </w:tc>
        <w:tc>
          <w:tcPr>
            <w:tcW w:w="3081" w:type="dxa"/>
            <w:tcBorders>
              <w:top w:val="single" w:sz="4" w:space="0" w:color="auto"/>
              <w:left w:val="single" w:sz="4" w:space="0" w:color="auto"/>
              <w:right w:val="single" w:sz="4" w:space="0" w:color="auto"/>
            </w:tcBorders>
            <w:vAlign w:val="center"/>
          </w:tcPr>
          <w:p w14:paraId="2788BA63" w14:textId="77777777" w:rsidR="00C9675F" w:rsidRPr="00B3648E" w:rsidRDefault="00C9675F" w:rsidP="00835F25">
            <w:pPr>
              <w:contextualSpacing/>
              <w:jc w:val="both"/>
              <w:rPr>
                <w:rFonts w:ascii="Arial" w:eastAsia="Calibri" w:hAnsi="Arial" w:cs="Arial"/>
                <w:i/>
                <w:iCs/>
                <w:sz w:val="16"/>
                <w:szCs w:val="16"/>
                <w:lang w:val="es-CO" w:eastAsia="en-US"/>
              </w:rPr>
            </w:pPr>
            <w:r w:rsidRPr="00B3648E">
              <w:rPr>
                <w:rFonts w:ascii="Arial" w:eastAsia="Calibri" w:hAnsi="Arial" w:cs="Arial"/>
                <w:i/>
                <w:iCs/>
                <w:sz w:val="16"/>
                <w:szCs w:val="16"/>
                <w:lang w:val="es-CO" w:eastAsia="en-US"/>
              </w:rPr>
              <w:t xml:space="preserve">Contratar la prestación del servicio de alimentación escolar consistente en la entrega diaria de complemento alimentario para las niñas, niños y adolescentes focalizados y registrados en el SIMAT como estudiantes oficiales del </w:t>
            </w:r>
            <w:r w:rsidR="001629F9" w:rsidRPr="00B3648E">
              <w:rPr>
                <w:rFonts w:ascii="Arial" w:eastAsia="Calibri" w:hAnsi="Arial" w:cs="Arial"/>
                <w:i/>
                <w:iCs/>
                <w:sz w:val="16"/>
                <w:szCs w:val="16"/>
                <w:lang w:val="es-CO" w:eastAsia="en-US"/>
              </w:rPr>
              <w:t>D</w:t>
            </w:r>
            <w:r w:rsidRPr="00B3648E">
              <w:rPr>
                <w:rFonts w:ascii="Arial" w:eastAsia="Calibri" w:hAnsi="Arial" w:cs="Arial"/>
                <w:i/>
                <w:iCs/>
                <w:sz w:val="16"/>
                <w:szCs w:val="16"/>
                <w:lang w:val="es-CO" w:eastAsia="en-US"/>
              </w:rPr>
              <w:t>istrito de Cartagena de Indias, a todo costo y acorde con los</w:t>
            </w:r>
            <w:r w:rsidR="001629F9" w:rsidRPr="00B3648E">
              <w:rPr>
                <w:rFonts w:ascii="Arial" w:eastAsia="Calibri" w:hAnsi="Arial" w:cs="Arial"/>
                <w:i/>
                <w:iCs/>
                <w:sz w:val="16"/>
                <w:szCs w:val="16"/>
                <w:lang w:val="es-CO" w:eastAsia="en-US"/>
              </w:rPr>
              <w:t xml:space="preserve"> </w:t>
            </w:r>
            <w:r w:rsidR="00E73E6A" w:rsidRPr="00B3648E">
              <w:rPr>
                <w:rFonts w:ascii="Arial" w:eastAsia="Calibri" w:hAnsi="Arial" w:cs="Arial"/>
                <w:i/>
                <w:iCs/>
                <w:sz w:val="16"/>
                <w:szCs w:val="16"/>
                <w:lang w:val="es-CO" w:eastAsia="en-US"/>
              </w:rPr>
              <w:t>Lineamientos</w:t>
            </w:r>
            <w:r w:rsidRPr="00B3648E">
              <w:rPr>
                <w:rFonts w:ascii="Arial" w:eastAsia="Calibri" w:hAnsi="Arial" w:cs="Arial"/>
                <w:i/>
                <w:iCs/>
                <w:sz w:val="16"/>
                <w:szCs w:val="16"/>
                <w:lang w:val="es-CO" w:eastAsia="en-US"/>
              </w:rPr>
              <w:t xml:space="preserve"> </w:t>
            </w:r>
            <w:r w:rsidR="001629F9" w:rsidRPr="00B3648E">
              <w:rPr>
                <w:rFonts w:ascii="Arial" w:eastAsia="Calibri" w:hAnsi="Arial" w:cs="Arial"/>
                <w:i/>
                <w:iCs/>
                <w:sz w:val="16"/>
                <w:szCs w:val="16"/>
                <w:lang w:val="es-CO" w:eastAsia="en-US"/>
              </w:rPr>
              <w:t>Técnicos</w:t>
            </w:r>
            <w:r w:rsidRPr="00B3648E">
              <w:rPr>
                <w:rFonts w:ascii="Arial" w:eastAsia="Calibri" w:hAnsi="Arial" w:cs="Arial"/>
                <w:i/>
                <w:iCs/>
                <w:sz w:val="16"/>
                <w:szCs w:val="16"/>
                <w:lang w:val="es-CO" w:eastAsia="en-US"/>
              </w:rPr>
              <w:t xml:space="preserve">, </w:t>
            </w:r>
            <w:r w:rsidR="001629F9" w:rsidRPr="00B3648E">
              <w:rPr>
                <w:rFonts w:ascii="Arial" w:eastAsia="Calibri" w:hAnsi="Arial" w:cs="Arial"/>
                <w:i/>
                <w:iCs/>
                <w:sz w:val="16"/>
                <w:szCs w:val="16"/>
                <w:lang w:val="es-CO" w:eastAsia="en-US"/>
              </w:rPr>
              <w:t xml:space="preserve">Administrativos </w:t>
            </w:r>
            <w:r w:rsidRPr="00B3648E">
              <w:rPr>
                <w:rFonts w:ascii="Arial" w:eastAsia="Calibri" w:hAnsi="Arial" w:cs="Arial"/>
                <w:i/>
                <w:iCs/>
                <w:sz w:val="16"/>
                <w:szCs w:val="16"/>
                <w:lang w:val="es-CO" w:eastAsia="en-US"/>
              </w:rPr>
              <w:t xml:space="preserve">y </w:t>
            </w:r>
            <w:r w:rsidR="001629F9" w:rsidRPr="00B3648E">
              <w:rPr>
                <w:rFonts w:ascii="Arial" w:eastAsia="Calibri" w:hAnsi="Arial" w:cs="Arial"/>
                <w:i/>
                <w:iCs/>
                <w:sz w:val="16"/>
                <w:szCs w:val="16"/>
                <w:lang w:val="es-CO" w:eastAsia="en-US"/>
              </w:rPr>
              <w:t xml:space="preserve">Estándares </w:t>
            </w:r>
            <w:r w:rsidRPr="00B3648E">
              <w:rPr>
                <w:rFonts w:ascii="Arial" w:eastAsia="Calibri" w:hAnsi="Arial" w:cs="Arial"/>
                <w:i/>
                <w:iCs/>
                <w:sz w:val="16"/>
                <w:szCs w:val="16"/>
                <w:lang w:val="es-CO" w:eastAsia="en-US"/>
              </w:rPr>
              <w:t>del Programa de Alimentación Escolar–PAE, Resolución 29452 de</w:t>
            </w:r>
            <w:r w:rsidR="001629F9" w:rsidRPr="00B3648E">
              <w:rPr>
                <w:rFonts w:ascii="Arial" w:eastAsia="Calibri" w:hAnsi="Arial" w:cs="Arial"/>
                <w:i/>
                <w:iCs/>
                <w:sz w:val="16"/>
                <w:szCs w:val="16"/>
                <w:lang w:val="es-CO" w:eastAsia="en-US"/>
              </w:rPr>
              <w:t>l</w:t>
            </w:r>
            <w:r w:rsidRPr="00B3648E">
              <w:rPr>
                <w:rFonts w:ascii="Arial" w:eastAsia="Calibri" w:hAnsi="Arial" w:cs="Arial"/>
                <w:i/>
                <w:iCs/>
                <w:sz w:val="16"/>
                <w:szCs w:val="16"/>
                <w:lang w:val="es-CO" w:eastAsia="en-US"/>
              </w:rPr>
              <w:t xml:space="preserve"> 29</w:t>
            </w:r>
            <w:r w:rsidR="001629F9" w:rsidRPr="00B3648E">
              <w:rPr>
                <w:rFonts w:ascii="Arial" w:eastAsia="Calibri" w:hAnsi="Arial" w:cs="Arial"/>
                <w:i/>
                <w:iCs/>
                <w:sz w:val="16"/>
                <w:szCs w:val="16"/>
                <w:lang w:val="es-CO" w:eastAsia="en-US"/>
              </w:rPr>
              <w:t xml:space="preserve"> </w:t>
            </w:r>
            <w:r w:rsidRPr="00B3648E">
              <w:rPr>
                <w:rFonts w:ascii="Arial" w:eastAsia="Calibri" w:hAnsi="Arial" w:cs="Arial"/>
                <w:i/>
                <w:iCs/>
                <w:sz w:val="16"/>
                <w:szCs w:val="16"/>
                <w:lang w:val="es-CO" w:eastAsia="en-US"/>
              </w:rPr>
              <w:t xml:space="preserve">de diciembre de 2017 y/o </w:t>
            </w:r>
            <w:r w:rsidR="001629F9" w:rsidRPr="00B3648E">
              <w:rPr>
                <w:rFonts w:ascii="Arial" w:eastAsia="Calibri" w:hAnsi="Arial" w:cs="Arial"/>
                <w:i/>
                <w:iCs/>
                <w:sz w:val="16"/>
                <w:szCs w:val="16"/>
                <w:lang w:val="es-CO" w:eastAsia="en-US"/>
              </w:rPr>
              <w:t>R</w:t>
            </w:r>
            <w:r w:rsidRPr="00B3648E">
              <w:rPr>
                <w:rFonts w:ascii="Arial" w:eastAsia="Calibri" w:hAnsi="Arial" w:cs="Arial"/>
                <w:i/>
                <w:iCs/>
                <w:sz w:val="16"/>
                <w:szCs w:val="16"/>
                <w:lang w:val="es-CO" w:eastAsia="en-US"/>
              </w:rPr>
              <w:t>esoluciones 006 y 007 de 2020.</w:t>
            </w:r>
          </w:p>
        </w:tc>
        <w:tc>
          <w:tcPr>
            <w:tcW w:w="1032" w:type="dxa"/>
            <w:tcBorders>
              <w:top w:val="single" w:sz="4" w:space="0" w:color="auto"/>
              <w:left w:val="single" w:sz="4" w:space="0" w:color="auto"/>
              <w:right w:val="single" w:sz="4" w:space="0" w:color="auto"/>
            </w:tcBorders>
            <w:vAlign w:val="center"/>
          </w:tcPr>
          <w:p w14:paraId="43632B53" w14:textId="77777777" w:rsidR="00C9675F" w:rsidRPr="00B3648E" w:rsidRDefault="00C9675F"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UT Cartagena Express</w:t>
            </w:r>
          </w:p>
        </w:tc>
        <w:tc>
          <w:tcPr>
            <w:tcW w:w="1094" w:type="dxa"/>
            <w:tcBorders>
              <w:top w:val="single" w:sz="4" w:space="0" w:color="auto"/>
              <w:left w:val="single" w:sz="4" w:space="0" w:color="auto"/>
              <w:right w:val="single" w:sz="4" w:space="0" w:color="auto"/>
            </w:tcBorders>
            <w:vAlign w:val="center"/>
          </w:tcPr>
          <w:p w14:paraId="4E81F44E" w14:textId="77777777" w:rsidR="00C9675F" w:rsidRPr="00B3648E" w:rsidRDefault="00C9675F"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160</w:t>
            </w:r>
          </w:p>
        </w:tc>
        <w:tc>
          <w:tcPr>
            <w:tcW w:w="1117" w:type="dxa"/>
            <w:tcBorders>
              <w:top w:val="single" w:sz="4" w:space="0" w:color="auto"/>
              <w:left w:val="single" w:sz="4" w:space="0" w:color="auto"/>
              <w:right w:val="single" w:sz="4" w:space="0" w:color="auto"/>
            </w:tcBorders>
            <w:vAlign w:val="center"/>
          </w:tcPr>
          <w:p w14:paraId="6A86366A" w14:textId="77777777" w:rsidR="00C9675F" w:rsidRPr="00B3648E" w:rsidRDefault="00C9675F" w:rsidP="00835F25">
            <w:pPr>
              <w:contextualSpacing/>
              <w:jc w:val="center"/>
              <w:rPr>
                <w:rFonts w:ascii="Arial" w:eastAsia="Calibri" w:hAnsi="Arial" w:cs="Arial"/>
                <w:b/>
                <w:bCs/>
                <w:sz w:val="16"/>
                <w:szCs w:val="16"/>
                <w:lang w:val="es-CO" w:eastAsia="en-US"/>
              </w:rPr>
            </w:pPr>
            <w:r w:rsidRPr="00B3648E">
              <w:rPr>
                <w:rFonts w:ascii="Arial" w:eastAsia="Calibri" w:hAnsi="Arial" w:cs="Arial"/>
                <w:b/>
                <w:bCs/>
                <w:sz w:val="16"/>
                <w:szCs w:val="16"/>
                <w:lang w:val="es-CO" w:eastAsia="en-US"/>
              </w:rPr>
              <w:t xml:space="preserve">Fecha de inicio: </w:t>
            </w:r>
          </w:p>
          <w:p w14:paraId="39E277CB" w14:textId="77777777" w:rsidR="00C9675F" w:rsidRPr="00B3648E" w:rsidRDefault="00C9675F"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20 de mayo de 2021</w:t>
            </w:r>
          </w:p>
          <w:p w14:paraId="401A872E" w14:textId="77777777" w:rsidR="00C9675F" w:rsidRPr="00B3648E" w:rsidRDefault="00C9675F" w:rsidP="00835F25">
            <w:pPr>
              <w:contextualSpacing/>
              <w:jc w:val="center"/>
              <w:rPr>
                <w:rFonts w:ascii="Arial" w:eastAsia="Calibri" w:hAnsi="Arial" w:cs="Arial"/>
                <w:sz w:val="16"/>
                <w:szCs w:val="16"/>
                <w:lang w:val="es-CO" w:eastAsia="en-US"/>
              </w:rPr>
            </w:pPr>
          </w:p>
          <w:p w14:paraId="54C0C0C8" w14:textId="77777777" w:rsidR="00A367A5" w:rsidRPr="00B3648E" w:rsidRDefault="00C9675F" w:rsidP="00835F25">
            <w:pPr>
              <w:contextualSpacing/>
              <w:jc w:val="center"/>
              <w:rPr>
                <w:rFonts w:ascii="Arial" w:eastAsia="Calibri" w:hAnsi="Arial" w:cs="Arial"/>
                <w:b/>
                <w:bCs/>
                <w:sz w:val="16"/>
                <w:szCs w:val="16"/>
                <w:lang w:val="es-CO" w:eastAsia="en-US"/>
              </w:rPr>
            </w:pPr>
            <w:r w:rsidRPr="00B3648E">
              <w:rPr>
                <w:rFonts w:ascii="Arial" w:eastAsia="Calibri" w:hAnsi="Arial" w:cs="Arial"/>
                <w:b/>
                <w:bCs/>
                <w:sz w:val="16"/>
                <w:szCs w:val="16"/>
                <w:lang w:val="es-CO" w:eastAsia="en-US"/>
              </w:rPr>
              <w:t xml:space="preserve">Fecha final: </w:t>
            </w:r>
          </w:p>
          <w:p w14:paraId="01B0A708" w14:textId="77777777" w:rsidR="00C9675F" w:rsidRPr="00B3648E" w:rsidRDefault="00C9675F"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25 de abril de 2022</w:t>
            </w:r>
          </w:p>
        </w:tc>
        <w:tc>
          <w:tcPr>
            <w:tcW w:w="1407" w:type="dxa"/>
            <w:tcBorders>
              <w:top w:val="single" w:sz="4" w:space="0" w:color="auto"/>
              <w:left w:val="single" w:sz="4" w:space="0" w:color="auto"/>
              <w:right w:val="single" w:sz="4" w:space="0" w:color="auto"/>
            </w:tcBorders>
            <w:vAlign w:val="center"/>
          </w:tcPr>
          <w:p w14:paraId="7104805F" w14:textId="77777777" w:rsidR="00C9675F" w:rsidRPr="00B3648E" w:rsidRDefault="00C9675F"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Sistema General de Regalías – SGR</w:t>
            </w:r>
          </w:p>
        </w:tc>
        <w:tc>
          <w:tcPr>
            <w:tcW w:w="1587" w:type="dxa"/>
            <w:tcBorders>
              <w:top w:val="single" w:sz="4" w:space="0" w:color="auto"/>
              <w:left w:val="single" w:sz="4" w:space="0" w:color="auto"/>
              <w:right w:val="single" w:sz="4" w:space="0" w:color="auto"/>
            </w:tcBorders>
            <w:vAlign w:val="center"/>
          </w:tcPr>
          <w:p w14:paraId="54BDABA2" w14:textId="77777777" w:rsidR="00C9675F" w:rsidRPr="00B3648E" w:rsidRDefault="00C9675F" w:rsidP="00835F25">
            <w:pPr>
              <w:contextualSpacing/>
              <w:jc w:val="center"/>
              <w:rPr>
                <w:rFonts w:ascii="Arial" w:eastAsia="Calibri" w:hAnsi="Arial" w:cs="Arial"/>
                <w:sz w:val="16"/>
                <w:szCs w:val="16"/>
                <w:lang w:val="es-CO" w:eastAsia="en-US"/>
              </w:rPr>
            </w:pPr>
            <w:r w:rsidRPr="00B3648E">
              <w:rPr>
                <w:rFonts w:ascii="Arial" w:eastAsia="Calibri" w:hAnsi="Arial" w:cs="Arial"/>
                <w:sz w:val="16"/>
                <w:szCs w:val="16"/>
                <w:lang w:val="es-CO" w:eastAsia="en-US"/>
              </w:rPr>
              <w:t>$15.721.506.296</w:t>
            </w:r>
          </w:p>
        </w:tc>
      </w:tr>
      <w:tr w:rsidR="002E7672" w:rsidRPr="00FE5755" w14:paraId="5ACABE09" w14:textId="77777777" w:rsidTr="009505F3">
        <w:trPr>
          <w:jc w:val="center"/>
        </w:trPr>
        <w:tc>
          <w:tcPr>
            <w:tcW w:w="617" w:type="dxa"/>
            <w:tcBorders>
              <w:top w:val="single" w:sz="4" w:space="0" w:color="auto"/>
              <w:left w:val="single" w:sz="4" w:space="0" w:color="auto"/>
              <w:bottom w:val="single" w:sz="4" w:space="0" w:color="auto"/>
              <w:right w:val="single" w:sz="4" w:space="0" w:color="auto"/>
            </w:tcBorders>
            <w:shd w:val="clear" w:color="auto" w:fill="666699"/>
          </w:tcPr>
          <w:p w14:paraId="1F65FCC9" w14:textId="77777777" w:rsidR="002E7672" w:rsidRPr="00B3648E" w:rsidRDefault="002E7672" w:rsidP="00835F25">
            <w:pPr>
              <w:contextualSpacing/>
              <w:jc w:val="center"/>
              <w:rPr>
                <w:rFonts w:ascii="Arial" w:eastAsia="Calibri" w:hAnsi="Arial" w:cs="Arial"/>
                <w:b/>
                <w:sz w:val="16"/>
                <w:szCs w:val="16"/>
                <w:lang w:val="es-CO" w:eastAsia="en-US"/>
              </w:rPr>
            </w:pPr>
          </w:p>
        </w:tc>
        <w:tc>
          <w:tcPr>
            <w:tcW w:w="8706" w:type="dxa"/>
            <w:gridSpan w:val="6"/>
            <w:tcBorders>
              <w:top w:val="single" w:sz="4" w:space="0" w:color="auto"/>
              <w:left w:val="single" w:sz="4" w:space="0" w:color="auto"/>
              <w:bottom w:val="single" w:sz="4" w:space="0" w:color="auto"/>
              <w:right w:val="single" w:sz="4" w:space="0" w:color="auto"/>
            </w:tcBorders>
            <w:shd w:val="clear" w:color="auto" w:fill="666699"/>
            <w:hideMark/>
          </w:tcPr>
          <w:p w14:paraId="269F7161" w14:textId="77777777" w:rsidR="002E7672" w:rsidRPr="00B3648E" w:rsidRDefault="002E7672" w:rsidP="00835F25">
            <w:pPr>
              <w:contextualSpacing/>
              <w:jc w:val="center"/>
              <w:rPr>
                <w:rFonts w:ascii="Arial" w:eastAsia="Calibri" w:hAnsi="Arial" w:cs="Arial"/>
                <w:color w:val="FFFFFF" w:themeColor="background1"/>
                <w:sz w:val="16"/>
                <w:szCs w:val="16"/>
                <w:lang w:val="es-CO" w:eastAsia="en-US"/>
              </w:rPr>
            </w:pPr>
            <w:r w:rsidRPr="00B3648E">
              <w:rPr>
                <w:rFonts w:ascii="Arial" w:eastAsia="Calibri" w:hAnsi="Arial" w:cs="Arial"/>
                <w:b/>
                <w:color w:val="FFFFFF" w:themeColor="background1"/>
                <w:sz w:val="16"/>
                <w:szCs w:val="16"/>
                <w:lang w:val="es-CO" w:eastAsia="en-US"/>
              </w:rPr>
              <w:t>TOTAL:</w:t>
            </w:r>
          </w:p>
        </w:tc>
        <w:tc>
          <w:tcPr>
            <w:tcW w:w="1587"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4DCD5F38" w14:textId="77777777" w:rsidR="002E7672" w:rsidRPr="00B3648E" w:rsidRDefault="002E7672" w:rsidP="00835F25">
            <w:pPr>
              <w:contextualSpacing/>
              <w:jc w:val="center"/>
              <w:rPr>
                <w:rFonts w:ascii="Arial" w:eastAsia="Calibri" w:hAnsi="Arial" w:cs="Arial"/>
                <w:b/>
                <w:color w:val="FFFFFF" w:themeColor="background1"/>
                <w:sz w:val="16"/>
                <w:szCs w:val="16"/>
                <w:lang w:val="es-CO" w:eastAsia="en-US"/>
              </w:rPr>
            </w:pPr>
            <w:r w:rsidRPr="00B3648E">
              <w:rPr>
                <w:rFonts w:ascii="Arial" w:eastAsia="Calibri" w:hAnsi="Arial" w:cs="Arial"/>
                <w:b/>
                <w:color w:val="FFFFFF" w:themeColor="background1"/>
                <w:sz w:val="16"/>
                <w:szCs w:val="16"/>
                <w:lang w:val="es-CO" w:eastAsia="en-US"/>
              </w:rPr>
              <w:t>$</w:t>
            </w:r>
            <w:r w:rsidR="000E6A3F" w:rsidRPr="00B3648E">
              <w:rPr>
                <w:rFonts w:ascii="Arial" w:eastAsia="Calibri" w:hAnsi="Arial" w:cs="Arial"/>
                <w:b/>
                <w:color w:val="FFFFFF" w:themeColor="background1"/>
                <w:sz w:val="16"/>
                <w:szCs w:val="16"/>
                <w:lang w:val="es-CO" w:eastAsia="en-US"/>
              </w:rPr>
              <w:t>38.890.652.088</w:t>
            </w:r>
          </w:p>
        </w:tc>
      </w:tr>
    </w:tbl>
    <w:p w14:paraId="2EE93F2E" w14:textId="77777777" w:rsidR="002E7672" w:rsidRPr="006021DA" w:rsidRDefault="002E7672" w:rsidP="00835F25">
      <w:pPr>
        <w:contextualSpacing/>
        <w:jc w:val="center"/>
        <w:rPr>
          <w:rFonts w:ascii="Arial" w:hAnsi="Arial" w:cs="Arial"/>
          <w:sz w:val="16"/>
          <w:szCs w:val="16"/>
        </w:rPr>
      </w:pPr>
      <w:r w:rsidRPr="006021DA">
        <w:rPr>
          <w:rFonts w:ascii="Arial" w:eastAsia="Calibri" w:hAnsi="Arial" w:cs="Arial"/>
          <w:sz w:val="16"/>
          <w:szCs w:val="16"/>
          <w:lang w:val="es-CO" w:eastAsia="en-US"/>
        </w:rPr>
        <w:t>Fuente: Información remitida por la Entidad Territorial.</w:t>
      </w:r>
      <w:r w:rsidRPr="006021DA">
        <w:rPr>
          <w:rFonts w:ascii="Arial" w:hAnsi="Arial" w:cs="Arial"/>
          <w:sz w:val="16"/>
          <w:szCs w:val="16"/>
        </w:rPr>
        <w:t xml:space="preserve"> </w:t>
      </w:r>
    </w:p>
    <w:p w14:paraId="45298E5E" w14:textId="77777777" w:rsidR="00FE5755" w:rsidRDefault="00FE5755" w:rsidP="00835F25">
      <w:pPr>
        <w:contextualSpacing/>
        <w:jc w:val="both"/>
        <w:rPr>
          <w:rFonts w:ascii="Arial" w:eastAsia="Calibri" w:hAnsi="Arial" w:cs="Arial"/>
          <w:sz w:val="22"/>
          <w:szCs w:val="22"/>
          <w:lang w:val="es-CO" w:eastAsia="en-US"/>
        </w:rPr>
      </w:pPr>
    </w:p>
    <w:p w14:paraId="66479100" w14:textId="77777777" w:rsidR="00783708" w:rsidRDefault="009E1021"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Paralelamente</w:t>
      </w:r>
      <w:r w:rsidR="001E34BB" w:rsidRPr="006021DA">
        <w:rPr>
          <w:rFonts w:ascii="Arial" w:eastAsia="Calibri" w:hAnsi="Arial" w:cs="Arial"/>
          <w:sz w:val="22"/>
          <w:szCs w:val="22"/>
          <w:lang w:val="es-CO" w:eastAsia="en-US"/>
        </w:rPr>
        <w:t xml:space="preserve">, </w:t>
      </w:r>
      <w:r w:rsidR="00657312">
        <w:rPr>
          <w:rFonts w:ascii="Arial" w:eastAsia="Calibri" w:hAnsi="Arial" w:cs="Arial"/>
          <w:sz w:val="22"/>
          <w:szCs w:val="22"/>
          <w:lang w:val="es-CO" w:eastAsia="en-US"/>
        </w:rPr>
        <w:t xml:space="preserve">se pudo establecer que para el año lectivo 2021 se </w:t>
      </w:r>
      <w:r w:rsidR="00260B36" w:rsidRPr="00D306AE">
        <w:rPr>
          <w:rFonts w:ascii="Arial" w:eastAsia="Calibri" w:hAnsi="Arial" w:cs="Arial"/>
          <w:sz w:val="22"/>
          <w:szCs w:val="22"/>
          <w:lang w:val="es-CO" w:eastAsia="en-US"/>
        </w:rPr>
        <w:t xml:space="preserve">celebraron dos (2) contratos </w:t>
      </w:r>
      <w:r w:rsidR="006B1E92" w:rsidRPr="00D306AE">
        <w:rPr>
          <w:rFonts w:ascii="Arial" w:eastAsia="Calibri" w:hAnsi="Arial" w:cs="Arial"/>
          <w:sz w:val="22"/>
          <w:szCs w:val="22"/>
          <w:lang w:val="es-CO" w:eastAsia="en-US"/>
        </w:rPr>
        <w:t xml:space="preserve">para la prestación del </w:t>
      </w:r>
      <w:r w:rsidR="00FE5755">
        <w:rPr>
          <w:rFonts w:ascii="Arial" w:eastAsia="Calibri" w:hAnsi="Arial" w:cs="Arial"/>
          <w:sz w:val="22"/>
          <w:szCs w:val="22"/>
          <w:lang w:val="es-CO" w:eastAsia="en-US"/>
        </w:rPr>
        <w:t>S</w:t>
      </w:r>
      <w:r w:rsidR="006B1E92" w:rsidRPr="00D306AE">
        <w:rPr>
          <w:rFonts w:ascii="Arial" w:eastAsia="Calibri" w:hAnsi="Arial" w:cs="Arial"/>
          <w:sz w:val="22"/>
          <w:szCs w:val="22"/>
          <w:lang w:val="es-CO" w:eastAsia="en-US"/>
        </w:rPr>
        <w:t>ervicio de Alimentación Escolar</w:t>
      </w:r>
      <w:r w:rsidR="00FE5755">
        <w:rPr>
          <w:rFonts w:ascii="Arial" w:eastAsia="Calibri" w:hAnsi="Arial" w:cs="Arial"/>
          <w:sz w:val="22"/>
          <w:szCs w:val="22"/>
          <w:lang w:val="es-CO" w:eastAsia="en-US"/>
        </w:rPr>
        <w:t>;</w:t>
      </w:r>
      <w:r w:rsidR="006B1E92" w:rsidRPr="00D306AE">
        <w:rPr>
          <w:rFonts w:ascii="Arial" w:eastAsia="Calibri" w:hAnsi="Arial" w:cs="Arial"/>
          <w:sz w:val="22"/>
          <w:szCs w:val="22"/>
          <w:lang w:val="es-CO" w:eastAsia="en-US"/>
        </w:rPr>
        <w:t xml:space="preserve"> el primero, </w:t>
      </w:r>
      <w:r w:rsidR="00FE5755">
        <w:rPr>
          <w:rFonts w:ascii="Arial" w:eastAsia="Calibri" w:hAnsi="Arial" w:cs="Arial"/>
          <w:sz w:val="22"/>
          <w:szCs w:val="22"/>
          <w:lang w:val="es-CO" w:eastAsia="en-US"/>
        </w:rPr>
        <w:t xml:space="preserve">el </w:t>
      </w:r>
      <w:r w:rsidR="006B1E92" w:rsidRPr="00D306AE">
        <w:rPr>
          <w:rFonts w:ascii="Arial" w:eastAsia="Calibri" w:hAnsi="Arial" w:cs="Arial"/>
          <w:sz w:val="22"/>
          <w:szCs w:val="22"/>
          <w:lang w:val="es-CO" w:eastAsia="en-US"/>
        </w:rPr>
        <w:t>Contrato de Comisión No. 001 de 2021</w:t>
      </w:r>
      <w:r w:rsidR="007C0756" w:rsidRPr="00D306AE">
        <w:rPr>
          <w:rFonts w:ascii="Arial" w:eastAsia="Calibri" w:hAnsi="Arial" w:cs="Arial"/>
          <w:sz w:val="22"/>
          <w:szCs w:val="22"/>
          <w:lang w:val="es-CO" w:eastAsia="en-US"/>
        </w:rPr>
        <w:t xml:space="preserve"> entre el Distrito de Cartagena de Indias y el Comisionista Comprador Miguel </w:t>
      </w:r>
      <w:r w:rsidR="002E0EBD" w:rsidRPr="00D306AE">
        <w:rPr>
          <w:rFonts w:ascii="Arial" w:eastAsia="Calibri" w:hAnsi="Arial" w:cs="Arial"/>
          <w:sz w:val="22"/>
          <w:szCs w:val="22"/>
          <w:lang w:val="es-CO" w:eastAsia="en-US"/>
        </w:rPr>
        <w:t xml:space="preserve">Quijano y Compañía SA, firmado el 14 de enero de 2021, con un plazo hasta 31 de diciembre del mismo año y por un valor </w:t>
      </w:r>
      <w:r w:rsidR="00D306AE">
        <w:rPr>
          <w:rFonts w:ascii="Arial" w:eastAsia="Calibri" w:hAnsi="Arial" w:cs="Arial"/>
          <w:sz w:val="22"/>
          <w:szCs w:val="22"/>
          <w:lang w:val="es-CO" w:eastAsia="en-US"/>
        </w:rPr>
        <w:t xml:space="preserve">inicial </w:t>
      </w:r>
      <w:r w:rsidR="002E0EBD" w:rsidRPr="00D306AE">
        <w:rPr>
          <w:rFonts w:ascii="Arial" w:eastAsia="Calibri" w:hAnsi="Arial" w:cs="Arial"/>
          <w:sz w:val="22"/>
          <w:szCs w:val="22"/>
          <w:lang w:val="es-CO" w:eastAsia="en-US"/>
        </w:rPr>
        <w:t>de $</w:t>
      </w:r>
      <w:r w:rsidR="00954F97" w:rsidRPr="00D306AE">
        <w:rPr>
          <w:rFonts w:ascii="Arial" w:eastAsia="Calibri" w:hAnsi="Arial" w:cs="Arial"/>
          <w:sz w:val="22"/>
          <w:szCs w:val="22"/>
          <w:lang w:val="es-CO" w:eastAsia="en-US"/>
        </w:rPr>
        <w:t>17.254.215.832.</w:t>
      </w:r>
      <w:r w:rsidR="004B112B" w:rsidRPr="00D306AE">
        <w:rPr>
          <w:rFonts w:ascii="Arial" w:eastAsia="Calibri" w:hAnsi="Arial" w:cs="Arial"/>
          <w:sz w:val="22"/>
          <w:szCs w:val="22"/>
          <w:lang w:val="es-CO" w:eastAsia="en-US"/>
        </w:rPr>
        <w:t xml:space="preserve"> </w:t>
      </w:r>
      <w:r w:rsidR="00CF757A" w:rsidRPr="00D306AE">
        <w:rPr>
          <w:rFonts w:ascii="Arial" w:eastAsia="Calibri" w:hAnsi="Arial" w:cs="Arial"/>
          <w:sz w:val="22"/>
          <w:szCs w:val="22"/>
          <w:lang w:val="es-CO" w:eastAsia="en-US"/>
        </w:rPr>
        <w:t>El segundo</w:t>
      </w:r>
      <w:r w:rsidR="00783708" w:rsidRPr="00D306AE">
        <w:rPr>
          <w:rFonts w:ascii="Arial" w:eastAsia="Calibri" w:hAnsi="Arial" w:cs="Arial"/>
          <w:sz w:val="22"/>
          <w:szCs w:val="22"/>
          <w:lang w:val="es-CO" w:eastAsia="en-US"/>
        </w:rPr>
        <w:t xml:space="preserve">, </w:t>
      </w:r>
      <w:r w:rsidR="00FE5755">
        <w:rPr>
          <w:rFonts w:ascii="Arial" w:eastAsia="Calibri" w:hAnsi="Arial" w:cs="Arial"/>
          <w:sz w:val="22"/>
          <w:szCs w:val="22"/>
          <w:lang w:val="es-CO" w:eastAsia="en-US"/>
        </w:rPr>
        <w:t xml:space="preserve">el </w:t>
      </w:r>
      <w:r w:rsidR="00783708" w:rsidRPr="00D306AE">
        <w:rPr>
          <w:rFonts w:ascii="Arial" w:eastAsia="Calibri" w:hAnsi="Arial" w:cs="Arial"/>
          <w:sz w:val="22"/>
          <w:szCs w:val="22"/>
          <w:lang w:val="es-CO" w:eastAsia="en-US"/>
        </w:rPr>
        <w:t>Contrato de Comisión No. 047 de 2021 entr</w:t>
      </w:r>
      <w:r w:rsidR="00783708">
        <w:rPr>
          <w:rFonts w:ascii="Arial" w:eastAsia="Calibri" w:hAnsi="Arial" w:cs="Arial"/>
          <w:sz w:val="22"/>
          <w:szCs w:val="22"/>
          <w:lang w:val="es-CO" w:eastAsia="en-US"/>
        </w:rPr>
        <w:t xml:space="preserve">e el Distrito de Cartagena de Indias y </w:t>
      </w:r>
      <w:r w:rsidR="00822DD6">
        <w:rPr>
          <w:rFonts w:ascii="Arial" w:eastAsia="Calibri" w:hAnsi="Arial" w:cs="Arial"/>
          <w:sz w:val="22"/>
          <w:szCs w:val="22"/>
          <w:lang w:val="es-CO" w:eastAsia="en-US"/>
        </w:rPr>
        <w:t>Miguel Quijano y Compañía SA, firmado el 11 de mayo de 2021</w:t>
      </w:r>
      <w:r w:rsidR="00F6755F">
        <w:rPr>
          <w:rFonts w:ascii="Arial" w:eastAsia="Calibri" w:hAnsi="Arial" w:cs="Arial"/>
          <w:sz w:val="22"/>
          <w:szCs w:val="22"/>
          <w:lang w:val="es-CO" w:eastAsia="en-US"/>
        </w:rPr>
        <w:t xml:space="preserve">, con un plazo hasta 31 de diciembre y por valor </w:t>
      </w:r>
      <w:r w:rsidR="00D306AE">
        <w:rPr>
          <w:rFonts w:ascii="Arial" w:eastAsia="Calibri" w:hAnsi="Arial" w:cs="Arial"/>
          <w:sz w:val="22"/>
          <w:szCs w:val="22"/>
          <w:lang w:val="es-CO" w:eastAsia="en-US"/>
        </w:rPr>
        <w:t xml:space="preserve">inicial </w:t>
      </w:r>
      <w:r w:rsidR="00F6755F">
        <w:rPr>
          <w:rFonts w:ascii="Arial" w:eastAsia="Calibri" w:hAnsi="Arial" w:cs="Arial"/>
          <w:sz w:val="22"/>
          <w:szCs w:val="22"/>
          <w:lang w:val="es-CO" w:eastAsia="en-US"/>
        </w:rPr>
        <w:t>de $14.378.</w:t>
      </w:r>
      <w:r w:rsidR="00675CCE">
        <w:rPr>
          <w:rFonts w:ascii="Arial" w:eastAsia="Calibri" w:hAnsi="Arial" w:cs="Arial"/>
          <w:sz w:val="22"/>
          <w:szCs w:val="22"/>
          <w:lang w:val="es-CO" w:eastAsia="en-US"/>
        </w:rPr>
        <w:t>173.504.</w:t>
      </w:r>
    </w:p>
    <w:p w14:paraId="62929992" w14:textId="77777777" w:rsidR="00783708" w:rsidRDefault="00783708" w:rsidP="00835F25">
      <w:pPr>
        <w:contextualSpacing/>
        <w:jc w:val="both"/>
        <w:rPr>
          <w:rFonts w:ascii="Arial" w:eastAsia="Calibri" w:hAnsi="Arial" w:cs="Arial"/>
          <w:sz w:val="22"/>
          <w:szCs w:val="22"/>
          <w:lang w:val="es-CO" w:eastAsia="en-US"/>
        </w:rPr>
      </w:pPr>
    </w:p>
    <w:p w14:paraId="2D1A5773" w14:textId="77777777" w:rsidR="001E34BB" w:rsidRDefault="00084A1D"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Tanto el Contrato 001 como el 047 </w:t>
      </w:r>
      <w:r w:rsidR="00EC507A">
        <w:rPr>
          <w:rFonts w:ascii="Arial" w:eastAsia="Calibri" w:hAnsi="Arial" w:cs="Arial"/>
          <w:sz w:val="22"/>
          <w:szCs w:val="22"/>
          <w:lang w:val="es-CO" w:eastAsia="en-US"/>
        </w:rPr>
        <w:t xml:space="preserve">ambos </w:t>
      </w:r>
      <w:r w:rsidR="00732013">
        <w:rPr>
          <w:rFonts w:ascii="Arial" w:eastAsia="Calibri" w:hAnsi="Arial" w:cs="Arial"/>
          <w:sz w:val="22"/>
          <w:szCs w:val="22"/>
          <w:lang w:val="es-CO" w:eastAsia="en-US"/>
        </w:rPr>
        <w:t xml:space="preserve">suscritos con </w:t>
      </w:r>
      <w:r w:rsidR="00732013" w:rsidRPr="00D306AE">
        <w:rPr>
          <w:rFonts w:ascii="Arial" w:eastAsia="Calibri" w:hAnsi="Arial" w:cs="Arial"/>
          <w:sz w:val="22"/>
          <w:szCs w:val="22"/>
          <w:lang w:val="es-CO" w:eastAsia="en-US"/>
        </w:rPr>
        <w:t>el Comisionista Comprador Miguel Quijano y Compañía SA</w:t>
      </w:r>
      <w:r w:rsidR="00732013">
        <w:rPr>
          <w:rFonts w:ascii="Arial" w:eastAsia="Calibri" w:hAnsi="Arial" w:cs="Arial"/>
          <w:sz w:val="22"/>
          <w:szCs w:val="22"/>
          <w:lang w:val="es-CO" w:eastAsia="en-US"/>
        </w:rPr>
        <w:t xml:space="preserve"> en la vigencia </w:t>
      </w:r>
      <w:r>
        <w:rPr>
          <w:rFonts w:ascii="Arial" w:eastAsia="Calibri" w:hAnsi="Arial" w:cs="Arial"/>
          <w:sz w:val="22"/>
          <w:szCs w:val="22"/>
          <w:lang w:val="es-CO" w:eastAsia="en-US"/>
        </w:rPr>
        <w:t xml:space="preserve">2021, </w:t>
      </w:r>
      <w:r w:rsidR="00CF757A">
        <w:rPr>
          <w:rFonts w:ascii="Arial" w:eastAsia="Calibri" w:hAnsi="Arial" w:cs="Arial"/>
          <w:sz w:val="22"/>
          <w:szCs w:val="22"/>
          <w:lang w:val="es-CO" w:eastAsia="en-US"/>
        </w:rPr>
        <w:t xml:space="preserve">son </w:t>
      </w:r>
      <w:r w:rsidR="00783708">
        <w:rPr>
          <w:rFonts w:ascii="Arial" w:eastAsia="Calibri" w:hAnsi="Arial" w:cs="Arial"/>
          <w:sz w:val="22"/>
          <w:szCs w:val="22"/>
          <w:lang w:val="es-CO" w:eastAsia="en-US"/>
        </w:rPr>
        <w:t>Contratos de Comisión</w:t>
      </w:r>
      <w:r w:rsidR="00CF757A">
        <w:rPr>
          <w:rFonts w:ascii="Arial" w:eastAsia="Calibri" w:hAnsi="Arial" w:cs="Arial"/>
          <w:sz w:val="22"/>
          <w:szCs w:val="22"/>
          <w:lang w:val="es-CO" w:eastAsia="en-US"/>
        </w:rPr>
        <w:t xml:space="preserve"> para la </w:t>
      </w:r>
      <w:r w:rsidR="00783708">
        <w:rPr>
          <w:rFonts w:ascii="Arial" w:eastAsia="Calibri" w:hAnsi="Arial" w:cs="Arial"/>
          <w:sz w:val="22"/>
          <w:szCs w:val="22"/>
          <w:lang w:val="es-CO" w:eastAsia="en-US"/>
        </w:rPr>
        <w:t xml:space="preserve">Celebración </w:t>
      </w:r>
      <w:r w:rsidR="00CF757A">
        <w:rPr>
          <w:rFonts w:ascii="Arial" w:eastAsia="Calibri" w:hAnsi="Arial" w:cs="Arial"/>
          <w:sz w:val="22"/>
          <w:szCs w:val="22"/>
          <w:lang w:val="es-CO" w:eastAsia="en-US"/>
        </w:rPr>
        <w:t xml:space="preserve">de </w:t>
      </w:r>
      <w:r w:rsidR="00783708">
        <w:rPr>
          <w:rFonts w:ascii="Arial" w:eastAsia="Calibri" w:hAnsi="Arial" w:cs="Arial"/>
          <w:sz w:val="22"/>
          <w:szCs w:val="22"/>
          <w:lang w:val="es-CO" w:eastAsia="en-US"/>
        </w:rPr>
        <w:t xml:space="preserve">Operaciones </w:t>
      </w:r>
      <w:r w:rsidR="00CF757A">
        <w:rPr>
          <w:rFonts w:ascii="Arial" w:eastAsia="Calibri" w:hAnsi="Arial" w:cs="Arial"/>
          <w:sz w:val="22"/>
          <w:szCs w:val="22"/>
          <w:lang w:val="es-CO" w:eastAsia="en-US"/>
        </w:rPr>
        <w:t xml:space="preserve">en el </w:t>
      </w:r>
      <w:r w:rsidR="00783708">
        <w:rPr>
          <w:rFonts w:ascii="Arial" w:eastAsia="Calibri" w:hAnsi="Arial" w:cs="Arial"/>
          <w:sz w:val="22"/>
          <w:szCs w:val="22"/>
          <w:lang w:val="es-CO" w:eastAsia="en-US"/>
        </w:rPr>
        <w:t xml:space="preserve">Mercado </w:t>
      </w:r>
      <w:r w:rsidR="00CF757A">
        <w:rPr>
          <w:rFonts w:ascii="Arial" w:eastAsia="Calibri" w:hAnsi="Arial" w:cs="Arial"/>
          <w:sz w:val="22"/>
          <w:szCs w:val="22"/>
          <w:lang w:val="es-CO" w:eastAsia="en-US"/>
        </w:rPr>
        <w:t>de Compras Públicas en la Bolsa Mercantil de Colombia SA</w:t>
      </w:r>
      <w:r w:rsidR="00FE5755">
        <w:rPr>
          <w:rFonts w:ascii="Arial" w:eastAsia="Calibri" w:hAnsi="Arial" w:cs="Arial"/>
          <w:sz w:val="22"/>
          <w:szCs w:val="22"/>
          <w:lang w:val="es-CO" w:eastAsia="en-US"/>
        </w:rPr>
        <w:t>;</w:t>
      </w:r>
      <w:r w:rsidR="008F72DA">
        <w:rPr>
          <w:rFonts w:ascii="Arial" w:eastAsia="Calibri" w:hAnsi="Arial" w:cs="Arial"/>
          <w:sz w:val="22"/>
          <w:szCs w:val="22"/>
          <w:lang w:val="es-CO" w:eastAsia="en-US"/>
        </w:rPr>
        <w:t xml:space="preserve"> es decir, que para ambos se utilizó la </w:t>
      </w:r>
      <w:r w:rsidR="008F72DA" w:rsidRPr="008F72DA">
        <w:rPr>
          <w:rFonts w:ascii="Arial" w:eastAsia="Calibri" w:hAnsi="Arial" w:cs="Arial"/>
          <w:sz w:val="22"/>
          <w:szCs w:val="22"/>
          <w:lang w:val="es-CO" w:eastAsia="en-US"/>
        </w:rPr>
        <w:t>Selección Abreviada para la adquisición de bienes y servicios de</w:t>
      </w:r>
      <w:r w:rsidR="008F72DA">
        <w:rPr>
          <w:rFonts w:ascii="Arial" w:eastAsia="Calibri" w:hAnsi="Arial" w:cs="Arial"/>
          <w:sz w:val="22"/>
          <w:szCs w:val="22"/>
          <w:lang w:val="es-CO" w:eastAsia="en-US"/>
        </w:rPr>
        <w:t xml:space="preserve"> </w:t>
      </w:r>
      <w:r w:rsidR="008F72DA" w:rsidRPr="008F72DA">
        <w:rPr>
          <w:rFonts w:ascii="Arial" w:eastAsia="Calibri" w:hAnsi="Arial" w:cs="Arial"/>
          <w:sz w:val="22"/>
          <w:szCs w:val="22"/>
          <w:lang w:val="es-CO" w:eastAsia="en-US"/>
        </w:rPr>
        <w:t xml:space="preserve">características técnicas uniformes y de común utilización en </w:t>
      </w:r>
      <w:r w:rsidR="00FE5755">
        <w:rPr>
          <w:rFonts w:ascii="Arial" w:eastAsia="Calibri" w:hAnsi="Arial" w:cs="Arial"/>
          <w:sz w:val="22"/>
          <w:szCs w:val="22"/>
          <w:lang w:val="es-CO" w:eastAsia="en-US"/>
        </w:rPr>
        <w:t>b</w:t>
      </w:r>
      <w:r w:rsidR="008F72DA" w:rsidRPr="008F72DA">
        <w:rPr>
          <w:rFonts w:ascii="Arial" w:eastAsia="Calibri" w:hAnsi="Arial" w:cs="Arial"/>
          <w:sz w:val="22"/>
          <w:szCs w:val="22"/>
          <w:lang w:val="es-CO" w:eastAsia="en-US"/>
        </w:rPr>
        <w:t>olsa</w:t>
      </w:r>
      <w:r w:rsidR="00FE5755">
        <w:rPr>
          <w:rFonts w:ascii="Arial" w:eastAsia="Calibri" w:hAnsi="Arial" w:cs="Arial"/>
          <w:sz w:val="22"/>
          <w:szCs w:val="22"/>
          <w:lang w:val="es-CO" w:eastAsia="en-US"/>
        </w:rPr>
        <w:t xml:space="preserve"> </w:t>
      </w:r>
      <w:r w:rsidR="008F72DA" w:rsidRPr="008F72DA">
        <w:rPr>
          <w:rFonts w:ascii="Arial" w:eastAsia="Calibri" w:hAnsi="Arial" w:cs="Arial"/>
          <w:sz w:val="22"/>
          <w:szCs w:val="22"/>
          <w:lang w:val="es-CO" w:eastAsia="en-US"/>
        </w:rPr>
        <w:t>de productos.</w:t>
      </w:r>
      <w:r w:rsidR="003F0EB9">
        <w:rPr>
          <w:rFonts w:ascii="Arial" w:eastAsia="Calibri" w:hAnsi="Arial" w:cs="Arial"/>
          <w:sz w:val="22"/>
          <w:szCs w:val="22"/>
          <w:lang w:val="es-CO" w:eastAsia="en-US"/>
        </w:rPr>
        <w:t xml:space="preserve"> </w:t>
      </w:r>
      <w:r w:rsidR="00381CA5">
        <w:rPr>
          <w:rFonts w:ascii="Arial" w:eastAsia="Calibri" w:hAnsi="Arial" w:cs="Arial"/>
          <w:sz w:val="22"/>
          <w:szCs w:val="22"/>
          <w:lang w:val="es-CO" w:eastAsia="en-US"/>
        </w:rPr>
        <w:t xml:space="preserve">A su vez, dadas las características de la modalidad de contratación, </w:t>
      </w:r>
      <w:r w:rsidR="008445FA">
        <w:rPr>
          <w:rFonts w:ascii="Arial" w:eastAsia="Calibri" w:hAnsi="Arial" w:cs="Arial"/>
          <w:sz w:val="22"/>
          <w:szCs w:val="22"/>
          <w:lang w:val="es-CO" w:eastAsia="en-US"/>
        </w:rPr>
        <w:t xml:space="preserve">con cargo a </w:t>
      </w:r>
      <w:r w:rsidR="00732013">
        <w:rPr>
          <w:rFonts w:ascii="Arial" w:eastAsia="Calibri" w:hAnsi="Arial" w:cs="Arial"/>
          <w:sz w:val="22"/>
          <w:szCs w:val="22"/>
          <w:lang w:val="es-CO" w:eastAsia="en-US"/>
        </w:rPr>
        <w:t>las diferentes fuentes de</w:t>
      </w:r>
      <w:r w:rsidR="008445FA">
        <w:rPr>
          <w:rFonts w:ascii="Arial" w:eastAsia="Calibri" w:hAnsi="Arial" w:cs="Arial"/>
          <w:sz w:val="22"/>
          <w:szCs w:val="22"/>
          <w:lang w:val="es-CO" w:eastAsia="en-US"/>
        </w:rPr>
        <w:t xml:space="preserve"> recursos </w:t>
      </w:r>
      <w:r w:rsidR="00732013">
        <w:rPr>
          <w:rFonts w:ascii="Arial" w:eastAsia="Calibri" w:hAnsi="Arial" w:cs="Arial"/>
          <w:sz w:val="22"/>
          <w:szCs w:val="22"/>
          <w:lang w:val="es-CO" w:eastAsia="en-US"/>
        </w:rPr>
        <w:t xml:space="preserve">que financian el Servicio (Asignación Especial para Alimentación Escolar, Presupuesto General de la Nación, Recursos Propios y del Sistema General de Regalías), </w:t>
      </w:r>
      <w:r w:rsidR="00EC507A">
        <w:rPr>
          <w:rFonts w:ascii="Arial" w:eastAsia="Calibri" w:hAnsi="Arial" w:cs="Arial"/>
          <w:sz w:val="22"/>
          <w:szCs w:val="22"/>
          <w:lang w:val="es-CO" w:eastAsia="en-US"/>
        </w:rPr>
        <w:t xml:space="preserve">se cubrió </w:t>
      </w:r>
      <w:r w:rsidR="008445FA">
        <w:rPr>
          <w:rFonts w:ascii="Arial" w:eastAsia="Calibri" w:hAnsi="Arial" w:cs="Arial"/>
          <w:sz w:val="22"/>
          <w:szCs w:val="22"/>
          <w:lang w:val="es-CO" w:eastAsia="en-US"/>
        </w:rPr>
        <w:t>el pago de</w:t>
      </w:r>
      <w:r w:rsidR="00EC507A">
        <w:rPr>
          <w:rFonts w:ascii="Arial" w:eastAsia="Calibri" w:hAnsi="Arial" w:cs="Arial"/>
          <w:sz w:val="22"/>
          <w:szCs w:val="22"/>
          <w:lang w:val="es-CO" w:eastAsia="en-US"/>
        </w:rPr>
        <w:t xml:space="preserve"> la</w:t>
      </w:r>
      <w:r w:rsidR="008445FA">
        <w:rPr>
          <w:rFonts w:ascii="Arial" w:eastAsia="Calibri" w:hAnsi="Arial" w:cs="Arial"/>
          <w:sz w:val="22"/>
          <w:szCs w:val="22"/>
          <w:lang w:val="es-CO" w:eastAsia="en-US"/>
        </w:rPr>
        <w:t xml:space="preserve"> comisión </w:t>
      </w:r>
      <w:r w:rsidR="007412BB">
        <w:rPr>
          <w:rFonts w:ascii="Arial" w:eastAsia="Calibri" w:hAnsi="Arial" w:cs="Arial"/>
          <w:sz w:val="22"/>
          <w:szCs w:val="22"/>
          <w:lang w:val="es-CO" w:eastAsia="en-US"/>
        </w:rPr>
        <w:t xml:space="preserve">a Miguel Quijano </w:t>
      </w:r>
      <w:r w:rsidR="00C90E7D">
        <w:rPr>
          <w:rFonts w:ascii="Arial" w:eastAsia="Calibri" w:hAnsi="Arial" w:cs="Arial"/>
          <w:sz w:val="22"/>
          <w:szCs w:val="22"/>
          <w:lang w:val="es-CO" w:eastAsia="en-US"/>
        </w:rPr>
        <w:t xml:space="preserve">y </w:t>
      </w:r>
      <w:r w:rsidR="00E07003">
        <w:rPr>
          <w:rFonts w:ascii="Arial" w:eastAsia="Calibri" w:hAnsi="Arial" w:cs="Arial"/>
          <w:sz w:val="22"/>
          <w:szCs w:val="22"/>
          <w:lang w:val="es-CO" w:eastAsia="en-US"/>
        </w:rPr>
        <w:t>Cía.</w:t>
      </w:r>
      <w:r w:rsidR="00C90E7D">
        <w:rPr>
          <w:rFonts w:ascii="Arial" w:eastAsia="Calibri" w:hAnsi="Arial" w:cs="Arial"/>
          <w:sz w:val="22"/>
          <w:szCs w:val="22"/>
          <w:lang w:val="es-CO" w:eastAsia="en-US"/>
        </w:rPr>
        <w:t xml:space="preserve"> SAS, el cual fungió como</w:t>
      </w:r>
      <w:r w:rsidR="00D73A07">
        <w:rPr>
          <w:rFonts w:ascii="Arial" w:eastAsia="Calibri" w:hAnsi="Arial" w:cs="Arial"/>
          <w:sz w:val="22"/>
          <w:szCs w:val="22"/>
          <w:lang w:val="es-CO" w:eastAsia="en-US"/>
        </w:rPr>
        <w:t xml:space="preserve"> comisionista c</w:t>
      </w:r>
      <w:r w:rsidR="00EC507A">
        <w:rPr>
          <w:rFonts w:ascii="Arial" w:eastAsia="Calibri" w:hAnsi="Arial" w:cs="Arial"/>
          <w:sz w:val="22"/>
          <w:szCs w:val="22"/>
          <w:lang w:val="es-CO" w:eastAsia="en-US"/>
        </w:rPr>
        <w:t>omprador</w:t>
      </w:r>
      <w:r w:rsidR="00FE5755">
        <w:rPr>
          <w:rFonts w:ascii="Arial" w:eastAsia="Calibri" w:hAnsi="Arial" w:cs="Arial"/>
          <w:sz w:val="22"/>
          <w:szCs w:val="22"/>
          <w:lang w:val="es-CO" w:eastAsia="en-US"/>
        </w:rPr>
        <w:t>;</w:t>
      </w:r>
      <w:r w:rsidR="00EC507A">
        <w:rPr>
          <w:rFonts w:ascii="Arial" w:eastAsia="Calibri" w:hAnsi="Arial" w:cs="Arial"/>
          <w:sz w:val="22"/>
          <w:szCs w:val="22"/>
          <w:lang w:val="es-CO" w:eastAsia="en-US"/>
        </w:rPr>
        <w:t xml:space="preserve"> es decir, fue el representante </w:t>
      </w:r>
      <w:r w:rsidR="00546A6E">
        <w:rPr>
          <w:rFonts w:ascii="Arial" w:eastAsia="Calibri" w:hAnsi="Arial" w:cs="Arial"/>
          <w:sz w:val="22"/>
          <w:szCs w:val="22"/>
          <w:lang w:val="es-CO" w:eastAsia="en-US"/>
        </w:rPr>
        <w:t>de la Entidad Territorial en la negociación bursátil.</w:t>
      </w:r>
    </w:p>
    <w:p w14:paraId="66998F59" w14:textId="77777777" w:rsidR="004B112B" w:rsidRDefault="004B112B" w:rsidP="00835F25">
      <w:pPr>
        <w:contextualSpacing/>
        <w:jc w:val="both"/>
        <w:rPr>
          <w:rFonts w:ascii="Arial" w:eastAsia="Calibri" w:hAnsi="Arial" w:cs="Arial"/>
          <w:sz w:val="22"/>
          <w:szCs w:val="22"/>
          <w:lang w:val="es-CO" w:eastAsia="en-US"/>
        </w:rPr>
      </w:pPr>
    </w:p>
    <w:p w14:paraId="2C1D287E" w14:textId="77777777" w:rsidR="00DC27A0" w:rsidRDefault="00150CC1"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Cabe agregar, que después de realizado el análisis y con base en la información suministrada en visita de campo llevada a cabo </w:t>
      </w:r>
      <w:r w:rsidR="00DE3816">
        <w:rPr>
          <w:rFonts w:ascii="Arial" w:eastAsia="Calibri" w:hAnsi="Arial" w:cs="Arial"/>
          <w:sz w:val="22"/>
          <w:szCs w:val="22"/>
          <w:lang w:val="es-CO" w:eastAsia="en-US"/>
        </w:rPr>
        <w:t xml:space="preserve">entre los días 3 </w:t>
      </w:r>
      <w:r w:rsidR="00EC2791">
        <w:rPr>
          <w:rFonts w:ascii="Arial" w:eastAsia="Calibri" w:hAnsi="Arial" w:cs="Arial"/>
          <w:sz w:val="22"/>
          <w:szCs w:val="22"/>
          <w:lang w:val="es-CO" w:eastAsia="en-US"/>
        </w:rPr>
        <w:t>al</w:t>
      </w:r>
      <w:r w:rsidR="00DE3816">
        <w:rPr>
          <w:rFonts w:ascii="Arial" w:eastAsia="Calibri" w:hAnsi="Arial" w:cs="Arial"/>
          <w:sz w:val="22"/>
          <w:szCs w:val="22"/>
          <w:lang w:val="es-CO" w:eastAsia="en-US"/>
        </w:rPr>
        <w:t xml:space="preserve"> 5 de agosto de 2022, </w:t>
      </w:r>
      <w:r w:rsidR="00F02013">
        <w:rPr>
          <w:rFonts w:ascii="Arial" w:eastAsia="Calibri" w:hAnsi="Arial" w:cs="Arial"/>
          <w:sz w:val="22"/>
          <w:szCs w:val="22"/>
          <w:lang w:val="es-CO" w:eastAsia="en-US"/>
        </w:rPr>
        <w:t xml:space="preserve">se pudo constatar que </w:t>
      </w:r>
      <w:r w:rsidR="00F43981">
        <w:rPr>
          <w:rFonts w:ascii="Arial" w:eastAsia="Calibri" w:hAnsi="Arial" w:cs="Arial"/>
          <w:sz w:val="22"/>
          <w:szCs w:val="22"/>
          <w:lang w:val="es-CO" w:eastAsia="en-US"/>
        </w:rPr>
        <w:t xml:space="preserve">el Distrito hizo la planeación contractual solo con el </w:t>
      </w:r>
      <w:r w:rsidR="00E07003">
        <w:rPr>
          <w:rFonts w:ascii="Arial" w:eastAsia="Calibri" w:hAnsi="Arial" w:cs="Arial"/>
          <w:sz w:val="22"/>
          <w:szCs w:val="22"/>
          <w:lang w:val="es-CO" w:eastAsia="en-US"/>
        </w:rPr>
        <w:t>C</w:t>
      </w:r>
      <w:r w:rsidR="00F43981">
        <w:rPr>
          <w:rFonts w:ascii="Arial" w:eastAsia="Calibri" w:hAnsi="Arial" w:cs="Arial"/>
          <w:sz w:val="22"/>
          <w:szCs w:val="22"/>
          <w:lang w:val="es-CO" w:eastAsia="en-US"/>
        </w:rPr>
        <w:t>ontrato 0</w:t>
      </w:r>
      <w:r w:rsidR="00E07003">
        <w:rPr>
          <w:rFonts w:ascii="Arial" w:eastAsia="Calibri" w:hAnsi="Arial" w:cs="Arial"/>
          <w:sz w:val="22"/>
          <w:szCs w:val="22"/>
          <w:lang w:val="es-CO" w:eastAsia="en-US"/>
        </w:rPr>
        <w:t>0</w:t>
      </w:r>
      <w:r w:rsidR="00F43981">
        <w:rPr>
          <w:rFonts w:ascii="Arial" w:eastAsia="Calibri" w:hAnsi="Arial" w:cs="Arial"/>
          <w:sz w:val="22"/>
          <w:szCs w:val="22"/>
          <w:lang w:val="es-CO" w:eastAsia="en-US"/>
        </w:rPr>
        <w:t>1 de 2021</w:t>
      </w:r>
      <w:r w:rsidR="00FE5755">
        <w:rPr>
          <w:rFonts w:ascii="Arial" w:eastAsia="Calibri" w:hAnsi="Arial" w:cs="Arial"/>
          <w:sz w:val="22"/>
          <w:szCs w:val="22"/>
          <w:lang w:val="es-CO" w:eastAsia="en-US"/>
        </w:rPr>
        <w:t>;</w:t>
      </w:r>
      <w:r w:rsidR="00F43981">
        <w:rPr>
          <w:rFonts w:ascii="Arial" w:eastAsia="Calibri" w:hAnsi="Arial" w:cs="Arial"/>
          <w:sz w:val="22"/>
          <w:szCs w:val="22"/>
          <w:lang w:val="es-CO" w:eastAsia="en-US"/>
        </w:rPr>
        <w:t xml:space="preserve"> sin embargo, </w:t>
      </w:r>
      <w:r w:rsidR="00D426C8">
        <w:rPr>
          <w:rFonts w:ascii="Arial" w:eastAsia="Calibri" w:hAnsi="Arial" w:cs="Arial"/>
          <w:sz w:val="22"/>
          <w:szCs w:val="22"/>
          <w:lang w:val="es-CO" w:eastAsia="en-US"/>
        </w:rPr>
        <w:t xml:space="preserve">al mismo tiempo se tramitó un proyecto para suministro de alimentación escolar </w:t>
      </w:r>
      <w:r w:rsidR="00D5308B">
        <w:rPr>
          <w:rFonts w:ascii="Arial" w:eastAsia="Calibri" w:hAnsi="Arial" w:cs="Arial"/>
          <w:sz w:val="22"/>
          <w:szCs w:val="22"/>
          <w:lang w:val="es-CO" w:eastAsia="en-US"/>
        </w:rPr>
        <w:t>con</w:t>
      </w:r>
      <w:r w:rsidR="00D426C8">
        <w:rPr>
          <w:rFonts w:ascii="Arial" w:eastAsia="Calibri" w:hAnsi="Arial" w:cs="Arial"/>
          <w:sz w:val="22"/>
          <w:szCs w:val="22"/>
          <w:lang w:val="es-CO" w:eastAsia="en-US"/>
        </w:rPr>
        <w:t xml:space="preserve"> cargo </w:t>
      </w:r>
      <w:r w:rsidR="00D5308B">
        <w:rPr>
          <w:rFonts w:ascii="Arial" w:eastAsia="Calibri" w:hAnsi="Arial" w:cs="Arial"/>
          <w:sz w:val="22"/>
          <w:szCs w:val="22"/>
          <w:lang w:val="es-CO" w:eastAsia="en-US"/>
        </w:rPr>
        <w:t xml:space="preserve">a los recursos </w:t>
      </w:r>
      <w:r w:rsidR="00D426C8">
        <w:rPr>
          <w:rFonts w:ascii="Arial" w:eastAsia="Calibri" w:hAnsi="Arial" w:cs="Arial"/>
          <w:sz w:val="22"/>
          <w:szCs w:val="22"/>
          <w:lang w:val="es-CO" w:eastAsia="en-US"/>
        </w:rPr>
        <w:t>del Sistema General de Regalías</w:t>
      </w:r>
      <w:r w:rsidR="00BA250E">
        <w:rPr>
          <w:rFonts w:ascii="Arial" w:eastAsia="Calibri" w:hAnsi="Arial" w:cs="Arial"/>
          <w:sz w:val="22"/>
          <w:szCs w:val="22"/>
          <w:lang w:val="es-CO" w:eastAsia="en-US"/>
        </w:rPr>
        <w:t xml:space="preserve"> </w:t>
      </w:r>
      <w:r w:rsidR="00D5308B">
        <w:rPr>
          <w:rFonts w:ascii="Arial" w:eastAsia="Calibri" w:hAnsi="Arial" w:cs="Arial"/>
          <w:sz w:val="22"/>
          <w:szCs w:val="22"/>
          <w:lang w:val="es-CO" w:eastAsia="en-US"/>
        </w:rPr>
        <w:t>–</w:t>
      </w:r>
      <w:r w:rsidR="00BA250E">
        <w:rPr>
          <w:rFonts w:ascii="Arial" w:eastAsia="Calibri" w:hAnsi="Arial" w:cs="Arial"/>
          <w:sz w:val="22"/>
          <w:szCs w:val="22"/>
          <w:lang w:val="es-CO" w:eastAsia="en-US"/>
        </w:rPr>
        <w:t xml:space="preserve"> SGR</w:t>
      </w:r>
      <w:r w:rsidR="00D5308B">
        <w:rPr>
          <w:rFonts w:ascii="Arial" w:eastAsia="Calibri" w:hAnsi="Arial" w:cs="Arial"/>
          <w:sz w:val="22"/>
          <w:szCs w:val="22"/>
          <w:lang w:val="es-CO" w:eastAsia="en-US"/>
        </w:rPr>
        <w:t>,</w:t>
      </w:r>
      <w:r w:rsidR="00DB7969">
        <w:rPr>
          <w:rFonts w:ascii="Arial" w:eastAsia="Calibri" w:hAnsi="Arial" w:cs="Arial"/>
          <w:sz w:val="22"/>
          <w:szCs w:val="22"/>
          <w:lang w:val="es-CO" w:eastAsia="en-US"/>
        </w:rPr>
        <w:t xml:space="preserve"> el cual finalmente fue aprobado por la autoridad competente y así fue que </w:t>
      </w:r>
      <w:r w:rsidR="00D95BD7">
        <w:rPr>
          <w:rFonts w:ascii="Arial" w:eastAsia="Calibri" w:hAnsi="Arial" w:cs="Arial"/>
          <w:sz w:val="22"/>
          <w:szCs w:val="22"/>
          <w:lang w:val="es-CO" w:eastAsia="en-US"/>
        </w:rPr>
        <w:t xml:space="preserve">suscribió el segundo </w:t>
      </w:r>
      <w:r w:rsidR="00E07003">
        <w:rPr>
          <w:rFonts w:ascii="Arial" w:eastAsia="Calibri" w:hAnsi="Arial" w:cs="Arial"/>
          <w:sz w:val="22"/>
          <w:szCs w:val="22"/>
          <w:lang w:val="es-CO" w:eastAsia="en-US"/>
        </w:rPr>
        <w:t>C</w:t>
      </w:r>
      <w:r w:rsidR="00D95BD7">
        <w:rPr>
          <w:rFonts w:ascii="Arial" w:eastAsia="Calibri" w:hAnsi="Arial" w:cs="Arial"/>
          <w:sz w:val="22"/>
          <w:szCs w:val="22"/>
          <w:lang w:val="es-CO" w:eastAsia="en-US"/>
        </w:rPr>
        <w:t>ontrato 047 de 2021</w:t>
      </w:r>
      <w:r w:rsidR="0007665E">
        <w:rPr>
          <w:rFonts w:ascii="Arial" w:eastAsia="Calibri" w:hAnsi="Arial" w:cs="Arial"/>
          <w:sz w:val="22"/>
          <w:szCs w:val="22"/>
          <w:lang w:val="es-CO" w:eastAsia="en-US"/>
        </w:rPr>
        <w:t>,</w:t>
      </w:r>
      <w:r w:rsidR="00262DE4">
        <w:rPr>
          <w:rFonts w:ascii="Arial" w:eastAsia="Calibri" w:hAnsi="Arial" w:cs="Arial"/>
          <w:sz w:val="22"/>
          <w:szCs w:val="22"/>
          <w:lang w:val="es-CO" w:eastAsia="en-US"/>
        </w:rPr>
        <w:t xml:space="preserve"> el cual conllev</w:t>
      </w:r>
      <w:r w:rsidR="0007665E">
        <w:rPr>
          <w:rFonts w:ascii="Arial" w:eastAsia="Calibri" w:hAnsi="Arial" w:cs="Arial"/>
          <w:sz w:val="22"/>
          <w:szCs w:val="22"/>
          <w:lang w:val="es-CO" w:eastAsia="en-US"/>
        </w:rPr>
        <w:t>ó</w:t>
      </w:r>
      <w:r w:rsidR="00262DE4">
        <w:rPr>
          <w:rFonts w:ascii="Arial" w:eastAsia="Calibri" w:hAnsi="Arial" w:cs="Arial"/>
          <w:sz w:val="22"/>
          <w:szCs w:val="22"/>
          <w:lang w:val="es-CO" w:eastAsia="en-US"/>
        </w:rPr>
        <w:t xml:space="preserve"> a</w:t>
      </w:r>
      <w:r w:rsidR="00732013">
        <w:rPr>
          <w:rFonts w:ascii="Arial" w:eastAsia="Calibri" w:hAnsi="Arial" w:cs="Arial"/>
          <w:sz w:val="22"/>
          <w:szCs w:val="22"/>
          <w:lang w:val="es-CO" w:eastAsia="en-US"/>
        </w:rPr>
        <w:t xml:space="preserve">l </w:t>
      </w:r>
      <w:r w:rsidR="00262DE4">
        <w:rPr>
          <w:rFonts w:ascii="Arial" w:eastAsia="Calibri" w:hAnsi="Arial" w:cs="Arial"/>
          <w:sz w:val="22"/>
          <w:szCs w:val="22"/>
          <w:lang w:val="es-CO" w:eastAsia="en-US"/>
        </w:rPr>
        <w:t xml:space="preserve">aumento en </w:t>
      </w:r>
      <w:r w:rsidR="00D95BD7">
        <w:rPr>
          <w:rFonts w:ascii="Arial" w:eastAsia="Calibri" w:hAnsi="Arial" w:cs="Arial"/>
          <w:sz w:val="22"/>
          <w:szCs w:val="22"/>
          <w:lang w:val="es-CO" w:eastAsia="en-US"/>
        </w:rPr>
        <w:t xml:space="preserve">la cobertura del </w:t>
      </w:r>
      <w:r w:rsidR="00FE5755">
        <w:rPr>
          <w:rFonts w:ascii="Arial" w:eastAsia="Calibri" w:hAnsi="Arial" w:cs="Arial"/>
          <w:sz w:val="22"/>
          <w:szCs w:val="22"/>
          <w:lang w:val="es-CO" w:eastAsia="en-US"/>
        </w:rPr>
        <w:t>S</w:t>
      </w:r>
      <w:r w:rsidR="00D95BD7">
        <w:rPr>
          <w:rFonts w:ascii="Arial" w:eastAsia="Calibri" w:hAnsi="Arial" w:cs="Arial"/>
          <w:sz w:val="22"/>
          <w:szCs w:val="22"/>
          <w:lang w:val="es-CO" w:eastAsia="en-US"/>
        </w:rPr>
        <w:t>ervicio</w:t>
      </w:r>
      <w:r w:rsidR="00732013">
        <w:rPr>
          <w:rFonts w:ascii="Arial" w:eastAsia="Calibri" w:hAnsi="Arial" w:cs="Arial"/>
          <w:sz w:val="22"/>
          <w:szCs w:val="22"/>
          <w:lang w:val="es-CO" w:eastAsia="en-US"/>
        </w:rPr>
        <w:t xml:space="preserve"> y brindar la alimentación escolar durante los primeros meses de la vigencia 2022</w:t>
      </w:r>
      <w:r w:rsidR="00D95BD7">
        <w:rPr>
          <w:rFonts w:ascii="Arial" w:eastAsia="Calibri" w:hAnsi="Arial" w:cs="Arial"/>
          <w:sz w:val="22"/>
          <w:szCs w:val="22"/>
          <w:lang w:val="es-CO" w:eastAsia="en-US"/>
        </w:rPr>
        <w:t>.</w:t>
      </w:r>
    </w:p>
    <w:p w14:paraId="75A73779" w14:textId="77777777" w:rsidR="007735A7" w:rsidRDefault="007735A7" w:rsidP="00835F25">
      <w:pPr>
        <w:contextualSpacing/>
        <w:jc w:val="both"/>
        <w:rPr>
          <w:rFonts w:ascii="Arial" w:eastAsia="Calibri" w:hAnsi="Arial" w:cs="Arial"/>
          <w:sz w:val="22"/>
          <w:szCs w:val="22"/>
          <w:lang w:val="es-CO" w:eastAsia="en-US"/>
        </w:rPr>
      </w:pPr>
    </w:p>
    <w:p w14:paraId="2B0804A9" w14:textId="77777777" w:rsidR="007735A7" w:rsidRPr="006021DA" w:rsidRDefault="007735A7"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Así las cosas, dado que la Actividad establece que además de llevar a cabo el proceso de contratación conforme al Estatuto General de la Contratación Pública, se debe planear </w:t>
      </w:r>
      <w:r w:rsidRPr="00342745">
        <w:rPr>
          <w:rFonts w:ascii="Arial" w:eastAsia="Calibri" w:hAnsi="Arial" w:cs="Arial"/>
          <w:sz w:val="22"/>
          <w:szCs w:val="22"/>
          <w:lang w:val="es-CO" w:eastAsia="en-US"/>
        </w:rPr>
        <w:t>contractualmente para que el inicio del contrato coincida con el inicio del periodo académico, la Actividad se da por cumplida, dado el inicio oportuno</w:t>
      </w:r>
      <w:r w:rsidR="0007665E">
        <w:rPr>
          <w:rFonts w:ascii="Arial" w:eastAsia="Calibri" w:hAnsi="Arial" w:cs="Arial"/>
          <w:sz w:val="22"/>
          <w:szCs w:val="22"/>
          <w:lang w:val="es-CO" w:eastAsia="en-US"/>
        </w:rPr>
        <w:t xml:space="preserve"> de la prestación del Servicio de Alimentación Escolar con</w:t>
      </w:r>
      <w:r w:rsidRPr="00342745">
        <w:rPr>
          <w:rFonts w:ascii="Arial" w:eastAsia="Calibri" w:hAnsi="Arial" w:cs="Arial"/>
          <w:sz w:val="22"/>
          <w:szCs w:val="22"/>
          <w:lang w:val="es-CO" w:eastAsia="en-US"/>
        </w:rPr>
        <w:t xml:space="preserve"> el </w:t>
      </w:r>
      <w:r w:rsidR="0007665E">
        <w:rPr>
          <w:rFonts w:ascii="Arial" w:eastAsia="Calibri" w:hAnsi="Arial" w:cs="Arial"/>
          <w:sz w:val="22"/>
          <w:szCs w:val="22"/>
          <w:lang w:val="es-CO" w:eastAsia="en-US"/>
        </w:rPr>
        <w:t xml:space="preserve">calendario </w:t>
      </w:r>
      <w:r w:rsidRPr="00342745">
        <w:rPr>
          <w:rFonts w:ascii="Arial" w:eastAsia="Calibri" w:hAnsi="Arial" w:cs="Arial"/>
          <w:sz w:val="22"/>
          <w:szCs w:val="22"/>
          <w:lang w:val="es-CO" w:eastAsia="en-US"/>
        </w:rPr>
        <w:t xml:space="preserve">escolar </w:t>
      </w:r>
      <w:r w:rsidR="00E57979">
        <w:rPr>
          <w:rFonts w:ascii="Arial" w:eastAsia="Calibri" w:hAnsi="Arial" w:cs="Arial"/>
          <w:sz w:val="22"/>
          <w:szCs w:val="22"/>
          <w:lang w:val="es-CO" w:eastAsia="en-US"/>
        </w:rPr>
        <w:t>durante</w:t>
      </w:r>
      <w:r w:rsidR="0007665E">
        <w:rPr>
          <w:rFonts w:ascii="Arial" w:eastAsia="Calibri" w:hAnsi="Arial" w:cs="Arial"/>
          <w:sz w:val="22"/>
          <w:szCs w:val="22"/>
          <w:lang w:val="es-CO" w:eastAsia="en-US"/>
        </w:rPr>
        <w:t xml:space="preserve"> las vigencias </w:t>
      </w:r>
      <w:r w:rsidRPr="00342745">
        <w:rPr>
          <w:rFonts w:ascii="Arial" w:eastAsia="Calibri" w:hAnsi="Arial" w:cs="Arial"/>
          <w:sz w:val="22"/>
          <w:szCs w:val="22"/>
          <w:lang w:val="es-CO" w:eastAsia="en-US"/>
        </w:rPr>
        <w:t>2021</w:t>
      </w:r>
      <w:r w:rsidR="00DF16D3" w:rsidRPr="00342745">
        <w:rPr>
          <w:rFonts w:ascii="Arial" w:eastAsia="Calibri" w:hAnsi="Arial" w:cs="Arial"/>
          <w:sz w:val="22"/>
          <w:szCs w:val="22"/>
          <w:lang w:val="es-CO" w:eastAsia="en-US"/>
        </w:rPr>
        <w:t xml:space="preserve"> y 2022</w:t>
      </w:r>
      <w:r w:rsidRPr="00342745">
        <w:rPr>
          <w:rFonts w:ascii="Arial" w:eastAsia="Calibri" w:hAnsi="Arial" w:cs="Arial"/>
          <w:sz w:val="22"/>
          <w:szCs w:val="22"/>
          <w:lang w:val="es-CO" w:eastAsia="en-US"/>
        </w:rPr>
        <w:t>.</w:t>
      </w:r>
    </w:p>
    <w:p w14:paraId="6DA789DA" w14:textId="77777777" w:rsidR="004B112B" w:rsidRPr="006021DA" w:rsidRDefault="004B112B" w:rsidP="00835F25">
      <w:pPr>
        <w:contextualSpacing/>
        <w:jc w:val="both"/>
        <w:rPr>
          <w:rFonts w:ascii="Arial" w:eastAsia="Calibri" w:hAnsi="Arial" w:cs="Arial"/>
          <w:sz w:val="22"/>
          <w:szCs w:val="22"/>
          <w:lang w:val="es-CO" w:eastAsia="en-US"/>
        </w:rPr>
      </w:pPr>
    </w:p>
    <w:p w14:paraId="4F6074D1" w14:textId="77777777" w:rsidR="00DC27A0" w:rsidRPr="006021DA" w:rsidRDefault="00DC27A0"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Por último, </w:t>
      </w:r>
      <w:r w:rsidR="004620DB" w:rsidRPr="006021DA">
        <w:rPr>
          <w:rFonts w:ascii="Arial" w:eastAsia="Calibri" w:hAnsi="Arial" w:cs="Arial"/>
          <w:sz w:val="22"/>
          <w:szCs w:val="22"/>
          <w:lang w:val="es-CO" w:eastAsia="en-US"/>
        </w:rPr>
        <w:t>a pesar de que</w:t>
      </w:r>
      <w:r w:rsidRPr="006021DA">
        <w:rPr>
          <w:rFonts w:ascii="Arial" w:eastAsia="Calibri" w:hAnsi="Arial" w:cs="Arial"/>
          <w:sz w:val="22"/>
          <w:szCs w:val="22"/>
          <w:lang w:val="es-CO" w:eastAsia="en-US"/>
        </w:rPr>
        <w:t xml:space="preserve"> esta </w:t>
      </w:r>
      <w:r w:rsidR="006841B7"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ctividad también indica que se debe evaluar </w:t>
      </w:r>
      <w:r w:rsidR="00D67643" w:rsidRPr="006021DA">
        <w:rPr>
          <w:rFonts w:ascii="Arial" w:eastAsia="Calibri" w:hAnsi="Arial" w:cs="Arial"/>
          <w:sz w:val="22"/>
          <w:szCs w:val="22"/>
          <w:lang w:val="es-CO" w:eastAsia="en-US"/>
        </w:rPr>
        <w:t xml:space="preserve">la publicación de los documentos en el SECOP, esta evaluación se hace en la </w:t>
      </w:r>
      <w:r w:rsidR="006841B7" w:rsidRPr="006021DA">
        <w:rPr>
          <w:rFonts w:ascii="Arial" w:eastAsia="Calibri" w:hAnsi="Arial" w:cs="Arial"/>
          <w:sz w:val="22"/>
          <w:szCs w:val="22"/>
          <w:lang w:val="es-CO" w:eastAsia="en-US"/>
        </w:rPr>
        <w:t>A</w:t>
      </w:r>
      <w:r w:rsidR="00D67643" w:rsidRPr="006021DA">
        <w:rPr>
          <w:rFonts w:ascii="Arial" w:eastAsia="Calibri" w:hAnsi="Arial" w:cs="Arial"/>
          <w:sz w:val="22"/>
          <w:szCs w:val="22"/>
          <w:lang w:val="es-CO" w:eastAsia="en-US"/>
        </w:rPr>
        <w:t>ctividad siguiente 2.1.2.</w:t>
      </w:r>
    </w:p>
    <w:p w14:paraId="426E633F" w14:textId="77777777" w:rsidR="008F095B" w:rsidRPr="006021DA" w:rsidRDefault="008F095B" w:rsidP="00835F25">
      <w:pPr>
        <w:contextualSpacing/>
        <w:jc w:val="both"/>
        <w:rPr>
          <w:rFonts w:ascii="Arial" w:eastAsia="Calibri" w:hAnsi="Arial" w:cs="Arial"/>
          <w:sz w:val="22"/>
          <w:szCs w:val="22"/>
          <w:lang w:val="es-CO" w:eastAsia="en-US"/>
        </w:rPr>
      </w:pPr>
    </w:p>
    <w:p w14:paraId="1FE24241" w14:textId="77777777" w:rsidR="009D6BA8" w:rsidRPr="006021DA" w:rsidRDefault="009D6BA8"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D306AE">
        <w:rPr>
          <w:rFonts w:ascii="Arial" w:eastAsia="Calibri" w:hAnsi="Arial" w:cs="Arial"/>
          <w:b/>
          <w:sz w:val="22"/>
          <w:szCs w:val="22"/>
          <w:lang w:val="es-CO" w:eastAsia="en-US"/>
        </w:rPr>
        <w:t>Cumple</w:t>
      </w:r>
      <w:r w:rsidRPr="006021DA">
        <w:rPr>
          <w:rFonts w:ascii="Arial" w:eastAsia="Calibri" w:hAnsi="Arial" w:cs="Arial"/>
          <w:b/>
          <w:sz w:val="22"/>
          <w:szCs w:val="22"/>
          <w:lang w:val="es-CO" w:eastAsia="en-US"/>
        </w:rPr>
        <w:t>.</w:t>
      </w:r>
    </w:p>
    <w:p w14:paraId="46146D56" w14:textId="77777777" w:rsidR="008F095B" w:rsidRPr="006021DA" w:rsidRDefault="008F095B" w:rsidP="00835F25">
      <w:pPr>
        <w:contextualSpacing/>
        <w:jc w:val="both"/>
        <w:rPr>
          <w:rFonts w:ascii="Arial" w:eastAsia="Calibri" w:hAnsi="Arial" w:cs="Arial"/>
          <w:sz w:val="22"/>
          <w:szCs w:val="22"/>
          <w:lang w:val="es-CO" w:eastAsia="en-US"/>
        </w:rPr>
      </w:pPr>
    </w:p>
    <w:p w14:paraId="18B35F26" w14:textId="77777777" w:rsidR="008F095B" w:rsidRPr="006021DA" w:rsidRDefault="008F095B"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2.1.2. Publicar en el Sistema Electrónico de Contratación Pública </w:t>
      </w:r>
      <w:r w:rsidR="006841B7" w:rsidRPr="006021DA">
        <w:rPr>
          <w:rFonts w:ascii="Arial" w:eastAsia="Calibri" w:hAnsi="Arial" w:cs="Arial"/>
          <w:b/>
          <w:sz w:val="22"/>
          <w:szCs w:val="22"/>
          <w:lang w:val="es-CO" w:eastAsia="en-US"/>
        </w:rPr>
        <w:t xml:space="preserve">- </w:t>
      </w:r>
      <w:r w:rsidRPr="006021DA">
        <w:rPr>
          <w:rFonts w:ascii="Arial" w:eastAsia="Calibri" w:hAnsi="Arial" w:cs="Arial"/>
          <w:b/>
          <w:sz w:val="22"/>
          <w:szCs w:val="22"/>
          <w:lang w:val="es-CO" w:eastAsia="en-US"/>
        </w:rPr>
        <w:t>SECOP la totalidad de documentos y actos relacionados con el proceso de contratación conforme la normatividad vigente.</w:t>
      </w:r>
    </w:p>
    <w:p w14:paraId="345605A7" w14:textId="77777777" w:rsidR="008F095B" w:rsidRPr="006021DA" w:rsidRDefault="008F095B" w:rsidP="00835F25">
      <w:pPr>
        <w:contextualSpacing/>
        <w:jc w:val="both"/>
        <w:rPr>
          <w:rFonts w:ascii="Arial" w:eastAsia="Calibri" w:hAnsi="Arial" w:cs="Arial"/>
          <w:b/>
          <w:sz w:val="22"/>
          <w:szCs w:val="22"/>
          <w:highlight w:val="yellow"/>
          <w:lang w:val="es-CO" w:eastAsia="en-US"/>
        </w:rPr>
      </w:pPr>
    </w:p>
    <w:p w14:paraId="6323B121" w14:textId="77777777" w:rsidR="003E24F1" w:rsidRDefault="00C422E3" w:rsidP="00835F25">
      <w:pPr>
        <w:contextualSpacing/>
        <w:jc w:val="both"/>
        <w:rPr>
          <w:rFonts w:ascii="Arial" w:eastAsia="Calibri" w:hAnsi="Arial" w:cs="Arial"/>
          <w:bCs/>
          <w:sz w:val="22"/>
          <w:szCs w:val="22"/>
          <w:lang w:val="es-CO" w:eastAsia="en-US"/>
        </w:rPr>
      </w:pPr>
      <w:r w:rsidRPr="00C422E3">
        <w:rPr>
          <w:rFonts w:ascii="Arial" w:eastAsia="Calibri" w:hAnsi="Arial" w:cs="Arial"/>
          <w:bCs/>
          <w:sz w:val="22"/>
          <w:szCs w:val="22"/>
          <w:lang w:val="es-CO" w:eastAsia="en-US"/>
        </w:rPr>
        <w:t>Para la vigencia</w:t>
      </w:r>
      <w:r>
        <w:rPr>
          <w:rFonts w:ascii="Arial" w:eastAsia="Calibri" w:hAnsi="Arial" w:cs="Arial"/>
          <w:bCs/>
          <w:sz w:val="22"/>
          <w:szCs w:val="22"/>
          <w:lang w:val="es-CO" w:eastAsia="en-US"/>
        </w:rPr>
        <w:t xml:space="preserve"> 2021</w:t>
      </w:r>
      <w:r w:rsidR="00A77492">
        <w:rPr>
          <w:rFonts w:ascii="Arial" w:eastAsia="Calibri" w:hAnsi="Arial" w:cs="Arial"/>
          <w:bCs/>
          <w:sz w:val="22"/>
          <w:szCs w:val="22"/>
          <w:lang w:val="es-CO" w:eastAsia="en-US"/>
        </w:rPr>
        <w:t xml:space="preserve"> y marzo de 2022 </w:t>
      </w:r>
      <w:r w:rsidRPr="00C422E3">
        <w:rPr>
          <w:rFonts w:ascii="Arial" w:eastAsia="Calibri" w:hAnsi="Arial" w:cs="Arial"/>
          <w:bCs/>
          <w:sz w:val="22"/>
          <w:szCs w:val="22"/>
          <w:lang w:val="es-CO" w:eastAsia="en-US"/>
        </w:rPr>
        <w:t>el Distrito contrato el suministro de Alimentación Escolar</w:t>
      </w:r>
      <w:r>
        <w:rPr>
          <w:rFonts w:ascii="Arial" w:eastAsia="Calibri" w:hAnsi="Arial" w:cs="Arial"/>
          <w:bCs/>
          <w:sz w:val="22"/>
          <w:szCs w:val="22"/>
          <w:lang w:val="es-CO" w:eastAsia="en-US"/>
        </w:rPr>
        <w:t xml:space="preserve"> </w:t>
      </w:r>
      <w:r w:rsidRPr="00C422E3">
        <w:rPr>
          <w:rFonts w:ascii="Arial" w:eastAsia="Calibri" w:hAnsi="Arial" w:cs="Arial"/>
          <w:bCs/>
          <w:sz w:val="22"/>
          <w:szCs w:val="22"/>
          <w:lang w:val="es-CO" w:eastAsia="en-US"/>
        </w:rPr>
        <w:t>con la modalidad Bolsa de Productos a través de la Bolsa Mercantil de Colombia S.A.S., al</w:t>
      </w:r>
      <w:r>
        <w:rPr>
          <w:rFonts w:ascii="Arial" w:eastAsia="Calibri" w:hAnsi="Arial" w:cs="Arial"/>
          <w:bCs/>
          <w:sz w:val="22"/>
          <w:szCs w:val="22"/>
          <w:lang w:val="es-CO" w:eastAsia="en-US"/>
        </w:rPr>
        <w:t xml:space="preserve"> </w:t>
      </w:r>
      <w:r w:rsidRPr="00C422E3">
        <w:rPr>
          <w:rFonts w:ascii="Arial" w:eastAsia="Calibri" w:hAnsi="Arial" w:cs="Arial"/>
          <w:bCs/>
          <w:sz w:val="22"/>
          <w:szCs w:val="22"/>
          <w:lang w:val="es-CO" w:eastAsia="en-US"/>
        </w:rPr>
        <w:t xml:space="preserve">respecto, el Decreto 1082 de 2015 en su artículo 2.2.1.1.1.7.1. establece que </w:t>
      </w:r>
      <w:r w:rsidRPr="00C422E3">
        <w:rPr>
          <w:rFonts w:ascii="Arial" w:eastAsia="Calibri" w:hAnsi="Arial" w:cs="Arial"/>
          <w:bCs/>
          <w:i/>
          <w:iCs/>
          <w:sz w:val="22"/>
          <w:szCs w:val="22"/>
          <w:lang w:val="es-CO" w:eastAsia="en-US"/>
        </w:rPr>
        <w:t>“[…] Los documentos de las operaciones que se realicen en bolsa de productos no tienen que ser</w:t>
      </w:r>
      <w:r w:rsidR="00E57979">
        <w:rPr>
          <w:rFonts w:ascii="Arial" w:eastAsia="Calibri" w:hAnsi="Arial" w:cs="Arial"/>
          <w:bCs/>
          <w:i/>
          <w:iCs/>
          <w:sz w:val="22"/>
          <w:szCs w:val="22"/>
          <w:lang w:val="es-CO" w:eastAsia="en-US"/>
        </w:rPr>
        <w:t xml:space="preserve"> </w:t>
      </w:r>
      <w:r w:rsidRPr="00C422E3">
        <w:rPr>
          <w:rFonts w:ascii="Arial" w:eastAsia="Calibri" w:hAnsi="Arial" w:cs="Arial"/>
          <w:bCs/>
          <w:i/>
          <w:iCs/>
          <w:sz w:val="22"/>
          <w:szCs w:val="22"/>
          <w:lang w:val="es-CO" w:eastAsia="en-US"/>
        </w:rPr>
        <w:t>publicados en el SECOP</w:t>
      </w:r>
      <w:r w:rsidRPr="00C422E3">
        <w:rPr>
          <w:rFonts w:ascii="Arial" w:eastAsia="Calibri" w:hAnsi="Arial" w:cs="Arial"/>
          <w:bCs/>
          <w:sz w:val="22"/>
          <w:szCs w:val="22"/>
          <w:lang w:val="es-CO" w:eastAsia="en-US"/>
        </w:rPr>
        <w:t>”</w:t>
      </w:r>
      <w:r w:rsidR="00B45D5C">
        <w:rPr>
          <w:rFonts w:ascii="Arial" w:eastAsia="Calibri" w:hAnsi="Arial" w:cs="Arial"/>
          <w:bCs/>
          <w:sz w:val="22"/>
          <w:szCs w:val="22"/>
          <w:lang w:val="es-CO" w:eastAsia="en-US"/>
        </w:rPr>
        <w:t>;</w:t>
      </w:r>
      <w:r w:rsidRPr="00C422E3">
        <w:rPr>
          <w:rFonts w:ascii="Arial" w:eastAsia="Calibri" w:hAnsi="Arial" w:cs="Arial"/>
          <w:bCs/>
          <w:sz w:val="22"/>
          <w:szCs w:val="22"/>
          <w:lang w:val="es-CO" w:eastAsia="en-US"/>
        </w:rPr>
        <w:t xml:space="preserve"> es decir, no se publicarán los documentos soporte de las operaciones</w:t>
      </w:r>
      <w:r>
        <w:rPr>
          <w:rFonts w:ascii="Arial" w:eastAsia="Calibri" w:hAnsi="Arial" w:cs="Arial"/>
          <w:bCs/>
          <w:sz w:val="22"/>
          <w:szCs w:val="22"/>
          <w:lang w:val="es-CO" w:eastAsia="en-US"/>
        </w:rPr>
        <w:t xml:space="preserve"> </w:t>
      </w:r>
      <w:r w:rsidRPr="00C422E3">
        <w:rPr>
          <w:rFonts w:ascii="Arial" w:eastAsia="Calibri" w:hAnsi="Arial" w:cs="Arial"/>
          <w:bCs/>
          <w:sz w:val="22"/>
          <w:szCs w:val="22"/>
          <w:lang w:val="es-CO" w:eastAsia="en-US"/>
        </w:rPr>
        <w:t>entre organizaciones privadas que se rigen con ley mercantil y bursátil</w:t>
      </w:r>
      <w:r w:rsidR="00B45D5C">
        <w:rPr>
          <w:rFonts w:ascii="Arial" w:eastAsia="Calibri" w:hAnsi="Arial" w:cs="Arial"/>
          <w:bCs/>
          <w:sz w:val="22"/>
          <w:szCs w:val="22"/>
          <w:lang w:val="es-CO" w:eastAsia="en-US"/>
        </w:rPr>
        <w:t>;</w:t>
      </w:r>
      <w:r w:rsidRPr="00C422E3">
        <w:rPr>
          <w:rFonts w:ascii="Arial" w:eastAsia="Calibri" w:hAnsi="Arial" w:cs="Arial"/>
          <w:bCs/>
          <w:sz w:val="22"/>
          <w:szCs w:val="22"/>
          <w:lang w:val="es-CO" w:eastAsia="en-US"/>
        </w:rPr>
        <w:t xml:space="preserve"> sin embargo, e</w:t>
      </w:r>
      <w:r w:rsidR="00B45D5C">
        <w:rPr>
          <w:rFonts w:ascii="Arial" w:eastAsia="Calibri" w:hAnsi="Arial" w:cs="Arial"/>
          <w:bCs/>
          <w:sz w:val="22"/>
          <w:szCs w:val="22"/>
          <w:lang w:val="es-CO" w:eastAsia="en-US"/>
        </w:rPr>
        <w:t>l citado</w:t>
      </w:r>
      <w:r>
        <w:rPr>
          <w:rFonts w:ascii="Arial" w:eastAsia="Calibri" w:hAnsi="Arial" w:cs="Arial"/>
          <w:bCs/>
          <w:sz w:val="22"/>
          <w:szCs w:val="22"/>
          <w:lang w:val="es-CO" w:eastAsia="en-US"/>
        </w:rPr>
        <w:t xml:space="preserve"> </w:t>
      </w:r>
      <w:r w:rsidRPr="00C422E3">
        <w:rPr>
          <w:rFonts w:ascii="Arial" w:eastAsia="Calibri" w:hAnsi="Arial" w:cs="Arial"/>
          <w:bCs/>
          <w:sz w:val="22"/>
          <w:szCs w:val="22"/>
          <w:lang w:val="es-CO" w:eastAsia="en-US"/>
        </w:rPr>
        <w:t xml:space="preserve">Decreto establece en el artículo 2.2.1.2.1.2.14. que </w:t>
      </w:r>
      <w:r w:rsidRPr="00C422E3">
        <w:rPr>
          <w:rFonts w:ascii="Arial" w:eastAsia="Calibri" w:hAnsi="Arial" w:cs="Arial"/>
          <w:bCs/>
          <w:i/>
          <w:iCs/>
          <w:sz w:val="22"/>
          <w:szCs w:val="22"/>
          <w:lang w:val="es-CO" w:eastAsia="en-US"/>
        </w:rPr>
        <w:t>“La Entidad Estatal debe seleccionar al comisionista de acuerdo con el procedimiento interno aplicable en la bolsa de productos, el cual debe ser competitivo</w:t>
      </w:r>
      <w:r w:rsidRPr="00C422E3">
        <w:rPr>
          <w:rFonts w:ascii="Arial" w:eastAsia="Calibri" w:hAnsi="Arial" w:cs="Arial"/>
          <w:b/>
          <w:i/>
          <w:iCs/>
          <w:sz w:val="22"/>
          <w:szCs w:val="22"/>
          <w:lang w:val="es-CO" w:eastAsia="en-US"/>
        </w:rPr>
        <w:t>. La Entidad Estatal debe publicar el contrato suscrito con el comisionista seleccionado y sus modificaciones en el SECOP</w:t>
      </w:r>
      <w:r w:rsidRPr="00C422E3">
        <w:rPr>
          <w:rFonts w:ascii="Arial" w:eastAsia="Calibri" w:hAnsi="Arial" w:cs="Arial"/>
          <w:bCs/>
          <w:i/>
          <w:iCs/>
          <w:sz w:val="22"/>
          <w:szCs w:val="22"/>
          <w:lang w:val="es-CO" w:eastAsia="en-US"/>
        </w:rPr>
        <w:t>”.</w:t>
      </w:r>
      <w:r w:rsidRPr="00C422E3">
        <w:rPr>
          <w:rFonts w:ascii="Arial" w:eastAsia="Calibri" w:hAnsi="Arial" w:cs="Arial"/>
          <w:bCs/>
          <w:sz w:val="22"/>
          <w:szCs w:val="22"/>
          <w:lang w:val="es-CO" w:eastAsia="en-US"/>
        </w:rPr>
        <w:t xml:space="preserve"> (Negrilla fuera del texto)</w:t>
      </w:r>
    </w:p>
    <w:p w14:paraId="6B4F3A8B" w14:textId="77777777" w:rsidR="0028200B" w:rsidRDefault="0028200B" w:rsidP="00835F25">
      <w:pPr>
        <w:contextualSpacing/>
        <w:jc w:val="both"/>
        <w:rPr>
          <w:rFonts w:ascii="Arial" w:eastAsia="Calibri" w:hAnsi="Arial" w:cs="Arial"/>
          <w:bCs/>
          <w:sz w:val="22"/>
          <w:szCs w:val="22"/>
          <w:lang w:val="es-CO" w:eastAsia="en-US"/>
        </w:rPr>
      </w:pPr>
    </w:p>
    <w:p w14:paraId="5985D47D" w14:textId="77777777" w:rsidR="0028200B" w:rsidRPr="00C03D8A" w:rsidRDefault="0028200B" w:rsidP="00835F25">
      <w:pPr>
        <w:pStyle w:val="Descripcin"/>
        <w:spacing w:after="0"/>
        <w:contextualSpacing/>
        <w:jc w:val="center"/>
        <w:rPr>
          <w:rFonts w:ascii="Arial" w:eastAsia="MS Mincho" w:hAnsi="Arial" w:cs="Arial"/>
          <w:b/>
          <w:bCs/>
          <w:color w:val="1F487C"/>
          <w:sz w:val="20"/>
          <w:szCs w:val="20"/>
          <w:lang w:val="es-ES" w:eastAsia="es-ES"/>
        </w:rPr>
      </w:pPr>
      <w:r w:rsidRPr="00C03D8A">
        <w:rPr>
          <w:rFonts w:ascii="Arial" w:eastAsia="MS Mincho" w:hAnsi="Arial" w:cs="Arial"/>
          <w:b/>
          <w:bCs/>
          <w:color w:val="1F487C"/>
          <w:sz w:val="20"/>
          <w:szCs w:val="20"/>
          <w:lang w:val="es-ES" w:eastAsia="es-ES"/>
        </w:rPr>
        <w:t xml:space="preserve">Tabla No. </w:t>
      </w:r>
      <w:r w:rsidR="00C03D8A">
        <w:rPr>
          <w:rFonts w:ascii="Arial" w:eastAsia="MS Mincho" w:hAnsi="Arial" w:cs="Arial"/>
          <w:b/>
          <w:bCs/>
          <w:color w:val="1F487C"/>
          <w:sz w:val="20"/>
          <w:szCs w:val="20"/>
          <w:lang w:val="es-ES" w:eastAsia="es-ES"/>
        </w:rPr>
        <w:t>19</w:t>
      </w:r>
      <w:r w:rsidRPr="00C03D8A">
        <w:rPr>
          <w:rFonts w:ascii="Arial" w:eastAsia="MS Mincho" w:hAnsi="Arial" w:cs="Arial"/>
          <w:b/>
          <w:bCs/>
          <w:color w:val="1F487C"/>
          <w:sz w:val="20"/>
          <w:szCs w:val="20"/>
          <w:lang w:val="es-ES" w:eastAsia="es-ES"/>
        </w:rPr>
        <w:t xml:space="preserve"> Publicación en el Sistema Electrónico de Contratación Pública - SECOP de los documentos de los procesos contractuales del Servicio de Alimentación Escolar para las vigencias 202</w:t>
      </w:r>
      <w:r w:rsidR="00C03D8A">
        <w:rPr>
          <w:rFonts w:ascii="Arial" w:eastAsia="MS Mincho" w:hAnsi="Arial" w:cs="Arial"/>
          <w:b/>
          <w:bCs/>
          <w:color w:val="1F487C"/>
          <w:sz w:val="20"/>
          <w:szCs w:val="20"/>
          <w:lang w:val="es-ES" w:eastAsia="es-ES"/>
        </w:rPr>
        <w:t>1</w:t>
      </w:r>
      <w:r w:rsidRPr="00C03D8A">
        <w:rPr>
          <w:rFonts w:ascii="Arial" w:eastAsia="MS Mincho" w:hAnsi="Arial" w:cs="Arial"/>
          <w:b/>
          <w:bCs/>
          <w:color w:val="1F487C"/>
          <w:sz w:val="20"/>
          <w:szCs w:val="20"/>
          <w:lang w:val="es-ES" w:eastAsia="es-ES"/>
        </w:rPr>
        <w:t xml:space="preserve"> y </w:t>
      </w:r>
      <w:r w:rsidR="00C03D8A">
        <w:rPr>
          <w:rFonts w:ascii="Arial" w:eastAsia="MS Mincho" w:hAnsi="Arial" w:cs="Arial"/>
          <w:b/>
          <w:bCs/>
          <w:color w:val="1F487C"/>
          <w:sz w:val="20"/>
          <w:szCs w:val="20"/>
          <w:lang w:val="es-ES" w:eastAsia="es-ES"/>
        </w:rPr>
        <w:t>2022</w:t>
      </w:r>
      <w:r w:rsidRPr="00C03D8A">
        <w:rPr>
          <w:rFonts w:ascii="Arial" w:eastAsia="MS Mincho" w:hAnsi="Arial" w:cs="Arial"/>
          <w:b/>
          <w:bCs/>
          <w:color w:val="1F487C"/>
          <w:sz w:val="20"/>
          <w:szCs w:val="20"/>
          <w:lang w:val="es-ES" w:eastAsia="es-ES"/>
        </w:rPr>
        <w:t>.</w:t>
      </w:r>
    </w:p>
    <w:tbl>
      <w:tblPr>
        <w:tblW w:w="6091" w:type="dxa"/>
        <w:jc w:val="center"/>
        <w:tblCellMar>
          <w:left w:w="70" w:type="dxa"/>
          <w:right w:w="70" w:type="dxa"/>
        </w:tblCellMar>
        <w:tblLook w:val="04A0" w:firstRow="1" w:lastRow="0" w:firstColumn="1" w:lastColumn="0" w:noHBand="0" w:noVBand="1"/>
      </w:tblPr>
      <w:tblGrid>
        <w:gridCol w:w="3095"/>
        <w:gridCol w:w="1657"/>
        <w:gridCol w:w="1339"/>
      </w:tblGrid>
      <w:tr w:rsidR="00C03D8A" w:rsidRPr="006021DA" w14:paraId="43B0FCFC" w14:textId="77777777" w:rsidTr="00A356F1">
        <w:trPr>
          <w:trHeight w:val="303"/>
          <w:jc w:val="center"/>
        </w:trPr>
        <w:tc>
          <w:tcPr>
            <w:tcW w:w="3095" w:type="dxa"/>
            <w:tcBorders>
              <w:top w:val="single" w:sz="4" w:space="0" w:color="auto"/>
              <w:left w:val="single" w:sz="4" w:space="0" w:color="auto"/>
              <w:bottom w:val="single" w:sz="4" w:space="0" w:color="auto"/>
              <w:right w:val="single" w:sz="4" w:space="0" w:color="auto"/>
            </w:tcBorders>
            <w:shd w:val="clear" w:color="000000" w:fill="666699"/>
            <w:vAlign w:val="center"/>
            <w:hideMark/>
          </w:tcPr>
          <w:p w14:paraId="7E35B21F" w14:textId="77777777" w:rsidR="00C03D8A" w:rsidRPr="00E1297B" w:rsidRDefault="00C03D8A" w:rsidP="00835F25">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Documentos</w:t>
            </w:r>
          </w:p>
        </w:tc>
        <w:tc>
          <w:tcPr>
            <w:tcW w:w="1657" w:type="dxa"/>
            <w:tcBorders>
              <w:top w:val="single" w:sz="4" w:space="0" w:color="auto"/>
              <w:left w:val="nil"/>
              <w:bottom w:val="single" w:sz="4" w:space="0" w:color="auto"/>
              <w:right w:val="single" w:sz="4" w:space="0" w:color="auto"/>
            </w:tcBorders>
            <w:shd w:val="clear" w:color="000000" w:fill="666699"/>
            <w:vAlign w:val="center"/>
            <w:hideMark/>
          </w:tcPr>
          <w:p w14:paraId="6CFF52FC" w14:textId="77777777" w:rsidR="00C03D8A" w:rsidRPr="00E1297B" w:rsidRDefault="00D974A2" w:rsidP="00835F25">
            <w:pPr>
              <w:contextualSpacing/>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001</w:t>
            </w:r>
            <w:r w:rsidR="00C03D8A" w:rsidRPr="00E1297B">
              <w:rPr>
                <w:rFonts w:ascii="Arial" w:eastAsia="Times New Roman" w:hAnsi="Arial" w:cs="Arial"/>
                <w:b/>
                <w:bCs/>
                <w:color w:val="FFFFFF" w:themeColor="background1"/>
                <w:sz w:val="18"/>
                <w:szCs w:val="18"/>
                <w:lang w:val="es-CO" w:eastAsia="es-CO"/>
              </w:rPr>
              <w:t>-2021</w:t>
            </w:r>
          </w:p>
        </w:tc>
        <w:tc>
          <w:tcPr>
            <w:tcW w:w="1339" w:type="dxa"/>
            <w:tcBorders>
              <w:top w:val="single" w:sz="4" w:space="0" w:color="auto"/>
              <w:left w:val="nil"/>
              <w:bottom w:val="single" w:sz="4" w:space="0" w:color="auto"/>
              <w:right w:val="single" w:sz="4" w:space="0" w:color="auto"/>
            </w:tcBorders>
            <w:shd w:val="clear" w:color="000000" w:fill="666699"/>
            <w:vAlign w:val="center"/>
            <w:hideMark/>
          </w:tcPr>
          <w:p w14:paraId="1A1F73FA" w14:textId="77777777" w:rsidR="00C03D8A" w:rsidRPr="00E1297B" w:rsidRDefault="00D974A2" w:rsidP="00835F25">
            <w:pPr>
              <w:contextualSpacing/>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047</w:t>
            </w:r>
            <w:r w:rsidR="00C03D8A" w:rsidRPr="00E1297B">
              <w:rPr>
                <w:rFonts w:ascii="Arial" w:eastAsia="Times New Roman" w:hAnsi="Arial" w:cs="Arial"/>
                <w:b/>
                <w:bCs/>
                <w:color w:val="FFFFFF" w:themeColor="background1"/>
                <w:sz w:val="18"/>
                <w:szCs w:val="18"/>
                <w:lang w:val="es-CO" w:eastAsia="es-CO"/>
              </w:rPr>
              <w:t>-</w:t>
            </w:r>
            <w:r w:rsidR="00402A75">
              <w:rPr>
                <w:rFonts w:ascii="Arial" w:eastAsia="Times New Roman" w:hAnsi="Arial" w:cs="Arial"/>
                <w:b/>
                <w:bCs/>
                <w:color w:val="FFFFFF" w:themeColor="background1"/>
                <w:sz w:val="18"/>
                <w:szCs w:val="18"/>
                <w:lang w:val="es-CO" w:eastAsia="es-CO"/>
              </w:rPr>
              <w:t xml:space="preserve"> </w:t>
            </w:r>
            <w:r w:rsidR="00C03D8A" w:rsidRPr="00E1297B">
              <w:rPr>
                <w:rFonts w:ascii="Arial" w:eastAsia="Times New Roman" w:hAnsi="Arial" w:cs="Arial"/>
                <w:b/>
                <w:bCs/>
                <w:color w:val="FFFFFF" w:themeColor="background1"/>
                <w:sz w:val="18"/>
                <w:szCs w:val="18"/>
                <w:lang w:val="es-CO" w:eastAsia="es-CO"/>
              </w:rPr>
              <w:t>2021</w:t>
            </w:r>
          </w:p>
        </w:tc>
      </w:tr>
      <w:tr w:rsidR="00C03D8A" w:rsidRPr="006021DA" w14:paraId="0E64FF2F"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000000" w:fill="CCCCFF"/>
            <w:vAlign w:val="center"/>
            <w:hideMark/>
          </w:tcPr>
          <w:p w14:paraId="77E62E1A" w14:textId="77777777" w:rsidR="00C03D8A" w:rsidRPr="006021DA" w:rsidRDefault="00C03D8A" w:rsidP="00835F25">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Etapa precontractual</w:t>
            </w:r>
          </w:p>
        </w:tc>
        <w:tc>
          <w:tcPr>
            <w:tcW w:w="1657" w:type="dxa"/>
            <w:tcBorders>
              <w:top w:val="nil"/>
              <w:left w:val="nil"/>
              <w:bottom w:val="single" w:sz="4" w:space="0" w:color="auto"/>
              <w:right w:val="single" w:sz="4" w:space="0" w:color="auto"/>
            </w:tcBorders>
            <w:shd w:val="clear" w:color="000000" w:fill="CCCCFF"/>
            <w:vAlign w:val="center"/>
            <w:hideMark/>
          </w:tcPr>
          <w:p w14:paraId="5483A47D" w14:textId="77777777" w:rsidR="00C03D8A" w:rsidRPr="006021DA" w:rsidRDefault="00402A75" w:rsidP="00835F25">
            <w:pPr>
              <w:contextualSpacing/>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Completo</w:t>
            </w:r>
          </w:p>
        </w:tc>
        <w:tc>
          <w:tcPr>
            <w:tcW w:w="1339" w:type="dxa"/>
            <w:tcBorders>
              <w:top w:val="nil"/>
              <w:left w:val="nil"/>
              <w:bottom w:val="single" w:sz="4" w:space="0" w:color="auto"/>
              <w:right w:val="single" w:sz="4" w:space="0" w:color="auto"/>
            </w:tcBorders>
            <w:shd w:val="clear" w:color="000000" w:fill="CCCCFF"/>
            <w:vAlign w:val="center"/>
            <w:hideMark/>
          </w:tcPr>
          <w:p w14:paraId="594A31CA" w14:textId="77777777" w:rsidR="00C03D8A" w:rsidRPr="006021DA" w:rsidRDefault="00C03D8A"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r>
      <w:tr w:rsidR="00A356F1" w:rsidRPr="006021DA" w14:paraId="0458F0AB"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39E57A9"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Aviso de convocatoria</w:t>
            </w:r>
          </w:p>
        </w:tc>
        <w:tc>
          <w:tcPr>
            <w:tcW w:w="1657" w:type="dxa"/>
            <w:tcBorders>
              <w:top w:val="nil"/>
              <w:left w:val="nil"/>
              <w:bottom w:val="single" w:sz="4" w:space="0" w:color="auto"/>
              <w:right w:val="single" w:sz="4" w:space="0" w:color="auto"/>
            </w:tcBorders>
            <w:shd w:val="clear" w:color="auto" w:fill="auto"/>
            <w:noWrap/>
            <w:vAlign w:val="center"/>
          </w:tcPr>
          <w:p w14:paraId="7C95C0F6"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1818A404"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44145E7E"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631580F9"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Proyecto de pliego de condiciones </w:t>
            </w:r>
          </w:p>
        </w:tc>
        <w:tc>
          <w:tcPr>
            <w:tcW w:w="1657" w:type="dxa"/>
            <w:tcBorders>
              <w:top w:val="nil"/>
              <w:left w:val="nil"/>
              <w:bottom w:val="single" w:sz="4" w:space="0" w:color="auto"/>
              <w:right w:val="single" w:sz="4" w:space="0" w:color="auto"/>
            </w:tcBorders>
            <w:shd w:val="clear" w:color="auto" w:fill="auto"/>
            <w:noWrap/>
            <w:vAlign w:val="center"/>
          </w:tcPr>
          <w:p w14:paraId="4B01BAC8"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c>
          <w:tcPr>
            <w:tcW w:w="1339" w:type="dxa"/>
            <w:tcBorders>
              <w:top w:val="nil"/>
              <w:left w:val="nil"/>
              <w:bottom w:val="single" w:sz="4" w:space="0" w:color="auto"/>
              <w:right w:val="single" w:sz="4" w:space="0" w:color="auto"/>
            </w:tcBorders>
            <w:shd w:val="clear" w:color="auto" w:fill="auto"/>
            <w:noWrap/>
            <w:vAlign w:val="center"/>
          </w:tcPr>
          <w:p w14:paraId="1C675AD5"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r>
      <w:tr w:rsidR="00A356F1" w:rsidRPr="006021DA" w14:paraId="28AB8BA6"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C79DBB1"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Pliego de condiciones</w:t>
            </w:r>
          </w:p>
        </w:tc>
        <w:tc>
          <w:tcPr>
            <w:tcW w:w="1657" w:type="dxa"/>
            <w:tcBorders>
              <w:top w:val="nil"/>
              <w:left w:val="nil"/>
              <w:bottom w:val="single" w:sz="4" w:space="0" w:color="auto"/>
              <w:right w:val="single" w:sz="4" w:space="0" w:color="auto"/>
            </w:tcBorders>
            <w:shd w:val="clear" w:color="auto" w:fill="auto"/>
            <w:noWrap/>
            <w:vAlign w:val="center"/>
          </w:tcPr>
          <w:p w14:paraId="49EDFFEC"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c>
          <w:tcPr>
            <w:tcW w:w="1339" w:type="dxa"/>
            <w:tcBorders>
              <w:top w:val="nil"/>
              <w:left w:val="nil"/>
              <w:bottom w:val="single" w:sz="4" w:space="0" w:color="auto"/>
              <w:right w:val="single" w:sz="4" w:space="0" w:color="auto"/>
            </w:tcBorders>
            <w:shd w:val="clear" w:color="auto" w:fill="auto"/>
            <w:noWrap/>
            <w:vAlign w:val="center"/>
          </w:tcPr>
          <w:p w14:paraId="4A7FECC8"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r>
      <w:tr w:rsidR="00A356F1" w:rsidRPr="006021DA" w14:paraId="5638C55C"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81934B9"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Estudios y documentos previos</w:t>
            </w:r>
          </w:p>
        </w:tc>
        <w:tc>
          <w:tcPr>
            <w:tcW w:w="1657" w:type="dxa"/>
            <w:tcBorders>
              <w:top w:val="nil"/>
              <w:left w:val="nil"/>
              <w:bottom w:val="single" w:sz="4" w:space="0" w:color="auto"/>
              <w:right w:val="single" w:sz="4" w:space="0" w:color="auto"/>
            </w:tcBorders>
            <w:shd w:val="clear" w:color="auto" w:fill="auto"/>
            <w:noWrap/>
            <w:vAlign w:val="center"/>
          </w:tcPr>
          <w:p w14:paraId="5A0879BE"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12335461"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0F876E22" w14:textId="77777777" w:rsidTr="00A356F1">
        <w:trPr>
          <w:trHeight w:val="318"/>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AF83622"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Estudios del sector</w:t>
            </w:r>
          </w:p>
        </w:tc>
        <w:tc>
          <w:tcPr>
            <w:tcW w:w="1657" w:type="dxa"/>
            <w:tcBorders>
              <w:top w:val="nil"/>
              <w:left w:val="nil"/>
              <w:bottom w:val="single" w:sz="4" w:space="0" w:color="auto"/>
              <w:right w:val="single" w:sz="4" w:space="0" w:color="auto"/>
            </w:tcBorders>
            <w:shd w:val="clear" w:color="auto" w:fill="auto"/>
            <w:noWrap/>
            <w:vAlign w:val="center"/>
          </w:tcPr>
          <w:p w14:paraId="7F419CC6"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132863C0"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26B6B5B8" w14:textId="77777777" w:rsidTr="00A356F1">
        <w:trPr>
          <w:trHeight w:val="485"/>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998B65D"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Observaciones y respuesta a observaciones </w:t>
            </w:r>
          </w:p>
        </w:tc>
        <w:tc>
          <w:tcPr>
            <w:tcW w:w="1657" w:type="dxa"/>
            <w:tcBorders>
              <w:top w:val="nil"/>
              <w:left w:val="nil"/>
              <w:bottom w:val="single" w:sz="4" w:space="0" w:color="auto"/>
              <w:right w:val="single" w:sz="4" w:space="0" w:color="auto"/>
            </w:tcBorders>
            <w:shd w:val="clear" w:color="auto" w:fill="auto"/>
            <w:noWrap/>
            <w:vAlign w:val="center"/>
          </w:tcPr>
          <w:p w14:paraId="5298E779"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c>
          <w:tcPr>
            <w:tcW w:w="1339" w:type="dxa"/>
            <w:tcBorders>
              <w:top w:val="nil"/>
              <w:left w:val="nil"/>
              <w:bottom w:val="single" w:sz="4" w:space="0" w:color="auto"/>
              <w:right w:val="single" w:sz="4" w:space="0" w:color="auto"/>
            </w:tcBorders>
            <w:shd w:val="clear" w:color="auto" w:fill="auto"/>
            <w:noWrap/>
            <w:vAlign w:val="center"/>
          </w:tcPr>
          <w:p w14:paraId="4EF4F70E"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r>
      <w:tr w:rsidR="00A356F1" w:rsidRPr="006021DA" w14:paraId="58EA268F"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4A662152"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Resolución de apertura</w:t>
            </w:r>
          </w:p>
        </w:tc>
        <w:tc>
          <w:tcPr>
            <w:tcW w:w="1657" w:type="dxa"/>
            <w:tcBorders>
              <w:top w:val="nil"/>
              <w:left w:val="nil"/>
              <w:bottom w:val="single" w:sz="4" w:space="0" w:color="auto"/>
              <w:right w:val="single" w:sz="4" w:space="0" w:color="auto"/>
            </w:tcBorders>
            <w:shd w:val="clear" w:color="auto" w:fill="auto"/>
            <w:noWrap/>
            <w:vAlign w:val="center"/>
          </w:tcPr>
          <w:p w14:paraId="4B191996"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1CF75E52"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79D07972"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29D633B0"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Adendas</w:t>
            </w:r>
          </w:p>
        </w:tc>
        <w:tc>
          <w:tcPr>
            <w:tcW w:w="1657" w:type="dxa"/>
            <w:tcBorders>
              <w:top w:val="nil"/>
              <w:left w:val="nil"/>
              <w:bottom w:val="single" w:sz="4" w:space="0" w:color="auto"/>
              <w:right w:val="single" w:sz="4" w:space="0" w:color="auto"/>
            </w:tcBorders>
            <w:shd w:val="clear" w:color="auto" w:fill="auto"/>
            <w:noWrap/>
            <w:vAlign w:val="center"/>
          </w:tcPr>
          <w:p w14:paraId="1989A475"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c>
          <w:tcPr>
            <w:tcW w:w="1339" w:type="dxa"/>
            <w:tcBorders>
              <w:top w:val="nil"/>
              <w:left w:val="nil"/>
              <w:bottom w:val="single" w:sz="4" w:space="0" w:color="auto"/>
              <w:right w:val="single" w:sz="4" w:space="0" w:color="auto"/>
            </w:tcBorders>
            <w:shd w:val="clear" w:color="auto" w:fill="auto"/>
            <w:noWrap/>
            <w:vAlign w:val="center"/>
          </w:tcPr>
          <w:p w14:paraId="5076D4D9"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Aplica</w:t>
            </w:r>
          </w:p>
        </w:tc>
      </w:tr>
      <w:tr w:rsidR="00A356F1" w:rsidRPr="006021DA" w14:paraId="7234A513"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4DD00AD7"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Evaluación de la licitación</w:t>
            </w:r>
          </w:p>
        </w:tc>
        <w:tc>
          <w:tcPr>
            <w:tcW w:w="1657" w:type="dxa"/>
            <w:tcBorders>
              <w:top w:val="nil"/>
              <w:left w:val="nil"/>
              <w:bottom w:val="single" w:sz="4" w:space="0" w:color="auto"/>
              <w:right w:val="single" w:sz="4" w:space="0" w:color="auto"/>
            </w:tcBorders>
            <w:shd w:val="clear" w:color="auto" w:fill="auto"/>
            <w:noWrap/>
            <w:vAlign w:val="center"/>
          </w:tcPr>
          <w:p w14:paraId="413CC0D5"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52BE8657"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63A05571"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68ADB233"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Acta de adjudicación</w:t>
            </w:r>
          </w:p>
        </w:tc>
        <w:tc>
          <w:tcPr>
            <w:tcW w:w="1657" w:type="dxa"/>
            <w:tcBorders>
              <w:top w:val="nil"/>
              <w:left w:val="nil"/>
              <w:bottom w:val="single" w:sz="4" w:space="0" w:color="auto"/>
              <w:right w:val="single" w:sz="4" w:space="0" w:color="auto"/>
            </w:tcBorders>
            <w:shd w:val="clear" w:color="auto" w:fill="auto"/>
            <w:noWrap/>
            <w:vAlign w:val="center"/>
          </w:tcPr>
          <w:p w14:paraId="6A9A48BC"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3BE537F4"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69879C26"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18FACD09"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Resolución de Adjudicación</w:t>
            </w:r>
          </w:p>
        </w:tc>
        <w:tc>
          <w:tcPr>
            <w:tcW w:w="1657" w:type="dxa"/>
            <w:tcBorders>
              <w:top w:val="nil"/>
              <w:left w:val="nil"/>
              <w:bottom w:val="single" w:sz="4" w:space="0" w:color="auto"/>
              <w:right w:val="single" w:sz="4" w:space="0" w:color="auto"/>
            </w:tcBorders>
            <w:shd w:val="clear" w:color="auto" w:fill="auto"/>
            <w:noWrap/>
            <w:vAlign w:val="center"/>
          </w:tcPr>
          <w:p w14:paraId="689884D8"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3E2D439C"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3AA5460C"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000000" w:fill="CCCCFF"/>
            <w:vAlign w:val="center"/>
            <w:hideMark/>
          </w:tcPr>
          <w:p w14:paraId="127E4DE7" w14:textId="77777777" w:rsidR="00A356F1" w:rsidRPr="006021DA" w:rsidRDefault="00A356F1" w:rsidP="00835F25">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Ejecución</w:t>
            </w:r>
          </w:p>
        </w:tc>
        <w:tc>
          <w:tcPr>
            <w:tcW w:w="1657" w:type="dxa"/>
            <w:tcBorders>
              <w:top w:val="nil"/>
              <w:left w:val="nil"/>
              <w:bottom w:val="single" w:sz="4" w:space="0" w:color="auto"/>
              <w:right w:val="single" w:sz="4" w:space="0" w:color="auto"/>
            </w:tcBorders>
            <w:shd w:val="clear" w:color="000000" w:fill="CCCCFF"/>
            <w:vAlign w:val="center"/>
            <w:hideMark/>
          </w:tcPr>
          <w:p w14:paraId="127F4035" w14:textId="77777777" w:rsidR="00A356F1" w:rsidRPr="006021DA" w:rsidRDefault="00A356F1" w:rsidP="00835F25">
            <w:pPr>
              <w:contextualSpacing/>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Completo</w:t>
            </w:r>
          </w:p>
        </w:tc>
        <w:tc>
          <w:tcPr>
            <w:tcW w:w="1339" w:type="dxa"/>
            <w:tcBorders>
              <w:top w:val="nil"/>
              <w:left w:val="nil"/>
              <w:bottom w:val="single" w:sz="4" w:space="0" w:color="auto"/>
              <w:right w:val="single" w:sz="4" w:space="0" w:color="auto"/>
            </w:tcBorders>
            <w:shd w:val="clear" w:color="000000" w:fill="CCCCFF"/>
            <w:vAlign w:val="center"/>
            <w:hideMark/>
          </w:tcPr>
          <w:p w14:paraId="36CEE7F4" w14:textId="77777777" w:rsidR="00A356F1" w:rsidRPr="006021DA" w:rsidRDefault="00A356F1" w:rsidP="00835F25">
            <w:pPr>
              <w:contextualSpacing/>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Completo</w:t>
            </w:r>
          </w:p>
        </w:tc>
      </w:tr>
      <w:tr w:rsidR="00A356F1" w:rsidRPr="006021DA" w14:paraId="262926FA"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717CFBFE"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Contrato</w:t>
            </w:r>
          </w:p>
        </w:tc>
        <w:tc>
          <w:tcPr>
            <w:tcW w:w="1657" w:type="dxa"/>
            <w:tcBorders>
              <w:top w:val="nil"/>
              <w:left w:val="nil"/>
              <w:bottom w:val="single" w:sz="4" w:space="0" w:color="auto"/>
              <w:right w:val="single" w:sz="4" w:space="0" w:color="auto"/>
            </w:tcBorders>
            <w:shd w:val="clear" w:color="auto" w:fill="auto"/>
            <w:noWrap/>
            <w:vAlign w:val="center"/>
          </w:tcPr>
          <w:p w14:paraId="62DC43F8"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3728754F"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1A8DA756"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13C8FF0B"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Acta de inicio</w:t>
            </w:r>
          </w:p>
        </w:tc>
        <w:tc>
          <w:tcPr>
            <w:tcW w:w="1657" w:type="dxa"/>
            <w:tcBorders>
              <w:top w:val="nil"/>
              <w:left w:val="nil"/>
              <w:bottom w:val="single" w:sz="4" w:space="0" w:color="auto"/>
              <w:right w:val="single" w:sz="4" w:space="0" w:color="auto"/>
            </w:tcBorders>
            <w:shd w:val="clear" w:color="auto" w:fill="auto"/>
            <w:noWrap/>
            <w:vAlign w:val="center"/>
          </w:tcPr>
          <w:p w14:paraId="20ED01A5"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3F64D6B5"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338ECAB8"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47594FF4"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Aprobación de la póliza </w:t>
            </w:r>
          </w:p>
        </w:tc>
        <w:tc>
          <w:tcPr>
            <w:tcW w:w="1657" w:type="dxa"/>
            <w:tcBorders>
              <w:top w:val="nil"/>
              <w:left w:val="nil"/>
              <w:bottom w:val="single" w:sz="4" w:space="0" w:color="auto"/>
              <w:right w:val="single" w:sz="4" w:space="0" w:color="auto"/>
            </w:tcBorders>
            <w:shd w:val="clear" w:color="auto" w:fill="auto"/>
            <w:noWrap/>
            <w:vAlign w:val="center"/>
          </w:tcPr>
          <w:p w14:paraId="485D28F2"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38F89592"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492CB0E4"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0803D608"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Póliza </w:t>
            </w:r>
          </w:p>
        </w:tc>
        <w:tc>
          <w:tcPr>
            <w:tcW w:w="1657" w:type="dxa"/>
            <w:tcBorders>
              <w:top w:val="nil"/>
              <w:left w:val="nil"/>
              <w:bottom w:val="single" w:sz="4" w:space="0" w:color="auto"/>
              <w:right w:val="single" w:sz="4" w:space="0" w:color="auto"/>
            </w:tcBorders>
            <w:shd w:val="clear" w:color="auto" w:fill="auto"/>
            <w:noWrap/>
            <w:vAlign w:val="center"/>
          </w:tcPr>
          <w:p w14:paraId="16369493"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46EE9090"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4988553A"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28AE6BB"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Informes de supervisión </w:t>
            </w:r>
          </w:p>
        </w:tc>
        <w:tc>
          <w:tcPr>
            <w:tcW w:w="1657" w:type="dxa"/>
            <w:tcBorders>
              <w:top w:val="nil"/>
              <w:left w:val="nil"/>
              <w:bottom w:val="single" w:sz="4" w:space="0" w:color="auto"/>
              <w:right w:val="single" w:sz="4" w:space="0" w:color="auto"/>
            </w:tcBorders>
            <w:shd w:val="clear" w:color="auto" w:fill="auto"/>
            <w:noWrap/>
            <w:vAlign w:val="center"/>
          </w:tcPr>
          <w:p w14:paraId="35C26DD9"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7EFCF678"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368C0138"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0E3A60D3"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Modificaciones</w:t>
            </w:r>
          </w:p>
        </w:tc>
        <w:tc>
          <w:tcPr>
            <w:tcW w:w="1657" w:type="dxa"/>
            <w:tcBorders>
              <w:top w:val="nil"/>
              <w:left w:val="nil"/>
              <w:bottom w:val="single" w:sz="4" w:space="0" w:color="auto"/>
              <w:right w:val="single" w:sz="4" w:space="0" w:color="auto"/>
            </w:tcBorders>
            <w:shd w:val="clear" w:color="auto" w:fill="auto"/>
            <w:noWrap/>
            <w:vAlign w:val="center"/>
          </w:tcPr>
          <w:p w14:paraId="70A12E74"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728013FF"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76651D78"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34178441"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RP Y CDP</w:t>
            </w:r>
          </w:p>
        </w:tc>
        <w:tc>
          <w:tcPr>
            <w:tcW w:w="1657" w:type="dxa"/>
            <w:tcBorders>
              <w:top w:val="nil"/>
              <w:left w:val="nil"/>
              <w:bottom w:val="single" w:sz="4" w:space="0" w:color="auto"/>
              <w:right w:val="single" w:sz="4" w:space="0" w:color="auto"/>
            </w:tcBorders>
            <w:shd w:val="clear" w:color="auto" w:fill="auto"/>
            <w:noWrap/>
            <w:vAlign w:val="center"/>
          </w:tcPr>
          <w:p w14:paraId="05399353"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c>
          <w:tcPr>
            <w:tcW w:w="1339" w:type="dxa"/>
            <w:tcBorders>
              <w:top w:val="nil"/>
              <w:left w:val="nil"/>
              <w:bottom w:val="single" w:sz="4" w:space="0" w:color="auto"/>
              <w:right w:val="single" w:sz="4" w:space="0" w:color="auto"/>
            </w:tcBorders>
            <w:shd w:val="clear" w:color="auto" w:fill="auto"/>
            <w:noWrap/>
            <w:vAlign w:val="center"/>
          </w:tcPr>
          <w:p w14:paraId="0CD5853D"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Publicado</w:t>
            </w:r>
          </w:p>
        </w:tc>
      </w:tr>
      <w:tr w:rsidR="00A356F1" w:rsidRPr="006021DA" w14:paraId="3CCD20AF"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000000" w:fill="CCCCFF"/>
            <w:vAlign w:val="center"/>
            <w:hideMark/>
          </w:tcPr>
          <w:p w14:paraId="20287A29" w14:textId="77777777" w:rsidR="00A356F1" w:rsidRPr="006021DA" w:rsidRDefault="00A356F1" w:rsidP="00835F25">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Poscontractual</w:t>
            </w:r>
          </w:p>
        </w:tc>
        <w:tc>
          <w:tcPr>
            <w:tcW w:w="1657" w:type="dxa"/>
            <w:tcBorders>
              <w:top w:val="nil"/>
              <w:left w:val="nil"/>
              <w:bottom w:val="single" w:sz="4" w:space="0" w:color="auto"/>
              <w:right w:val="single" w:sz="4" w:space="0" w:color="auto"/>
            </w:tcBorders>
            <w:shd w:val="clear" w:color="000000" w:fill="CCCCFF"/>
            <w:vAlign w:val="center"/>
            <w:hideMark/>
          </w:tcPr>
          <w:p w14:paraId="4BE32A38" w14:textId="77777777" w:rsidR="00A356F1" w:rsidRPr="006021DA" w:rsidRDefault="00A356F1"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c>
          <w:tcPr>
            <w:tcW w:w="1339" w:type="dxa"/>
            <w:tcBorders>
              <w:top w:val="nil"/>
              <w:left w:val="nil"/>
              <w:bottom w:val="single" w:sz="4" w:space="0" w:color="auto"/>
              <w:right w:val="single" w:sz="4" w:space="0" w:color="auto"/>
            </w:tcBorders>
            <w:shd w:val="clear" w:color="000000" w:fill="CCCCFF"/>
            <w:vAlign w:val="center"/>
            <w:hideMark/>
          </w:tcPr>
          <w:p w14:paraId="64D79071" w14:textId="77777777" w:rsidR="00A356F1" w:rsidRPr="006021DA" w:rsidRDefault="00A356F1"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r>
      <w:tr w:rsidR="00A356F1" w:rsidRPr="006021DA" w14:paraId="68A0DB36"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246BA70D"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Informes finales</w:t>
            </w:r>
          </w:p>
        </w:tc>
        <w:tc>
          <w:tcPr>
            <w:tcW w:w="1657" w:type="dxa"/>
            <w:tcBorders>
              <w:top w:val="nil"/>
              <w:left w:val="nil"/>
              <w:bottom w:val="single" w:sz="4" w:space="0" w:color="auto"/>
              <w:right w:val="single" w:sz="4" w:space="0" w:color="auto"/>
            </w:tcBorders>
            <w:shd w:val="clear" w:color="auto" w:fill="auto"/>
            <w:noWrap/>
            <w:vAlign w:val="center"/>
          </w:tcPr>
          <w:p w14:paraId="50F47085"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c>
          <w:tcPr>
            <w:tcW w:w="1339" w:type="dxa"/>
            <w:tcBorders>
              <w:top w:val="nil"/>
              <w:left w:val="nil"/>
              <w:bottom w:val="single" w:sz="4" w:space="0" w:color="auto"/>
              <w:right w:val="single" w:sz="4" w:space="0" w:color="auto"/>
            </w:tcBorders>
            <w:shd w:val="clear" w:color="auto" w:fill="auto"/>
            <w:noWrap/>
            <w:vAlign w:val="center"/>
          </w:tcPr>
          <w:p w14:paraId="4C8D6D24"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r>
      <w:tr w:rsidR="00A356F1" w:rsidRPr="006021DA" w14:paraId="610C06A8"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7E069E59"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Informes de liquidación</w:t>
            </w:r>
          </w:p>
        </w:tc>
        <w:tc>
          <w:tcPr>
            <w:tcW w:w="1657" w:type="dxa"/>
            <w:tcBorders>
              <w:top w:val="nil"/>
              <w:left w:val="nil"/>
              <w:bottom w:val="single" w:sz="4" w:space="0" w:color="auto"/>
              <w:right w:val="single" w:sz="4" w:space="0" w:color="auto"/>
            </w:tcBorders>
            <w:shd w:val="clear" w:color="auto" w:fill="auto"/>
            <w:noWrap/>
            <w:vAlign w:val="center"/>
          </w:tcPr>
          <w:p w14:paraId="5EF5C693"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c>
          <w:tcPr>
            <w:tcW w:w="1339" w:type="dxa"/>
            <w:tcBorders>
              <w:top w:val="nil"/>
              <w:left w:val="nil"/>
              <w:bottom w:val="single" w:sz="4" w:space="0" w:color="auto"/>
              <w:right w:val="single" w:sz="4" w:space="0" w:color="auto"/>
            </w:tcBorders>
            <w:shd w:val="clear" w:color="auto" w:fill="auto"/>
            <w:noWrap/>
            <w:vAlign w:val="center"/>
          </w:tcPr>
          <w:p w14:paraId="15CFD431"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r>
      <w:tr w:rsidR="00A356F1" w:rsidRPr="006021DA" w14:paraId="6F71993A"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25685757"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Acta final de supervisión </w:t>
            </w:r>
          </w:p>
        </w:tc>
        <w:tc>
          <w:tcPr>
            <w:tcW w:w="1657" w:type="dxa"/>
            <w:tcBorders>
              <w:top w:val="nil"/>
              <w:left w:val="nil"/>
              <w:bottom w:val="single" w:sz="4" w:space="0" w:color="auto"/>
              <w:right w:val="single" w:sz="4" w:space="0" w:color="auto"/>
            </w:tcBorders>
            <w:shd w:val="clear" w:color="auto" w:fill="auto"/>
            <w:noWrap/>
            <w:vAlign w:val="center"/>
          </w:tcPr>
          <w:p w14:paraId="2EEB6532"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c>
          <w:tcPr>
            <w:tcW w:w="1339" w:type="dxa"/>
            <w:tcBorders>
              <w:top w:val="nil"/>
              <w:left w:val="nil"/>
              <w:bottom w:val="single" w:sz="4" w:space="0" w:color="auto"/>
              <w:right w:val="single" w:sz="4" w:space="0" w:color="auto"/>
            </w:tcBorders>
            <w:shd w:val="clear" w:color="auto" w:fill="auto"/>
            <w:noWrap/>
            <w:vAlign w:val="center"/>
          </w:tcPr>
          <w:p w14:paraId="1795F8AC"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r>
      <w:tr w:rsidR="00A356F1" w:rsidRPr="006021DA" w14:paraId="08C15717"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74102F7E" w14:textId="77777777" w:rsidR="00A356F1" w:rsidRPr="006021DA" w:rsidRDefault="00A356F1" w:rsidP="00835F25">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Acta de liquidación </w:t>
            </w:r>
          </w:p>
        </w:tc>
        <w:tc>
          <w:tcPr>
            <w:tcW w:w="1657" w:type="dxa"/>
            <w:tcBorders>
              <w:top w:val="nil"/>
              <w:left w:val="nil"/>
              <w:bottom w:val="single" w:sz="4" w:space="0" w:color="auto"/>
              <w:right w:val="single" w:sz="4" w:space="0" w:color="auto"/>
            </w:tcBorders>
            <w:shd w:val="clear" w:color="auto" w:fill="auto"/>
            <w:noWrap/>
            <w:vAlign w:val="center"/>
          </w:tcPr>
          <w:p w14:paraId="2BFAE47E"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c>
          <w:tcPr>
            <w:tcW w:w="1339" w:type="dxa"/>
            <w:tcBorders>
              <w:top w:val="nil"/>
              <w:left w:val="nil"/>
              <w:bottom w:val="single" w:sz="4" w:space="0" w:color="auto"/>
              <w:right w:val="single" w:sz="4" w:space="0" w:color="auto"/>
            </w:tcBorders>
            <w:shd w:val="clear" w:color="auto" w:fill="auto"/>
            <w:noWrap/>
            <w:vAlign w:val="center"/>
          </w:tcPr>
          <w:p w14:paraId="531C8905" w14:textId="77777777" w:rsidR="00A356F1" w:rsidRPr="006021DA" w:rsidRDefault="00A356F1"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No Publicado</w:t>
            </w:r>
          </w:p>
        </w:tc>
      </w:tr>
      <w:tr w:rsidR="00A356F1" w:rsidRPr="006021DA" w14:paraId="5ED33595" w14:textId="77777777" w:rsidTr="00A356F1">
        <w:trPr>
          <w:trHeight w:val="303"/>
          <w:jc w:val="center"/>
        </w:trPr>
        <w:tc>
          <w:tcPr>
            <w:tcW w:w="3095" w:type="dxa"/>
            <w:tcBorders>
              <w:top w:val="nil"/>
              <w:left w:val="single" w:sz="4" w:space="0" w:color="auto"/>
              <w:bottom w:val="single" w:sz="4" w:space="0" w:color="auto"/>
              <w:right w:val="single" w:sz="4" w:space="0" w:color="auto"/>
            </w:tcBorders>
            <w:shd w:val="clear" w:color="000000" w:fill="666699"/>
            <w:vAlign w:val="center"/>
            <w:hideMark/>
          </w:tcPr>
          <w:p w14:paraId="7C36D1C3" w14:textId="77777777" w:rsidR="00A356F1" w:rsidRPr="00E1297B" w:rsidRDefault="00A356F1" w:rsidP="00835F25">
            <w:pPr>
              <w:contextualSpacing/>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RESULTADO</w:t>
            </w:r>
          </w:p>
        </w:tc>
        <w:tc>
          <w:tcPr>
            <w:tcW w:w="1657" w:type="dxa"/>
            <w:tcBorders>
              <w:top w:val="nil"/>
              <w:left w:val="nil"/>
              <w:bottom w:val="single" w:sz="4" w:space="0" w:color="auto"/>
              <w:right w:val="single" w:sz="4" w:space="0" w:color="auto"/>
            </w:tcBorders>
            <w:shd w:val="clear" w:color="000000" w:fill="666699"/>
            <w:vAlign w:val="center"/>
          </w:tcPr>
          <w:p w14:paraId="5E1A1FD2" w14:textId="77777777" w:rsidR="00A356F1" w:rsidRPr="00E1297B" w:rsidRDefault="00075C6B" w:rsidP="00835F25">
            <w:pPr>
              <w:contextualSpacing/>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CUMPLE</w:t>
            </w:r>
          </w:p>
        </w:tc>
        <w:tc>
          <w:tcPr>
            <w:tcW w:w="1339" w:type="dxa"/>
            <w:tcBorders>
              <w:top w:val="nil"/>
              <w:left w:val="nil"/>
              <w:bottom w:val="single" w:sz="4" w:space="0" w:color="auto"/>
              <w:right w:val="single" w:sz="4" w:space="0" w:color="auto"/>
            </w:tcBorders>
            <w:shd w:val="clear" w:color="000000" w:fill="666699"/>
            <w:vAlign w:val="center"/>
          </w:tcPr>
          <w:p w14:paraId="2B43B067" w14:textId="77777777" w:rsidR="00A356F1" w:rsidRPr="00E1297B" w:rsidRDefault="00075C6B" w:rsidP="00835F25">
            <w:pPr>
              <w:contextualSpacing/>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CUMPLE</w:t>
            </w:r>
          </w:p>
        </w:tc>
      </w:tr>
    </w:tbl>
    <w:p w14:paraId="67BB90FC" w14:textId="77777777" w:rsidR="0028200B" w:rsidRPr="006021DA" w:rsidRDefault="0028200B" w:rsidP="00835F25">
      <w:pPr>
        <w:contextualSpacing/>
        <w:jc w:val="center"/>
        <w:rPr>
          <w:rFonts w:ascii="Arial" w:eastAsia="Calibri" w:hAnsi="Arial" w:cs="Arial"/>
          <w:bCs/>
          <w:sz w:val="22"/>
          <w:szCs w:val="22"/>
          <w:lang w:val="es-CO" w:eastAsia="en-US"/>
        </w:rPr>
      </w:pPr>
      <w:r w:rsidRPr="006021DA">
        <w:rPr>
          <w:rFonts w:ascii="Arial" w:hAnsi="Arial" w:cs="Arial"/>
          <w:sz w:val="16"/>
          <w:szCs w:val="16"/>
        </w:rPr>
        <w:t>Fuente: Elaboración DAF, a partir de la información en SECOP II.</w:t>
      </w:r>
    </w:p>
    <w:p w14:paraId="21B5F70E" w14:textId="77777777" w:rsidR="00C422E3" w:rsidRDefault="00C422E3" w:rsidP="00835F25">
      <w:pPr>
        <w:contextualSpacing/>
        <w:jc w:val="both"/>
        <w:rPr>
          <w:rFonts w:ascii="Arial" w:eastAsia="Calibri" w:hAnsi="Arial" w:cs="Arial"/>
          <w:bCs/>
          <w:sz w:val="22"/>
          <w:szCs w:val="22"/>
          <w:lang w:val="es-CO" w:eastAsia="en-US"/>
        </w:rPr>
      </w:pPr>
    </w:p>
    <w:p w14:paraId="5CD38FF4" w14:textId="77777777" w:rsidR="00047A65" w:rsidRDefault="00047A65" w:rsidP="00835F25">
      <w:pPr>
        <w:contextualSpacing/>
        <w:jc w:val="both"/>
        <w:rPr>
          <w:rFonts w:ascii="Arial" w:eastAsia="Calibri" w:hAnsi="Arial" w:cs="Arial"/>
          <w:bCs/>
          <w:sz w:val="22"/>
          <w:szCs w:val="22"/>
          <w:lang w:val="es-CO" w:eastAsia="en-US"/>
        </w:rPr>
      </w:pPr>
      <w:r>
        <w:rPr>
          <w:rFonts w:ascii="Arial" w:eastAsia="Calibri" w:hAnsi="Arial" w:cs="Arial"/>
          <w:bCs/>
          <w:sz w:val="22"/>
          <w:szCs w:val="22"/>
          <w:lang w:val="es-CO" w:eastAsia="en-US"/>
        </w:rPr>
        <w:t xml:space="preserve">Como se puede observar, la totalidad de documentos de las etapas precontractual y contractual está publicadas en el SECOP II, de la misma manera se pudo constatar que hay otros documentos tales como: RUT, </w:t>
      </w:r>
      <w:r w:rsidR="00B45D5C">
        <w:rPr>
          <w:rFonts w:ascii="Arial" w:eastAsia="Calibri" w:hAnsi="Arial" w:cs="Arial"/>
          <w:bCs/>
          <w:sz w:val="22"/>
          <w:szCs w:val="22"/>
          <w:lang w:val="es-CO" w:eastAsia="en-US"/>
        </w:rPr>
        <w:t>b</w:t>
      </w:r>
      <w:r w:rsidR="00177D8B">
        <w:rPr>
          <w:rFonts w:ascii="Arial" w:eastAsia="Calibri" w:hAnsi="Arial" w:cs="Arial"/>
          <w:bCs/>
          <w:sz w:val="22"/>
          <w:szCs w:val="22"/>
          <w:lang w:val="es-CO" w:eastAsia="en-US"/>
        </w:rPr>
        <w:t xml:space="preserve">oletines </w:t>
      </w:r>
      <w:r w:rsidR="00B45D5C">
        <w:rPr>
          <w:rFonts w:ascii="Arial" w:eastAsia="Calibri" w:hAnsi="Arial" w:cs="Arial"/>
          <w:bCs/>
          <w:sz w:val="22"/>
          <w:szCs w:val="22"/>
          <w:lang w:val="es-CO" w:eastAsia="en-US"/>
        </w:rPr>
        <w:t>i</w:t>
      </w:r>
      <w:r w:rsidR="00177D8B">
        <w:rPr>
          <w:rFonts w:ascii="Arial" w:eastAsia="Calibri" w:hAnsi="Arial" w:cs="Arial"/>
          <w:bCs/>
          <w:sz w:val="22"/>
          <w:szCs w:val="22"/>
          <w:lang w:val="es-CO" w:eastAsia="en-US"/>
        </w:rPr>
        <w:t xml:space="preserve">nformativos, </w:t>
      </w:r>
      <w:r w:rsidR="00B45D5C">
        <w:rPr>
          <w:rFonts w:ascii="Arial" w:eastAsia="Calibri" w:hAnsi="Arial" w:cs="Arial"/>
          <w:bCs/>
          <w:sz w:val="22"/>
          <w:szCs w:val="22"/>
          <w:lang w:val="es-CO" w:eastAsia="en-US"/>
        </w:rPr>
        <w:t>o</w:t>
      </w:r>
      <w:r w:rsidR="00177D8B">
        <w:rPr>
          <w:rFonts w:ascii="Arial" w:eastAsia="Calibri" w:hAnsi="Arial" w:cs="Arial"/>
          <w:bCs/>
          <w:sz w:val="22"/>
          <w:szCs w:val="22"/>
          <w:lang w:val="es-CO" w:eastAsia="en-US"/>
        </w:rPr>
        <w:t xml:space="preserve">ficio </w:t>
      </w:r>
      <w:r w:rsidR="00B45D5C">
        <w:rPr>
          <w:rFonts w:ascii="Arial" w:eastAsia="Calibri" w:hAnsi="Arial" w:cs="Arial"/>
          <w:bCs/>
          <w:sz w:val="22"/>
          <w:szCs w:val="22"/>
          <w:lang w:val="es-CO" w:eastAsia="en-US"/>
        </w:rPr>
        <w:t xml:space="preserve">de </w:t>
      </w:r>
      <w:r w:rsidR="00177D8B">
        <w:rPr>
          <w:rFonts w:ascii="Arial" w:eastAsia="Calibri" w:hAnsi="Arial" w:cs="Arial"/>
          <w:bCs/>
          <w:sz w:val="22"/>
          <w:szCs w:val="22"/>
          <w:lang w:val="es-CO" w:eastAsia="en-US"/>
        </w:rPr>
        <w:t>aplazamiento etc.</w:t>
      </w:r>
      <w:r w:rsidR="00F174CE">
        <w:rPr>
          <w:rFonts w:ascii="Arial" w:eastAsia="Calibri" w:hAnsi="Arial" w:cs="Arial"/>
          <w:bCs/>
          <w:sz w:val="22"/>
          <w:szCs w:val="22"/>
          <w:lang w:val="es-CO" w:eastAsia="en-US"/>
        </w:rPr>
        <w:t xml:space="preserve"> Frente a los documentos de la etapa poscontractual, </w:t>
      </w:r>
      <w:r w:rsidR="00326A21">
        <w:rPr>
          <w:rFonts w:ascii="Arial" w:eastAsia="Calibri" w:hAnsi="Arial" w:cs="Arial"/>
          <w:bCs/>
          <w:sz w:val="22"/>
          <w:szCs w:val="22"/>
          <w:lang w:val="es-CO" w:eastAsia="en-US"/>
        </w:rPr>
        <w:t>estos aún no están</w:t>
      </w:r>
      <w:r w:rsidR="00F174CE">
        <w:rPr>
          <w:rFonts w:ascii="Arial" w:eastAsia="Calibri" w:hAnsi="Arial" w:cs="Arial"/>
          <w:bCs/>
          <w:sz w:val="22"/>
          <w:szCs w:val="22"/>
          <w:lang w:val="es-CO" w:eastAsia="en-US"/>
        </w:rPr>
        <w:t xml:space="preserve"> cargados</w:t>
      </w:r>
      <w:r w:rsidR="00B45D5C">
        <w:rPr>
          <w:rFonts w:ascii="Arial" w:eastAsia="Calibri" w:hAnsi="Arial" w:cs="Arial"/>
          <w:bCs/>
          <w:sz w:val="22"/>
          <w:szCs w:val="22"/>
          <w:lang w:val="es-CO" w:eastAsia="en-US"/>
        </w:rPr>
        <w:t>;</w:t>
      </w:r>
      <w:r w:rsidR="00F174CE">
        <w:rPr>
          <w:rFonts w:ascii="Arial" w:eastAsia="Calibri" w:hAnsi="Arial" w:cs="Arial"/>
          <w:bCs/>
          <w:sz w:val="22"/>
          <w:szCs w:val="22"/>
          <w:lang w:val="es-CO" w:eastAsia="en-US"/>
        </w:rPr>
        <w:t xml:space="preserve"> sin embargo, teniendo en cuenta que los contrato finalizaron </w:t>
      </w:r>
      <w:r w:rsidR="00326A21">
        <w:rPr>
          <w:rFonts w:ascii="Arial" w:eastAsia="Calibri" w:hAnsi="Arial" w:cs="Arial"/>
          <w:bCs/>
          <w:sz w:val="22"/>
          <w:szCs w:val="22"/>
          <w:lang w:val="es-CO" w:eastAsia="en-US"/>
        </w:rPr>
        <w:t>durante el año contractual 2022, no se tiene en cuenta esta publicación por el corte de este informe de seguimiento.</w:t>
      </w:r>
    </w:p>
    <w:p w14:paraId="3B466280" w14:textId="77777777" w:rsidR="00047A65" w:rsidRDefault="00047A65" w:rsidP="00835F25">
      <w:pPr>
        <w:contextualSpacing/>
        <w:jc w:val="both"/>
        <w:rPr>
          <w:rFonts w:ascii="Arial" w:eastAsia="Calibri" w:hAnsi="Arial" w:cs="Arial"/>
          <w:bCs/>
          <w:sz w:val="22"/>
          <w:szCs w:val="22"/>
          <w:lang w:val="es-CO" w:eastAsia="en-US"/>
        </w:rPr>
      </w:pPr>
    </w:p>
    <w:p w14:paraId="163DA0B2" w14:textId="77777777" w:rsidR="00CE19F0" w:rsidRDefault="005430B1" w:rsidP="00835F25">
      <w:pPr>
        <w:contextualSpacing/>
        <w:jc w:val="both"/>
        <w:rPr>
          <w:rFonts w:ascii="Arial" w:eastAsia="Calibri" w:hAnsi="Arial" w:cs="Arial"/>
          <w:bCs/>
          <w:sz w:val="22"/>
          <w:szCs w:val="22"/>
          <w:lang w:val="es-CO" w:eastAsia="en-US"/>
        </w:rPr>
      </w:pPr>
      <w:r>
        <w:rPr>
          <w:rFonts w:ascii="Arial" w:eastAsia="Calibri" w:hAnsi="Arial" w:cs="Arial"/>
          <w:bCs/>
          <w:sz w:val="22"/>
          <w:szCs w:val="22"/>
          <w:lang w:val="es-CO" w:eastAsia="en-US"/>
        </w:rPr>
        <w:t>Conforme a lo a</w:t>
      </w:r>
      <w:r w:rsidR="00E73E6A">
        <w:rPr>
          <w:rFonts w:ascii="Arial" w:eastAsia="Calibri" w:hAnsi="Arial" w:cs="Arial"/>
          <w:bCs/>
          <w:sz w:val="22"/>
          <w:szCs w:val="22"/>
          <w:lang w:val="es-CO" w:eastAsia="en-US"/>
        </w:rPr>
        <w:t>nterior, esta Dirección constató</w:t>
      </w:r>
      <w:r>
        <w:rPr>
          <w:rFonts w:ascii="Arial" w:eastAsia="Calibri" w:hAnsi="Arial" w:cs="Arial"/>
          <w:bCs/>
          <w:sz w:val="22"/>
          <w:szCs w:val="22"/>
          <w:lang w:val="es-CO" w:eastAsia="en-US"/>
        </w:rPr>
        <w:t xml:space="preserve"> que </w:t>
      </w:r>
      <w:r w:rsidR="00FC0941">
        <w:rPr>
          <w:rFonts w:ascii="Arial" w:eastAsia="Calibri" w:hAnsi="Arial" w:cs="Arial"/>
          <w:bCs/>
          <w:sz w:val="22"/>
          <w:szCs w:val="22"/>
          <w:lang w:val="es-CO" w:eastAsia="en-US"/>
        </w:rPr>
        <w:t>los</w:t>
      </w:r>
      <w:r w:rsidR="005C3C5A">
        <w:rPr>
          <w:rFonts w:ascii="Arial" w:eastAsia="Calibri" w:hAnsi="Arial" w:cs="Arial"/>
          <w:bCs/>
          <w:sz w:val="22"/>
          <w:szCs w:val="22"/>
          <w:lang w:val="es-CO" w:eastAsia="en-US"/>
        </w:rPr>
        <w:t xml:space="preserve"> contrato</w:t>
      </w:r>
      <w:r w:rsidR="00FC0941">
        <w:rPr>
          <w:rFonts w:ascii="Arial" w:eastAsia="Calibri" w:hAnsi="Arial" w:cs="Arial"/>
          <w:bCs/>
          <w:sz w:val="22"/>
          <w:szCs w:val="22"/>
          <w:lang w:val="es-CO" w:eastAsia="en-US"/>
        </w:rPr>
        <w:t>s</w:t>
      </w:r>
      <w:r w:rsidR="005C3C5A">
        <w:rPr>
          <w:rFonts w:ascii="Arial" w:eastAsia="Calibri" w:hAnsi="Arial" w:cs="Arial"/>
          <w:bCs/>
          <w:sz w:val="22"/>
          <w:szCs w:val="22"/>
          <w:lang w:val="es-CO" w:eastAsia="en-US"/>
        </w:rPr>
        <w:t xml:space="preserve"> suscrito</w:t>
      </w:r>
      <w:r w:rsidR="00FC0941">
        <w:rPr>
          <w:rFonts w:ascii="Arial" w:eastAsia="Calibri" w:hAnsi="Arial" w:cs="Arial"/>
          <w:bCs/>
          <w:sz w:val="22"/>
          <w:szCs w:val="22"/>
          <w:lang w:val="es-CO" w:eastAsia="en-US"/>
        </w:rPr>
        <w:t>s</w:t>
      </w:r>
      <w:r w:rsidR="005C3C5A">
        <w:rPr>
          <w:rFonts w:ascii="Arial" w:eastAsia="Calibri" w:hAnsi="Arial" w:cs="Arial"/>
          <w:bCs/>
          <w:sz w:val="22"/>
          <w:szCs w:val="22"/>
          <w:lang w:val="es-CO" w:eastAsia="en-US"/>
        </w:rPr>
        <w:t xml:space="preserve"> con </w:t>
      </w:r>
      <w:r w:rsidR="00FC0941">
        <w:rPr>
          <w:rFonts w:ascii="Arial" w:eastAsia="Calibri" w:hAnsi="Arial" w:cs="Arial"/>
          <w:bCs/>
          <w:sz w:val="22"/>
          <w:szCs w:val="22"/>
          <w:lang w:val="es-CO" w:eastAsia="en-US"/>
        </w:rPr>
        <w:t>los</w:t>
      </w:r>
      <w:r w:rsidR="005C3C5A">
        <w:rPr>
          <w:rFonts w:ascii="Arial" w:eastAsia="Calibri" w:hAnsi="Arial" w:cs="Arial"/>
          <w:bCs/>
          <w:sz w:val="22"/>
          <w:szCs w:val="22"/>
          <w:lang w:val="es-CO" w:eastAsia="en-US"/>
        </w:rPr>
        <w:t xml:space="preserve"> comisionista</w:t>
      </w:r>
      <w:r w:rsidR="00FC0941">
        <w:rPr>
          <w:rFonts w:ascii="Arial" w:eastAsia="Calibri" w:hAnsi="Arial" w:cs="Arial"/>
          <w:bCs/>
          <w:sz w:val="22"/>
          <w:szCs w:val="22"/>
          <w:lang w:val="es-CO" w:eastAsia="en-US"/>
        </w:rPr>
        <w:t>s</w:t>
      </w:r>
      <w:r w:rsidR="005C3C5A">
        <w:rPr>
          <w:rFonts w:ascii="Arial" w:eastAsia="Calibri" w:hAnsi="Arial" w:cs="Arial"/>
          <w:bCs/>
          <w:sz w:val="22"/>
          <w:szCs w:val="22"/>
          <w:lang w:val="es-CO" w:eastAsia="en-US"/>
        </w:rPr>
        <w:t xml:space="preserve"> seleccionado</w:t>
      </w:r>
      <w:r w:rsidR="00FC0941">
        <w:rPr>
          <w:rFonts w:ascii="Arial" w:eastAsia="Calibri" w:hAnsi="Arial" w:cs="Arial"/>
          <w:bCs/>
          <w:sz w:val="22"/>
          <w:szCs w:val="22"/>
          <w:lang w:val="es-CO" w:eastAsia="en-US"/>
        </w:rPr>
        <w:t>s</w:t>
      </w:r>
      <w:r w:rsidR="00EC1C7E">
        <w:rPr>
          <w:rFonts w:ascii="Arial" w:eastAsia="Calibri" w:hAnsi="Arial" w:cs="Arial"/>
          <w:bCs/>
          <w:sz w:val="22"/>
          <w:szCs w:val="22"/>
          <w:lang w:val="es-CO" w:eastAsia="en-US"/>
        </w:rPr>
        <w:t xml:space="preserve"> y otros documentos inherentes al </w:t>
      </w:r>
      <w:r w:rsidR="00BF2246">
        <w:rPr>
          <w:rFonts w:ascii="Arial" w:eastAsia="Calibri" w:hAnsi="Arial" w:cs="Arial"/>
          <w:bCs/>
          <w:sz w:val="22"/>
          <w:szCs w:val="22"/>
          <w:lang w:val="es-CO" w:eastAsia="en-US"/>
        </w:rPr>
        <w:t>proceso</w:t>
      </w:r>
      <w:r w:rsidR="005C3C5A">
        <w:rPr>
          <w:rFonts w:ascii="Arial" w:eastAsia="Calibri" w:hAnsi="Arial" w:cs="Arial"/>
          <w:bCs/>
          <w:sz w:val="22"/>
          <w:szCs w:val="22"/>
          <w:lang w:val="es-CO" w:eastAsia="en-US"/>
        </w:rPr>
        <w:t xml:space="preserve"> </w:t>
      </w:r>
      <w:r w:rsidR="00FC0941">
        <w:rPr>
          <w:rFonts w:ascii="Arial" w:eastAsia="Calibri" w:hAnsi="Arial" w:cs="Arial"/>
          <w:bCs/>
          <w:sz w:val="22"/>
          <w:szCs w:val="22"/>
          <w:lang w:val="es-CO" w:eastAsia="en-US"/>
        </w:rPr>
        <w:t>fueron</w:t>
      </w:r>
      <w:r w:rsidR="005C3C5A">
        <w:rPr>
          <w:rFonts w:ascii="Arial" w:eastAsia="Calibri" w:hAnsi="Arial" w:cs="Arial"/>
          <w:bCs/>
          <w:sz w:val="22"/>
          <w:szCs w:val="22"/>
          <w:lang w:val="es-CO" w:eastAsia="en-US"/>
        </w:rPr>
        <w:t xml:space="preserve"> publicado</w:t>
      </w:r>
      <w:r w:rsidR="00FC0941">
        <w:rPr>
          <w:rFonts w:ascii="Arial" w:eastAsia="Calibri" w:hAnsi="Arial" w:cs="Arial"/>
          <w:bCs/>
          <w:sz w:val="22"/>
          <w:szCs w:val="22"/>
          <w:lang w:val="es-CO" w:eastAsia="en-US"/>
        </w:rPr>
        <w:t>s</w:t>
      </w:r>
      <w:r w:rsidR="005C3C5A">
        <w:rPr>
          <w:rFonts w:ascii="Arial" w:eastAsia="Calibri" w:hAnsi="Arial" w:cs="Arial"/>
          <w:bCs/>
          <w:sz w:val="22"/>
          <w:szCs w:val="22"/>
          <w:lang w:val="es-CO" w:eastAsia="en-US"/>
        </w:rPr>
        <w:t xml:space="preserve"> en el SECOP II.</w:t>
      </w:r>
    </w:p>
    <w:p w14:paraId="554A781F" w14:textId="77777777" w:rsidR="005C3C5A" w:rsidRPr="006021DA" w:rsidRDefault="005C3C5A" w:rsidP="00835F25">
      <w:pPr>
        <w:contextualSpacing/>
        <w:jc w:val="both"/>
        <w:rPr>
          <w:rFonts w:ascii="Arial" w:eastAsia="Calibri" w:hAnsi="Arial" w:cs="Arial"/>
          <w:bCs/>
          <w:sz w:val="22"/>
          <w:szCs w:val="22"/>
          <w:lang w:val="es-CO" w:eastAsia="en-US"/>
        </w:rPr>
      </w:pPr>
    </w:p>
    <w:p w14:paraId="24EF2497" w14:textId="77777777" w:rsidR="009D6BA8" w:rsidRPr="006021DA" w:rsidRDefault="009D6BA8"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801001">
        <w:rPr>
          <w:rFonts w:ascii="Arial" w:eastAsia="Calibri" w:hAnsi="Arial" w:cs="Arial"/>
          <w:b/>
          <w:sz w:val="22"/>
          <w:szCs w:val="22"/>
          <w:lang w:val="es-CO" w:eastAsia="en-US"/>
        </w:rPr>
        <w:t>Cumple.</w:t>
      </w:r>
    </w:p>
    <w:p w14:paraId="055B7AD8" w14:textId="77777777" w:rsidR="009D6BA8" w:rsidRPr="006021DA" w:rsidRDefault="009D6BA8" w:rsidP="00835F25">
      <w:pPr>
        <w:spacing w:before="240"/>
        <w:contextualSpacing/>
        <w:jc w:val="both"/>
        <w:rPr>
          <w:rFonts w:ascii="Arial" w:eastAsia="Calibri" w:hAnsi="Arial" w:cs="Arial"/>
          <w:b/>
          <w:sz w:val="22"/>
          <w:szCs w:val="22"/>
          <w:lang w:val="es-CO" w:eastAsia="en-US"/>
        </w:rPr>
      </w:pPr>
    </w:p>
    <w:p w14:paraId="2184569C" w14:textId="77777777" w:rsidR="00A03422" w:rsidRPr="006021DA" w:rsidRDefault="008F095B" w:rsidP="00835F25">
      <w:pPr>
        <w:spacing w:before="24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D4744C" w:rsidRPr="006021DA">
        <w:rPr>
          <w:rFonts w:ascii="Arial" w:eastAsia="Calibri" w:hAnsi="Arial" w:cs="Arial"/>
          <w:b/>
          <w:sz w:val="22"/>
          <w:szCs w:val="22"/>
          <w:lang w:val="es-CO" w:eastAsia="en-US"/>
        </w:rPr>
        <w:t>2.1.3. Incluir la lista de bienes, obras y servicios que tiene previsto adquirir en la vigencia (Plan Anual de Adquisiciones), correspondiente a la Asignación Especial de Alimentación Escolar, en el SECOP.</w:t>
      </w:r>
    </w:p>
    <w:p w14:paraId="6CFB639A" w14:textId="77777777" w:rsidR="00D4744C" w:rsidRPr="006021DA" w:rsidRDefault="00D4744C" w:rsidP="00835F25">
      <w:pPr>
        <w:spacing w:before="240"/>
        <w:contextualSpacing/>
        <w:jc w:val="both"/>
        <w:rPr>
          <w:rFonts w:ascii="Arial" w:eastAsia="Calibri" w:hAnsi="Arial" w:cs="Arial"/>
          <w:sz w:val="22"/>
          <w:szCs w:val="22"/>
          <w:lang w:val="es-CO"/>
        </w:rPr>
      </w:pPr>
    </w:p>
    <w:p w14:paraId="03290F59" w14:textId="77777777" w:rsidR="003A029C" w:rsidRPr="006021DA" w:rsidRDefault="003A029C" w:rsidP="00835F25">
      <w:pPr>
        <w:spacing w:after="160"/>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Una vez consultado el Plan Anual de Adquisiciones de las vigencias </w:t>
      </w:r>
      <w:r w:rsidR="00856A24">
        <w:rPr>
          <w:rFonts w:ascii="Arial" w:eastAsia="Calibri" w:hAnsi="Arial" w:cs="Arial"/>
          <w:sz w:val="22"/>
          <w:szCs w:val="22"/>
          <w:lang w:val="es-CO" w:eastAsia="en-US"/>
        </w:rPr>
        <w:t>2021</w:t>
      </w:r>
      <w:r w:rsidRPr="006021DA">
        <w:rPr>
          <w:rFonts w:ascii="Arial" w:eastAsia="Calibri" w:hAnsi="Arial" w:cs="Arial"/>
          <w:sz w:val="22"/>
          <w:szCs w:val="22"/>
          <w:lang w:val="es-CO" w:eastAsia="en-US"/>
        </w:rPr>
        <w:t xml:space="preserve"> y </w:t>
      </w:r>
      <w:r w:rsidR="00856A24">
        <w:rPr>
          <w:rFonts w:ascii="Arial" w:eastAsia="Calibri" w:hAnsi="Arial" w:cs="Arial"/>
          <w:sz w:val="22"/>
          <w:szCs w:val="22"/>
          <w:lang w:val="es-CO" w:eastAsia="en-US"/>
        </w:rPr>
        <w:t>2022</w:t>
      </w:r>
      <w:r w:rsidRPr="006021DA">
        <w:rPr>
          <w:rFonts w:ascii="Arial" w:eastAsia="Calibri" w:hAnsi="Arial" w:cs="Arial"/>
          <w:sz w:val="22"/>
          <w:szCs w:val="22"/>
          <w:lang w:val="es-CO" w:eastAsia="en-US"/>
        </w:rPr>
        <w:t>, publicado en el SECOP I</w:t>
      </w:r>
      <w:r w:rsidR="00CB63B0">
        <w:rPr>
          <w:rFonts w:ascii="Arial" w:eastAsia="Calibri" w:hAnsi="Arial" w:cs="Arial"/>
          <w:sz w:val="22"/>
          <w:szCs w:val="22"/>
          <w:lang w:val="es-CO" w:eastAsia="en-US"/>
        </w:rPr>
        <w:t>I</w:t>
      </w:r>
      <w:r w:rsidRPr="006021DA">
        <w:rPr>
          <w:rFonts w:ascii="Arial" w:eastAsia="Calibri" w:hAnsi="Arial" w:cs="Arial"/>
          <w:sz w:val="22"/>
          <w:szCs w:val="22"/>
          <w:lang w:val="es-CO" w:eastAsia="en-US"/>
        </w:rPr>
        <w:t xml:space="preserve">, se evidencia que el Distrito de </w:t>
      </w:r>
      <w:r w:rsidR="00CB63B0">
        <w:rPr>
          <w:rFonts w:ascii="Arial" w:eastAsia="Calibri" w:hAnsi="Arial" w:cs="Arial"/>
          <w:sz w:val="22"/>
          <w:szCs w:val="22"/>
          <w:lang w:val="es-CO" w:eastAsia="en-US"/>
        </w:rPr>
        <w:t>Cartagena de Indias</w:t>
      </w:r>
      <w:r w:rsidRPr="006021DA">
        <w:rPr>
          <w:rFonts w:ascii="Arial" w:eastAsia="Calibri" w:hAnsi="Arial" w:cs="Arial"/>
          <w:sz w:val="22"/>
          <w:szCs w:val="22"/>
          <w:lang w:val="es-CO" w:eastAsia="en-US"/>
        </w:rPr>
        <w:t xml:space="preserve"> incluyó la lista de bienes, obras y servicios que tenía previsto adquirir para satisfacer el Servicio de Alimentación Escolar.</w:t>
      </w:r>
    </w:p>
    <w:p w14:paraId="593E7B4F" w14:textId="77777777" w:rsidR="003A029C" w:rsidRPr="006021DA" w:rsidRDefault="003A029C" w:rsidP="00835F25">
      <w:pPr>
        <w:spacing w:after="160"/>
        <w:contextualSpacing/>
        <w:jc w:val="both"/>
        <w:rPr>
          <w:rFonts w:ascii="Arial" w:eastAsia="Calibri" w:hAnsi="Arial" w:cs="Arial"/>
          <w:sz w:val="22"/>
          <w:szCs w:val="22"/>
          <w:lang w:val="es-CO" w:eastAsia="en-US"/>
        </w:rPr>
      </w:pPr>
    </w:p>
    <w:p w14:paraId="4D0D6576" w14:textId="77777777" w:rsidR="003A029C" w:rsidRPr="006021DA" w:rsidRDefault="003A029C"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La Entidad Territorial envió documento soporte de la publicación del Plan Anual de Adquisiciones en el SECOP I</w:t>
      </w:r>
      <w:r w:rsidR="00644CE3">
        <w:rPr>
          <w:rFonts w:ascii="Arial" w:eastAsia="Calibri" w:hAnsi="Arial" w:cs="Arial"/>
          <w:sz w:val="22"/>
          <w:szCs w:val="22"/>
          <w:lang w:val="es-CO" w:eastAsia="en-US"/>
        </w:rPr>
        <w:t>I</w:t>
      </w:r>
      <w:r w:rsidRPr="006021DA">
        <w:rPr>
          <w:rFonts w:ascii="Arial" w:eastAsia="Calibri" w:hAnsi="Arial" w:cs="Arial"/>
          <w:sz w:val="22"/>
          <w:szCs w:val="22"/>
          <w:lang w:val="es-CO" w:eastAsia="en-US"/>
        </w:rPr>
        <w:t>, para las vigencias evaluadas:</w:t>
      </w:r>
    </w:p>
    <w:p w14:paraId="15FA2F98" w14:textId="77777777" w:rsidR="003A029C" w:rsidRPr="006021DA" w:rsidRDefault="003A029C" w:rsidP="00835F25">
      <w:pPr>
        <w:contextualSpacing/>
        <w:jc w:val="both"/>
        <w:rPr>
          <w:rFonts w:ascii="Arial" w:eastAsia="Calibri" w:hAnsi="Arial" w:cs="Arial"/>
          <w:sz w:val="22"/>
          <w:szCs w:val="22"/>
          <w:lang w:val="es-CO" w:eastAsia="en-US"/>
        </w:rPr>
      </w:pPr>
    </w:p>
    <w:p w14:paraId="3A0097E3" w14:textId="77777777" w:rsidR="003A029C" w:rsidRPr="006021DA" w:rsidRDefault="003A029C" w:rsidP="00835F25">
      <w:pPr>
        <w:contextualSpacing/>
        <w:jc w:val="center"/>
        <w:rPr>
          <w:rFonts w:ascii="Arial" w:eastAsia="Calibri" w:hAnsi="Arial" w:cs="Arial"/>
          <w:b/>
          <w:sz w:val="20"/>
          <w:szCs w:val="22"/>
          <w:lang w:val="es-CO" w:eastAsia="en-US"/>
        </w:rPr>
      </w:pPr>
      <w:r w:rsidRPr="009505F3">
        <w:rPr>
          <w:rFonts w:ascii="Arial" w:hAnsi="Arial" w:cs="Arial"/>
          <w:b/>
          <w:bCs/>
          <w:i/>
          <w:iCs/>
          <w:color w:val="1F487C"/>
          <w:sz w:val="20"/>
          <w:szCs w:val="20"/>
        </w:rPr>
        <w:t xml:space="preserve">Tabla No. </w:t>
      </w:r>
      <w:r w:rsidR="00C03D8A">
        <w:rPr>
          <w:rFonts w:ascii="Arial" w:hAnsi="Arial" w:cs="Arial"/>
          <w:b/>
          <w:bCs/>
          <w:color w:val="1F497D" w:themeColor="text2"/>
          <w:sz w:val="20"/>
          <w:szCs w:val="20"/>
        </w:rPr>
        <w:t>20</w:t>
      </w:r>
      <w:r w:rsidR="00EE0320">
        <w:rPr>
          <w:rFonts w:ascii="Arial" w:hAnsi="Arial" w:cs="Arial"/>
          <w:b/>
          <w:bCs/>
          <w:color w:val="1F497D" w:themeColor="text2"/>
          <w:sz w:val="20"/>
          <w:szCs w:val="20"/>
        </w:rPr>
        <w:t xml:space="preserve"> </w:t>
      </w:r>
      <w:r w:rsidRPr="009505F3">
        <w:rPr>
          <w:rFonts w:ascii="Arial" w:hAnsi="Arial" w:cs="Arial"/>
          <w:b/>
          <w:bCs/>
          <w:i/>
          <w:iCs/>
          <w:color w:val="1F487C"/>
          <w:sz w:val="20"/>
          <w:szCs w:val="20"/>
        </w:rPr>
        <w:t>Plan Anual de Adquisiciones en el SECOP 202</w:t>
      </w:r>
      <w:r w:rsidR="009505F3">
        <w:rPr>
          <w:rFonts w:ascii="Arial" w:hAnsi="Arial" w:cs="Arial"/>
          <w:b/>
          <w:bCs/>
          <w:i/>
          <w:iCs/>
          <w:color w:val="1F487C"/>
          <w:sz w:val="20"/>
          <w:szCs w:val="20"/>
        </w:rPr>
        <w:t>1</w:t>
      </w:r>
      <w:r w:rsidRPr="009505F3">
        <w:rPr>
          <w:rFonts w:ascii="Arial" w:hAnsi="Arial" w:cs="Arial"/>
          <w:b/>
          <w:bCs/>
          <w:i/>
          <w:iCs/>
          <w:color w:val="1F487C"/>
          <w:sz w:val="20"/>
          <w:szCs w:val="20"/>
        </w:rPr>
        <w:t xml:space="preserve"> - 202</w:t>
      </w:r>
      <w:r w:rsidR="00856A24">
        <w:rPr>
          <w:rFonts w:ascii="Arial" w:hAnsi="Arial" w:cs="Arial"/>
          <w:b/>
          <w:bCs/>
          <w:i/>
          <w:iCs/>
          <w:color w:val="1F487C"/>
          <w:sz w:val="20"/>
          <w:szCs w:val="20"/>
        </w:rPr>
        <w:t>2</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3515"/>
        <w:gridCol w:w="3515"/>
      </w:tblGrid>
      <w:tr w:rsidR="003A029C" w:rsidRPr="006021DA" w14:paraId="4923ABA7" w14:textId="77777777" w:rsidTr="00B3648E">
        <w:trPr>
          <w:trHeight w:val="112"/>
          <w:tblHeader/>
        </w:trPr>
        <w:tc>
          <w:tcPr>
            <w:tcW w:w="2650" w:type="dxa"/>
            <w:shd w:val="clear" w:color="000000" w:fill="666699"/>
            <w:vAlign w:val="center"/>
            <w:hideMark/>
          </w:tcPr>
          <w:p w14:paraId="43CFA5BF" w14:textId="77777777" w:rsidR="003A029C" w:rsidRPr="00E1297B" w:rsidRDefault="003A029C" w:rsidP="00835F25">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CONCEPTO</w:t>
            </w:r>
          </w:p>
        </w:tc>
        <w:tc>
          <w:tcPr>
            <w:tcW w:w="6350" w:type="dxa"/>
            <w:gridSpan w:val="2"/>
            <w:shd w:val="clear" w:color="000000" w:fill="666699"/>
            <w:vAlign w:val="center"/>
            <w:hideMark/>
          </w:tcPr>
          <w:p w14:paraId="101678C4" w14:textId="77777777" w:rsidR="003A029C" w:rsidRPr="00E1297B" w:rsidRDefault="003A029C" w:rsidP="00835F25">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DESCRIPCION</w:t>
            </w:r>
          </w:p>
        </w:tc>
      </w:tr>
      <w:tr w:rsidR="003A029C" w:rsidRPr="006021DA" w14:paraId="030F585F" w14:textId="77777777" w:rsidTr="00B3648E">
        <w:trPr>
          <w:trHeight w:val="112"/>
          <w:tblHeader/>
        </w:trPr>
        <w:tc>
          <w:tcPr>
            <w:tcW w:w="2650" w:type="dxa"/>
            <w:shd w:val="clear" w:color="000000" w:fill="666699"/>
            <w:vAlign w:val="center"/>
            <w:hideMark/>
          </w:tcPr>
          <w:p w14:paraId="787D0533" w14:textId="77777777" w:rsidR="003A029C" w:rsidRPr="00E1297B" w:rsidRDefault="003A029C" w:rsidP="00835F25">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VIGENCIA</w:t>
            </w:r>
          </w:p>
        </w:tc>
        <w:tc>
          <w:tcPr>
            <w:tcW w:w="3515" w:type="dxa"/>
            <w:shd w:val="clear" w:color="000000" w:fill="666699"/>
            <w:vAlign w:val="center"/>
            <w:hideMark/>
          </w:tcPr>
          <w:p w14:paraId="6F3D6611" w14:textId="77777777" w:rsidR="003A029C" w:rsidRPr="00E1297B" w:rsidRDefault="003A029C" w:rsidP="00835F25">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202</w:t>
            </w:r>
            <w:r w:rsidR="00856A24">
              <w:rPr>
                <w:rFonts w:ascii="Arial" w:eastAsia="Times New Roman" w:hAnsi="Arial" w:cs="Arial"/>
                <w:b/>
                <w:bCs/>
                <w:color w:val="FFFFFF" w:themeColor="background1"/>
                <w:sz w:val="18"/>
                <w:szCs w:val="18"/>
                <w:lang w:val="es-CO" w:eastAsia="es-CO"/>
              </w:rPr>
              <w:t>1</w:t>
            </w:r>
          </w:p>
        </w:tc>
        <w:tc>
          <w:tcPr>
            <w:tcW w:w="2835" w:type="dxa"/>
            <w:shd w:val="clear" w:color="000000" w:fill="666699"/>
            <w:vAlign w:val="center"/>
            <w:hideMark/>
          </w:tcPr>
          <w:p w14:paraId="218193C9" w14:textId="77777777" w:rsidR="003A029C" w:rsidRPr="00E1297B" w:rsidRDefault="00856A24" w:rsidP="00835F25">
            <w:pPr>
              <w:contextualSpacing/>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2022</w:t>
            </w:r>
          </w:p>
        </w:tc>
      </w:tr>
      <w:tr w:rsidR="00E947EE" w:rsidRPr="006021DA" w14:paraId="45916CB4" w14:textId="77777777" w:rsidTr="00B3648E">
        <w:trPr>
          <w:trHeight w:val="112"/>
        </w:trPr>
        <w:tc>
          <w:tcPr>
            <w:tcW w:w="2650" w:type="dxa"/>
            <w:shd w:val="clear" w:color="auto" w:fill="auto"/>
            <w:vAlign w:val="center"/>
            <w:hideMark/>
          </w:tcPr>
          <w:p w14:paraId="7EBDD986" w14:textId="77777777" w:rsidR="00E947EE" w:rsidRPr="006021DA" w:rsidRDefault="00E947EE"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Código UNSPSC</w:t>
            </w:r>
          </w:p>
        </w:tc>
        <w:tc>
          <w:tcPr>
            <w:tcW w:w="3515" w:type="dxa"/>
            <w:shd w:val="clear" w:color="auto" w:fill="auto"/>
            <w:vAlign w:val="center"/>
          </w:tcPr>
          <w:p w14:paraId="544EDF8B" w14:textId="77777777" w:rsidR="00E947EE" w:rsidRPr="006021DA" w:rsidRDefault="00E947EE" w:rsidP="00835F25">
            <w:pPr>
              <w:contextualSpacing/>
              <w:jc w:val="center"/>
              <w:rPr>
                <w:rFonts w:ascii="Arial" w:eastAsia="Times New Roman" w:hAnsi="Arial" w:cs="Arial"/>
                <w:sz w:val="18"/>
                <w:szCs w:val="18"/>
                <w:lang w:val="es-CO" w:eastAsia="es-CO"/>
              </w:rPr>
            </w:pPr>
            <w:r w:rsidRPr="00856A24">
              <w:rPr>
                <w:rFonts w:ascii="Arial" w:eastAsia="Times New Roman" w:hAnsi="Arial" w:cs="Arial"/>
                <w:sz w:val="18"/>
                <w:szCs w:val="18"/>
                <w:lang w:val="es-CO" w:eastAsia="es-CO"/>
              </w:rPr>
              <w:t>93131608;85151600;90101600</w:t>
            </w:r>
          </w:p>
        </w:tc>
        <w:tc>
          <w:tcPr>
            <w:tcW w:w="2835" w:type="dxa"/>
            <w:shd w:val="clear" w:color="auto" w:fill="auto"/>
            <w:vAlign w:val="center"/>
          </w:tcPr>
          <w:p w14:paraId="70E2BD9F" w14:textId="77777777" w:rsidR="00E947EE" w:rsidRPr="006021DA" w:rsidRDefault="00E947EE" w:rsidP="00835F25">
            <w:pPr>
              <w:contextualSpacing/>
              <w:jc w:val="center"/>
              <w:rPr>
                <w:rFonts w:ascii="Arial" w:eastAsia="Times New Roman" w:hAnsi="Arial" w:cs="Arial"/>
                <w:sz w:val="18"/>
                <w:szCs w:val="18"/>
                <w:lang w:val="es-CO" w:eastAsia="es-CO"/>
              </w:rPr>
            </w:pPr>
            <w:r w:rsidRPr="00856A24">
              <w:rPr>
                <w:rFonts w:ascii="Arial" w:eastAsia="Times New Roman" w:hAnsi="Arial" w:cs="Arial"/>
                <w:sz w:val="18"/>
                <w:szCs w:val="18"/>
                <w:lang w:val="es-CO" w:eastAsia="es-CO"/>
              </w:rPr>
              <w:t>93131608;85151600;90101600</w:t>
            </w:r>
          </w:p>
        </w:tc>
      </w:tr>
      <w:tr w:rsidR="00E947EE" w:rsidRPr="006021DA" w14:paraId="200A8681" w14:textId="77777777" w:rsidTr="00B3648E">
        <w:trPr>
          <w:trHeight w:val="653"/>
        </w:trPr>
        <w:tc>
          <w:tcPr>
            <w:tcW w:w="2650" w:type="dxa"/>
            <w:shd w:val="clear" w:color="auto" w:fill="auto"/>
            <w:vAlign w:val="center"/>
            <w:hideMark/>
          </w:tcPr>
          <w:p w14:paraId="77041D9D" w14:textId="77777777" w:rsidR="00E947EE" w:rsidRPr="006021DA" w:rsidRDefault="00E947EE"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Descripción</w:t>
            </w:r>
          </w:p>
        </w:tc>
        <w:tc>
          <w:tcPr>
            <w:tcW w:w="3515" w:type="dxa"/>
            <w:shd w:val="clear" w:color="auto" w:fill="auto"/>
            <w:vAlign w:val="center"/>
          </w:tcPr>
          <w:p w14:paraId="73F10346" w14:textId="77777777" w:rsidR="00E947EE" w:rsidRPr="006021DA" w:rsidRDefault="00E947EE" w:rsidP="00835F25">
            <w:pPr>
              <w:contextualSpacing/>
              <w:jc w:val="center"/>
              <w:rPr>
                <w:rFonts w:ascii="Arial" w:eastAsia="Times New Roman" w:hAnsi="Arial" w:cs="Arial"/>
                <w:sz w:val="18"/>
                <w:szCs w:val="18"/>
                <w:lang w:val="es-CO" w:eastAsia="es-CO"/>
              </w:rPr>
            </w:pPr>
            <w:r w:rsidRPr="00856A24">
              <w:rPr>
                <w:rFonts w:ascii="Arial" w:eastAsia="Times New Roman" w:hAnsi="Arial" w:cs="Arial"/>
                <w:sz w:val="18"/>
                <w:szCs w:val="18"/>
                <w:lang w:val="es-CO" w:eastAsia="es-CO"/>
              </w:rPr>
              <w:t>CONTRATACIÓN DEL PROGRAMA DE ALIMENTACIÓN ESCOLAR PARA LA VIGENCIA 2021</w:t>
            </w:r>
          </w:p>
        </w:tc>
        <w:tc>
          <w:tcPr>
            <w:tcW w:w="2835" w:type="dxa"/>
            <w:shd w:val="clear" w:color="auto" w:fill="auto"/>
            <w:vAlign w:val="center"/>
          </w:tcPr>
          <w:p w14:paraId="00177C5C" w14:textId="77777777" w:rsidR="00E947EE" w:rsidRPr="006021DA" w:rsidRDefault="00E947EE" w:rsidP="00835F25">
            <w:pPr>
              <w:contextualSpacing/>
              <w:jc w:val="center"/>
              <w:rPr>
                <w:rFonts w:ascii="Arial" w:eastAsia="Times New Roman" w:hAnsi="Arial" w:cs="Arial"/>
                <w:sz w:val="18"/>
                <w:szCs w:val="18"/>
                <w:lang w:val="es-CO" w:eastAsia="es-CO"/>
              </w:rPr>
            </w:pPr>
            <w:r w:rsidRPr="00856A24">
              <w:rPr>
                <w:rFonts w:ascii="Arial" w:eastAsia="Times New Roman" w:hAnsi="Arial" w:cs="Arial"/>
                <w:sz w:val="18"/>
                <w:szCs w:val="18"/>
                <w:lang w:val="es-CO" w:eastAsia="es-CO"/>
              </w:rPr>
              <w:t>CONTRATACIÓN DEL PROGRAMA DE ALIMENTACIÓN ESCOLAR PARA LA VIGENCIA 202</w:t>
            </w:r>
            <w:r>
              <w:rPr>
                <w:rFonts w:ascii="Arial" w:eastAsia="Times New Roman" w:hAnsi="Arial" w:cs="Arial"/>
                <w:sz w:val="18"/>
                <w:szCs w:val="18"/>
                <w:lang w:val="es-CO" w:eastAsia="es-CO"/>
              </w:rPr>
              <w:t>2</w:t>
            </w:r>
          </w:p>
        </w:tc>
      </w:tr>
      <w:tr w:rsidR="003A029C" w:rsidRPr="006021DA" w14:paraId="37B6F8C4" w14:textId="77777777" w:rsidTr="00B3648E">
        <w:trPr>
          <w:trHeight w:val="177"/>
        </w:trPr>
        <w:tc>
          <w:tcPr>
            <w:tcW w:w="2650" w:type="dxa"/>
            <w:shd w:val="clear" w:color="auto" w:fill="auto"/>
            <w:vAlign w:val="center"/>
            <w:hideMark/>
          </w:tcPr>
          <w:p w14:paraId="4ED6B55E"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Fecha estimada de inicio de proceso de selección</w:t>
            </w:r>
          </w:p>
        </w:tc>
        <w:tc>
          <w:tcPr>
            <w:tcW w:w="3515" w:type="dxa"/>
            <w:shd w:val="clear" w:color="auto" w:fill="auto"/>
            <w:vAlign w:val="center"/>
            <w:hideMark/>
          </w:tcPr>
          <w:p w14:paraId="1DF8A899"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Enero</w:t>
            </w:r>
          </w:p>
        </w:tc>
        <w:tc>
          <w:tcPr>
            <w:tcW w:w="2835" w:type="dxa"/>
            <w:shd w:val="clear" w:color="auto" w:fill="auto"/>
            <w:vAlign w:val="center"/>
            <w:hideMark/>
          </w:tcPr>
          <w:p w14:paraId="6768BA10"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Enero</w:t>
            </w:r>
          </w:p>
        </w:tc>
      </w:tr>
      <w:tr w:rsidR="003A029C" w:rsidRPr="006021DA" w14:paraId="5F46DB27" w14:textId="77777777" w:rsidTr="00B3648E">
        <w:trPr>
          <w:trHeight w:val="112"/>
        </w:trPr>
        <w:tc>
          <w:tcPr>
            <w:tcW w:w="2650" w:type="dxa"/>
            <w:shd w:val="clear" w:color="auto" w:fill="auto"/>
            <w:vAlign w:val="center"/>
            <w:hideMark/>
          </w:tcPr>
          <w:p w14:paraId="017241D6"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Duración estimada del contrato </w:t>
            </w:r>
          </w:p>
        </w:tc>
        <w:tc>
          <w:tcPr>
            <w:tcW w:w="3515" w:type="dxa"/>
            <w:shd w:val="clear" w:color="auto" w:fill="auto"/>
            <w:vAlign w:val="center"/>
            <w:hideMark/>
          </w:tcPr>
          <w:p w14:paraId="17545EED"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11 meses</w:t>
            </w:r>
          </w:p>
        </w:tc>
        <w:tc>
          <w:tcPr>
            <w:tcW w:w="2835" w:type="dxa"/>
            <w:shd w:val="clear" w:color="auto" w:fill="auto"/>
            <w:vAlign w:val="center"/>
            <w:hideMark/>
          </w:tcPr>
          <w:p w14:paraId="1ACA55B6" w14:textId="77777777" w:rsidR="003A029C" w:rsidRPr="006021DA" w:rsidRDefault="00E947EE"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w:t>
            </w:r>
            <w:r w:rsidR="003A029C" w:rsidRPr="006021DA">
              <w:rPr>
                <w:rFonts w:ascii="Arial" w:eastAsia="Times New Roman" w:hAnsi="Arial" w:cs="Arial"/>
                <w:sz w:val="18"/>
                <w:szCs w:val="18"/>
                <w:lang w:val="es-CO" w:eastAsia="es-CO"/>
              </w:rPr>
              <w:t xml:space="preserve"> meses</w:t>
            </w:r>
          </w:p>
        </w:tc>
      </w:tr>
      <w:tr w:rsidR="004769A2" w:rsidRPr="006021DA" w14:paraId="44B3071D" w14:textId="77777777" w:rsidTr="00B3648E">
        <w:trPr>
          <w:trHeight w:val="112"/>
        </w:trPr>
        <w:tc>
          <w:tcPr>
            <w:tcW w:w="2650" w:type="dxa"/>
            <w:shd w:val="clear" w:color="auto" w:fill="auto"/>
            <w:vAlign w:val="center"/>
            <w:hideMark/>
          </w:tcPr>
          <w:p w14:paraId="3C5259EC" w14:textId="77777777" w:rsidR="004769A2" w:rsidRPr="006021DA" w:rsidRDefault="004769A2"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Modalidad de selección</w:t>
            </w:r>
          </w:p>
        </w:tc>
        <w:tc>
          <w:tcPr>
            <w:tcW w:w="3515" w:type="dxa"/>
            <w:shd w:val="clear" w:color="auto" w:fill="auto"/>
            <w:vAlign w:val="center"/>
            <w:hideMark/>
          </w:tcPr>
          <w:p w14:paraId="3E50805C" w14:textId="77777777" w:rsidR="004769A2" w:rsidRPr="006021DA" w:rsidRDefault="004769A2"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Régimen Especial</w:t>
            </w:r>
          </w:p>
        </w:tc>
        <w:tc>
          <w:tcPr>
            <w:tcW w:w="2835" w:type="dxa"/>
            <w:shd w:val="clear" w:color="auto" w:fill="auto"/>
            <w:vAlign w:val="center"/>
            <w:hideMark/>
          </w:tcPr>
          <w:p w14:paraId="31592A28" w14:textId="77777777" w:rsidR="004769A2" w:rsidRPr="006021DA" w:rsidRDefault="004769A2"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Régimen Especial</w:t>
            </w:r>
          </w:p>
        </w:tc>
      </w:tr>
      <w:tr w:rsidR="004769A2" w:rsidRPr="006021DA" w14:paraId="0210D96E" w14:textId="77777777" w:rsidTr="00B3648E">
        <w:trPr>
          <w:trHeight w:val="112"/>
        </w:trPr>
        <w:tc>
          <w:tcPr>
            <w:tcW w:w="2650" w:type="dxa"/>
            <w:shd w:val="clear" w:color="auto" w:fill="auto"/>
            <w:vAlign w:val="center"/>
            <w:hideMark/>
          </w:tcPr>
          <w:p w14:paraId="2324C16C" w14:textId="77777777" w:rsidR="004769A2" w:rsidRPr="006021DA" w:rsidRDefault="004769A2"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Fuente de los recursos  </w:t>
            </w:r>
          </w:p>
        </w:tc>
        <w:tc>
          <w:tcPr>
            <w:tcW w:w="3515" w:type="dxa"/>
            <w:shd w:val="clear" w:color="auto" w:fill="auto"/>
            <w:vAlign w:val="center"/>
            <w:hideMark/>
          </w:tcPr>
          <w:p w14:paraId="541D1690" w14:textId="77777777" w:rsidR="004769A2" w:rsidRPr="006021DA" w:rsidRDefault="004769A2"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Recursos Propios</w:t>
            </w:r>
          </w:p>
        </w:tc>
        <w:tc>
          <w:tcPr>
            <w:tcW w:w="2835" w:type="dxa"/>
            <w:shd w:val="clear" w:color="auto" w:fill="auto"/>
            <w:vAlign w:val="center"/>
            <w:hideMark/>
          </w:tcPr>
          <w:p w14:paraId="7AF77357" w14:textId="77777777" w:rsidR="004769A2" w:rsidRPr="006021DA" w:rsidRDefault="004769A2"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Recursos Propios</w:t>
            </w:r>
          </w:p>
        </w:tc>
      </w:tr>
      <w:tr w:rsidR="003A029C" w:rsidRPr="006021DA" w14:paraId="01BDE8D6" w14:textId="77777777" w:rsidTr="00B3648E">
        <w:trPr>
          <w:trHeight w:val="112"/>
        </w:trPr>
        <w:tc>
          <w:tcPr>
            <w:tcW w:w="2650" w:type="dxa"/>
            <w:shd w:val="clear" w:color="auto" w:fill="auto"/>
            <w:vAlign w:val="center"/>
            <w:hideMark/>
          </w:tcPr>
          <w:p w14:paraId="5B71F826"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Valor total estimado </w:t>
            </w:r>
          </w:p>
        </w:tc>
        <w:tc>
          <w:tcPr>
            <w:tcW w:w="3515" w:type="dxa"/>
            <w:shd w:val="clear" w:color="auto" w:fill="auto"/>
            <w:vAlign w:val="center"/>
            <w:hideMark/>
          </w:tcPr>
          <w:p w14:paraId="3E49A392"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w:t>
            </w:r>
            <w:r w:rsidR="00856A24">
              <w:rPr>
                <w:rFonts w:ascii="Arial" w:eastAsia="Times New Roman" w:hAnsi="Arial" w:cs="Arial"/>
                <w:sz w:val="18"/>
                <w:szCs w:val="18"/>
                <w:lang w:val="es-CO" w:eastAsia="es-CO"/>
              </w:rPr>
              <w:t>17.395.870.312</w:t>
            </w:r>
          </w:p>
        </w:tc>
        <w:tc>
          <w:tcPr>
            <w:tcW w:w="2835" w:type="dxa"/>
            <w:shd w:val="clear" w:color="auto" w:fill="auto"/>
            <w:vAlign w:val="center"/>
            <w:hideMark/>
          </w:tcPr>
          <w:p w14:paraId="2A14F9BF"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w:t>
            </w:r>
            <w:r w:rsidR="004769A2">
              <w:rPr>
                <w:rFonts w:ascii="Arial" w:eastAsia="Times New Roman" w:hAnsi="Arial" w:cs="Arial"/>
                <w:sz w:val="18"/>
                <w:szCs w:val="18"/>
                <w:lang w:val="es-CO" w:eastAsia="es-CO"/>
              </w:rPr>
              <w:t>0.000.0</w:t>
            </w:r>
            <w:r w:rsidRPr="006021DA">
              <w:rPr>
                <w:rFonts w:ascii="Arial" w:eastAsia="Times New Roman" w:hAnsi="Arial" w:cs="Arial"/>
                <w:sz w:val="18"/>
                <w:szCs w:val="18"/>
                <w:lang w:val="es-CO" w:eastAsia="es-CO"/>
              </w:rPr>
              <w:t>00.000</w:t>
            </w:r>
          </w:p>
        </w:tc>
      </w:tr>
      <w:tr w:rsidR="003A029C" w:rsidRPr="006021DA" w14:paraId="71B307C7" w14:textId="77777777" w:rsidTr="00B3648E">
        <w:trPr>
          <w:trHeight w:val="177"/>
        </w:trPr>
        <w:tc>
          <w:tcPr>
            <w:tcW w:w="2650" w:type="dxa"/>
            <w:shd w:val="clear" w:color="auto" w:fill="auto"/>
            <w:vAlign w:val="center"/>
            <w:hideMark/>
          </w:tcPr>
          <w:p w14:paraId="6D9A020D"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Valor estimado en la vigencia actual</w:t>
            </w:r>
          </w:p>
        </w:tc>
        <w:tc>
          <w:tcPr>
            <w:tcW w:w="3515" w:type="dxa"/>
            <w:shd w:val="clear" w:color="auto" w:fill="auto"/>
            <w:vAlign w:val="center"/>
            <w:hideMark/>
          </w:tcPr>
          <w:p w14:paraId="484DA24A" w14:textId="77777777" w:rsidR="003A029C" w:rsidRPr="006021DA" w:rsidRDefault="00856A24"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w:t>
            </w:r>
            <w:r>
              <w:rPr>
                <w:rFonts w:ascii="Arial" w:eastAsia="Times New Roman" w:hAnsi="Arial" w:cs="Arial"/>
                <w:sz w:val="18"/>
                <w:szCs w:val="18"/>
                <w:lang w:val="es-CO" w:eastAsia="es-CO"/>
              </w:rPr>
              <w:t>17.395.870.312</w:t>
            </w:r>
          </w:p>
        </w:tc>
        <w:tc>
          <w:tcPr>
            <w:tcW w:w="2835" w:type="dxa"/>
            <w:shd w:val="clear" w:color="auto" w:fill="auto"/>
            <w:vAlign w:val="center"/>
            <w:hideMark/>
          </w:tcPr>
          <w:p w14:paraId="6557BB23" w14:textId="77777777" w:rsidR="003A029C" w:rsidRPr="006021DA" w:rsidRDefault="004769A2"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w:t>
            </w:r>
            <w:r>
              <w:rPr>
                <w:rFonts w:ascii="Arial" w:eastAsia="Times New Roman" w:hAnsi="Arial" w:cs="Arial"/>
                <w:sz w:val="18"/>
                <w:szCs w:val="18"/>
                <w:lang w:val="es-CO" w:eastAsia="es-CO"/>
              </w:rPr>
              <w:t>0.000.0</w:t>
            </w:r>
            <w:r w:rsidRPr="006021DA">
              <w:rPr>
                <w:rFonts w:ascii="Arial" w:eastAsia="Times New Roman" w:hAnsi="Arial" w:cs="Arial"/>
                <w:sz w:val="18"/>
                <w:szCs w:val="18"/>
                <w:lang w:val="es-CO" w:eastAsia="es-CO"/>
              </w:rPr>
              <w:t>00.000</w:t>
            </w:r>
          </w:p>
        </w:tc>
      </w:tr>
      <w:tr w:rsidR="003A029C" w:rsidRPr="006021DA" w14:paraId="06736B93" w14:textId="77777777" w:rsidTr="00B3648E">
        <w:trPr>
          <w:trHeight w:val="177"/>
        </w:trPr>
        <w:tc>
          <w:tcPr>
            <w:tcW w:w="2650" w:type="dxa"/>
            <w:shd w:val="clear" w:color="auto" w:fill="auto"/>
            <w:vAlign w:val="center"/>
            <w:hideMark/>
          </w:tcPr>
          <w:p w14:paraId="7C3E43DE"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¿Se requieren Vigencias Futuras?</w:t>
            </w:r>
          </w:p>
        </w:tc>
        <w:tc>
          <w:tcPr>
            <w:tcW w:w="3515" w:type="dxa"/>
            <w:shd w:val="clear" w:color="auto" w:fill="auto"/>
            <w:vAlign w:val="center"/>
            <w:hideMark/>
          </w:tcPr>
          <w:p w14:paraId="7BBE8F1C"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w:t>
            </w:r>
          </w:p>
        </w:tc>
        <w:tc>
          <w:tcPr>
            <w:tcW w:w="2835" w:type="dxa"/>
            <w:shd w:val="clear" w:color="auto" w:fill="auto"/>
            <w:vAlign w:val="center"/>
            <w:hideMark/>
          </w:tcPr>
          <w:p w14:paraId="588521ED"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w:t>
            </w:r>
          </w:p>
        </w:tc>
      </w:tr>
      <w:tr w:rsidR="003A029C" w:rsidRPr="006021DA" w14:paraId="6392E08D" w14:textId="77777777" w:rsidTr="00B3648E">
        <w:trPr>
          <w:trHeight w:val="177"/>
        </w:trPr>
        <w:tc>
          <w:tcPr>
            <w:tcW w:w="2650" w:type="dxa"/>
            <w:shd w:val="clear" w:color="auto" w:fill="auto"/>
            <w:vAlign w:val="center"/>
            <w:hideMark/>
          </w:tcPr>
          <w:p w14:paraId="14F29E27"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Estado de la solicitud de la Vigencias Futuras </w:t>
            </w:r>
          </w:p>
        </w:tc>
        <w:tc>
          <w:tcPr>
            <w:tcW w:w="3515" w:type="dxa"/>
            <w:shd w:val="clear" w:color="auto" w:fill="auto"/>
            <w:vAlign w:val="center"/>
            <w:hideMark/>
          </w:tcPr>
          <w:p w14:paraId="3AA9F70A"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N/A</w:t>
            </w:r>
          </w:p>
        </w:tc>
        <w:tc>
          <w:tcPr>
            <w:tcW w:w="2835" w:type="dxa"/>
            <w:shd w:val="clear" w:color="auto" w:fill="auto"/>
            <w:vAlign w:val="center"/>
            <w:hideMark/>
          </w:tcPr>
          <w:p w14:paraId="25770F4E" w14:textId="77777777" w:rsidR="003A029C" w:rsidRPr="006021DA" w:rsidRDefault="003A029C"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N/A</w:t>
            </w:r>
          </w:p>
        </w:tc>
      </w:tr>
      <w:tr w:rsidR="004769A2" w:rsidRPr="006021DA" w14:paraId="1F50BC7B" w14:textId="77777777" w:rsidTr="00B3648E">
        <w:trPr>
          <w:trHeight w:val="521"/>
        </w:trPr>
        <w:tc>
          <w:tcPr>
            <w:tcW w:w="2650" w:type="dxa"/>
            <w:shd w:val="clear" w:color="auto" w:fill="auto"/>
            <w:vAlign w:val="center"/>
            <w:hideMark/>
          </w:tcPr>
          <w:p w14:paraId="14BD6A6D" w14:textId="77777777" w:rsidR="004769A2" w:rsidRPr="006021DA" w:rsidRDefault="004769A2"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Datos de contacto del responsable. </w:t>
            </w:r>
          </w:p>
        </w:tc>
        <w:tc>
          <w:tcPr>
            <w:tcW w:w="3515" w:type="dxa"/>
            <w:shd w:val="clear" w:color="auto" w:fill="auto"/>
            <w:vAlign w:val="center"/>
            <w:hideMark/>
          </w:tcPr>
          <w:p w14:paraId="41A88BF9" w14:textId="77777777" w:rsidR="004769A2" w:rsidRPr="006021DA" w:rsidRDefault="004769A2"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Secretaría de Educación Distrital</w:t>
            </w:r>
            <w:r w:rsidRPr="006021DA">
              <w:rPr>
                <w:rFonts w:ascii="Arial" w:eastAsia="Times New Roman" w:hAnsi="Arial" w:cs="Arial"/>
                <w:sz w:val="18"/>
                <w:szCs w:val="18"/>
                <w:lang w:val="es-CO" w:eastAsia="es-CO"/>
              </w:rPr>
              <w:t xml:space="preserve">. </w:t>
            </w:r>
            <w:hyperlink r:id="rId22" w:history="1">
              <w:r w:rsidRPr="00E24665">
                <w:rPr>
                  <w:rStyle w:val="Hipervnculo"/>
                  <w:rFonts w:ascii="Arial" w:eastAsia="Times New Roman" w:hAnsi="Arial" w:cs="Arial"/>
                  <w:sz w:val="18"/>
                  <w:szCs w:val="18"/>
                  <w:lang w:val="es-CO" w:eastAsia="es-CO"/>
                </w:rPr>
                <w:t>secretariadeeducacion@cartagena.gov.co</w:t>
              </w:r>
            </w:hyperlink>
            <w:r>
              <w:rPr>
                <w:rFonts w:ascii="Arial" w:eastAsia="Times New Roman" w:hAnsi="Arial" w:cs="Arial"/>
                <w:sz w:val="18"/>
                <w:szCs w:val="18"/>
                <w:lang w:val="es-CO" w:eastAsia="es-CO"/>
              </w:rPr>
              <w:t xml:space="preserve"> </w:t>
            </w:r>
            <w:r w:rsidRPr="006021DA">
              <w:rPr>
                <w:rFonts w:ascii="Arial" w:eastAsia="Times New Roman" w:hAnsi="Arial" w:cs="Arial"/>
                <w:sz w:val="18"/>
                <w:szCs w:val="18"/>
                <w:lang w:val="es-CO" w:eastAsia="es-CO"/>
              </w:rPr>
              <w:t xml:space="preserve"> </w:t>
            </w:r>
          </w:p>
        </w:tc>
        <w:tc>
          <w:tcPr>
            <w:tcW w:w="2835" w:type="dxa"/>
            <w:shd w:val="clear" w:color="auto" w:fill="auto"/>
            <w:vAlign w:val="center"/>
            <w:hideMark/>
          </w:tcPr>
          <w:p w14:paraId="7A0EA805" w14:textId="77777777" w:rsidR="004769A2" w:rsidRPr="006021DA" w:rsidRDefault="004769A2"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Secretaría de Educación Distrital</w:t>
            </w:r>
            <w:r w:rsidRPr="006021DA">
              <w:rPr>
                <w:rFonts w:ascii="Arial" w:eastAsia="Times New Roman" w:hAnsi="Arial" w:cs="Arial"/>
                <w:sz w:val="18"/>
                <w:szCs w:val="18"/>
                <w:lang w:val="es-CO" w:eastAsia="es-CO"/>
              </w:rPr>
              <w:t xml:space="preserve">. </w:t>
            </w:r>
            <w:hyperlink r:id="rId23" w:history="1">
              <w:r w:rsidRPr="00E24665">
                <w:rPr>
                  <w:rStyle w:val="Hipervnculo"/>
                  <w:rFonts w:ascii="Arial" w:eastAsia="Times New Roman" w:hAnsi="Arial" w:cs="Arial"/>
                  <w:sz w:val="18"/>
                  <w:szCs w:val="18"/>
                  <w:lang w:val="es-CO" w:eastAsia="es-CO"/>
                </w:rPr>
                <w:t>secretariadeeducacion@cartagena.gov.co</w:t>
              </w:r>
            </w:hyperlink>
            <w:r>
              <w:rPr>
                <w:rFonts w:ascii="Arial" w:eastAsia="Times New Roman" w:hAnsi="Arial" w:cs="Arial"/>
                <w:sz w:val="18"/>
                <w:szCs w:val="18"/>
                <w:lang w:val="es-CO" w:eastAsia="es-CO"/>
              </w:rPr>
              <w:t xml:space="preserve"> </w:t>
            </w:r>
            <w:r w:rsidRPr="006021DA">
              <w:rPr>
                <w:rFonts w:ascii="Arial" w:eastAsia="Times New Roman" w:hAnsi="Arial" w:cs="Arial"/>
                <w:sz w:val="18"/>
                <w:szCs w:val="18"/>
                <w:lang w:val="es-CO" w:eastAsia="es-CO"/>
              </w:rPr>
              <w:t xml:space="preserve"> </w:t>
            </w:r>
          </w:p>
        </w:tc>
      </w:tr>
    </w:tbl>
    <w:p w14:paraId="775B8D7A" w14:textId="77777777" w:rsidR="003A029C" w:rsidRPr="006021DA" w:rsidRDefault="003A029C" w:rsidP="00835F25">
      <w:pPr>
        <w:contextualSpacing/>
        <w:jc w:val="center"/>
        <w:rPr>
          <w:rFonts w:ascii="Arial" w:eastAsia="Calibri" w:hAnsi="Arial" w:cs="Arial"/>
          <w:sz w:val="16"/>
          <w:szCs w:val="16"/>
          <w:lang w:val="es-CO" w:eastAsia="en-US"/>
        </w:rPr>
      </w:pPr>
      <w:r w:rsidRPr="006021DA">
        <w:rPr>
          <w:rFonts w:ascii="Arial" w:eastAsia="Calibri" w:hAnsi="Arial" w:cs="Arial"/>
          <w:sz w:val="16"/>
          <w:szCs w:val="16"/>
          <w:lang w:val="es-CO" w:eastAsia="en-US"/>
        </w:rPr>
        <w:t>Fuente: Información reportada por el Distrito en el SECOP I</w:t>
      </w:r>
      <w:r w:rsidR="00777301">
        <w:rPr>
          <w:rFonts w:ascii="Arial" w:eastAsia="Calibri" w:hAnsi="Arial" w:cs="Arial"/>
          <w:sz w:val="16"/>
          <w:szCs w:val="16"/>
          <w:lang w:val="es-CO" w:eastAsia="en-US"/>
        </w:rPr>
        <w:t>I</w:t>
      </w:r>
      <w:r w:rsidRPr="006021DA">
        <w:rPr>
          <w:rFonts w:ascii="Arial" w:eastAsia="Calibri" w:hAnsi="Arial" w:cs="Arial"/>
          <w:sz w:val="16"/>
          <w:szCs w:val="16"/>
          <w:lang w:val="es-CO" w:eastAsia="en-US"/>
        </w:rPr>
        <w:t>– P</w:t>
      </w:r>
      <w:r w:rsidR="00777301">
        <w:rPr>
          <w:rFonts w:ascii="Arial" w:eastAsia="Calibri" w:hAnsi="Arial" w:cs="Arial"/>
          <w:sz w:val="16"/>
          <w:szCs w:val="16"/>
          <w:lang w:val="es-CO" w:eastAsia="en-US"/>
        </w:rPr>
        <w:t>AA</w:t>
      </w:r>
      <w:r w:rsidRPr="006021DA">
        <w:rPr>
          <w:rFonts w:ascii="Arial" w:eastAsia="Calibri" w:hAnsi="Arial" w:cs="Arial"/>
          <w:sz w:val="16"/>
          <w:szCs w:val="16"/>
          <w:lang w:val="es-CO" w:eastAsia="en-US"/>
        </w:rPr>
        <w:t>.</w:t>
      </w:r>
    </w:p>
    <w:p w14:paraId="0E4F7683" w14:textId="77777777" w:rsidR="003A029C" w:rsidRPr="00B3648E" w:rsidRDefault="003A029C" w:rsidP="00835F25">
      <w:pPr>
        <w:contextualSpacing/>
        <w:jc w:val="both"/>
        <w:rPr>
          <w:rFonts w:ascii="Arial" w:eastAsia="Calibri" w:hAnsi="Arial" w:cs="Arial"/>
          <w:sz w:val="22"/>
          <w:szCs w:val="22"/>
          <w:lang w:val="es-CO" w:eastAsia="en-US"/>
        </w:rPr>
      </w:pPr>
    </w:p>
    <w:p w14:paraId="1982365D" w14:textId="77777777" w:rsidR="003A029C" w:rsidRPr="006021DA" w:rsidRDefault="003A029C" w:rsidP="00835F25">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Sin embargo, se recomienda para la columna “</w:t>
      </w:r>
      <w:r w:rsidRPr="006021DA">
        <w:rPr>
          <w:rFonts w:ascii="Arial" w:eastAsia="Calibri" w:hAnsi="Arial" w:cs="Arial"/>
          <w:i/>
          <w:sz w:val="22"/>
          <w:szCs w:val="22"/>
          <w:lang w:val="es-CO" w:eastAsia="en-US"/>
        </w:rPr>
        <w:t>Fecha estimada de inicio de proceso selección</w:t>
      </w:r>
      <w:r w:rsidRPr="006021DA">
        <w:rPr>
          <w:rFonts w:ascii="Arial" w:eastAsia="Calibri" w:hAnsi="Arial" w:cs="Arial"/>
          <w:sz w:val="22"/>
          <w:szCs w:val="22"/>
          <w:lang w:val="es-CO" w:eastAsia="en-US"/>
        </w:rPr>
        <w:t>”, diligenciar la fecha exacta, la cual debería ser previa al inicio de la establecida en la Resolución de Calendario Escolar. Al igual, la columna “</w:t>
      </w:r>
      <w:r w:rsidRPr="006021DA">
        <w:rPr>
          <w:rFonts w:ascii="Arial" w:eastAsia="Calibri" w:hAnsi="Arial" w:cs="Arial"/>
          <w:i/>
          <w:sz w:val="22"/>
          <w:szCs w:val="22"/>
          <w:lang w:val="es-CO" w:eastAsia="en-US"/>
        </w:rPr>
        <w:t>Duración estimada del contrato</w:t>
      </w:r>
      <w:r w:rsidRPr="006021DA">
        <w:rPr>
          <w:rFonts w:ascii="Arial" w:eastAsia="Calibri" w:hAnsi="Arial" w:cs="Arial"/>
          <w:sz w:val="22"/>
          <w:szCs w:val="22"/>
          <w:lang w:val="es-CO" w:eastAsia="en-US"/>
        </w:rPr>
        <w:t xml:space="preserve">”, de conformidad con lo establecido en la normatividad del PAE, debe corresponder a la prestación del </w:t>
      </w:r>
      <w:r>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ervicio por 180 días de calendario escolar que tiene el año académico. Al respecto, si bien el Decreto 1082 de </w:t>
      </w:r>
      <w:r w:rsidRPr="006021DA">
        <w:rPr>
          <w:rFonts w:ascii="Arial" w:eastAsia="Calibri" w:hAnsi="Arial" w:cs="Arial"/>
          <w:sz w:val="22"/>
          <w:szCs w:val="22"/>
          <w:lang w:val="es-CO" w:eastAsia="en-US"/>
        </w:rPr>
        <w:lastRenderedPageBreak/>
        <w:t>2015, en los artículos 2.2.1.1.1.4.1 a 2.2.1.1.1.4.4. establecen que la información suministrada en el Plan Anual de Adquisiciones es estimada</w:t>
      </w:r>
      <w:r>
        <w:rPr>
          <w:rFonts w:ascii="Arial" w:eastAsia="Calibri" w:hAnsi="Arial" w:cs="Arial"/>
          <w:sz w:val="22"/>
          <w:szCs w:val="22"/>
          <w:lang w:val="es-CO" w:eastAsia="en-US"/>
        </w:rPr>
        <w:t>;</w:t>
      </w:r>
      <w:r w:rsidRPr="006021DA">
        <w:rPr>
          <w:rFonts w:ascii="Arial" w:eastAsia="Calibri" w:hAnsi="Arial" w:cs="Arial"/>
          <w:sz w:val="22"/>
          <w:szCs w:val="22"/>
          <w:lang w:val="es-CO" w:eastAsia="en-US"/>
        </w:rPr>
        <w:t xml:space="preserve"> </w:t>
      </w:r>
      <w:r w:rsidR="004E7F05">
        <w:rPr>
          <w:rFonts w:ascii="Arial" w:eastAsia="Calibri" w:hAnsi="Arial" w:cs="Arial"/>
          <w:sz w:val="22"/>
          <w:szCs w:val="22"/>
          <w:lang w:val="es-CO" w:eastAsia="en-US"/>
        </w:rPr>
        <w:t>no obstante</w:t>
      </w:r>
      <w:r w:rsidRPr="006021DA">
        <w:rPr>
          <w:rFonts w:ascii="Arial" w:eastAsia="Calibri" w:hAnsi="Arial" w:cs="Arial"/>
          <w:sz w:val="22"/>
          <w:szCs w:val="22"/>
          <w:lang w:val="es-CO" w:eastAsia="en-US"/>
        </w:rPr>
        <w:t>, cuando se habla del Programa de Alimentación Escolar la Administración Distrital debería ser más específica en la información allí indicada.</w:t>
      </w:r>
    </w:p>
    <w:p w14:paraId="336C5F29" w14:textId="77777777" w:rsidR="00D4744C" w:rsidRPr="006021DA" w:rsidRDefault="00D4744C" w:rsidP="00835F25">
      <w:pPr>
        <w:contextualSpacing/>
        <w:jc w:val="both"/>
        <w:rPr>
          <w:rFonts w:ascii="Arial" w:eastAsia="Calibri" w:hAnsi="Arial" w:cs="Arial"/>
          <w:sz w:val="22"/>
          <w:szCs w:val="22"/>
          <w:lang w:val="es-CO" w:eastAsia="en-US"/>
        </w:rPr>
      </w:pPr>
    </w:p>
    <w:p w14:paraId="5F8B6569" w14:textId="77777777" w:rsidR="009D6BA8" w:rsidRPr="006021DA" w:rsidRDefault="009D6BA8"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3A029C">
        <w:rPr>
          <w:rFonts w:ascii="Arial" w:eastAsia="Calibri" w:hAnsi="Arial" w:cs="Arial"/>
          <w:b/>
          <w:sz w:val="22"/>
          <w:szCs w:val="22"/>
          <w:lang w:val="es-CO" w:eastAsia="en-US"/>
        </w:rPr>
        <w:t>Cumple.</w:t>
      </w:r>
    </w:p>
    <w:p w14:paraId="01BE4BDC" w14:textId="77777777" w:rsidR="009D6BA8" w:rsidRPr="006021DA" w:rsidRDefault="009D6BA8" w:rsidP="00835F25">
      <w:pPr>
        <w:contextualSpacing/>
        <w:jc w:val="both"/>
        <w:rPr>
          <w:rFonts w:ascii="Arial" w:eastAsia="Calibri" w:hAnsi="Arial" w:cs="Arial"/>
          <w:sz w:val="22"/>
          <w:szCs w:val="22"/>
          <w:highlight w:val="yellow"/>
          <w:lang w:val="es-CO" w:eastAsia="en-US"/>
        </w:rPr>
      </w:pPr>
    </w:p>
    <w:p w14:paraId="7C70DACF" w14:textId="77777777" w:rsidR="008F095B" w:rsidRPr="006021DA" w:rsidRDefault="008F095B" w:rsidP="00835F25">
      <w:pPr>
        <w:pStyle w:val="Prrafodelista"/>
        <w:numPr>
          <w:ilvl w:val="0"/>
          <w:numId w:val="9"/>
        </w:numPr>
        <w:spacing w:after="160"/>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Categoría </w:t>
      </w:r>
      <w:r w:rsidR="00D4744C" w:rsidRPr="006021DA">
        <w:rPr>
          <w:rFonts w:ascii="Arial" w:eastAsia="Calibri" w:hAnsi="Arial" w:cs="Arial"/>
          <w:b/>
          <w:sz w:val="22"/>
          <w:szCs w:val="22"/>
          <w:lang w:val="es-CO" w:eastAsia="en-US"/>
        </w:rPr>
        <w:t>Prestación del Servicio</w:t>
      </w:r>
      <w:r w:rsidR="00AD5495" w:rsidRPr="006021DA">
        <w:rPr>
          <w:rFonts w:ascii="Arial" w:eastAsia="Calibri" w:hAnsi="Arial" w:cs="Arial"/>
          <w:b/>
          <w:sz w:val="22"/>
          <w:szCs w:val="22"/>
          <w:lang w:val="es-CO" w:eastAsia="en-US"/>
        </w:rPr>
        <w:t>.</w:t>
      </w:r>
    </w:p>
    <w:p w14:paraId="108737A2" w14:textId="77777777" w:rsidR="008F095B" w:rsidRPr="006021DA" w:rsidRDefault="008F095B" w:rsidP="00835F25">
      <w:pPr>
        <w:contextualSpacing/>
        <w:jc w:val="both"/>
        <w:rPr>
          <w:rFonts w:ascii="Arial" w:eastAsia="Calibri" w:hAnsi="Arial" w:cs="Arial"/>
          <w:b/>
          <w:sz w:val="22"/>
          <w:szCs w:val="22"/>
          <w:lang w:val="es-CO" w:eastAsia="en-US"/>
        </w:rPr>
      </w:pPr>
    </w:p>
    <w:p w14:paraId="2E6DF2C8" w14:textId="77777777" w:rsidR="008F095B" w:rsidRDefault="003A2F9C" w:rsidP="00835F25">
      <w:pPr>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3</w:t>
      </w:r>
      <w:r w:rsidR="008F095B" w:rsidRPr="006021DA">
        <w:rPr>
          <w:rFonts w:ascii="Arial" w:eastAsia="Calibri" w:hAnsi="Arial" w:cs="Arial"/>
          <w:b/>
          <w:sz w:val="22"/>
          <w:szCs w:val="22"/>
          <w:lang w:val="es-CO" w:eastAsia="en-US"/>
        </w:rPr>
        <w:t>.1. Objetivo:</w:t>
      </w:r>
      <w:r w:rsidR="008F095B" w:rsidRPr="006021DA">
        <w:rPr>
          <w:rFonts w:ascii="Arial" w:eastAsia="Calibri" w:hAnsi="Arial" w:cs="Arial"/>
          <w:sz w:val="22"/>
          <w:szCs w:val="22"/>
          <w:lang w:val="es-CO" w:eastAsia="en-US"/>
        </w:rPr>
        <w:t xml:space="preserve"> </w:t>
      </w:r>
      <w:r w:rsidR="003919BA" w:rsidRPr="006021DA">
        <w:rPr>
          <w:rFonts w:ascii="Arial" w:eastAsia="Calibri" w:hAnsi="Arial" w:cs="Arial"/>
          <w:sz w:val="22"/>
          <w:szCs w:val="22"/>
          <w:lang w:val="es-CO" w:eastAsia="en-US"/>
        </w:rPr>
        <w:t xml:space="preserve">Identificar a nivel institucional las actividades de los actores involucrados en la implementación del PAE, para determinar si el </w:t>
      </w:r>
      <w:r w:rsidR="00AD5495" w:rsidRPr="006021DA">
        <w:rPr>
          <w:rFonts w:ascii="Arial" w:eastAsia="Calibri" w:hAnsi="Arial" w:cs="Arial"/>
          <w:sz w:val="22"/>
          <w:szCs w:val="22"/>
          <w:lang w:val="es-CO" w:eastAsia="en-US"/>
        </w:rPr>
        <w:t>S</w:t>
      </w:r>
      <w:r w:rsidR="003919BA" w:rsidRPr="006021DA">
        <w:rPr>
          <w:rFonts w:ascii="Arial" w:eastAsia="Calibri" w:hAnsi="Arial" w:cs="Arial"/>
          <w:sz w:val="22"/>
          <w:szCs w:val="22"/>
          <w:lang w:val="es-CO" w:eastAsia="en-US"/>
        </w:rPr>
        <w:t xml:space="preserve">ervicio de </w:t>
      </w:r>
      <w:r w:rsidR="00AD5495" w:rsidRPr="006021DA">
        <w:rPr>
          <w:rFonts w:ascii="Arial" w:eastAsia="Calibri" w:hAnsi="Arial" w:cs="Arial"/>
          <w:sz w:val="22"/>
          <w:szCs w:val="22"/>
          <w:lang w:val="es-CO" w:eastAsia="en-US"/>
        </w:rPr>
        <w:t>A</w:t>
      </w:r>
      <w:r w:rsidR="003919BA" w:rsidRPr="006021DA">
        <w:rPr>
          <w:rFonts w:ascii="Arial" w:eastAsia="Calibri" w:hAnsi="Arial" w:cs="Arial"/>
          <w:sz w:val="22"/>
          <w:szCs w:val="22"/>
          <w:lang w:val="es-CO" w:eastAsia="en-US"/>
        </w:rPr>
        <w:t xml:space="preserve">limentación </w:t>
      </w:r>
      <w:r w:rsidR="00AD5495" w:rsidRPr="006021DA">
        <w:rPr>
          <w:rFonts w:ascii="Arial" w:eastAsia="Calibri" w:hAnsi="Arial" w:cs="Arial"/>
          <w:sz w:val="22"/>
          <w:szCs w:val="22"/>
          <w:lang w:val="es-CO" w:eastAsia="en-US"/>
        </w:rPr>
        <w:t xml:space="preserve">Escolar </w:t>
      </w:r>
      <w:r w:rsidR="003919BA" w:rsidRPr="006021DA">
        <w:rPr>
          <w:rFonts w:ascii="Arial" w:eastAsia="Calibri" w:hAnsi="Arial" w:cs="Arial"/>
          <w:sz w:val="22"/>
          <w:szCs w:val="22"/>
          <w:lang w:val="es-CO" w:eastAsia="en-US"/>
        </w:rPr>
        <w:t>se está brindando conforme lo establece la normatividad vigente.</w:t>
      </w:r>
    </w:p>
    <w:p w14:paraId="4B07AD96" w14:textId="77777777" w:rsidR="005F6585" w:rsidRDefault="005F6585" w:rsidP="00835F25">
      <w:pPr>
        <w:contextualSpacing/>
        <w:jc w:val="both"/>
        <w:rPr>
          <w:rFonts w:ascii="Arial" w:eastAsia="Calibri" w:hAnsi="Arial" w:cs="Arial"/>
          <w:sz w:val="22"/>
          <w:szCs w:val="22"/>
          <w:lang w:val="es-CO" w:eastAsia="en-US"/>
        </w:rPr>
      </w:pPr>
    </w:p>
    <w:p w14:paraId="009B1F8C" w14:textId="77777777" w:rsidR="00206880" w:rsidRPr="00206880" w:rsidRDefault="005F6585"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3.1.1. </w:t>
      </w:r>
      <w:r w:rsidR="00206880" w:rsidRPr="00206880">
        <w:rPr>
          <w:rFonts w:ascii="Arial" w:eastAsia="Calibri" w:hAnsi="Arial" w:cs="Arial"/>
          <w:b/>
          <w:sz w:val="22"/>
          <w:szCs w:val="22"/>
          <w:lang w:val="es-CO" w:eastAsia="en-US"/>
        </w:rPr>
        <w:t>Elaborar el Diagnóstico Situacional, establecido en los Lineamientos Técnicos, que permita la identificación de la población que debe recibir prioritariamente la atención alimentaria, así como la verificación de la cobertura real del Programa, con la caracterización del acceso, infraestructura y dotación de los Establecimientos y sedes educativas de su territorio.</w:t>
      </w:r>
    </w:p>
    <w:p w14:paraId="5A15FF58" w14:textId="77777777" w:rsidR="005F6585" w:rsidRDefault="005F6585" w:rsidP="00835F25">
      <w:pPr>
        <w:contextualSpacing/>
        <w:jc w:val="both"/>
        <w:rPr>
          <w:rFonts w:ascii="Arial" w:eastAsia="Calibri" w:hAnsi="Arial" w:cs="Arial"/>
          <w:sz w:val="22"/>
          <w:szCs w:val="22"/>
          <w:lang w:val="es-CO" w:eastAsia="en-US"/>
        </w:rPr>
      </w:pPr>
    </w:p>
    <w:p w14:paraId="18F1C9BC" w14:textId="77777777" w:rsidR="00E84029" w:rsidRPr="00051FE3" w:rsidRDefault="00E84029" w:rsidP="00835F25">
      <w:pPr>
        <w:contextualSpacing/>
        <w:jc w:val="both"/>
        <w:rPr>
          <w:rFonts w:ascii="Arial" w:eastAsia="Calibri" w:hAnsi="Arial" w:cs="Arial"/>
          <w:bCs/>
          <w:sz w:val="22"/>
          <w:szCs w:val="22"/>
          <w:lang w:val="es-CO" w:eastAsia="en-US"/>
        </w:rPr>
      </w:pPr>
      <w:r>
        <w:rPr>
          <w:rFonts w:ascii="Arial" w:eastAsia="Calibri" w:hAnsi="Arial" w:cs="Arial"/>
          <w:bCs/>
          <w:sz w:val="22"/>
          <w:szCs w:val="22"/>
          <w:lang w:val="es-CO" w:eastAsia="en-US"/>
        </w:rPr>
        <w:t xml:space="preserve">El Plan de Desempeño Establece que para cumplimiento de esta actividad la Entidad Territorial debe remitir: </w:t>
      </w:r>
      <w:r w:rsidRPr="00CA07A4">
        <w:rPr>
          <w:rFonts w:ascii="Arial" w:eastAsia="Calibri" w:hAnsi="Arial" w:cs="Arial"/>
          <w:bCs/>
          <w:i/>
          <w:iCs/>
          <w:sz w:val="22"/>
          <w:szCs w:val="22"/>
          <w:lang w:val="es-CO" w:eastAsia="en-US"/>
        </w:rPr>
        <w:t>“Documento denominado Diagnóstico Situacional acorde con lo establecido en los Lineamientos Técnicos vigentes del servicio de alimentación escolar”.</w:t>
      </w:r>
    </w:p>
    <w:p w14:paraId="0ED4EC6B" w14:textId="77777777" w:rsidR="00E84029" w:rsidRDefault="00E84029" w:rsidP="00835F25">
      <w:pPr>
        <w:contextualSpacing/>
        <w:jc w:val="both"/>
        <w:rPr>
          <w:rFonts w:ascii="Arial" w:eastAsia="Calibri" w:hAnsi="Arial" w:cs="Arial"/>
          <w:b/>
          <w:sz w:val="22"/>
          <w:szCs w:val="22"/>
          <w:lang w:val="es-CO" w:eastAsia="en-US"/>
        </w:rPr>
      </w:pPr>
    </w:p>
    <w:p w14:paraId="197E846A" w14:textId="77777777" w:rsidR="00A920D4" w:rsidRDefault="00E84029" w:rsidP="00835F25">
      <w:pPr>
        <w:contextualSpacing/>
        <w:jc w:val="both"/>
        <w:rPr>
          <w:rFonts w:ascii="Arial" w:eastAsia="Calibri" w:hAnsi="Arial" w:cs="Arial"/>
          <w:bCs/>
          <w:sz w:val="22"/>
          <w:szCs w:val="22"/>
          <w:lang w:val="es-CO" w:eastAsia="en-US"/>
        </w:rPr>
      </w:pPr>
      <w:r w:rsidRPr="00CA07A4">
        <w:rPr>
          <w:rFonts w:ascii="Arial" w:eastAsia="Calibri" w:hAnsi="Arial" w:cs="Arial"/>
          <w:bCs/>
          <w:sz w:val="22"/>
          <w:szCs w:val="22"/>
          <w:lang w:val="es-CO" w:eastAsia="en-US"/>
        </w:rPr>
        <w:t xml:space="preserve">Frente a lo anterior, </w:t>
      </w:r>
      <w:r>
        <w:rPr>
          <w:rFonts w:ascii="Arial" w:eastAsia="Calibri" w:hAnsi="Arial" w:cs="Arial"/>
          <w:bCs/>
          <w:sz w:val="22"/>
          <w:szCs w:val="22"/>
          <w:lang w:val="es-CO" w:eastAsia="en-US"/>
        </w:rPr>
        <w:t xml:space="preserve">en efecto la Administración remitió documento de ochenta y tres (83) páginas, en el cual se resaltan tanto aspectos cualitativos como cuantitativos de la </w:t>
      </w:r>
      <w:r w:rsidR="00322A71">
        <w:rPr>
          <w:rFonts w:ascii="Arial" w:eastAsia="Calibri" w:hAnsi="Arial" w:cs="Arial"/>
          <w:bCs/>
          <w:sz w:val="22"/>
          <w:szCs w:val="22"/>
          <w:lang w:val="es-CO" w:eastAsia="en-US"/>
        </w:rPr>
        <w:t xml:space="preserve">prestación del </w:t>
      </w:r>
      <w:r w:rsidR="008D3B74">
        <w:rPr>
          <w:rFonts w:ascii="Arial" w:eastAsia="Calibri" w:hAnsi="Arial" w:cs="Arial"/>
          <w:bCs/>
          <w:sz w:val="22"/>
          <w:szCs w:val="22"/>
          <w:lang w:val="es-CO" w:eastAsia="en-US"/>
        </w:rPr>
        <w:t>S</w:t>
      </w:r>
      <w:r w:rsidR="00322A71">
        <w:rPr>
          <w:rFonts w:ascii="Arial" w:eastAsia="Calibri" w:hAnsi="Arial" w:cs="Arial"/>
          <w:bCs/>
          <w:sz w:val="22"/>
          <w:szCs w:val="22"/>
          <w:lang w:val="es-CO" w:eastAsia="en-US"/>
        </w:rPr>
        <w:t>ervicio de</w:t>
      </w:r>
      <w:r w:rsidR="003E5D10">
        <w:rPr>
          <w:rFonts w:ascii="Arial" w:eastAsia="Calibri" w:hAnsi="Arial" w:cs="Arial"/>
          <w:bCs/>
          <w:sz w:val="22"/>
          <w:szCs w:val="22"/>
          <w:lang w:val="es-CO" w:eastAsia="en-US"/>
        </w:rPr>
        <w:t xml:space="preserve">l sector educativo, </w:t>
      </w:r>
      <w:r w:rsidR="00322A71">
        <w:rPr>
          <w:rFonts w:ascii="Arial" w:eastAsia="Calibri" w:hAnsi="Arial" w:cs="Arial"/>
          <w:bCs/>
          <w:sz w:val="22"/>
          <w:szCs w:val="22"/>
          <w:lang w:val="es-CO" w:eastAsia="en-US"/>
        </w:rPr>
        <w:t xml:space="preserve">Alimentación Escolar, </w:t>
      </w:r>
      <w:r w:rsidR="00A920D4">
        <w:rPr>
          <w:rFonts w:ascii="Arial" w:eastAsia="Calibri" w:hAnsi="Arial" w:cs="Arial"/>
          <w:bCs/>
          <w:sz w:val="22"/>
          <w:szCs w:val="22"/>
          <w:lang w:val="es-CO" w:eastAsia="en-US"/>
        </w:rPr>
        <w:t>como se puede observar:</w:t>
      </w:r>
    </w:p>
    <w:p w14:paraId="25AA8B2F" w14:textId="77777777" w:rsidR="00A920D4" w:rsidRDefault="00A920D4" w:rsidP="00835F25">
      <w:pPr>
        <w:contextualSpacing/>
        <w:jc w:val="both"/>
        <w:rPr>
          <w:rFonts w:ascii="Arial" w:eastAsia="Calibri" w:hAnsi="Arial" w:cs="Arial"/>
          <w:bCs/>
          <w:sz w:val="22"/>
          <w:szCs w:val="22"/>
          <w:lang w:val="es-CO" w:eastAsia="en-US"/>
        </w:rPr>
      </w:pPr>
    </w:p>
    <w:p w14:paraId="1AAA5827" w14:textId="77777777" w:rsidR="00A920D4" w:rsidRPr="006E7895" w:rsidRDefault="00A920D4" w:rsidP="00835F25">
      <w:pPr>
        <w:contextualSpacing/>
        <w:jc w:val="center"/>
        <w:rPr>
          <w:rFonts w:ascii="Arial" w:eastAsiaTheme="minorEastAsia" w:hAnsi="Arial" w:cstheme="minorBidi"/>
          <w:b/>
          <w:bCs/>
          <w:i/>
          <w:iCs/>
          <w:color w:val="1F497D" w:themeColor="text2"/>
          <w:sz w:val="20"/>
          <w:szCs w:val="20"/>
          <w:lang w:eastAsia="en-US"/>
        </w:rPr>
      </w:pPr>
      <w:r w:rsidRPr="006E7895">
        <w:rPr>
          <w:rFonts w:ascii="Arial" w:eastAsiaTheme="minorEastAsia" w:hAnsi="Arial" w:cstheme="minorBidi"/>
          <w:b/>
          <w:bCs/>
          <w:i/>
          <w:iCs/>
          <w:color w:val="1F497D" w:themeColor="text2"/>
          <w:sz w:val="20"/>
          <w:szCs w:val="20"/>
          <w:lang w:eastAsia="en-US"/>
        </w:rPr>
        <w:t>Tabla</w:t>
      </w:r>
      <w:r w:rsidR="009356D3">
        <w:rPr>
          <w:rFonts w:ascii="Arial" w:eastAsiaTheme="minorEastAsia" w:hAnsi="Arial" w:cstheme="minorBidi"/>
          <w:b/>
          <w:bCs/>
          <w:i/>
          <w:iCs/>
          <w:color w:val="1F497D" w:themeColor="text2"/>
          <w:sz w:val="20"/>
          <w:szCs w:val="20"/>
          <w:lang w:eastAsia="en-US"/>
        </w:rPr>
        <w:t xml:space="preserve"> No.</w:t>
      </w:r>
      <w:r w:rsidRPr="006E7895">
        <w:rPr>
          <w:rFonts w:ascii="Arial" w:eastAsiaTheme="minorEastAsia" w:hAnsi="Arial" w:cstheme="minorBidi"/>
          <w:b/>
          <w:bCs/>
          <w:i/>
          <w:iCs/>
          <w:color w:val="1F497D" w:themeColor="text2"/>
          <w:sz w:val="20"/>
          <w:szCs w:val="20"/>
          <w:lang w:eastAsia="en-US"/>
        </w:rPr>
        <w:t xml:space="preserve"> </w:t>
      </w:r>
      <w:r w:rsidR="00C03D8A" w:rsidRPr="00B3648E">
        <w:rPr>
          <w:rFonts w:ascii="Arial" w:hAnsi="Arial" w:cs="Arial"/>
          <w:b/>
          <w:bCs/>
          <w:i/>
          <w:iCs/>
          <w:color w:val="1F497D" w:themeColor="text2"/>
          <w:sz w:val="20"/>
          <w:szCs w:val="20"/>
        </w:rPr>
        <w:t>21</w:t>
      </w:r>
      <w:r w:rsidRPr="006E7895">
        <w:rPr>
          <w:rFonts w:ascii="Arial" w:eastAsiaTheme="minorEastAsia" w:hAnsi="Arial" w:cstheme="minorBidi"/>
          <w:b/>
          <w:bCs/>
          <w:i/>
          <w:iCs/>
          <w:color w:val="1F497D" w:themeColor="text2"/>
          <w:sz w:val="20"/>
          <w:szCs w:val="20"/>
          <w:lang w:eastAsia="en-US"/>
        </w:rPr>
        <w:t xml:space="preserve"> Diagn</w:t>
      </w:r>
      <w:r>
        <w:rPr>
          <w:rFonts w:ascii="Arial" w:eastAsiaTheme="minorEastAsia" w:hAnsi="Arial" w:cstheme="minorBidi"/>
          <w:b/>
          <w:bCs/>
          <w:i/>
          <w:iCs/>
          <w:color w:val="1F497D" w:themeColor="text2"/>
          <w:sz w:val="20"/>
          <w:szCs w:val="20"/>
          <w:lang w:eastAsia="en-US"/>
        </w:rPr>
        <w:t>ó</w:t>
      </w:r>
      <w:r w:rsidRPr="006E7895">
        <w:rPr>
          <w:rFonts w:ascii="Arial" w:eastAsiaTheme="minorEastAsia" w:hAnsi="Arial" w:cstheme="minorBidi"/>
          <w:b/>
          <w:bCs/>
          <w:i/>
          <w:iCs/>
          <w:color w:val="1F497D" w:themeColor="text2"/>
          <w:sz w:val="20"/>
          <w:szCs w:val="20"/>
          <w:lang w:eastAsia="en-US"/>
        </w:rPr>
        <w:t xml:space="preserve">stico Situacional </w:t>
      </w:r>
      <w:r w:rsidR="009356D3">
        <w:rPr>
          <w:rFonts w:ascii="Arial" w:eastAsiaTheme="minorEastAsia" w:hAnsi="Arial" w:cstheme="minorBidi"/>
          <w:b/>
          <w:bCs/>
          <w:i/>
          <w:iCs/>
          <w:color w:val="1F497D" w:themeColor="text2"/>
          <w:sz w:val="20"/>
          <w:szCs w:val="20"/>
          <w:lang w:eastAsia="en-US"/>
        </w:rPr>
        <w:t xml:space="preserve">Distrito Cartagena de Indias </w:t>
      </w:r>
      <w:r w:rsidR="00BA098A">
        <w:rPr>
          <w:rFonts w:ascii="Arial" w:eastAsiaTheme="minorEastAsia" w:hAnsi="Arial" w:cstheme="minorBidi"/>
          <w:b/>
          <w:bCs/>
          <w:i/>
          <w:iCs/>
          <w:color w:val="1F497D" w:themeColor="text2"/>
          <w:sz w:val="20"/>
          <w:szCs w:val="20"/>
          <w:lang w:eastAsia="en-US"/>
        </w:rPr>
        <w:t>–</w:t>
      </w:r>
      <w:r w:rsidRPr="006E7895">
        <w:rPr>
          <w:rFonts w:ascii="Arial" w:eastAsiaTheme="minorEastAsia" w:hAnsi="Arial" w:cstheme="minorBidi"/>
          <w:b/>
          <w:bCs/>
          <w:i/>
          <w:iCs/>
          <w:color w:val="1F497D" w:themeColor="text2"/>
          <w:sz w:val="20"/>
          <w:szCs w:val="20"/>
          <w:lang w:eastAsia="en-US"/>
        </w:rPr>
        <w:t xml:space="preserve">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1078"/>
        <w:gridCol w:w="916"/>
      </w:tblGrid>
      <w:tr w:rsidR="00BA098A" w:rsidRPr="004D7FD4" w14:paraId="45A0CF56" w14:textId="77777777" w:rsidTr="00B3648E">
        <w:trPr>
          <w:trHeight w:val="339"/>
          <w:jc w:val="center"/>
        </w:trPr>
        <w:tc>
          <w:tcPr>
            <w:tcW w:w="5565" w:type="dxa"/>
            <w:vMerge w:val="restart"/>
            <w:shd w:val="clear" w:color="auto" w:fill="666699"/>
            <w:vAlign w:val="center"/>
          </w:tcPr>
          <w:p w14:paraId="14048DFD" w14:textId="77777777" w:rsidR="00BA098A" w:rsidRPr="00411A5A" w:rsidRDefault="00BA098A" w:rsidP="00835F25">
            <w:pPr>
              <w:contextualSpacing/>
              <w:jc w:val="center"/>
              <w:rPr>
                <w:rFonts w:ascii="Arial" w:hAnsi="Arial" w:cs="Arial"/>
                <w:sz w:val="16"/>
                <w:szCs w:val="16"/>
              </w:rPr>
            </w:pPr>
            <w:r w:rsidRPr="00411A5A">
              <w:rPr>
                <w:rFonts w:ascii="Arial" w:eastAsia="Calibri" w:hAnsi="Arial" w:cs="Arial"/>
                <w:b/>
                <w:bCs/>
                <w:color w:val="FFFFFF" w:themeColor="background1"/>
                <w:sz w:val="16"/>
                <w:szCs w:val="16"/>
                <w:lang w:val="es-419"/>
              </w:rPr>
              <w:t xml:space="preserve">Numeral 4.1.1.2 de la Resolución 29452 de 2017 </w:t>
            </w:r>
            <w:r w:rsidRPr="00411A5A">
              <w:rPr>
                <w:rFonts w:ascii="Arial" w:eastAsia="Calibri" w:hAnsi="Arial" w:cs="Arial"/>
                <w:color w:val="FFFFFF" w:themeColor="background1"/>
                <w:sz w:val="16"/>
                <w:szCs w:val="16"/>
                <w:lang w:val="es-419"/>
              </w:rPr>
              <w:t xml:space="preserve"> </w:t>
            </w:r>
          </w:p>
        </w:tc>
        <w:tc>
          <w:tcPr>
            <w:tcW w:w="1994" w:type="dxa"/>
            <w:gridSpan w:val="2"/>
            <w:shd w:val="clear" w:color="auto" w:fill="666699"/>
            <w:vAlign w:val="center"/>
          </w:tcPr>
          <w:p w14:paraId="0DC7D0C5" w14:textId="77777777" w:rsidR="00BA098A" w:rsidRPr="00411A5A" w:rsidRDefault="00BA098A" w:rsidP="00835F25">
            <w:pPr>
              <w:contextualSpacing/>
              <w:jc w:val="center"/>
              <w:rPr>
                <w:rFonts w:ascii="Arial" w:hAnsi="Arial" w:cs="Arial"/>
                <w:sz w:val="16"/>
                <w:szCs w:val="16"/>
              </w:rPr>
            </w:pPr>
            <w:r>
              <w:rPr>
                <w:rFonts w:ascii="Arial" w:eastAsia="Calibri" w:hAnsi="Arial" w:cs="Arial"/>
                <w:b/>
                <w:bCs/>
                <w:color w:val="FFFFFF" w:themeColor="background1"/>
                <w:sz w:val="16"/>
                <w:szCs w:val="16"/>
                <w:lang w:val="es-419"/>
              </w:rPr>
              <w:t>2021</w:t>
            </w:r>
          </w:p>
        </w:tc>
      </w:tr>
      <w:tr w:rsidR="00BA098A" w:rsidRPr="004D7FD4" w14:paraId="1C7D11DA" w14:textId="77777777" w:rsidTr="00B3648E">
        <w:trPr>
          <w:trHeight w:val="315"/>
          <w:jc w:val="center"/>
        </w:trPr>
        <w:tc>
          <w:tcPr>
            <w:tcW w:w="5565" w:type="dxa"/>
            <w:vMerge/>
            <w:vAlign w:val="center"/>
          </w:tcPr>
          <w:p w14:paraId="453EF1CE" w14:textId="77777777" w:rsidR="00BA098A" w:rsidRPr="00411A5A" w:rsidRDefault="00BA098A" w:rsidP="00835F25">
            <w:pPr>
              <w:contextualSpacing/>
              <w:rPr>
                <w:rFonts w:ascii="Arial" w:hAnsi="Arial" w:cs="Arial"/>
                <w:sz w:val="16"/>
                <w:szCs w:val="16"/>
              </w:rPr>
            </w:pPr>
          </w:p>
        </w:tc>
        <w:tc>
          <w:tcPr>
            <w:tcW w:w="1994" w:type="dxa"/>
            <w:gridSpan w:val="2"/>
            <w:shd w:val="clear" w:color="auto" w:fill="666699"/>
            <w:vAlign w:val="center"/>
          </w:tcPr>
          <w:p w14:paraId="1ACF4454" w14:textId="77777777" w:rsidR="00BA098A" w:rsidRPr="00411A5A" w:rsidRDefault="00BA098A" w:rsidP="00835F25">
            <w:pPr>
              <w:contextualSpacing/>
              <w:jc w:val="center"/>
              <w:rPr>
                <w:rFonts w:ascii="Arial" w:hAnsi="Arial" w:cs="Arial"/>
                <w:sz w:val="16"/>
                <w:szCs w:val="16"/>
              </w:rPr>
            </w:pPr>
            <w:r w:rsidRPr="00411A5A">
              <w:rPr>
                <w:rFonts w:ascii="Arial" w:eastAsia="Calibri" w:hAnsi="Arial" w:cs="Arial"/>
                <w:b/>
                <w:bCs/>
                <w:color w:val="FFFFFF" w:themeColor="background1"/>
                <w:sz w:val="16"/>
                <w:szCs w:val="16"/>
                <w:lang w:val="es-419"/>
              </w:rPr>
              <w:t>CUMPLE</w:t>
            </w:r>
            <w:r w:rsidRPr="00411A5A">
              <w:rPr>
                <w:rFonts w:ascii="Arial" w:eastAsia="Calibri" w:hAnsi="Arial" w:cs="Arial"/>
                <w:color w:val="FFFFFF" w:themeColor="background1"/>
                <w:sz w:val="16"/>
                <w:szCs w:val="16"/>
                <w:lang w:val="es-419"/>
              </w:rPr>
              <w:t xml:space="preserve"> </w:t>
            </w:r>
          </w:p>
        </w:tc>
      </w:tr>
      <w:tr w:rsidR="00BA098A" w:rsidRPr="004D7FD4" w14:paraId="17CFCDDA" w14:textId="77777777" w:rsidTr="00B3648E">
        <w:trPr>
          <w:trHeight w:val="315"/>
          <w:jc w:val="center"/>
        </w:trPr>
        <w:tc>
          <w:tcPr>
            <w:tcW w:w="5565" w:type="dxa"/>
            <w:vMerge/>
            <w:vAlign w:val="center"/>
          </w:tcPr>
          <w:p w14:paraId="052288AE" w14:textId="77777777" w:rsidR="00BA098A" w:rsidRPr="00411A5A" w:rsidRDefault="00BA098A" w:rsidP="00835F25">
            <w:pPr>
              <w:contextualSpacing/>
              <w:rPr>
                <w:rFonts w:ascii="Arial" w:hAnsi="Arial" w:cs="Arial"/>
                <w:sz w:val="16"/>
                <w:szCs w:val="16"/>
              </w:rPr>
            </w:pPr>
          </w:p>
        </w:tc>
        <w:tc>
          <w:tcPr>
            <w:tcW w:w="1078" w:type="dxa"/>
            <w:shd w:val="clear" w:color="auto" w:fill="666699"/>
            <w:vAlign w:val="center"/>
          </w:tcPr>
          <w:p w14:paraId="18E21C55" w14:textId="77777777" w:rsidR="00BA098A" w:rsidRPr="00411A5A" w:rsidRDefault="00BA098A" w:rsidP="00835F25">
            <w:pPr>
              <w:contextualSpacing/>
              <w:jc w:val="center"/>
              <w:rPr>
                <w:rFonts w:ascii="Arial" w:hAnsi="Arial" w:cs="Arial"/>
                <w:sz w:val="16"/>
                <w:szCs w:val="16"/>
              </w:rPr>
            </w:pPr>
            <w:r w:rsidRPr="00411A5A">
              <w:rPr>
                <w:rFonts w:ascii="Arial" w:eastAsia="Calibri" w:hAnsi="Arial" w:cs="Arial"/>
                <w:b/>
                <w:bCs/>
                <w:color w:val="FFFFFF" w:themeColor="background1"/>
                <w:sz w:val="16"/>
                <w:szCs w:val="16"/>
                <w:lang w:val="es-419"/>
              </w:rPr>
              <w:t>SI</w:t>
            </w:r>
            <w:r w:rsidRPr="00411A5A">
              <w:rPr>
                <w:rFonts w:ascii="Arial" w:eastAsia="Calibri" w:hAnsi="Arial" w:cs="Arial"/>
                <w:color w:val="FFFFFF" w:themeColor="background1"/>
                <w:sz w:val="16"/>
                <w:szCs w:val="16"/>
                <w:lang w:val="es-419"/>
              </w:rPr>
              <w:t xml:space="preserve"> </w:t>
            </w:r>
          </w:p>
        </w:tc>
        <w:tc>
          <w:tcPr>
            <w:tcW w:w="916" w:type="dxa"/>
            <w:shd w:val="clear" w:color="auto" w:fill="666699"/>
            <w:vAlign w:val="center"/>
          </w:tcPr>
          <w:p w14:paraId="3565A74C" w14:textId="77777777" w:rsidR="00BA098A" w:rsidRPr="00411A5A" w:rsidRDefault="00BA098A" w:rsidP="00835F25">
            <w:pPr>
              <w:contextualSpacing/>
              <w:jc w:val="center"/>
              <w:rPr>
                <w:rFonts w:ascii="Arial" w:hAnsi="Arial" w:cs="Arial"/>
                <w:sz w:val="16"/>
                <w:szCs w:val="16"/>
              </w:rPr>
            </w:pPr>
            <w:r w:rsidRPr="00411A5A">
              <w:rPr>
                <w:rFonts w:ascii="Arial" w:eastAsia="Calibri" w:hAnsi="Arial" w:cs="Arial"/>
                <w:b/>
                <w:bCs/>
                <w:color w:val="FFFFFF" w:themeColor="background1"/>
                <w:sz w:val="16"/>
                <w:szCs w:val="16"/>
                <w:lang w:val="es-419"/>
              </w:rPr>
              <w:t>NO</w:t>
            </w:r>
            <w:r w:rsidRPr="00411A5A">
              <w:rPr>
                <w:rFonts w:ascii="Arial" w:eastAsia="Calibri" w:hAnsi="Arial" w:cs="Arial"/>
                <w:color w:val="FFFFFF" w:themeColor="background1"/>
                <w:sz w:val="16"/>
                <w:szCs w:val="16"/>
                <w:lang w:val="es-419"/>
              </w:rPr>
              <w:t xml:space="preserve"> </w:t>
            </w:r>
          </w:p>
        </w:tc>
      </w:tr>
      <w:tr w:rsidR="00BA098A" w:rsidRPr="004D7FD4" w14:paraId="166CB198" w14:textId="77777777" w:rsidTr="00B3648E">
        <w:trPr>
          <w:trHeight w:val="145"/>
          <w:jc w:val="center"/>
        </w:trPr>
        <w:tc>
          <w:tcPr>
            <w:tcW w:w="5565" w:type="dxa"/>
            <w:vAlign w:val="center"/>
          </w:tcPr>
          <w:p w14:paraId="1A18E35D"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a) Número y porcentaje de niños y adolescentes y jóvenes. </w:t>
            </w:r>
          </w:p>
        </w:tc>
        <w:tc>
          <w:tcPr>
            <w:tcW w:w="1078" w:type="dxa"/>
            <w:vAlign w:val="center"/>
          </w:tcPr>
          <w:p w14:paraId="47D71EFB"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22CC65DE" w14:textId="77777777" w:rsidR="00BA098A" w:rsidRPr="00411A5A" w:rsidRDefault="00BA098A" w:rsidP="00835F25">
            <w:pPr>
              <w:contextualSpacing/>
              <w:jc w:val="center"/>
              <w:rPr>
                <w:rFonts w:ascii="Arial" w:hAnsi="Arial" w:cs="Arial"/>
                <w:sz w:val="16"/>
                <w:szCs w:val="16"/>
              </w:rPr>
            </w:pPr>
          </w:p>
        </w:tc>
      </w:tr>
      <w:tr w:rsidR="00BA098A" w:rsidRPr="004D7FD4" w14:paraId="48155285" w14:textId="77777777" w:rsidTr="00B3648E">
        <w:trPr>
          <w:trHeight w:val="234"/>
          <w:jc w:val="center"/>
        </w:trPr>
        <w:tc>
          <w:tcPr>
            <w:tcW w:w="5565" w:type="dxa"/>
            <w:vAlign w:val="center"/>
          </w:tcPr>
          <w:p w14:paraId="62E5D3AE"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b) Condiciones geográficas (zonas urbanas y rurales) </w:t>
            </w:r>
          </w:p>
        </w:tc>
        <w:tc>
          <w:tcPr>
            <w:tcW w:w="1078" w:type="dxa"/>
            <w:vAlign w:val="center"/>
          </w:tcPr>
          <w:p w14:paraId="25F6B4A5"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047CF024" w14:textId="77777777" w:rsidR="00BA098A" w:rsidRPr="00411A5A" w:rsidRDefault="00BA098A" w:rsidP="00835F25">
            <w:pPr>
              <w:contextualSpacing/>
              <w:jc w:val="center"/>
              <w:rPr>
                <w:rFonts w:ascii="Arial" w:hAnsi="Arial" w:cs="Arial"/>
                <w:sz w:val="16"/>
                <w:szCs w:val="16"/>
              </w:rPr>
            </w:pPr>
          </w:p>
        </w:tc>
      </w:tr>
      <w:tr w:rsidR="00BA098A" w:rsidRPr="004D7FD4" w14:paraId="243B5073" w14:textId="77777777" w:rsidTr="00B3648E">
        <w:trPr>
          <w:trHeight w:val="138"/>
          <w:jc w:val="center"/>
        </w:trPr>
        <w:tc>
          <w:tcPr>
            <w:tcW w:w="5565" w:type="dxa"/>
            <w:vAlign w:val="center"/>
          </w:tcPr>
          <w:p w14:paraId="750B900E"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c) Ubicación de los establecimientos educativos por área urbana y rural </w:t>
            </w:r>
          </w:p>
        </w:tc>
        <w:tc>
          <w:tcPr>
            <w:tcW w:w="1078" w:type="dxa"/>
            <w:vAlign w:val="center"/>
          </w:tcPr>
          <w:p w14:paraId="57A25DD3"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0AF6417F" w14:textId="77777777" w:rsidR="00BA098A" w:rsidRPr="00411A5A" w:rsidRDefault="00BA098A" w:rsidP="00835F25">
            <w:pPr>
              <w:contextualSpacing/>
              <w:jc w:val="center"/>
              <w:rPr>
                <w:rFonts w:ascii="Arial" w:hAnsi="Arial" w:cs="Arial"/>
                <w:sz w:val="16"/>
                <w:szCs w:val="16"/>
              </w:rPr>
            </w:pPr>
          </w:p>
        </w:tc>
      </w:tr>
      <w:tr w:rsidR="00BA098A" w:rsidRPr="004D7FD4" w14:paraId="5D131EA7" w14:textId="77777777" w:rsidTr="00B3648E">
        <w:trPr>
          <w:trHeight w:val="83"/>
          <w:jc w:val="center"/>
        </w:trPr>
        <w:tc>
          <w:tcPr>
            <w:tcW w:w="5565" w:type="dxa"/>
            <w:vAlign w:val="center"/>
          </w:tcPr>
          <w:p w14:paraId="1289FECE"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d) Condiciones de accesibilidad a los establecimientos educativos </w:t>
            </w:r>
          </w:p>
        </w:tc>
        <w:tc>
          <w:tcPr>
            <w:tcW w:w="1078" w:type="dxa"/>
            <w:vAlign w:val="center"/>
          </w:tcPr>
          <w:p w14:paraId="5300F30F"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66797890" w14:textId="77777777" w:rsidR="00BA098A" w:rsidRPr="00411A5A" w:rsidRDefault="00BA098A" w:rsidP="00835F25">
            <w:pPr>
              <w:contextualSpacing/>
              <w:jc w:val="center"/>
              <w:rPr>
                <w:rFonts w:ascii="Arial" w:hAnsi="Arial" w:cs="Arial"/>
                <w:sz w:val="16"/>
                <w:szCs w:val="16"/>
              </w:rPr>
            </w:pPr>
          </w:p>
        </w:tc>
      </w:tr>
      <w:tr w:rsidR="00BA098A" w:rsidRPr="004D7FD4" w14:paraId="3C291F33" w14:textId="77777777" w:rsidTr="00B3648E">
        <w:trPr>
          <w:trHeight w:val="47"/>
          <w:jc w:val="center"/>
        </w:trPr>
        <w:tc>
          <w:tcPr>
            <w:tcW w:w="5565" w:type="dxa"/>
            <w:vAlign w:val="center"/>
          </w:tcPr>
          <w:p w14:paraId="418BCD8D"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e) Jornadas escolares por establecimiento educativo </w:t>
            </w:r>
          </w:p>
        </w:tc>
        <w:tc>
          <w:tcPr>
            <w:tcW w:w="1078" w:type="dxa"/>
            <w:vAlign w:val="center"/>
          </w:tcPr>
          <w:p w14:paraId="2B596EBE"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20FA44AB" w14:textId="77777777" w:rsidR="00BA098A" w:rsidRPr="00411A5A" w:rsidRDefault="00BA098A" w:rsidP="00835F25">
            <w:pPr>
              <w:contextualSpacing/>
              <w:jc w:val="center"/>
              <w:rPr>
                <w:rFonts w:ascii="Arial" w:hAnsi="Arial" w:cs="Arial"/>
                <w:sz w:val="16"/>
                <w:szCs w:val="16"/>
              </w:rPr>
            </w:pPr>
          </w:p>
        </w:tc>
      </w:tr>
      <w:tr w:rsidR="00BA098A" w:rsidRPr="004D7FD4" w14:paraId="7F6B12D7" w14:textId="77777777" w:rsidTr="00B3648E">
        <w:trPr>
          <w:trHeight w:val="118"/>
          <w:jc w:val="center"/>
        </w:trPr>
        <w:tc>
          <w:tcPr>
            <w:tcW w:w="5565" w:type="dxa"/>
            <w:vAlign w:val="center"/>
          </w:tcPr>
          <w:p w14:paraId="109EC185"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f) Establecimientos educativos con Jornada Única</w:t>
            </w:r>
          </w:p>
        </w:tc>
        <w:tc>
          <w:tcPr>
            <w:tcW w:w="1078" w:type="dxa"/>
            <w:vAlign w:val="center"/>
          </w:tcPr>
          <w:p w14:paraId="3572C490" w14:textId="77777777" w:rsidR="00BA098A" w:rsidRPr="00411A5A" w:rsidRDefault="00BA098A" w:rsidP="00835F25">
            <w:pPr>
              <w:contextualSpacing/>
              <w:jc w:val="center"/>
              <w:rPr>
                <w:rFonts w:ascii="Arial" w:hAnsi="Arial" w:cs="Arial"/>
                <w:sz w:val="16"/>
                <w:szCs w:val="16"/>
              </w:rPr>
            </w:pPr>
          </w:p>
        </w:tc>
        <w:tc>
          <w:tcPr>
            <w:tcW w:w="916" w:type="dxa"/>
            <w:vAlign w:val="center"/>
          </w:tcPr>
          <w:p w14:paraId="0EEB9977" w14:textId="77777777" w:rsidR="00BA098A" w:rsidRPr="00411A5A" w:rsidRDefault="00944349" w:rsidP="00835F25">
            <w:pPr>
              <w:contextualSpacing/>
              <w:jc w:val="center"/>
              <w:rPr>
                <w:rFonts w:ascii="Arial" w:hAnsi="Arial" w:cs="Arial"/>
                <w:sz w:val="16"/>
                <w:szCs w:val="16"/>
              </w:rPr>
            </w:pPr>
            <w:r>
              <w:rPr>
                <w:rFonts w:ascii="Arial" w:eastAsia="Calibri" w:hAnsi="Arial" w:cs="Arial"/>
                <w:color w:val="000000" w:themeColor="text1"/>
                <w:sz w:val="16"/>
                <w:szCs w:val="16"/>
                <w:lang w:val="es-419"/>
              </w:rPr>
              <w:t>X</w:t>
            </w:r>
          </w:p>
        </w:tc>
      </w:tr>
      <w:tr w:rsidR="00BA098A" w:rsidRPr="004D7FD4" w14:paraId="7607CFDA" w14:textId="77777777" w:rsidTr="00B3648E">
        <w:trPr>
          <w:trHeight w:val="205"/>
          <w:jc w:val="center"/>
        </w:trPr>
        <w:tc>
          <w:tcPr>
            <w:tcW w:w="5565" w:type="dxa"/>
            <w:vAlign w:val="center"/>
          </w:tcPr>
          <w:p w14:paraId="49BEAD2E"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g) Población víctima del conflicto armado; </w:t>
            </w:r>
          </w:p>
        </w:tc>
        <w:tc>
          <w:tcPr>
            <w:tcW w:w="1078" w:type="dxa"/>
            <w:vAlign w:val="center"/>
          </w:tcPr>
          <w:p w14:paraId="330686EB" w14:textId="77777777" w:rsidR="00BA098A" w:rsidRPr="00316957" w:rsidRDefault="00944349" w:rsidP="00835F25">
            <w:pPr>
              <w:contextualSpacing/>
              <w:jc w:val="center"/>
              <w:rPr>
                <w:rFonts w:ascii="Arial" w:hAnsi="Arial" w:cs="Arial"/>
                <w:sz w:val="16"/>
                <w:szCs w:val="16"/>
              </w:rPr>
            </w:pPr>
            <w:r w:rsidRPr="00316957">
              <w:rPr>
                <w:rFonts w:ascii="Arial" w:hAnsi="Arial" w:cs="Arial"/>
                <w:sz w:val="16"/>
                <w:szCs w:val="16"/>
              </w:rPr>
              <w:t>X</w:t>
            </w:r>
          </w:p>
        </w:tc>
        <w:tc>
          <w:tcPr>
            <w:tcW w:w="916" w:type="dxa"/>
            <w:vAlign w:val="center"/>
          </w:tcPr>
          <w:p w14:paraId="1C72AA9B" w14:textId="77777777" w:rsidR="00BA098A" w:rsidRPr="00411A5A" w:rsidRDefault="00BA098A" w:rsidP="00835F25">
            <w:pPr>
              <w:contextualSpacing/>
              <w:jc w:val="center"/>
              <w:rPr>
                <w:rFonts w:ascii="Arial" w:hAnsi="Arial" w:cs="Arial"/>
                <w:sz w:val="16"/>
                <w:szCs w:val="16"/>
              </w:rPr>
            </w:pPr>
          </w:p>
        </w:tc>
      </w:tr>
      <w:tr w:rsidR="00BA098A" w:rsidRPr="004D7FD4" w14:paraId="3B699682" w14:textId="77777777" w:rsidTr="00B3648E">
        <w:trPr>
          <w:trHeight w:val="422"/>
          <w:jc w:val="center"/>
        </w:trPr>
        <w:tc>
          <w:tcPr>
            <w:tcW w:w="5565" w:type="dxa"/>
            <w:vAlign w:val="center"/>
          </w:tcPr>
          <w:p w14:paraId="24BDCC58"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h) Población con pertenencia étnica (indígenas, negros, afrocolombianos, raizales, palenqueros y ROM) </w:t>
            </w:r>
          </w:p>
        </w:tc>
        <w:tc>
          <w:tcPr>
            <w:tcW w:w="1078" w:type="dxa"/>
            <w:vAlign w:val="center"/>
          </w:tcPr>
          <w:p w14:paraId="2055000C" w14:textId="77777777" w:rsidR="00BA098A" w:rsidRPr="00316957" w:rsidRDefault="00944349" w:rsidP="00835F25">
            <w:pPr>
              <w:contextualSpacing/>
              <w:jc w:val="center"/>
              <w:rPr>
                <w:rFonts w:ascii="Arial" w:hAnsi="Arial" w:cs="Arial"/>
                <w:sz w:val="16"/>
                <w:szCs w:val="16"/>
              </w:rPr>
            </w:pPr>
            <w:r w:rsidRPr="00316957">
              <w:rPr>
                <w:rFonts w:ascii="Arial" w:hAnsi="Arial" w:cs="Arial"/>
                <w:sz w:val="16"/>
                <w:szCs w:val="16"/>
              </w:rPr>
              <w:t>X</w:t>
            </w:r>
          </w:p>
        </w:tc>
        <w:tc>
          <w:tcPr>
            <w:tcW w:w="916" w:type="dxa"/>
            <w:vAlign w:val="center"/>
          </w:tcPr>
          <w:p w14:paraId="77EF890C" w14:textId="77777777" w:rsidR="00BA098A" w:rsidRPr="00411A5A" w:rsidRDefault="00BA098A" w:rsidP="00835F25">
            <w:pPr>
              <w:contextualSpacing/>
              <w:jc w:val="center"/>
              <w:rPr>
                <w:rFonts w:ascii="Arial" w:hAnsi="Arial" w:cs="Arial"/>
                <w:sz w:val="16"/>
                <w:szCs w:val="16"/>
              </w:rPr>
            </w:pPr>
          </w:p>
        </w:tc>
      </w:tr>
      <w:tr w:rsidR="00BA098A" w:rsidRPr="004D7FD4" w14:paraId="4DD8EBD1" w14:textId="77777777" w:rsidTr="00B3648E">
        <w:trPr>
          <w:trHeight w:val="130"/>
          <w:jc w:val="center"/>
        </w:trPr>
        <w:tc>
          <w:tcPr>
            <w:tcW w:w="5565" w:type="dxa"/>
            <w:vAlign w:val="center"/>
          </w:tcPr>
          <w:p w14:paraId="5CBFCA86"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i) Población en situación de discapacidad; </w:t>
            </w:r>
          </w:p>
        </w:tc>
        <w:tc>
          <w:tcPr>
            <w:tcW w:w="1078" w:type="dxa"/>
            <w:vAlign w:val="center"/>
          </w:tcPr>
          <w:p w14:paraId="44C95397" w14:textId="77777777" w:rsidR="00BA098A" w:rsidRPr="00316957" w:rsidRDefault="00944349" w:rsidP="00835F25">
            <w:pPr>
              <w:contextualSpacing/>
              <w:jc w:val="center"/>
              <w:rPr>
                <w:rFonts w:ascii="Arial" w:hAnsi="Arial" w:cs="Arial"/>
                <w:sz w:val="16"/>
                <w:szCs w:val="16"/>
              </w:rPr>
            </w:pPr>
            <w:r w:rsidRPr="00316957">
              <w:rPr>
                <w:rFonts w:ascii="Arial" w:hAnsi="Arial" w:cs="Arial"/>
                <w:sz w:val="16"/>
                <w:szCs w:val="16"/>
              </w:rPr>
              <w:t>X</w:t>
            </w:r>
          </w:p>
        </w:tc>
        <w:tc>
          <w:tcPr>
            <w:tcW w:w="916" w:type="dxa"/>
            <w:vAlign w:val="center"/>
          </w:tcPr>
          <w:p w14:paraId="7A98AAAF" w14:textId="77777777" w:rsidR="00BA098A" w:rsidRPr="00411A5A" w:rsidRDefault="00BA098A" w:rsidP="00835F25">
            <w:pPr>
              <w:contextualSpacing/>
              <w:jc w:val="center"/>
              <w:rPr>
                <w:rFonts w:ascii="Arial" w:hAnsi="Arial" w:cs="Arial"/>
                <w:sz w:val="16"/>
                <w:szCs w:val="16"/>
              </w:rPr>
            </w:pPr>
          </w:p>
        </w:tc>
      </w:tr>
      <w:tr w:rsidR="00BA098A" w:rsidRPr="004D7FD4" w14:paraId="02EC5BFA" w14:textId="77777777" w:rsidTr="00B3648E">
        <w:trPr>
          <w:trHeight w:val="218"/>
          <w:jc w:val="center"/>
        </w:trPr>
        <w:tc>
          <w:tcPr>
            <w:tcW w:w="5565" w:type="dxa"/>
            <w:vAlign w:val="center"/>
          </w:tcPr>
          <w:p w14:paraId="15DB8EAA"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j) Total matrícula escolar por grados </w:t>
            </w:r>
          </w:p>
        </w:tc>
        <w:tc>
          <w:tcPr>
            <w:tcW w:w="1078" w:type="dxa"/>
            <w:vAlign w:val="center"/>
          </w:tcPr>
          <w:p w14:paraId="22FCCC27"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5730B714" w14:textId="77777777" w:rsidR="00BA098A" w:rsidRPr="00411A5A" w:rsidRDefault="00BA098A" w:rsidP="00835F25">
            <w:pPr>
              <w:contextualSpacing/>
              <w:jc w:val="center"/>
              <w:rPr>
                <w:rFonts w:ascii="Arial" w:hAnsi="Arial" w:cs="Arial"/>
                <w:sz w:val="16"/>
                <w:szCs w:val="16"/>
              </w:rPr>
            </w:pPr>
          </w:p>
        </w:tc>
      </w:tr>
      <w:tr w:rsidR="00BA098A" w:rsidRPr="004D7FD4" w14:paraId="6D66A3C8" w14:textId="77777777" w:rsidTr="00B3648E">
        <w:trPr>
          <w:trHeight w:val="135"/>
          <w:jc w:val="center"/>
        </w:trPr>
        <w:tc>
          <w:tcPr>
            <w:tcW w:w="5565" w:type="dxa"/>
            <w:vAlign w:val="center"/>
          </w:tcPr>
          <w:p w14:paraId="409133E7"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k) Tasas de ausentismo y deserción rurales urbanas </w:t>
            </w:r>
          </w:p>
        </w:tc>
        <w:tc>
          <w:tcPr>
            <w:tcW w:w="1078" w:type="dxa"/>
            <w:vAlign w:val="center"/>
          </w:tcPr>
          <w:p w14:paraId="1D80F399"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770DF46B" w14:textId="77777777" w:rsidR="00BA098A" w:rsidRPr="00411A5A" w:rsidRDefault="00BA098A" w:rsidP="00835F25">
            <w:pPr>
              <w:contextualSpacing/>
              <w:jc w:val="center"/>
              <w:rPr>
                <w:rFonts w:ascii="Arial" w:hAnsi="Arial" w:cs="Arial"/>
                <w:sz w:val="16"/>
                <w:szCs w:val="16"/>
              </w:rPr>
            </w:pPr>
          </w:p>
        </w:tc>
      </w:tr>
      <w:tr w:rsidR="00BA098A" w:rsidRPr="004D7FD4" w14:paraId="7054A88B" w14:textId="77777777" w:rsidTr="00B3648E">
        <w:trPr>
          <w:trHeight w:val="366"/>
          <w:jc w:val="center"/>
        </w:trPr>
        <w:tc>
          <w:tcPr>
            <w:tcW w:w="5565" w:type="dxa"/>
            <w:vAlign w:val="center"/>
          </w:tcPr>
          <w:p w14:paraId="15A613B0"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l) Niños, adolescentes y jóvenes que se encuentran fuera del sistema educativo </w:t>
            </w:r>
          </w:p>
        </w:tc>
        <w:tc>
          <w:tcPr>
            <w:tcW w:w="1078" w:type="dxa"/>
            <w:vAlign w:val="center"/>
          </w:tcPr>
          <w:p w14:paraId="1F4E0D4C"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1060E598" w14:textId="77777777" w:rsidR="00BA098A" w:rsidRPr="00411A5A" w:rsidRDefault="00BA098A" w:rsidP="00835F25">
            <w:pPr>
              <w:contextualSpacing/>
              <w:jc w:val="center"/>
              <w:rPr>
                <w:rFonts w:ascii="Arial" w:hAnsi="Arial" w:cs="Arial"/>
                <w:sz w:val="16"/>
                <w:szCs w:val="16"/>
              </w:rPr>
            </w:pPr>
          </w:p>
        </w:tc>
      </w:tr>
      <w:tr w:rsidR="00BA098A" w:rsidRPr="004D7FD4" w14:paraId="4F68A364" w14:textId="77777777" w:rsidTr="00B3648E">
        <w:trPr>
          <w:trHeight w:val="271"/>
          <w:jc w:val="center"/>
        </w:trPr>
        <w:tc>
          <w:tcPr>
            <w:tcW w:w="5565" w:type="dxa"/>
            <w:vAlign w:val="center"/>
          </w:tcPr>
          <w:p w14:paraId="7AD2E2C4" w14:textId="77777777" w:rsidR="00BA098A" w:rsidRPr="00411A5A" w:rsidRDefault="00BA098A" w:rsidP="00835F25">
            <w:pPr>
              <w:contextualSpacing/>
              <w:rPr>
                <w:rFonts w:ascii="Arial" w:hAnsi="Arial" w:cs="Arial"/>
                <w:sz w:val="16"/>
                <w:szCs w:val="16"/>
              </w:rPr>
            </w:pPr>
            <w:r w:rsidRPr="00411A5A">
              <w:rPr>
                <w:rFonts w:ascii="Arial" w:eastAsia="Calibri" w:hAnsi="Arial" w:cs="Arial"/>
                <w:color w:val="000000" w:themeColor="text1"/>
                <w:sz w:val="16"/>
                <w:szCs w:val="16"/>
                <w:lang w:val="es-419"/>
              </w:rPr>
              <w:t xml:space="preserve">m) Calidad y acceso a los servicios públicos y condiciones de dotación de equipos y menaje en los comedores escolares </w:t>
            </w:r>
          </w:p>
        </w:tc>
        <w:tc>
          <w:tcPr>
            <w:tcW w:w="1078" w:type="dxa"/>
            <w:vAlign w:val="center"/>
          </w:tcPr>
          <w:p w14:paraId="0752663A" w14:textId="77777777" w:rsidR="00BA098A" w:rsidRPr="00411A5A" w:rsidRDefault="00944349" w:rsidP="00835F25">
            <w:pPr>
              <w:contextualSpacing/>
              <w:jc w:val="center"/>
              <w:rPr>
                <w:rFonts w:ascii="Arial" w:hAnsi="Arial" w:cs="Arial"/>
                <w:sz w:val="16"/>
                <w:szCs w:val="16"/>
              </w:rPr>
            </w:pPr>
            <w:r>
              <w:rPr>
                <w:rFonts w:ascii="Arial" w:hAnsi="Arial" w:cs="Arial"/>
                <w:sz w:val="16"/>
                <w:szCs w:val="16"/>
              </w:rPr>
              <w:t>X</w:t>
            </w:r>
          </w:p>
        </w:tc>
        <w:tc>
          <w:tcPr>
            <w:tcW w:w="916" w:type="dxa"/>
            <w:vAlign w:val="center"/>
          </w:tcPr>
          <w:p w14:paraId="7F287DA2" w14:textId="77777777" w:rsidR="00BA098A" w:rsidRPr="00411A5A" w:rsidRDefault="00BA098A" w:rsidP="00835F25">
            <w:pPr>
              <w:contextualSpacing/>
              <w:jc w:val="both"/>
              <w:rPr>
                <w:rFonts w:ascii="Arial" w:eastAsia="Calibri" w:hAnsi="Arial" w:cs="Arial"/>
                <w:sz w:val="16"/>
                <w:szCs w:val="16"/>
                <w:lang w:eastAsia="en-US"/>
              </w:rPr>
            </w:pPr>
          </w:p>
        </w:tc>
      </w:tr>
    </w:tbl>
    <w:p w14:paraId="7C5110C3" w14:textId="77777777" w:rsidR="00A920D4" w:rsidRPr="0089431A" w:rsidRDefault="00A920D4" w:rsidP="00835F25">
      <w:pPr>
        <w:contextualSpacing/>
        <w:jc w:val="center"/>
        <w:rPr>
          <w:rFonts w:ascii="Arial" w:eastAsia="Calibri" w:hAnsi="Arial" w:cs="Arial"/>
          <w:sz w:val="18"/>
          <w:szCs w:val="18"/>
          <w:lang w:val="es-CO" w:eastAsia="en-US"/>
        </w:rPr>
      </w:pPr>
      <w:r w:rsidRPr="0089431A">
        <w:rPr>
          <w:rFonts w:ascii="Arial" w:eastAsia="Calibri" w:hAnsi="Arial" w:cs="Arial"/>
          <w:sz w:val="16"/>
          <w:szCs w:val="16"/>
          <w:lang w:val="es-CO" w:eastAsia="en-US"/>
        </w:rPr>
        <w:t>Fuente: Información Suministrada por la Entidad Territorial</w:t>
      </w:r>
      <w:r w:rsidR="00E55B2F">
        <w:rPr>
          <w:rFonts w:ascii="Arial" w:eastAsia="Calibri" w:hAnsi="Arial" w:cs="Arial"/>
          <w:sz w:val="16"/>
          <w:szCs w:val="16"/>
          <w:lang w:val="es-CO" w:eastAsia="en-US"/>
        </w:rPr>
        <w:t>.</w:t>
      </w:r>
    </w:p>
    <w:p w14:paraId="4CFCF616" w14:textId="77777777" w:rsidR="00A920D4" w:rsidRPr="00411A5A" w:rsidRDefault="00A920D4" w:rsidP="00835F25">
      <w:pPr>
        <w:contextualSpacing/>
        <w:jc w:val="both"/>
        <w:rPr>
          <w:rFonts w:ascii="Arial" w:hAnsi="Arial" w:cs="Arial"/>
          <w:sz w:val="22"/>
          <w:szCs w:val="22"/>
          <w:lang w:val="es-CO" w:eastAsia="en-US"/>
        </w:rPr>
      </w:pPr>
    </w:p>
    <w:p w14:paraId="1F797D8A" w14:textId="77777777" w:rsidR="00F331DD" w:rsidRDefault="00A920D4" w:rsidP="00835F25">
      <w:pPr>
        <w:contextualSpacing/>
        <w:jc w:val="both"/>
        <w:rPr>
          <w:rFonts w:ascii="Arial" w:eastAsia="Calibri" w:hAnsi="Arial" w:cs="Arial"/>
          <w:sz w:val="22"/>
          <w:szCs w:val="22"/>
          <w:lang w:val="es-CO" w:eastAsia="en-US"/>
        </w:rPr>
      </w:pPr>
      <w:r w:rsidRPr="00E822B3">
        <w:rPr>
          <w:rFonts w:ascii="Arial" w:eastAsia="Calibri" w:hAnsi="Arial" w:cs="Arial"/>
          <w:sz w:val="22"/>
          <w:szCs w:val="22"/>
          <w:lang w:val="es-CO" w:eastAsia="en-US"/>
        </w:rPr>
        <w:t>Respecto a la vigencia de 202</w:t>
      </w:r>
      <w:r w:rsidR="00E822B3" w:rsidRPr="00E822B3">
        <w:rPr>
          <w:rFonts w:ascii="Arial" w:eastAsia="Calibri" w:hAnsi="Arial" w:cs="Arial"/>
          <w:sz w:val="22"/>
          <w:szCs w:val="22"/>
          <w:lang w:val="es-CO" w:eastAsia="en-US"/>
        </w:rPr>
        <w:t>1</w:t>
      </w:r>
      <w:r w:rsidRPr="00E822B3">
        <w:rPr>
          <w:rFonts w:ascii="Arial" w:eastAsia="Calibri" w:hAnsi="Arial" w:cs="Arial"/>
          <w:sz w:val="22"/>
          <w:szCs w:val="22"/>
          <w:lang w:val="es-CO" w:eastAsia="en-US"/>
        </w:rPr>
        <w:t xml:space="preserve">, el </w:t>
      </w:r>
      <w:r w:rsidR="00E822B3" w:rsidRPr="00E822B3">
        <w:rPr>
          <w:rFonts w:ascii="Arial" w:eastAsia="Calibri" w:hAnsi="Arial" w:cs="Arial"/>
          <w:sz w:val="22"/>
          <w:szCs w:val="22"/>
          <w:lang w:val="es-CO" w:eastAsia="en-US"/>
        </w:rPr>
        <w:t>Distrito</w:t>
      </w:r>
      <w:r w:rsidRPr="00E822B3">
        <w:rPr>
          <w:rFonts w:ascii="Arial" w:eastAsia="Calibri" w:hAnsi="Arial" w:cs="Arial"/>
          <w:sz w:val="22"/>
          <w:szCs w:val="22"/>
          <w:lang w:val="es-CO" w:eastAsia="en-US"/>
        </w:rPr>
        <w:t xml:space="preserve"> envió el documento denominado; Diagnóstico Situacional, a través del cual, da cuenta de nueve (9) ítems de los solicitados en el artículo 4</w:t>
      </w:r>
      <w:r w:rsidR="000826CA" w:rsidRPr="00E822B3">
        <w:rPr>
          <w:rFonts w:ascii="Arial" w:eastAsia="Calibri" w:hAnsi="Arial" w:cs="Arial"/>
          <w:sz w:val="22"/>
          <w:szCs w:val="22"/>
          <w:lang w:val="es-CO" w:eastAsia="en-US"/>
        </w:rPr>
        <w:t>.</w:t>
      </w:r>
      <w:r w:rsidRPr="00E822B3">
        <w:rPr>
          <w:rFonts w:ascii="Arial" w:eastAsia="Calibri" w:hAnsi="Arial" w:cs="Arial"/>
          <w:sz w:val="22"/>
          <w:szCs w:val="22"/>
          <w:lang w:val="es-CO" w:eastAsia="en-US"/>
        </w:rPr>
        <w:t>1.1.2. de los Lineamientos Técnicos</w:t>
      </w:r>
      <w:r w:rsidR="001C53E9">
        <w:rPr>
          <w:rStyle w:val="Refdenotaalpie"/>
          <w:rFonts w:ascii="Arial" w:eastAsia="Calibri" w:hAnsi="Arial" w:cs="Arial"/>
          <w:sz w:val="22"/>
          <w:szCs w:val="22"/>
          <w:lang w:val="es-CO" w:eastAsia="en-US"/>
        </w:rPr>
        <w:footnoteReference w:id="12"/>
      </w:r>
      <w:r w:rsidRPr="00E822B3">
        <w:rPr>
          <w:rFonts w:ascii="Arial" w:eastAsia="Calibri" w:hAnsi="Arial" w:cs="Arial"/>
          <w:sz w:val="22"/>
          <w:szCs w:val="22"/>
          <w:lang w:val="es-CO" w:eastAsia="en-US"/>
        </w:rPr>
        <w:t xml:space="preserve"> requeridos. Igualmente, el documento contiene información del Diagnóstico de Infraestructura de Unidades de Servicio – PAE, por cada institución y sede educativa oficial del Programa que se encuentra bajo su jurisdicción. En este apartado, se indica </w:t>
      </w:r>
      <w:r w:rsidR="00316957">
        <w:rPr>
          <w:rFonts w:ascii="Arial" w:eastAsia="Calibri" w:hAnsi="Arial" w:cs="Arial"/>
          <w:sz w:val="22"/>
          <w:szCs w:val="22"/>
          <w:lang w:val="es-CO" w:eastAsia="en-US"/>
        </w:rPr>
        <w:t xml:space="preserve">el estado de </w:t>
      </w:r>
      <w:r w:rsidRPr="00E822B3">
        <w:rPr>
          <w:rFonts w:ascii="Arial" w:eastAsia="Calibri" w:hAnsi="Arial" w:cs="Arial"/>
          <w:sz w:val="22"/>
          <w:szCs w:val="22"/>
          <w:lang w:val="es-CO" w:eastAsia="en-US"/>
        </w:rPr>
        <w:t>la infraestructura general, el área de almacenamiento de alimentos, el área de preparación de alimentos, el área de distribución de alimentos o comedor</w:t>
      </w:r>
      <w:r w:rsidR="00316957">
        <w:rPr>
          <w:rFonts w:ascii="Arial" w:eastAsia="Calibri" w:hAnsi="Arial" w:cs="Arial"/>
          <w:sz w:val="22"/>
          <w:szCs w:val="22"/>
          <w:lang w:val="es-CO" w:eastAsia="en-US"/>
        </w:rPr>
        <w:t xml:space="preserve"> y la oferta de los servicios públicos, como, gas, energía y agua</w:t>
      </w:r>
      <w:r w:rsidRPr="00E822B3">
        <w:rPr>
          <w:rFonts w:ascii="Arial" w:eastAsia="Calibri" w:hAnsi="Arial" w:cs="Arial"/>
          <w:sz w:val="22"/>
          <w:szCs w:val="22"/>
          <w:lang w:val="es-CO" w:eastAsia="en-US"/>
        </w:rPr>
        <w:t xml:space="preserve">. </w:t>
      </w:r>
      <w:r w:rsidR="00316957">
        <w:rPr>
          <w:rFonts w:ascii="Arial" w:eastAsia="Calibri" w:hAnsi="Arial" w:cs="Arial"/>
          <w:sz w:val="22"/>
          <w:szCs w:val="22"/>
          <w:lang w:val="es-CO" w:eastAsia="en-US"/>
        </w:rPr>
        <w:t>Se aconseja a la Entidad incluir</w:t>
      </w:r>
      <w:r w:rsidRPr="00E822B3">
        <w:rPr>
          <w:rFonts w:ascii="Arial" w:eastAsia="Calibri" w:hAnsi="Arial" w:cs="Arial"/>
          <w:sz w:val="22"/>
          <w:szCs w:val="22"/>
          <w:lang w:val="es-CO" w:eastAsia="en-US"/>
        </w:rPr>
        <w:t xml:space="preserve"> información </w:t>
      </w:r>
      <w:r w:rsidR="00316957">
        <w:rPr>
          <w:rFonts w:ascii="Arial" w:eastAsia="Calibri" w:hAnsi="Arial" w:cs="Arial"/>
          <w:sz w:val="22"/>
          <w:szCs w:val="22"/>
          <w:lang w:val="es-CO" w:eastAsia="en-US"/>
        </w:rPr>
        <w:t>fotográfica</w:t>
      </w:r>
      <w:r w:rsidRPr="00E822B3">
        <w:rPr>
          <w:rFonts w:ascii="Arial" w:eastAsia="Calibri" w:hAnsi="Arial" w:cs="Arial"/>
          <w:sz w:val="22"/>
          <w:szCs w:val="22"/>
          <w:lang w:val="es-CO" w:eastAsia="en-US"/>
        </w:rPr>
        <w:t xml:space="preserve"> de las zonas de preparación, almacenamiento y comedor, lo que facilita la transparencia del proceso. </w:t>
      </w:r>
    </w:p>
    <w:p w14:paraId="12D1DEEB" w14:textId="77777777" w:rsidR="00F331DD" w:rsidRDefault="00F331DD" w:rsidP="00835F25">
      <w:pPr>
        <w:contextualSpacing/>
        <w:jc w:val="both"/>
        <w:rPr>
          <w:rFonts w:ascii="Arial" w:eastAsia="Calibri" w:hAnsi="Arial" w:cs="Arial"/>
          <w:sz w:val="22"/>
          <w:szCs w:val="22"/>
          <w:lang w:val="es-CO" w:eastAsia="en-US"/>
        </w:rPr>
      </w:pPr>
    </w:p>
    <w:p w14:paraId="1861914D" w14:textId="77777777" w:rsidR="00A920D4" w:rsidRDefault="00A920D4" w:rsidP="00835F25">
      <w:pPr>
        <w:contextualSpacing/>
        <w:jc w:val="both"/>
        <w:rPr>
          <w:rFonts w:ascii="Arial" w:eastAsia="Calibri" w:hAnsi="Arial" w:cs="Arial"/>
          <w:sz w:val="22"/>
          <w:szCs w:val="22"/>
          <w:lang w:val="es-CO" w:eastAsia="en-US"/>
        </w:rPr>
      </w:pPr>
      <w:r w:rsidRPr="00E822B3">
        <w:rPr>
          <w:rFonts w:ascii="Arial" w:eastAsia="Calibri" w:hAnsi="Arial" w:cs="Arial"/>
          <w:sz w:val="22"/>
          <w:szCs w:val="22"/>
          <w:lang w:val="es-CO" w:eastAsia="en-US"/>
        </w:rPr>
        <w:t>Por otra parte, no existe información que brinde detalle de</w:t>
      </w:r>
      <w:r w:rsidR="00316957">
        <w:rPr>
          <w:rFonts w:ascii="Arial" w:eastAsia="Calibri" w:hAnsi="Arial" w:cs="Arial"/>
          <w:sz w:val="22"/>
          <w:szCs w:val="22"/>
          <w:lang w:val="es-CO" w:eastAsia="en-US"/>
        </w:rPr>
        <w:t xml:space="preserve">l </w:t>
      </w:r>
      <w:r w:rsidRPr="00E822B3">
        <w:rPr>
          <w:rFonts w:ascii="Arial" w:eastAsia="Calibri" w:hAnsi="Arial" w:cs="Arial"/>
          <w:sz w:val="22"/>
          <w:szCs w:val="22"/>
          <w:lang w:val="es-CO" w:eastAsia="en-US"/>
        </w:rPr>
        <w:t xml:space="preserve">lineamiento </w:t>
      </w:r>
      <w:r w:rsidR="00316957">
        <w:rPr>
          <w:rFonts w:ascii="Arial" w:eastAsia="Calibri" w:hAnsi="Arial" w:cs="Arial"/>
          <w:sz w:val="22"/>
          <w:szCs w:val="22"/>
          <w:lang w:val="es-CO" w:eastAsia="en-US"/>
        </w:rPr>
        <w:t xml:space="preserve">f) </w:t>
      </w:r>
      <w:r w:rsidR="00F331DD">
        <w:rPr>
          <w:rFonts w:ascii="Arial" w:eastAsia="Calibri" w:hAnsi="Arial" w:cs="Arial"/>
          <w:sz w:val="22"/>
          <w:szCs w:val="22"/>
          <w:lang w:val="es-CO" w:eastAsia="en-US"/>
        </w:rPr>
        <w:t>“</w:t>
      </w:r>
      <w:r w:rsidR="00F331DD" w:rsidRPr="00646700">
        <w:rPr>
          <w:rFonts w:ascii="Arial" w:eastAsia="Calibri" w:hAnsi="Arial" w:cs="Arial"/>
          <w:i/>
          <w:iCs/>
          <w:sz w:val="22"/>
          <w:szCs w:val="22"/>
          <w:lang w:val="es-CO" w:eastAsia="en-US"/>
        </w:rPr>
        <w:t>Establecimientos educativos con Jornada Única</w:t>
      </w:r>
      <w:r w:rsidR="00F331DD" w:rsidRPr="00F331DD">
        <w:rPr>
          <w:rFonts w:ascii="Arial" w:eastAsia="Calibri" w:hAnsi="Arial" w:cs="Arial"/>
          <w:sz w:val="22"/>
          <w:szCs w:val="22"/>
          <w:lang w:val="es-CO" w:eastAsia="en-US"/>
        </w:rPr>
        <w:t>”</w:t>
      </w:r>
      <w:r w:rsidR="00F331DD">
        <w:rPr>
          <w:rFonts w:ascii="Arial" w:eastAsia="Calibri" w:hAnsi="Arial" w:cs="Arial"/>
          <w:sz w:val="22"/>
          <w:szCs w:val="22"/>
          <w:lang w:val="es-CO" w:eastAsia="en-US"/>
        </w:rPr>
        <w:t>,</w:t>
      </w:r>
      <w:r w:rsidR="00F331DD">
        <w:rPr>
          <w:rFonts w:ascii="Arial" w:eastAsia="Calibri" w:hAnsi="Arial" w:cs="Arial"/>
          <w:color w:val="000000" w:themeColor="text1"/>
          <w:sz w:val="16"/>
          <w:szCs w:val="16"/>
          <w:lang w:val="es-419"/>
        </w:rPr>
        <w:t xml:space="preserve"> </w:t>
      </w:r>
      <w:r w:rsidR="00316957">
        <w:rPr>
          <w:rFonts w:ascii="Arial" w:eastAsia="Calibri" w:hAnsi="Arial" w:cs="Arial"/>
          <w:sz w:val="22"/>
          <w:szCs w:val="22"/>
          <w:lang w:val="es-CO" w:eastAsia="en-US"/>
        </w:rPr>
        <w:t>el</w:t>
      </w:r>
      <w:r w:rsidRPr="00E822B3">
        <w:rPr>
          <w:rFonts w:ascii="Arial" w:eastAsia="Calibri" w:hAnsi="Arial" w:cs="Arial"/>
          <w:sz w:val="22"/>
          <w:szCs w:val="22"/>
          <w:lang w:val="es-CO" w:eastAsia="en-US"/>
        </w:rPr>
        <w:t xml:space="preserve"> cual </w:t>
      </w:r>
      <w:r w:rsidR="00316957">
        <w:rPr>
          <w:rFonts w:ascii="Arial" w:eastAsia="Calibri" w:hAnsi="Arial" w:cs="Arial"/>
          <w:sz w:val="22"/>
          <w:szCs w:val="22"/>
          <w:lang w:val="es-CO" w:eastAsia="en-US"/>
        </w:rPr>
        <w:t>es</w:t>
      </w:r>
      <w:r w:rsidRPr="00E822B3">
        <w:rPr>
          <w:rFonts w:ascii="Arial" w:eastAsia="Calibri" w:hAnsi="Arial" w:cs="Arial"/>
          <w:sz w:val="22"/>
          <w:szCs w:val="22"/>
          <w:lang w:val="es-CO" w:eastAsia="en-US"/>
        </w:rPr>
        <w:t xml:space="preserve"> primordial para esclarecer las características propias de la población </w:t>
      </w:r>
      <w:r w:rsidR="00316957">
        <w:rPr>
          <w:rFonts w:ascii="Arial" w:eastAsia="Calibri" w:hAnsi="Arial" w:cs="Arial"/>
          <w:sz w:val="22"/>
          <w:szCs w:val="22"/>
          <w:lang w:val="es-CO" w:eastAsia="en-US"/>
        </w:rPr>
        <w:t xml:space="preserve">en la </w:t>
      </w:r>
      <w:r w:rsidR="008D3B74">
        <w:rPr>
          <w:rFonts w:ascii="Arial" w:eastAsia="Calibri" w:hAnsi="Arial" w:cs="Arial"/>
          <w:sz w:val="22"/>
          <w:szCs w:val="22"/>
          <w:lang w:val="es-CO" w:eastAsia="en-US"/>
        </w:rPr>
        <w:t>J</w:t>
      </w:r>
      <w:r w:rsidR="00316957">
        <w:rPr>
          <w:rFonts w:ascii="Arial" w:eastAsia="Calibri" w:hAnsi="Arial" w:cs="Arial"/>
          <w:sz w:val="22"/>
          <w:szCs w:val="22"/>
          <w:lang w:val="es-CO" w:eastAsia="en-US"/>
        </w:rPr>
        <w:t xml:space="preserve">ornada </w:t>
      </w:r>
      <w:r w:rsidR="008D3B74">
        <w:rPr>
          <w:rFonts w:ascii="Arial" w:eastAsia="Calibri" w:hAnsi="Arial" w:cs="Arial"/>
          <w:sz w:val="22"/>
          <w:szCs w:val="22"/>
          <w:lang w:val="es-CO" w:eastAsia="en-US"/>
        </w:rPr>
        <w:t>Ú</w:t>
      </w:r>
      <w:r w:rsidR="00316957">
        <w:rPr>
          <w:rFonts w:ascii="Arial" w:eastAsia="Calibri" w:hAnsi="Arial" w:cs="Arial"/>
          <w:sz w:val="22"/>
          <w:szCs w:val="22"/>
          <w:lang w:val="es-CO" w:eastAsia="en-US"/>
        </w:rPr>
        <w:t>nica</w:t>
      </w:r>
      <w:r w:rsidR="008D3B74">
        <w:rPr>
          <w:rFonts w:ascii="Arial" w:eastAsia="Calibri" w:hAnsi="Arial" w:cs="Arial"/>
          <w:sz w:val="22"/>
          <w:szCs w:val="22"/>
          <w:lang w:val="es-CO" w:eastAsia="en-US"/>
        </w:rPr>
        <w:t>;</w:t>
      </w:r>
      <w:r w:rsidR="00316957">
        <w:rPr>
          <w:rFonts w:ascii="Arial" w:eastAsia="Calibri" w:hAnsi="Arial" w:cs="Arial"/>
          <w:sz w:val="22"/>
          <w:szCs w:val="22"/>
          <w:lang w:val="es-CO" w:eastAsia="en-US"/>
        </w:rPr>
        <w:t xml:space="preserve"> así mismo, respecto a los literales g), h), i), </w:t>
      </w:r>
      <w:r w:rsidR="00F331DD">
        <w:rPr>
          <w:rFonts w:ascii="Arial" w:eastAsia="Calibri" w:hAnsi="Arial" w:cs="Arial"/>
          <w:sz w:val="22"/>
          <w:szCs w:val="22"/>
          <w:lang w:val="es-CO" w:eastAsia="en-US"/>
        </w:rPr>
        <w:t xml:space="preserve">relacionada con los tipos de población (víctima del conflicto, </w:t>
      </w:r>
      <w:r w:rsidR="00244315">
        <w:rPr>
          <w:rFonts w:ascii="Arial" w:eastAsia="Calibri" w:hAnsi="Arial" w:cs="Arial"/>
          <w:sz w:val="22"/>
          <w:szCs w:val="22"/>
          <w:lang w:val="es-CO" w:eastAsia="en-US"/>
        </w:rPr>
        <w:t xml:space="preserve">étnica y en situación de discapacidad), si bien </w:t>
      </w:r>
      <w:r w:rsidR="006A338F">
        <w:rPr>
          <w:rFonts w:ascii="Arial" w:eastAsia="Calibri" w:hAnsi="Arial" w:cs="Arial"/>
          <w:sz w:val="22"/>
          <w:szCs w:val="22"/>
          <w:lang w:val="es-CO" w:eastAsia="en-US"/>
        </w:rPr>
        <w:t xml:space="preserve">en el diagnóstico situacional </w:t>
      </w:r>
      <w:r w:rsidR="00244315">
        <w:rPr>
          <w:rFonts w:ascii="Arial" w:eastAsia="Calibri" w:hAnsi="Arial" w:cs="Arial"/>
          <w:sz w:val="22"/>
          <w:szCs w:val="22"/>
          <w:lang w:val="es-CO" w:eastAsia="en-US"/>
        </w:rPr>
        <w:t>existe</w:t>
      </w:r>
      <w:r w:rsidR="006A338F">
        <w:rPr>
          <w:rFonts w:ascii="Arial" w:eastAsia="Calibri" w:hAnsi="Arial" w:cs="Arial"/>
          <w:sz w:val="22"/>
          <w:szCs w:val="22"/>
          <w:lang w:val="es-CO" w:eastAsia="en-US"/>
        </w:rPr>
        <w:t>n</w:t>
      </w:r>
      <w:r w:rsidR="00244315">
        <w:rPr>
          <w:rFonts w:ascii="Arial" w:eastAsia="Calibri" w:hAnsi="Arial" w:cs="Arial"/>
          <w:sz w:val="22"/>
          <w:szCs w:val="22"/>
          <w:lang w:val="es-CO" w:eastAsia="en-US"/>
        </w:rPr>
        <w:t xml:space="preserve"> numerales </w:t>
      </w:r>
      <w:r w:rsidR="006A338F">
        <w:rPr>
          <w:rFonts w:ascii="Arial" w:eastAsia="Calibri" w:hAnsi="Arial" w:cs="Arial"/>
          <w:sz w:val="22"/>
          <w:szCs w:val="22"/>
          <w:lang w:val="es-CO" w:eastAsia="en-US"/>
        </w:rPr>
        <w:t xml:space="preserve">relacionados con aspectos poblacionales </w:t>
      </w:r>
      <w:r w:rsidR="00244315">
        <w:rPr>
          <w:rFonts w:ascii="Arial" w:eastAsia="Calibri" w:hAnsi="Arial" w:cs="Arial"/>
          <w:sz w:val="22"/>
          <w:szCs w:val="22"/>
          <w:lang w:val="es-CO" w:eastAsia="en-US"/>
        </w:rPr>
        <w:t xml:space="preserve">que desarrollan cada ítem, se observa que son generales del Distrito y no son específicos para establecer cuántos </w:t>
      </w:r>
      <w:r w:rsidR="006A338F">
        <w:rPr>
          <w:rFonts w:ascii="Arial" w:eastAsia="Calibri" w:hAnsi="Arial" w:cs="Arial"/>
          <w:sz w:val="22"/>
          <w:szCs w:val="22"/>
          <w:lang w:val="es-CO" w:eastAsia="en-US"/>
        </w:rPr>
        <w:t xml:space="preserve">alumnos focalizados </w:t>
      </w:r>
      <w:r w:rsidR="00244315">
        <w:rPr>
          <w:rFonts w:ascii="Arial" w:eastAsia="Calibri" w:hAnsi="Arial" w:cs="Arial"/>
          <w:sz w:val="22"/>
          <w:szCs w:val="22"/>
          <w:lang w:val="es-CO" w:eastAsia="en-US"/>
        </w:rPr>
        <w:t xml:space="preserve">de cada población están siendo atenidos en la ejecución del Programa </w:t>
      </w:r>
      <w:r w:rsidR="00CD5305">
        <w:rPr>
          <w:rFonts w:ascii="Arial" w:eastAsia="Calibri" w:hAnsi="Arial" w:cs="Arial"/>
          <w:sz w:val="22"/>
          <w:szCs w:val="22"/>
          <w:lang w:val="es-CO" w:eastAsia="en-US"/>
        </w:rPr>
        <w:t xml:space="preserve">de Alimentación Escolar </w:t>
      </w:r>
      <w:r w:rsidR="00244315">
        <w:rPr>
          <w:rFonts w:ascii="Arial" w:eastAsia="Calibri" w:hAnsi="Arial" w:cs="Arial"/>
          <w:sz w:val="22"/>
          <w:szCs w:val="22"/>
          <w:lang w:val="es-CO" w:eastAsia="en-US"/>
        </w:rPr>
        <w:t xml:space="preserve">en la ETC, </w:t>
      </w:r>
      <w:r w:rsidR="00CD5305">
        <w:rPr>
          <w:rFonts w:ascii="Arial" w:eastAsia="Calibri" w:hAnsi="Arial" w:cs="Arial"/>
          <w:sz w:val="22"/>
          <w:szCs w:val="22"/>
          <w:lang w:val="es-CO" w:eastAsia="en-US"/>
        </w:rPr>
        <w:t xml:space="preserve">por lo cual se recomienda que </w:t>
      </w:r>
      <w:r w:rsidR="00316957">
        <w:rPr>
          <w:rFonts w:ascii="Arial" w:eastAsia="Calibri" w:hAnsi="Arial" w:cs="Arial"/>
          <w:sz w:val="22"/>
          <w:szCs w:val="22"/>
          <w:lang w:val="es-CO" w:eastAsia="en-US"/>
        </w:rPr>
        <w:t>la información</w:t>
      </w:r>
      <w:r w:rsidR="00D01513">
        <w:rPr>
          <w:rFonts w:ascii="Arial" w:eastAsia="Calibri" w:hAnsi="Arial" w:cs="Arial"/>
          <w:sz w:val="22"/>
          <w:szCs w:val="22"/>
          <w:lang w:val="es-CO" w:eastAsia="en-US"/>
        </w:rPr>
        <w:t xml:space="preserve"> de la matrícula beneficiada</w:t>
      </w:r>
      <w:r w:rsidR="00316957">
        <w:rPr>
          <w:rFonts w:ascii="Arial" w:eastAsia="Calibri" w:hAnsi="Arial" w:cs="Arial"/>
          <w:sz w:val="22"/>
          <w:szCs w:val="22"/>
          <w:lang w:val="es-CO" w:eastAsia="en-US"/>
        </w:rPr>
        <w:t xml:space="preserve"> </w:t>
      </w:r>
      <w:r w:rsidR="00CD5305">
        <w:rPr>
          <w:rFonts w:ascii="Arial" w:eastAsia="Calibri" w:hAnsi="Arial" w:cs="Arial"/>
          <w:sz w:val="22"/>
          <w:szCs w:val="22"/>
          <w:lang w:val="es-CO" w:eastAsia="en-US"/>
        </w:rPr>
        <w:t xml:space="preserve">sea </w:t>
      </w:r>
      <w:r w:rsidR="00316957">
        <w:rPr>
          <w:rFonts w:ascii="Arial" w:eastAsia="Calibri" w:hAnsi="Arial" w:cs="Arial"/>
          <w:sz w:val="22"/>
          <w:szCs w:val="22"/>
          <w:lang w:val="es-CO" w:eastAsia="en-US"/>
        </w:rPr>
        <w:t xml:space="preserve">más específica, lo cual garantizará una mejor evaluación de la </w:t>
      </w:r>
      <w:r w:rsidR="008D3B74">
        <w:rPr>
          <w:rFonts w:ascii="Arial" w:eastAsia="Calibri" w:hAnsi="Arial" w:cs="Arial"/>
          <w:sz w:val="22"/>
          <w:szCs w:val="22"/>
          <w:lang w:val="es-CO" w:eastAsia="en-US"/>
        </w:rPr>
        <w:t>A</w:t>
      </w:r>
      <w:r w:rsidR="00316957">
        <w:rPr>
          <w:rFonts w:ascii="Arial" w:eastAsia="Calibri" w:hAnsi="Arial" w:cs="Arial"/>
          <w:sz w:val="22"/>
          <w:szCs w:val="22"/>
          <w:lang w:val="es-CO" w:eastAsia="en-US"/>
        </w:rPr>
        <w:t>ctividad.</w:t>
      </w:r>
    </w:p>
    <w:p w14:paraId="720FE5BA" w14:textId="77777777" w:rsidR="00642068" w:rsidRDefault="00642068" w:rsidP="00835F25">
      <w:pPr>
        <w:contextualSpacing/>
        <w:jc w:val="both"/>
        <w:rPr>
          <w:rFonts w:ascii="Arial" w:eastAsia="Calibri" w:hAnsi="Arial" w:cs="Arial"/>
          <w:sz w:val="22"/>
          <w:szCs w:val="22"/>
          <w:lang w:val="es-CO" w:eastAsia="en-US"/>
        </w:rPr>
      </w:pPr>
    </w:p>
    <w:p w14:paraId="66ECF798" w14:textId="77777777" w:rsidR="00642068" w:rsidRPr="00E822B3" w:rsidRDefault="00642068" w:rsidP="00835F2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Por la falta de descripción de la información poblacional relacionada con el PAE, se da un incumplimiento a est</w:t>
      </w:r>
      <w:r w:rsidR="006D165F">
        <w:rPr>
          <w:rFonts w:ascii="Arial" w:eastAsia="Calibri" w:hAnsi="Arial" w:cs="Arial"/>
          <w:sz w:val="22"/>
          <w:szCs w:val="22"/>
          <w:lang w:val="es-CO" w:eastAsia="en-US"/>
        </w:rPr>
        <w:t>a</w:t>
      </w:r>
      <w:r>
        <w:rPr>
          <w:rFonts w:ascii="Arial" w:eastAsia="Calibri" w:hAnsi="Arial" w:cs="Arial"/>
          <w:sz w:val="22"/>
          <w:szCs w:val="22"/>
          <w:lang w:val="es-CO" w:eastAsia="en-US"/>
        </w:rPr>
        <w:t xml:space="preserve"> </w:t>
      </w:r>
      <w:r w:rsidR="00EB0320">
        <w:rPr>
          <w:rFonts w:ascii="Arial" w:eastAsia="Calibri" w:hAnsi="Arial" w:cs="Arial"/>
          <w:sz w:val="22"/>
          <w:szCs w:val="22"/>
          <w:lang w:val="es-CO" w:eastAsia="en-US"/>
        </w:rPr>
        <w:t>A</w:t>
      </w:r>
      <w:r>
        <w:rPr>
          <w:rFonts w:ascii="Arial" w:eastAsia="Calibri" w:hAnsi="Arial" w:cs="Arial"/>
          <w:sz w:val="22"/>
          <w:szCs w:val="22"/>
          <w:lang w:val="es-CO" w:eastAsia="en-US"/>
        </w:rPr>
        <w:t>ctividad.</w:t>
      </w:r>
    </w:p>
    <w:p w14:paraId="2BE37922" w14:textId="77777777" w:rsidR="009356D3" w:rsidRDefault="009356D3" w:rsidP="00835F25">
      <w:pPr>
        <w:contextualSpacing/>
        <w:jc w:val="both"/>
        <w:rPr>
          <w:rFonts w:ascii="Arial" w:eastAsia="Calibri" w:hAnsi="Arial" w:cs="Arial"/>
          <w:bCs/>
          <w:sz w:val="22"/>
          <w:szCs w:val="22"/>
          <w:lang w:val="es-CO" w:eastAsia="en-US"/>
        </w:rPr>
      </w:pPr>
    </w:p>
    <w:p w14:paraId="50AACAF1" w14:textId="77777777" w:rsidR="00206880" w:rsidRDefault="009D6BA8" w:rsidP="00835F25">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642068">
        <w:rPr>
          <w:rFonts w:ascii="Arial" w:eastAsia="Calibri" w:hAnsi="Arial" w:cs="Arial"/>
          <w:b/>
          <w:sz w:val="22"/>
          <w:szCs w:val="22"/>
          <w:lang w:val="es-CO" w:eastAsia="en-US"/>
        </w:rPr>
        <w:t xml:space="preserve">No </w:t>
      </w:r>
      <w:r w:rsidR="00A920D4">
        <w:rPr>
          <w:rFonts w:ascii="Arial" w:eastAsia="Calibri" w:hAnsi="Arial" w:cs="Arial"/>
          <w:b/>
          <w:sz w:val="22"/>
          <w:szCs w:val="22"/>
          <w:lang w:val="es-CO" w:eastAsia="en-US"/>
        </w:rPr>
        <w:t>Cumple</w:t>
      </w:r>
      <w:r w:rsidRPr="006021DA">
        <w:rPr>
          <w:rFonts w:ascii="Arial" w:eastAsia="Calibri" w:hAnsi="Arial" w:cs="Arial"/>
          <w:b/>
          <w:sz w:val="22"/>
          <w:szCs w:val="22"/>
          <w:lang w:val="es-CO" w:eastAsia="en-US"/>
        </w:rPr>
        <w:t>.</w:t>
      </w:r>
    </w:p>
    <w:p w14:paraId="4338653B" w14:textId="77777777" w:rsidR="00CA07A4" w:rsidRPr="006021DA" w:rsidRDefault="00CA07A4" w:rsidP="00835F25">
      <w:pPr>
        <w:contextualSpacing/>
        <w:jc w:val="both"/>
        <w:rPr>
          <w:rFonts w:ascii="Arial" w:eastAsia="Calibri" w:hAnsi="Arial" w:cs="Arial"/>
          <w:b/>
          <w:sz w:val="22"/>
          <w:szCs w:val="22"/>
          <w:lang w:val="es-CO" w:eastAsia="en-US"/>
        </w:rPr>
      </w:pPr>
    </w:p>
    <w:p w14:paraId="65904E91" w14:textId="77777777" w:rsidR="008F095B" w:rsidRPr="006021DA" w:rsidRDefault="008F095B" w:rsidP="00835F25">
      <w:pPr>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 xml:space="preserve">Actividad </w:t>
      </w:r>
      <w:r w:rsidR="003A2F9C" w:rsidRPr="006021DA">
        <w:rPr>
          <w:rFonts w:ascii="Arial" w:eastAsia="Calibri" w:hAnsi="Arial" w:cs="Arial"/>
          <w:b/>
          <w:sz w:val="22"/>
          <w:szCs w:val="22"/>
          <w:lang w:val="es-CO" w:eastAsia="en-US"/>
        </w:rPr>
        <w:t>3.1.</w:t>
      </w:r>
      <w:r w:rsidR="00981535">
        <w:rPr>
          <w:rFonts w:ascii="Arial" w:eastAsia="Calibri" w:hAnsi="Arial" w:cs="Arial"/>
          <w:b/>
          <w:sz w:val="22"/>
          <w:szCs w:val="22"/>
          <w:lang w:val="es-CO" w:eastAsia="en-US"/>
        </w:rPr>
        <w:t>2</w:t>
      </w:r>
      <w:r w:rsidR="003A2F9C" w:rsidRPr="006021DA">
        <w:rPr>
          <w:rFonts w:ascii="Arial" w:eastAsia="Calibri" w:hAnsi="Arial" w:cs="Arial"/>
          <w:b/>
          <w:sz w:val="22"/>
          <w:szCs w:val="22"/>
          <w:lang w:val="es-CO" w:eastAsia="en-US"/>
        </w:rPr>
        <w:t xml:space="preserve">. Brindar el </w:t>
      </w:r>
      <w:r w:rsidR="00AD5495" w:rsidRPr="006021DA">
        <w:rPr>
          <w:rFonts w:ascii="Arial" w:eastAsia="Calibri" w:hAnsi="Arial" w:cs="Arial"/>
          <w:b/>
          <w:sz w:val="22"/>
          <w:szCs w:val="22"/>
          <w:lang w:val="es-CO" w:eastAsia="en-US"/>
        </w:rPr>
        <w:t>S</w:t>
      </w:r>
      <w:r w:rsidR="003A2F9C" w:rsidRPr="006021DA">
        <w:rPr>
          <w:rFonts w:ascii="Arial" w:eastAsia="Calibri" w:hAnsi="Arial" w:cs="Arial"/>
          <w:b/>
          <w:sz w:val="22"/>
          <w:szCs w:val="22"/>
          <w:lang w:val="es-CO" w:eastAsia="en-US"/>
        </w:rPr>
        <w:t xml:space="preserve">ervicio de Alimentación Escolar desde el primer día de calendario y hasta la finalización </w:t>
      </w:r>
      <w:r w:rsidR="00C92581" w:rsidRPr="006021DA">
        <w:rPr>
          <w:rFonts w:ascii="Arial" w:eastAsia="Calibri" w:hAnsi="Arial" w:cs="Arial"/>
          <w:b/>
          <w:sz w:val="22"/>
          <w:szCs w:val="22"/>
          <w:lang w:val="es-CO" w:eastAsia="en-US"/>
        </w:rPr>
        <w:t>de este</w:t>
      </w:r>
      <w:r w:rsidR="003A2F9C" w:rsidRPr="006021DA">
        <w:rPr>
          <w:rFonts w:ascii="Arial" w:eastAsia="Calibri" w:hAnsi="Arial" w:cs="Arial"/>
          <w:b/>
          <w:sz w:val="22"/>
          <w:szCs w:val="22"/>
          <w:lang w:val="es-CO" w:eastAsia="en-US"/>
        </w:rPr>
        <w:t xml:space="preserve"> en cada vigencia.</w:t>
      </w:r>
    </w:p>
    <w:p w14:paraId="6C22EB1D" w14:textId="77777777" w:rsidR="008F095B" w:rsidRPr="006021DA" w:rsidRDefault="008F095B" w:rsidP="00835F25">
      <w:pPr>
        <w:contextualSpacing/>
        <w:jc w:val="both"/>
        <w:rPr>
          <w:rFonts w:ascii="Arial" w:eastAsia="Calibri" w:hAnsi="Arial" w:cs="Arial"/>
          <w:b/>
          <w:sz w:val="22"/>
          <w:szCs w:val="22"/>
          <w:lang w:val="es-CO" w:eastAsia="en-US"/>
        </w:rPr>
      </w:pPr>
    </w:p>
    <w:p w14:paraId="12A29A98" w14:textId="77777777" w:rsidR="008F095B" w:rsidRPr="006021DA" w:rsidRDefault="008F095B" w:rsidP="00835F25">
      <w:pPr>
        <w:spacing w:before="240"/>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Esta Dirección constató en el SECOP</w:t>
      </w:r>
      <w:r w:rsidR="006D6B76" w:rsidRPr="006021DA">
        <w:rPr>
          <w:rFonts w:ascii="Arial" w:eastAsia="Calibri" w:hAnsi="Arial" w:cs="Arial"/>
          <w:sz w:val="22"/>
          <w:szCs w:val="22"/>
          <w:lang w:val="es-CO" w:eastAsia="en-US"/>
        </w:rPr>
        <w:t xml:space="preserve"> I y II, </w:t>
      </w:r>
      <w:r w:rsidRPr="006021DA">
        <w:rPr>
          <w:rFonts w:ascii="Arial" w:eastAsia="Calibri" w:hAnsi="Arial" w:cs="Arial"/>
          <w:sz w:val="22"/>
          <w:szCs w:val="22"/>
          <w:lang w:val="es-CO" w:eastAsia="en-US"/>
        </w:rPr>
        <w:t xml:space="preserve">la publicación </w:t>
      </w:r>
      <w:r w:rsidR="00252336" w:rsidRPr="006021DA">
        <w:rPr>
          <w:rFonts w:ascii="Arial" w:eastAsia="Calibri" w:hAnsi="Arial" w:cs="Arial"/>
          <w:sz w:val="22"/>
          <w:szCs w:val="22"/>
          <w:lang w:val="es-CO" w:eastAsia="en-US"/>
        </w:rPr>
        <w:t>de</w:t>
      </w:r>
      <w:r w:rsidR="00643C45" w:rsidRPr="006021DA">
        <w:rPr>
          <w:rFonts w:ascii="Arial" w:eastAsia="Calibri" w:hAnsi="Arial" w:cs="Arial"/>
          <w:sz w:val="22"/>
          <w:szCs w:val="22"/>
          <w:lang w:val="es-CO" w:eastAsia="en-US"/>
        </w:rPr>
        <w:t xml:space="preserve"> los </w:t>
      </w:r>
      <w:r w:rsidR="00B81D1E">
        <w:rPr>
          <w:rFonts w:ascii="Arial" w:eastAsia="Calibri" w:hAnsi="Arial" w:cs="Arial"/>
          <w:sz w:val="22"/>
          <w:szCs w:val="22"/>
          <w:lang w:val="es-CO" w:eastAsia="en-US"/>
        </w:rPr>
        <w:t>dos</w:t>
      </w:r>
      <w:r w:rsidR="00643C45" w:rsidRPr="006021DA">
        <w:rPr>
          <w:rFonts w:ascii="Arial" w:eastAsia="Calibri" w:hAnsi="Arial" w:cs="Arial"/>
          <w:sz w:val="22"/>
          <w:szCs w:val="22"/>
          <w:lang w:val="es-CO" w:eastAsia="en-US"/>
        </w:rPr>
        <w:t xml:space="preserve"> (</w:t>
      </w:r>
      <w:r w:rsidR="00B81D1E">
        <w:rPr>
          <w:rFonts w:ascii="Arial" w:eastAsia="Calibri" w:hAnsi="Arial" w:cs="Arial"/>
          <w:sz w:val="22"/>
          <w:szCs w:val="22"/>
          <w:lang w:val="es-CO" w:eastAsia="en-US"/>
        </w:rPr>
        <w:t>2</w:t>
      </w:r>
      <w:r w:rsidR="00643C45" w:rsidRPr="006021DA">
        <w:rPr>
          <w:rFonts w:ascii="Arial" w:eastAsia="Calibri" w:hAnsi="Arial" w:cs="Arial"/>
          <w:sz w:val="22"/>
          <w:szCs w:val="22"/>
          <w:lang w:val="es-CO" w:eastAsia="en-US"/>
        </w:rPr>
        <w:t>)</w:t>
      </w:r>
      <w:r w:rsidR="00252336" w:rsidRPr="006021DA">
        <w:rPr>
          <w:rFonts w:ascii="Arial" w:eastAsia="Calibri" w:hAnsi="Arial" w:cs="Arial"/>
          <w:sz w:val="22"/>
          <w:szCs w:val="22"/>
          <w:lang w:val="es-CO" w:eastAsia="en-US"/>
        </w:rPr>
        <w:t xml:space="preserve"> Contrato</w:t>
      </w:r>
      <w:r w:rsidR="00643C45" w:rsidRPr="006021DA">
        <w:rPr>
          <w:rFonts w:ascii="Arial" w:eastAsia="Calibri" w:hAnsi="Arial" w:cs="Arial"/>
          <w:sz w:val="22"/>
          <w:szCs w:val="22"/>
          <w:lang w:val="es-CO" w:eastAsia="en-US"/>
        </w:rPr>
        <w:t xml:space="preserve">s </w:t>
      </w:r>
      <w:r w:rsidR="00CD5305">
        <w:rPr>
          <w:rFonts w:ascii="Arial" w:eastAsia="Calibri" w:hAnsi="Arial" w:cs="Arial"/>
          <w:sz w:val="22"/>
          <w:szCs w:val="22"/>
          <w:lang w:val="es-CO" w:eastAsia="en-US"/>
        </w:rPr>
        <w:t xml:space="preserve">(001 y 047 de 2021) </w:t>
      </w:r>
      <w:r w:rsidR="00643C45" w:rsidRPr="006021DA">
        <w:rPr>
          <w:rFonts w:ascii="Arial" w:eastAsia="Calibri" w:hAnsi="Arial" w:cs="Arial"/>
          <w:sz w:val="22"/>
          <w:szCs w:val="22"/>
          <w:lang w:val="es-CO" w:eastAsia="en-US"/>
        </w:rPr>
        <w:t xml:space="preserve">para la prestación del </w:t>
      </w:r>
      <w:r w:rsidR="00AD5495" w:rsidRPr="006021DA">
        <w:rPr>
          <w:rFonts w:ascii="Arial" w:eastAsia="Calibri" w:hAnsi="Arial" w:cs="Arial"/>
          <w:sz w:val="22"/>
          <w:szCs w:val="22"/>
          <w:lang w:val="es-CO" w:eastAsia="en-US"/>
        </w:rPr>
        <w:t>S</w:t>
      </w:r>
      <w:r w:rsidR="00643C45" w:rsidRPr="006021DA">
        <w:rPr>
          <w:rFonts w:ascii="Arial" w:eastAsia="Calibri" w:hAnsi="Arial" w:cs="Arial"/>
          <w:sz w:val="22"/>
          <w:szCs w:val="22"/>
          <w:lang w:val="es-CO" w:eastAsia="en-US"/>
        </w:rPr>
        <w:t xml:space="preserve">ervicio de </w:t>
      </w:r>
      <w:r w:rsidR="00AD5495" w:rsidRPr="006021DA">
        <w:rPr>
          <w:rFonts w:ascii="Arial" w:eastAsia="Calibri" w:hAnsi="Arial" w:cs="Arial"/>
          <w:sz w:val="22"/>
          <w:szCs w:val="22"/>
          <w:lang w:val="es-CO" w:eastAsia="en-US"/>
        </w:rPr>
        <w:t>A</w:t>
      </w:r>
      <w:r w:rsidR="00643C45" w:rsidRPr="006021DA">
        <w:rPr>
          <w:rFonts w:ascii="Arial" w:eastAsia="Calibri" w:hAnsi="Arial" w:cs="Arial"/>
          <w:sz w:val="22"/>
          <w:szCs w:val="22"/>
          <w:lang w:val="es-CO" w:eastAsia="en-US"/>
        </w:rPr>
        <w:t xml:space="preserve">limentación </w:t>
      </w:r>
      <w:r w:rsidR="00AD5495" w:rsidRPr="006021DA">
        <w:rPr>
          <w:rFonts w:ascii="Arial" w:eastAsia="Calibri" w:hAnsi="Arial" w:cs="Arial"/>
          <w:sz w:val="22"/>
          <w:szCs w:val="22"/>
          <w:lang w:val="es-CO" w:eastAsia="en-US"/>
        </w:rPr>
        <w:t>E</w:t>
      </w:r>
      <w:r w:rsidR="00643C45" w:rsidRPr="006021DA">
        <w:rPr>
          <w:rFonts w:ascii="Arial" w:eastAsia="Calibri" w:hAnsi="Arial" w:cs="Arial"/>
          <w:sz w:val="22"/>
          <w:szCs w:val="22"/>
          <w:lang w:val="es-CO" w:eastAsia="en-US"/>
        </w:rPr>
        <w:t xml:space="preserve">scolar de las </w:t>
      </w:r>
      <w:r w:rsidR="00AD5495" w:rsidRPr="006021DA">
        <w:rPr>
          <w:rFonts w:ascii="Arial" w:eastAsia="Calibri" w:hAnsi="Arial" w:cs="Arial"/>
          <w:sz w:val="22"/>
          <w:szCs w:val="22"/>
          <w:lang w:val="es-CO" w:eastAsia="en-US"/>
        </w:rPr>
        <w:t>i</w:t>
      </w:r>
      <w:r w:rsidR="00643C45" w:rsidRPr="006021DA">
        <w:rPr>
          <w:rFonts w:ascii="Arial" w:eastAsia="Calibri" w:hAnsi="Arial" w:cs="Arial"/>
          <w:sz w:val="22"/>
          <w:szCs w:val="22"/>
          <w:lang w:val="es-CO" w:eastAsia="en-US"/>
        </w:rPr>
        <w:t xml:space="preserve">nstituciones </w:t>
      </w:r>
      <w:r w:rsidR="00AD5495" w:rsidRPr="006021DA">
        <w:rPr>
          <w:rFonts w:ascii="Arial" w:eastAsia="Calibri" w:hAnsi="Arial" w:cs="Arial"/>
          <w:sz w:val="22"/>
          <w:szCs w:val="22"/>
          <w:lang w:val="es-CO" w:eastAsia="en-US"/>
        </w:rPr>
        <w:t>e</w:t>
      </w:r>
      <w:r w:rsidR="00643C45" w:rsidRPr="006021DA">
        <w:rPr>
          <w:rFonts w:ascii="Arial" w:eastAsia="Calibri" w:hAnsi="Arial" w:cs="Arial"/>
          <w:sz w:val="22"/>
          <w:szCs w:val="22"/>
          <w:lang w:val="es-CO" w:eastAsia="en-US"/>
        </w:rPr>
        <w:t>ducativas</w:t>
      </w:r>
      <w:r w:rsidR="00DC088C" w:rsidRPr="006021DA">
        <w:rPr>
          <w:rFonts w:ascii="Arial" w:eastAsia="Calibri" w:hAnsi="Arial" w:cs="Arial"/>
          <w:sz w:val="22"/>
          <w:szCs w:val="22"/>
          <w:lang w:val="es-CO" w:eastAsia="en-US"/>
        </w:rPr>
        <w:t xml:space="preserve"> </w:t>
      </w:r>
      <w:r w:rsidR="00AD5495" w:rsidRPr="006021DA">
        <w:rPr>
          <w:rFonts w:ascii="Arial" w:eastAsia="Calibri" w:hAnsi="Arial" w:cs="Arial"/>
          <w:sz w:val="22"/>
          <w:szCs w:val="22"/>
          <w:lang w:val="es-CO" w:eastAsia="en-US"/>
        </w:rPr>
        <w:t>o</w:t>
      </w:r>
      <w:r w:rsidR="00DC088C" w:rsidRPr="006021DA">
        <w:rPr>
          <w:rFonts w:ascii="Arial" w:eastAsia="Calibri" w:hAnsi="Arial" w:cs="Arial"/>
          <w:sz w:val="22"/>
          <w:szCs w:val="22"/>
          <w:lang w:val="es-CO" w:eastAsia="en-US"/>
        </w:rPr>
        <w:t>ficiales</w:t>
      </w:r>
      <w:r w:rsidR="00643C45" w:rsidRPr="006021DA">
        <w:rPr>
          <w:rFonts w:ascii="Arial" w:eastAsia="Calibri" w:hAnsi="Arial" w:cs="Arial"/>
          <w:sz w:val="22"/>
          <w:szCs w:val="22"/>
          <w:lang w:val="es-CO" w:eastAsia="en-US"/>
        </w:rPr>
        <w:t xml:space="preserve"> ubicadas en la jurisdicción del Distrito de </w:t>
      </w:r>
      <w:r w:rsidR="00B81D1E">
        <w:rPr>
          <w:rFonts w:ascii="Arial" w:eastAsia="Calibri" w:hAnsi="Arial" w:cs="Arial"/>
          <w:sz w:val="22"/>
          <w:szCs w:val="22"/>
          <w:lang w:val="es-CO" w:eastAsia="en-US"/>
        </w:rPr>
        <w:t>Cartagena de Indias - Bolívar</w:t>
      </w:r>
      <w:r w:rsidR="00DC088C" w:rsidRPr="006021DA">
        <w:rPr>
          <w:rFonts w:ascii="Arial" w:eastAsia="Calibri" w:hAnsi="Arial" w:cs="Arial"/>
          <w:sz w:val="22"/>
          <w:szCs w:val="22"/>
          <w:lang w:val="es-CO" w:eastAsia="en-US"/>
        </w:rPr>
        <w:t xml:space="preserve"> para los años escolares 202</w:t>
      </w:r>
      <w:r w:rsidR="00B81D1E">
        <w:rPr>
          <w:rFonts w:ascii="Arial" w:eastAsia="Calibri" w:hAnsi="Arial" w:cs="Arial"/>
          <w:sz w:val="22"/>
          <w:szCs w:val="22"/>
          <w:lang w:val="es-CO" w:eastAsia="en-US"/>
        </w:rPr>
        <w:t>1</w:t>
      </w:r>
      <w:r w:rsidR="00643C45" w:rsidRPr="006021DA">
        <w:rPr>
          <w:rFonts w:ascii="Arial" w:eastAsia="Calibri" w:hAnsi="Arial" w:cs="Arial"/>
          <w:sz w:val="22"/>
          <w:szCs w:val="22"/>
          <w:lang w:val="es-CO" w:eastAsia="en-US"/>
        </w:rPr>
        <w:t xml:space="preserve"> </w:t>
      </w:r>
      <w:r w:rsidR="00DC088C" w:rsidRPr="006021DA">
        <w:rPr>
          <w:rFonts w:ascii="Arial" w:eastAsia="Calibri" w:hAnsi="Arial" w:cs="Arial"/>
          <w:sz w:val="22"/>
          <w:szCs w:val="22"/>
          <w:lang w:val="es-CO" w:eastAsia="en-US"/>
        </w:rPr>
        <w:t>y 202</w:t>
      </w:r>
      <w:r w:rsidR="00B81D1E">
        <w:rPr>
          <w:rFonts w:ascii="Arial" w:eastAsia="Calibri" w:hAnsi="Arial" w:cs="Arial"/>
          <w:sz w:val="22"/>
          <w:szCs w:val="22"/>
          <w:lang w:val="es-CO" w:eastAsia="en-US"/>
        </w:rPr>
        <w:t>2</w:t>
      </w:r>
      <w:r w:rsidR="00DC088C" w:rsidRPr="006021DA">
        <w:rPr>
          <w:rFonts w:ascii="Arial" w:eastAsia="Calibri" w:hAnsi="Arial" w:cs="Arial"/>
          <w:sz w:val="22"/>
          <w:szCs w:val="22"/>
          <w:lang w:val="es-CO" w:eastAsia="en-US"/>
        </w:rPr>
        <w:t>.</w:t>
      </w:r>
    </w:p>
    <w:p w14:paraId="031171CB" w14:textId="77777777" w:rsidR="00646700" w:rsidRDefault="00646700">
      <w:pPr>
        <w:rPr>
          <w:rFonts w:ascii="Arial" w:eastAsia="Calibri" w:hAnsi="Arial" w:cs="Arial"/>
          <w:sz w:val="22"/>
          <w:szCs w:val="22"/>
          <w:lang w:val="es-CO" w:eastAsia="en-US"/>
        </w:rPr>
      </w:pPr>
      <w:r>
        <w:rPr>
          <w:rFonts w:ascii="Arial" w:eastAsia="Calibri" w:hAnsi="Arial" w:cs="Arial"/>
          <w:sz w:val="22"/>
          <w:szCs w:val="22"/>
          <w:lang w:val="es-CO" w:eastAsia="en-US"/>
        </w:rPr>
        <w:br w:type="page"/>
      </w:r>
    </w:p>
    <w:p w14:paraId="4F47318B" w14:textId="77777777" w:rsidR="00745108" w:rsidRPr="00B3648E" w:rsidRDefault="00745108" w:rsidP="00835F25">
      <w:pPr>
        <w:contextualSpacing/>
        <w:jc w:val="center"/>
        <w:rPr>
          <w:rFonts w:ascii="Arial" w:eastAsia="Calibri" w:hAnsi="Arial" w:cs="Arial"/>
          <w:b/>
          <w:i/>
          <w:iCs/>
          <w:color w:val="1F497D" w:themeColor="text2"/>
          <w:sz w:val="20"/>
          <w:szCs w:val="20"/>
          <w:lang w:val="es-CO" w:eastAsia="en-US"/>
        </w:rPr>
      </w:pPr>
      <w:r w:rsidRPr="00B3648E">
        <w:rPr>
          <w:rFonts w:ascii="Arial" w:eastAsia="Calibri" w:hAnsi="Arial" w:cs="Arial"/>
          <w:b/>
          <w:i/>
          <w:iCs/>
          <w:color w:val="1F497D" w:themeColor="text2"/>
          <w:sz w:val="20"/>
          <w:szCs w:val="20"/>
          <w:lang w:val="es-CO" w:eastAsia="en-US"/>
        </w:rPr>
        <w:lastRenderedPageBreak/>
        <w:t xml:space="preserve">Tabla No. </w:t>
      </w:r>
      <w:r w:rsidR="00C03D8A" w:rsidRPr="00B3648E">
        <w:rPr>
          <w:rFonts w:ascii="Arial" w:hAnsi="Arial" w:cs="Arial"/>
          <w:b/>
          <w:bCs/>
          <w:i/>
          <w:iCs/>
          <w:color w:val="1F497D" w:themeColor="text2"/>
          <w:sz w:val="20"/>
          <w:szCs w:val="20"/>
        </w:rPr>
        <w:t>22</w:t>
      </w:r>
      <w:r w:rsidR="00EE0320" w:rsidRPr="00B3648E">
        <w:rPr>
          <w:rFonts w:ascii="Arial" w:hAnsi="Arial" w:cs="Arial"/>
          <w:b/>
          <w:bCs/>
          <w:i/>
          <w:iCs/>
          <w:color w:val="1F497D" w:themeColor="text2"/>
          <w:sz w:val="20"/>
          <w:szCs w:val="20"/>
        </w:rPr>
        <w:t xml:space="preserve"> </w:t>
      </w:r>
      <w:r w:rsidRPr="00B3648E">
        <w:rPr>
          <w:rFonts w:ascii="Arial" w:eastAsia="Calibri" w:hAnsi="Arial" w:cs="Arial"/>
          <w:b/>
          <w:i/>
          <w:iCs/>
          <w:color w:val="1F497D" w:themeColor="text2"/>
          <w:sz w:val="20"/>
          <w:szCs w:val="20"/>
          <w:lang w:val="es-CO" w:eastAsia="en-US"/>
        </w:rPr>
        <w:t xml:space="preserve">Inicio </w:t>
      </w:r>
      <w:r w:rsidR="00FA2533" w:rsidRPr="00B3648E">
        <w:rPr>
          <w:rFonts w:ascii="Arial" w:eastAsia="Calibri" w:hAnsi="Arial" w:cs="Arial"/>
          <w:b/>
          <w:i/>
          <w:iCs/>
          <w:color w:val="1F497D" w:themeColor="text2"/>
          <w:sz w:val="20"/>
          <w:szCs w:val="20"/>
          <w:lang w:val="es-CO" w:eastAsia="en-US"/>
        </w:rPr>
        <w:t>o</w:t>
      </w:r>
      <w:r w:rsidRPr="00B3648E">
        <w:rPr>
          <w:rFonts w:ascii="Arial" w:eastAsia="Calibri" w:hAnsi="Arial" w:cs="Arial"/>
          <w:b/>
          <w:i/>
          <w:iCs/>
          <w:color w:val="1F497D" w:themeColor="text2"/>
          <w:sz w:val="20"/>
          <w:szCs w:val="20"/>
          <w:lang w:val="es-CO" w:eastAsia="en-US"/>
        </w:rPr>
        <w:t>portuno PAE 202</w:t>
      </w:r>
      <w:r w:rsidR="00B81D1E" w:rsidRPr="00B3648E">
        <w:rPr>
          <w:rFonts w:ascii="Arial" w:eastAsia="Calibri" w:hAnsi="Arial" w:cs="Arial"/>
          <w:b/>
          <w:i/>
          <w:iCs/>
          <w:color w:val="1F497D" w:themeColor="text2"/>
          <w:sz w:val="20"/>
          <w:szCs w:val="20"/>
          <w:lang w:val="es-CO" w:eastAsia="en-US"/>
        </w:rPr>
        <w:t>1</w:t>
      </w:r>
      <w:r w:rsidRPr="00B3648E">
        <w:rPr>
          <w:rFonts w:ascii="Arial" w:eastAsia="Calibri" w:hAnsi="Arial" w:cs="Arial"/>
          <w:b/>
          <w:i/>
          <w:iCs/>
          <w:color w:val="1F497D" w:themeColor="text2"/>
          <w:sz w:val="20"/>
          <w:szCs w:val="20"/>
          <w:lang w:val="es-CO" w:eastAsia="en-US"/>
        </w:rPr>
        <w:t xml:space="preserve"> - 202</w:t>
      </w:r>
      <w:r w:rsidR="00B81D1E" w:rsidRPr="00B3648E">
        <w:rPr>
          <w:rFonts w:ascii="Arial" w:eastAsia="Calibri" w:hAnsi="Arial" w:cs="Arial"/>
          <w:b/>
          <w:i/>
          <w:iCs/>
          <w:color w:val="1F497D" w:themeColor="text2"/>
          <w:sz w:val="20"/>
          <w:szCs w:val="20"/>
          <w:lang w:val="es-CO" w:eastAsia="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271"/>
        <w:gridCol w:w="2204"/>
        <w:gridCol w:w="926"/>
        <w:gridCol w:w="1183"/>
        <w:gridCol w:w="1074"/>
        <w:gridCol w:w="1441"/>
        <w:gridCol w:w="729"/>
      </w:tblGrid>
      <w:tr w:rsidR="006021DA" w:rsidRPr="006021DA" w14:paraId="41FB1A3E" w14:textId="77777777" w:rsidTr="003B5F94">
        <w:trPr>
          <w:trHeight w:val="621"/>
          <w:jc w:val="center"/>
        </w:trPr>
        <w:tc>
          <w:tcPr>
            <w:tcW w:w="1271" w:type="dxa"/>
            <w:shd w:val="clear" w:color="auto" w:fill="CCCCFF"/>
            <w:vAlign w:val="center"/>
          </w:tcPr>
          <w:p w14:paraId="79446F32" w14:textId="77777777" w:rsidR="00745108" w:rsidRPr="006021DA" w:rsidRDefault="00DA4290" w:rsidP="00835F25">
            <w:pPr>
              <w:ind w:right="-648"/>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Contrato</w:t>
            </w:r>
          </w:p>
        </w:tc>
        <w:tc>
          <w:tcPr>
            <w:tcW w:w="2204" w:type="dxa"/>
            <w:shd w:val="clear" w:color="auto" w:fill="CCCCFF"/>
            <w:vAlign w:val="center"/>
            <w:hideMark/>
          </w:tcPr>
          <w:p w14:paraId="516ACFDE" w14:textId="77777777" w:rsidR="00745108" w:rsidRPr="006021DA" w:rsidRDefault="00745108"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 xml:space="preserve">Nombre </w:t>
            </w:r>
            <w:r w:rsidR="00C96054">
              <w:rPr>
                <w:rFonts w:ascii="Arial" w:eastAsia="Times New Roman" w:hAnsi="Arial" w:cs="Arial"/>
                <w:b/>
                <w:bCs/>
                <w:sz w:val="18"/>
                <w:szCs w:val="18"/>
                <w:lang w:val="es-CO" w:eastAsia="es-CO"/>
              </w:rPr>
              <w:t>Comisionista</w:t>
            </w:r>
          </w:p>
        </w:tc>
        <w:tc>
          <w:tcPr>
            <w:tcW w:w="926" w:type="dxa"/>
            <w:shd w:val="clear" w:color="auto" w:fill="CCCCFF"/>
            <w:vAlign w:val="center"/>
            <w:hideMark/>
          </w:tcPr>
          <w:p w14:paraId="09B5577C" w14:textId="77777777" w:rsidR="00745108" w:rsidRPr="006021DA" w:rsidRDefault="00745108"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NIT</w:t>
            </w:r>
          </w:p>
        </w:tc>
        <w:tc>
          <w:tcPr>
            <w:tcW w:w="1183" w:type="dxa"/>
            <w:shd w:val="clear" w:color="auto" w:fill="CCCCFF"/>
            <w:vAlign w:val="center"/>
            <w:hideMark/>
          </w:tcPr>
          <w:p w14:paraId="0CE9EFBD" w14:textId="77777777" w:rsidR="00745108" w:rsidRPr="006021DA" w:rsidRDefault="00745108"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Fecha acta de inicio</w:t>
            </w:r>
          </w:p>
        </w:tc>
        <w:tc>
          <w:tcPr>
            <w:tcW w:w="1074" w:type="dxa"/>
            <w:shd w:val="clear" w:color="auto" w:fill="CCCCFF"/>
            <w:vAlign w:val="center"/>
            <w:hideMark/>
          </w:tcPr>
          <w:p w14:paraId="059EE846" w14:textId="77777777" w:rsidR="00745108" w:rsidRPr="006021DA" w:rsidRDefault="00745108"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Inicio de calendario escolar</w:t>
            </w:r>
          </w:p>
        </w:tc>
        <w:tc>
          <w:tcPr>
            <w:tcW w:w="1441" w:type="dxa"/>
            <w:shd w:val="clear" w:color="auto" w:fill="CCCCFF"/>
            <w:vAlign w:val="center"/>
            <w:hideMark/>
          </w:tcPr>
          <w:p w14:paraId="3C418B43" w14:textId="77777777" w:rsidR="00745108" w:rsidRPr="006021DA" w:rsidRDefault="00745108"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Acto administrativo</w:t>
            </w:r>
          </w:p>
        </w:tc>
        <w:tc>
          <w:tcPr>
            <w:tcW w:w="729" w:type="dxa"/>
            <w:shd w:val="clear" w:color="auto" w:fill="CCCCFF"/>
            <w:vAlign w:val="center"/>
            <w:hideMark/>
          </w:tcPr>
          <w:p w14:paraId="39886E45" w14:textId="77777777" w:rsidR="00745108" w:rsidRPr="006021DA" w:rsidRDefault="00745108"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Diferencia</w:t>
            </w:r>
            <w:r w:rsidR="00887479" w:rsidRPr="006021DA">
              <w:rPr>
                <w:rFonts w:ascii="Arial" w:eastAsia="Times New Roman" w:hAnsi="Arial" w:cs="Arial"/>
                <w:b/>
                <w:bCs/>
                <w:sz w:val="18"/>
                <w:szCs w:val="18"/>
                <w:lang w:val="es-CO" w:eastAsia="es-CO"/>
              </w:rPr>
              <w:t xml:space="preserve"> (días)</w:t>
            </w:r>
          </w:p>
        </w:tc>
      </w:tr>
      <w:tr w:rsidR="003E05AD" w:rsidRPr="006021DA" w14:paraId="5F264880" w14:textId="77777777" w:rsidTr="00665413">
        <w:trPr>
          <w:trHeight w:val="1282"/>
          <w:jc w:val="center"/>
        </w:trPr>
        <w:tc>
          <w:tcPr>
            <w:tcW w:w="1271" w:type="dxa"/>
            <w:vAlign w:val="center"/>
          </w:tcPr>
          <w:p w14:paraId="592A99CF" w14:textId="77777777" w:rsidR="003E05AD" w:rsidRPr="006021DA" w:rsidRDefault="003E05AD" w:rsidP="00835F25">
            <w:pPr>
              <w:ind w:right="-364"/>
              <w:contextualSpacing/>
              <w:rPr>
                <w:rFonts w:ascii="Arial" w:eastAsia="Times New Roman" w:hAnsi="Arial" w:cs="Arial"/>
                <w:sz w:val="18"/>
                <w:szCs w:val="18"/>
                <w:lang w:val="es-CO" w:eastAsia="es-CO"/>
              </w:rPr>
            </w:pPr>
            <w:r>
              <w:rPr>
                <w:rFonts w:ascii="Arial" w:eastAsia="Calibri" w:hAnsi="Arial" w:cs="Arial"/>
                <w:sz w:val="18"/>
                <w:szCs w:val="18"/>
                <w:lang w:val="es-CO" w:eastAsia="en-US"/>
              </w:rPr>
              <w:t>001</w:t>
            </w:r>
            <w:r w:rsidRPr="006021DA">
              <w:rPr>
                <w:rFonts w:ascii="Arial" w:eastAsia="Calibri" w:hAnsi="Arial" w:cs="Arial"/>
                <w:sz w:val="18"/>
                <w:szCs w:val="18"/>
                <w:lang w:val="es-CO" w:eastAsia="en-US"/>
              </w:rPr>
              <w:t xml:space="preserve"> de 202</w:t>
            </w:r>
            <w:r w:rsidR="00FD5035">
              <w:rPr>
                <w:rFonts w:ascii="Arial" w:eastAsia="Calibri" w:hAnsi="Arial" w:cs="Arial"/>
                <w:sz w:val="18"/>
                <w:szCs w:val="18"/>
                <w:lang w:val="es-CO" w:eastAsia="en-US"/>
              </w:rPr>
              <w:t>1</w:t>
            </w:r>
          </w:p>
        </w:tc>
        <w:tc>
          <w:tcPr>
            <w:tcW w:w="2204" w:type="dxa"/>
            <w:noWrap/>
            <w:vAlign w:val="center"/>
          </w:tcPr>
          <w:p w14:paraId="525B7982" w14:textId="77777777" w:rsidR="003E05AD" w:rsidRPr="006021DA" w:rsidRDefault="00FC57C2" w:rsidP="00835F25">
            <w:pPr>
              <w:contextualSpacing/>
              <w:jc w:val="center"/>
              <w:rPr>
                <w:rFonts w:ascii="Arial" w:eastAsia="Times New Roman" w:hAnsi="Arial" w:cs="Arial"/>
                <w:sz w:val="18"/>
                <w:szCs w:val="18"/>
                <w:lang w:val="es-CO" w:eastAsia="es-CO"/>
              </w:rPr>
            </w:pPr>
            <w:r>
              <w:rPr>
                <w:rFonts w:ascii="Arial" w:eastAsia="Calibri" w:hAnsi="Arial" w:cs="Arial"/>
                <w:sz w:val="18"/>
                <w:szCs w:val="18"/>
                <w:lang w:val="es-CO" w:eastAsia="en-US"/>
              </w:rPr>
              <w:t>MIGUEL QUIJANO Y COMPAÑIA</w:t>
            </w:r>
            <w:r w:rsidR="003E05AD" w:rsidRPr="006021DA">
              <w:rPr>
                <w:rFonts w:ascii="Arial" w:eastAsia="Calibri" w:hAnsi="Arial" w:cs="Arial"/>
                <w:sz w:val="18"/>
                <w:szCs w:val="18"/>
                <w:lang w:val="es-CO" w:eastAsia="en-US"/>
              </w:rPr>
              <w:t xml:space="preserve"> </w:t>
            </w:r>
          </w:p>
        </w:tc>
        <w:tc>
          <w:tcPr>
            <w:tcW w:w="926" w:type="dxa"/>
            <w:noWrap/>
            <w:vAlign w:val="center"/>
          </w:tcPr>
          <w:p w14:paraId="1A514BDE" w14:textId="77777777" w:rsidR="003E05AD" w:rsidRPr="006021DA" w:rsidRDefault="00E31718"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830.095.131</w:t>
            </w:r>
          </w:p>
        </w:tc>
        <w:tc>
          <w:tcPr>
            <w:tcW w:w="1183" w:type="dxa"/>
            <w:noWrap/>
            <w:vAlign w:val="center"/>
          </w:tcPr>
          <w:p w14:paraId="3BD83CBF" w14:textId="77777777" w:rsidR="003E05AD" w:rsidRPr="006021DA" w:rsidRDefault="003E05AD"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2</w:t>
            </w:r>
            <w:r w:rsidR="00FC57C2">
              <w:rPr>
                <w:rFonts w:ascii="Arial" w:eastAsia="Times New Roman" w:hAnsi="Arial" w:cs="Arial"/>
                <w:b/>
                <w:bCs/>
                <w:sz w:val="18"/>
                <w:szCs w:val="18"/>
                <w:lang w:val="es-CO" w:eastAsia="es-CO"/>
              </w:rPr>
              <w:t>5</w:t>
            </w:r>
            <w:r w:rsidRPr="006021DA">
              <w:rPr>
                <w:rFonts w:ascii="Arial" w:eastAsia="Times New Roman" w:hAnsi="Arial" w:cs="Arial"/>
                <w:b/>
                <w:bCs/>
                <w:sz w:val="18"/>
                <w:szCs w:val="18"/>
                <w:lang w:val="es-CO" w:eastAsia="es-CO"/>
              </w:rPr>
              <w:t xml:space="preserve"> enero 202</w:t>
            </w:r>
            <w:r w:rsidR="00FC57C2">
              <w:rPr>
                <w:rFonts w:ascii="Arial" w:eastAsia="Times New Roman" w:hAnsi="Arial" w:cs="Arial"/>
                <w:b/>
                <w:bCs/>
                <w:sz w:val="18"/>
                <w:szCs w:val="18"/>
                <w:lang w:val="es-CO" w:eastAsia="es-CO"/>
              </w:rPr>
              <w:t>1</w:t>
            </w:r>
          </w:p>
        </w:tc>
        <w:tc>
          <w:tcPr>
            <w:tcW w:w="1074" w:type="dxa"/>
            <w:noWrap/>
            <w:vAlign w:val="center"/>
          </w:tcPr>
          <w:p w14:paraId="719F2E98" w14:textId="77777777" w:rsidR="003E05AD" w:rsidRPr="006021DA" w:rsidRDefault="003E05AD"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w:t>
            </w:r>
            <w:r w:rsidR="00610CF4">
              <w:rPr>
                <w:rFonts w:ascii="Arial" w:eastAsia="Times New Roman" w:hAnsi="Arial" w:cs="Arial"/>
                <w:sz w:val="18"/>
                <w:szCs w:val="18"/>
                <w:lang w:val="es-CO" w:eastAsia="es-CO"/>
              </w:rPr>
              <w:t>5</w:t>
            </w:r>
            <w:r w:rsidRPr="006021DA">
              <w:rPr>
                <w:rFonts w:ascii="Arial" w:eastAsia="Times New Roman" w:hAnsi="Arial" w:cs="Arial"/>
                <w:sz w:val="18"/>
                <w:szCs w:val="18"/>
                <w:lang w:val="es-CO" w:eastAsia="es-CO"/>
              </w:rPr>
              <w:t xml:space="preserve"> enero 202</w:t>
            </w:r>
            <w:r w:rsidR="00610CF4">
              <w:rPr>
                <w:rFonts w:ascii="Arial" w:eastAsia="Times New Roman" w:hAnsi="Arial" w:cs="Arial"/>
                <w:sz w:val="18"/>
                <w:szCs w:val="18"/>
                <w:lang w:val="es-CO" w:eastAsia="es-CO"/>
              </w:rPr>
              <w:t>1</w:t>
            </w:r>
          </w:p>
        </w:tc>
        <w:tc>
          <w:tcPr>
            <w:tcW w:w="1441" w:type="dxa"/>
            <w:noWrap/>
            <w:vAlign w:val="center"/>
          </w:tcPr>
          <w:p w14:paraId="02CB7ACD" w14:textId="77777777" w:rsidR="003E05AD" w:rsidRPr="006021DA" w:rsidRDefault="003E05AD"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Resolución </w:t>
            </w:r>
            <w:r>
              <w:rPr>
                <w:rFonts w:ascii="Arial" w:eastAsia="Times New Roman" w:hAnsi="Arial" w:cs="Arial"/>
                <w:sz w:val="18"/>
                <w:szCs w:val="18"/>
                <w:lang w:val="es-CO" w:eastAsia="es-CO"/>
              </w:rPr>
              <w:t>4864</w:t>
            </w:r>
            <w:r w:rsidRPr="006021DA">
              <w:rPr>
                <w:rFonts w:ascii="Arial" w:eastAsia="Times New Roman" w:hAnsi="Arial" w:cs="Arial"/>
                <w:sz w:val="18"/>
                <w:szCs w:val="18"/>
                <w:lang w:val="es-CO" w:eastAsia="es-CO"/>
              </w:rPr>
              <w:t xml:space="preserve"> de </w:t>
            </w:r>
            <w:r>
              <w:rPr>
                <w:rFonts w:ascii="Arial" w:eastAsia="Times New Roman" w:hAnsi="Arial" w:cs="Arial"/>
                <w:sz w:val="18"/>
                <w:szCs w:val="18"/>
                <w:lang w:val="es-CO" w:eastAsia="es-CO"/>
              </w:rPr>
              <w:t>2020</w:t>
            </w:r>
          </w:p>
        </w:tc>
        <w:tc>
          <w:tcPr>
            <w:tcW w:w="729" w:type="dxa"/>
            <w:shd w:val="clear" w:color="auto" w:fill="92D050"/>
            <w:noWrap/>
            <w:vAlign w:val="center"/>
          </w:tcPr>
          <w:p w14:paraId="5332CE6F" w14:textId="77777777" w:rsidR="003E05AD" w:rsidRPr="006021DA" w:rsidRDefault="003E05AD" w:rsidP="00835F25">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0</w:t>
            </w:r>
          </w:p>
        </w:tc>
      </w:tr>
      <w:tr w:rsidR="00DE18DB" w:rsidRPr="006021DA" w14:paraId="471CB461" w14:textId="77777777" w:rsidTr="00CD5305">
        <w:trPr>
          <w:trHeight w:val="1531"/>
          <w:jc w:val="center"/>
        </w:trPr>
        <w:tc>
          <w:tcPr>
            <w:tcW w:w="1271" w:type="dxa"/>
            <w:vAlign w:val="center"/>
          </w:tcPr>
          <w:p w14:paraId="5AB82E9D" w14:textId="77777777" w:rsidR="00AC6908" w:rsidRDefault="00AC6908" w:rsidP="00835F25">
            <w:pPr>
              <w:contextualSpacing/>
              <w:jc w:val="center"/>
              <w:rPr>
                <w:rFonts w:ascii="Arial" w:eastAsia="Calibri" w:hAnsi="Arial" w:cs="Arial"/>
                <w:sz w:val="18"/>
                <w:szCs w:val="18"/>
                <w:lang w:val="es-CO" w:eastAsia="en-US"/>
              </w:rPr>
            </w:pPr>
            <w:r>
              <w:rPr>
                <w:rFonts w:ascii="Arial" w:eastAsia="Calibri" w:hAnsi="Arial" w:cs="Arial"/>
                <w:sz w:val="18"/>
                <w:szCs w:val="18"/>
                <w:lang w:val="es-CO" w:eastAsia="en-US"/>
              </w:rPr>
              <w:t>001 de 2021</w:t>
            </w:r>
          </w:p>
          <w:p w14:paraId="66E12E40" w14:textId="77777777" w:rsidR="00DE18DB" w:rsidRPr="006021DA" w:rsidRDefault="00DE18DB" w:rsidP="00835F25">
            <w:pPr>
              <w:contextualSpacing/>
              <w:jc w:val="center"/>
              <w:rPr>
                <w:rFonts w:ascii="Arial" w:eastAsia="Times New Roman" w:hAnsi="Arial" w:cs="Arial"/>
                <w:sz w:val="18"/>
                <w:szCs w:val="18"/>
                <w:lang w:val="es-CO" w:eastAsia="es-CO"/>
              </w:rPr>
            </w:pPr>
            <w:r w:rsidRPr="006021DA">
              <w:rPr>
                <w:rFonts w:ascii="Arial" w:eastAsia="Calibri" w:hAnsi="Arial" w:cs="Arial"/>
                <w:sz w:val="18"/>
                <w:szCs w:val="18"/>
                <w:lang w:val="es-CO" w:eastAsia="en-US"/>
              </w:rPr>
              <w:t>0</w:t>
            </w:r>
            <w:r>
              <w:rPr>
                <w:rFonts w:ascii="Arial" w:eastAsia="Calibri" w:hAnsi="Arial" w:cs="Arial"/>
                <w:sz w:val="18"/>
                <w:szCs w:val="18"/>
                <w:lang w:val="es-CO" w:eastAsia="en-US"/>
              </w:rPr>
              <w:t>47</w:t>
            </w:r>
            <w:r w:rsidRPr="006021DA">
              <w:rPr>
                <w:rFonts w:ascii="Arial" w:eastAsia="Calibri" w:hAnsi="Arial" w:cs="Arial"/>
                <w:sz w:val="18"/>
                <w:szCs w:val="18"/>
                <w:lang w:val="es-CO" w:eastAsia="en-US"/>
              </w:rPr>
              <w:t xml:space="preserve"> de 2021</w:t>
            </w:r>
          </w:p>
        </w:tc>
        <w:tc>
          <w:tcPr>
            <w:tcW w:w="2204" w:type="dxa"/>
            <w:noWrap/>
            <w:vAlign w:val="center"/>
          </w:tcPr>
          <w:p w14:paraId="67B838B2" w14:textId="77777777" w:rsidR="00DE18DB" w:rsidRPr="006021DA" w:rsidRDefault="00DE18DB" w:rsidP="00835F25">
            <w:pPr>
              <w:contextualSpacing/>
              <w:jc w:val="center"/>
              <w:rPr>
                <w:rFonts w:ascii="Arial" w:eastAsia="Times New Roman" w:hAnsi="Arial" w:cs="Arial"/>
                <w:sz w:val="18"/>
                <w:szCs w:val="18"/>
                <w:lang w:val="es-CO" w:eastAsia="es-CO"/>
              </w:rPr>
            </w:pPr>
            <w:r>
              <w:rPr>
                <w:rFonts w:ascii="Arial" w:eastAsia="Calibri" w:hAnsi="Arial" w:cs="Arial"/>
                <w:sz w:val="18"/>
                <w:szCs w:val="18"/>
                <w:lang w:val="es-CO" w:eastAsia="en-US"/>
              </w:rPr>
              <w:t>MIGUEL QUIJANO Y COMPAÑIA</w:t>
            </w:r>
            <w:r w:rsidRPr="006021DA">
              <w:rPr>
                <w:rFonts w:ascii="Arial" w:eastAsia="Calibri" w:hAnsi="Arial" w:cs="Arial"/>
                <w:sz w:val="18"/>
                <w:szCs w:val="18"/>
                <w:lang w:val="es-CO" w:eastAsia="en-US"/>
              </w:rPr>
              <w:t xml:space="preserve"> </w:t>
            </w:r>
          </w:p>
        </w:tc>
        <w:tc>
          <w:tcPr>
            <w:tcW w:w="926" w:type="dxa"/>
            <w:noWrap/>
            <w:vAlign w:val="center"/>
          </w:tcPr>
          <w:p w14:paraId="2163F0A3" w14:textId="77777777" w:rsidR="00DE18DB" w:rsidRPr="006021DA" w:rsidRDefault="00DE18DB"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830.095.131</w:t>
            </w:r>
          </w:p>
        </w:tc>
        <w:tc>
          <w:tcPr>
            <w:tcW w:w="1183" w:type="dxa"/>
            <w:noWrap/>
            <w:vAlign w:val="center"/>
          </w:tcPr>
          <w:p w14:paraId="12136D3E" w14:textId="77777777" w:rsidR="00DE18DB" w:rsidRPr="006021DA" w:rsidRDefault="00DE18DB" w:rsidP="00835F25">
            <w:pPr>
              <w:contextualSpacing/>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31</w:t>
            </w:r>
            <w:r w:rsidRPr="006021DA">
              <w:rPr>
                <w:rFonts w:ascii="Arial" w:eastAsia="Times New Roman" w:hAnsi="Arial" w:cs="Arial"/>
                <w:b/>
                <w:bCs/>
                <w:sz w:val="18"/>
                <w:szCs w:val="18"/>
                <w:lang w:val="es-CO" w:eastAsia="es-CO"/>
              </w:rPr>
              <w:t xml:space="preserve"> </w:t>
            </w:r>
            <w:r>
              <w:rPr>
                <w:rFonts w:ascii="Arial" w:eastAsia="Times New Roman" w:hAnsi="Arial" w:cs="Arial"/>
                <w:b/>
                <w:bCs/>
                <w:sz w:val="18"/>
                <w:szCs w:val="18"/>
                <w:lang w:val="es-CO" w:eastAsia="es-CO"/>
              </w:rPr>
              <w:t>enero</w:t>
            </w:r>
            <w:r w:rsidRPr="006021DA">
              <w:rPr>
                <w:rFonts w:ascii="Arial" w:eastAsia="Times New Roman" w:hAnsi="Arial" w:cs="Arial"/>
                <w:b/>
                <w:bCs/>
                <w:sz w:val="18"/>
                <w:szCs w:val="18"/>
                <w:lang w:val="es-CO" w:eastAsia="es-CO"/>
              </w:rPr>
              <w:t xml:space="preserve"> 202</w:t>
            </w:r>
            <w:r>
              <w:rPr>
                <w:rFonts w:ascii="Arial" w:eastAsia="Times New Roman" w:hAnsi="Arial" w:cs="Arial"/>
                <w:b/>
                <w:bCs/>
                <w:sz w:val="18"/>
                <w:szCs w:val="18"/>
                <w:lang w:val="es-CO" w:eastAsia="es-CO"/>
              </w:rPr>
              <w:t>2</w:t>
            </w:r>
          </w:p>
        </w:tc>
        <w:tc>
          <w:tcPr>
            <w:tcW w:w="1074" w:type="dxa"/>
            <w:noWrap/>
            <w:vAlign w:val="center"/>
          </w:tcPr>
          <w:p w14:paraId="0E5296B4" w14:textId="77777777" w:rsidR="00DE18DB" w:rsidRPr="006021DA" w:rsidRDefault="00DE18DB"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w:t>
            </w:r>
            <w:r w:rsidRPr="006021DA">
              <w:rPr>
                <w:rFonts w:ascii="Arial" w:eastAsia="Times New Roman" w:hAnsi="Arial" w:cs="Arial"/>
                <w:sz w:val="18"/>
                <w:szCs w:val="18"/>
                <w:lang w:val="es-CO" w:eastAsia="es-CO"/>
              </w:rPr>
              <w:t xml:space="preserve"> enero 202</w:t>
            </w:r>
            <w:r>
              <w:rPr>
                <w:rFonts w:ascii="Arial" w:eastAsia="Times New Roman" w:hAnsi="Arial" w:cs="Arial"/>
                <w:sz w:val="18"/>
                <w:szCs w:val="18"/>
                <w:lang w:val="es-CO" w:eastAsia="es-CO"/>
              </w:rPr>
              <w:t>2</w:t>
            </w:r>
          </w:p>
        </w:tc>
        <w:tc>
          <w:tcPr>
            <w:tcW w:w="1441" w:type="dxa"/>
            <w:noWrap/>
            <w:vAlign w:val="center"/>
          </w:tcPr>
          <w:p w14:paraId="116C2D31" w14:textId="77777777" w:rsidR="00DE18DB" w:rsidRDefault="00DE18DB" w:rsidP="00835F25">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Resolución </w:t>
            </w:r>
            <w:r>
              <w:rPr>
                <w:rFonts w:ascii="Arial" w:eastAsia="Times New Roman" w:hAnsi="Arial" w:cs="Arial"/>
                <w:sz w:val="18"/>
                <w:szCs w:val="18"/>
                <w:lang w:val="es-CO" w:eastAsia="es-CO"/>
              </w:rPr>
              <w:t>6076</w:t>
            </w:r>
            <w:r w:rsidRPr="006021DA">
              <w:rPr>
                <w:rFonts w:ascii="Arial" w:eastAsia="Times New Roman" w:hAnsi="Arial" w:cs="Arial"/>
                <w:sz w:val="18"/>
                <w:szCs w:val="18"/>
                <w:lang w:val="es-CO" w:eastAsia="es-CO"/>
              </w:rPr>
              <w:t xml:space="preserve"> de 202</w:t>
            </w:r>
            <w:r>
              <w:rPr>
                <w:rFonts w:ascii="Arial" w:eastAsia="Times New Roman" w:hAnsi="Arial" w:cs="Arial"/>
                <w:sz w:val="18"/>
                <w:szCs w:val="18"/>
                <w:lang w:val="es-CO" w:eastAsia="es-CO"/>
              </w:rPr>
              <w:t>1*</w:t>
            </w:r>
          </w:p>
          <w:p w14:paraId="7E0E744F" w14:textId="77777777" w:rsidR="00DE18DB" w:rsidRDefault="00DE18DB"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Modificada por</w:t>
            </w:r>
          </w:p>
          <w:p w14:paraId="0B90EDCB" w14:textId="77777777" w:rsidR="00DE18DB" w:rsidRPr="006021DA" w:rsidRDefault="00DE18DB" w:rsidP="00835F25">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Resolución 0225 de 2022</w:t>
            </w:r>
          </w:p>
        </w:tc>
        <w:tc>
          <w:tcPr>
            <w:tcW w:w="729" w:type="dxa"/>
            <w:shd w:val="clear" w:color="auto" w:fill="92D050"/>
            <w:noWrap/>
            <w:vAlign w:val="center"/>
          </w:tcPr>
          <w:p w14:paraId="51FF3839" w14:textId="77777777" w:rsidR="00DE18DB" w:rsidRPr="006021DA" w:rsidRDefault="00DE18DB" w:rsidP="00835F25">
            <w:pPr>
              <w:contextualSpacing/>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0</w:t>
            </w:r>
          </w:p>
        </w:tc>
      </w:tr>
    </w:tbl>
    <w:p w14:paraId="3340C6A1" w14:textId="77777777" w:rsidR="004A17E5" w:rsidRPr="006021DA" w:rsidRDefault="004A17E5" w:rsidP="00835F25">
      <w:pPr>
        <w:contextualSpacing/>
        <w:jc w:val="center"/>
        <w:rPr>
          <w:rFonts w:ascii="Arial" w:eastAsia="Calibri" w:hAnsi="Arial" w:cs="Arial"/>
          <w:sz w:val="16"/>
          <w:szCs w:val="16"/>
          <w:lang w:val="es-CO" w:eastAsia="en-US"/>
        </w:rPr>
      </w:pPr>
      <w:r w:rsidRPr="006021DA">
        <w:rPr>
          <w:rFonts w:ascii="Arial" w:eastAsia="Calibri" w:hAnsi="Arial" w:cs="Arial"/>
          <w:sz w:val="16"/>
          <w:szCs w:val="16"/>
          <w:lang w:val="es-CO" w:eastAsia="en-US"/>
        </w:rPr>
        <w:t xml:space="preserve">Fuente: Información reportada por el </w:t>
      </w:r>
      <w:r w:rsidR="000C72C4" w:rsidRPr="006021DA">
        <w:rPr>
          <w:rFonts w:ascii="Arial" w:eastAsia="Calibri" w:hAnsi="Arial" w:cs="Arial"/>
          <w:sz w:val="16"/>
          <w:szCs w:val="16"/>
          <w:lang w:val="es-CO" w:eastAsia="en-US"/>
        </w:rPr>
        <w:t xml:space="preserve">Distrito </w:t>
      </w:r>
      <w:r w:rsidRPr="006021DA">
        <w:rPr>
          <w:rFonts w:ascii="Arial" w:eastAsia="Calibri" w:hAnsi="Arial" w:cs="Arial"/>
          <w:sz w:val="16"/>
          <w:szCs w:val="16"/>
          <w:lang w:val="es-CO" w:eastAsia="en-US"/>
        </w:rPr>
        <w:t xml:space="preserve">en el SECOP I – PAA y PAA entregado por la Administración </w:t>
      </w:r>
      <w:r w:rsidR="000C72C4" w:rsidRPr="006021DA">
        <w:rPr>
          <w:rFonts w:ascii="Arial" w:eastAsia="Calibri" w:hAnsi="Arial" w:cs="Arial"/>
          <w:sz w:val="16"/>
          <w:szCs w:val="16"/>
          <w:lang w:val="es-CO" w:eastAsia="en-US"/>
        </w:rPr>
        <w:t>Distrital</w:t>
      </w:r>
      <w:r w:rsidRPr="006021DA">
        <w:rPr>
          <w:rFonts w:ascii="Arial" w:eastAsia="Calibri" w:hAnsi="Arial" w:cs="Arial"/>
          <w:sz w:val="16"/>
          <w:szCs w:val="16"/>
          <w:lang w:val="es-CO" w:eastAsia="en-US"/>
        </w:rPr>
        <w:t>.</w:t>
      </w:r>
    </w:p>
    <w:p w14:paraId="5710DCB6" w14:textId="77777777" w:rsidR="00DE503C" w:rsidRPr="006021DA" w:rsidRDefault="00DE503C" w:rsidP="00835F25">
      <w:pPr>
        <w:contextualSpacing/>
        <w:jc w:val="both"/>
        <w:rPr>
          <w:rFonts w:ascii="Arial" w:eastAsia="Calibri" w:hAnsi="Arial" w:cs="Arial"/>
          <w:b/>
          <w:sz w:val="22"/>
          <w:szCs w:val="22"/>
          <w:lang w:val="es-CO" w:eastAsia="en-US"/>
        </w:rPr>
      </w:pPr>
    </w:p>
    <w:p w14:paraId="3CF0243C" w14:textId="77777777" w:rsidR="00E2515B" w:rsidRPr="006021DA" w:rsidRDefault="00423AAD" w:rsidP="00835F25">
      <w:pPr>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 xml:space="preserve">De acuerdo con lo </w:t>
      </w:r>
      <w:r w:rsidR="0024641D" w:rsidRPr="006021DA">
        <w:rPr>
          <w:rFonts w:ascii="Arial" w:eastAsia="Calibri" w:hAnsi="Arial" w:cs="Arial"/>
          <w:bCs/>
          <w:sz w:val="22"/>
          <w:szCs w:val="22"/>
          <w:lang w:val="es-CO" w:eastAsia="en-US"/>
        </w:rPr>
        <w:t>anterior, se puede colegir que</w:t>
      </w:r>
      <w:r w:rsidR="005A17CB">
        <w:rPr>
          <w:rFonts w:ascii="Arial" w:eastAsia="Calibri" w:hAnsi="Arial" w:cs="Arial"/>
          <w:bCs/>
          <w:sz w:val="22"/>
          <w:szCs w:val="22"/>
          <w:lang w:val="es-CO" w:eastAsia="en-US"/>
        </w:rPr>
        <w:t xml:space="preserve"> </w:t>
      </w:r>
      <w:r w:rsidR="0024641D" w:rsidRPr="006021DA">
        <w:rPr>
          <w:rFonts w:ascii="Arial" w:eastAsia="Calibri" w:hAnsi="Arial" w:cs="Arial"/>
          <w:bCs/>
          <w:sz w:val="22"/>
          <w:szCs w:val="22"/>
          <w:lang w:val="es-CO" w:eastAsia="en-US"/>
        </w:rPr>
        <w:t xml:space="preserve">el Distrito cumplió con el inicio oportuno durante </w:t>
      </w:r>
      <w:r w:rsidR="00EF4C6F">
        <w:rPr>
          <w:rFonts w:ascii="Arial" w:eastAsia="Calibri" w:hAnsi="Arial" w:cs="Arial"/>
          <w:bCs/>
          <w:sz w:val="22"/>
          <w:szCs w:val="22"/>
          <w:lang w:val="es-CO" w:eastAsia="en-US"/>
        </w:rPr>
        <w:t>los años escolares</w:t>
      </w:r>
      <w:r w:rsidR="0024641D" w:rsidRPr="006021DA">
        <w:rPr>
          <w:rFonts w:ascii="Arial" w:eastAsia="Calibri" w:hAnsi="Arial" w:cs="Arial"/>
          <w:bCs/>
          <w:sz w:val="22"/>
          <w:szCs w:val="22"/>
          <w:lang w:val="es-CO" w:eastAsia="en-US"/>
        </w:rPr>
        <w:t xml:space="preserve"> 202</w:t>
      </w:r>
      <w:r w:rsidR="00EF4C6F">
        <w:rPr>
          <w:rFonts w:ascii="Arial" w:eastAsia="Calibri" w:hAnsi="Arial" w:cs="Arial"/>
          <w:bCs/>
          <w:sz w:val="22"/>
          <w:szCs w:val="22"/>
          <w:lang w:val="es-CO" w:eastAsia="en-US"/>
        </w:rPr>
        <w:t>1 y 2022</w:t>
      </w:r>
      <w:r w:rsidR="00C21FE1">
        <w:rPr>
          <w:rFonts w:ascii="Arial" w:eastAsia="Calibri" w:hAnsi="Arial" w:cs="Arial"/>
          <w:bCs/>
          <w:sz w:val="22"/>
          <w:szCs w:val="22"/>
          <w:lang w:val="es-CO" w:eastAsia="en-US"/>
        </w:rPr>
        <w:t xml:space="preserve">. </w:t>
      </w:r>
      <w:r w:rsidR="00E2515B" w:rsidRPr="006021DA">
        <w:rPr>
          <w:rFonts w:ascii="Arial" w:eastAsia="Calibri" w:hAnsi="Arial" w:cs="Arial"/>
          <w:bCs/>
          <w:sz w:val="22"/>
          <w:szCs w:val="22"/>
          <w:lang w:val="es-CO" w:eastAsia="en-US"/>
        </w:rPr>
        <w:t xml:space="preserve">Así mismo, el Distrito remitió la </w:t>
      </w:r>
      <w:r w:rsidR="00FA2533" w:rsidRPr="006021DA">
        <w:rPr>
          <w:rFonts w:ascii="Arial" w:eastAsia="Calibri" w:hAnsi="Arial" w:cs="Arial"/>
          <w:bCs/>
          <w:sz w:val="22"/>
          <w:szCs w:val="22"/>
          <w:lang w:val="es-CO" w:eastAsia="en-US"/>
        </w:rPr>
        <w:t>c</w:t>
      </w:r>
      <w:r w:rsidR="00E2515B" w:rsidRPr="006021DA">
        <w:rPr>
          <w:rFonts w:ascii="Arial" w:eastAsia="Calibri" w:hAnsi="Arial" w:cs="Arial"/>
          <w:bCs/>
          <w:sz w:val="22"/>
          <w:szCs w:val="22"/>
          <w:lang w:val="es-CO" w:eastAsia="en-US"/>
        </w:rPr>
        <w:t>ertificación de la Oficina de Control Interno</w:t>
      </w:r>
      <w:r w:rsidR="005C5380">
        <w:rPr>
          <w:rStyle w:val="Refdenotaalpie"/>
          <w:rFonts w:ascii="Arial" w:eastAsia="Calibri" w:hAnsi="Arial" w:cs="Arial"/>
          <w:bCs/>
          <w:sz w:val="22"/>
          <w:szCs w:val="22"/>
          <w:lang w:val="es-CO" w:eastAsia="en-US"/>
        </w:rPr>
        <w:footnoteReference w:id="13"/>
      </w:r>
      <w:r w:rsidR="00E2515B" w:rsidRPr="006021DA">
        <w:rPr>
          <w:rFonts w:ascii="Arial" w:eastAsia="Calibri" w:hAnsi="Arial" w:cs="Arial"/>
          <w:bCs/>
          <w:sz w:val="22"/>
          <w:szCs w:val="22"/>
          <w:lang w:val="es-CO" w:eastAsia="en-US"/>
        </w:rPr>
        <w:t xml:space="preserve"> de la </w:t>
      </w:r>
      <w:r w:rsidR="00FA2533" w:rsidRPr="006021DA">
        <w:rPr>
          <w:rFonts w:ascii="Arial" w:eastAsia="Calibri" w:hAnsi="Arial" w:cs="Arial"/>
          <w:bCs/>
          <w:sz w:val="22"/>
          <w:szCs w:val="22"/>
          <w:lang w:val="es-CO" w:eastAsia="en-US"/>
        </w:rPr>
        <w:t>E</w:t>
      </w:r>
      <w:r w:rsidR="00E2515B" w:rsidRPr="006021DA">
        <w:rPr>
          <w:rFonts w:ascii="Arial" w:eastAsia="Calibri" w:hAnsi="Arial" w:cs="Arial"/>
          <w:bCs/>
          <w:sz w:val="22"/>
          <w:szCs w:val="22"/>
          <w:lang w:val="es-CO" w:eastAsia="en-US"/>
        </w:rPr>
        <w:t xml:space="preserve">ntidad </w:t>
      </w:r>
      <w:r w:rsidR="00FA2533" w:rsidRPr="006021DA">
        <w:rPr>
          <w:rFonts w:ascii="Arial" w:eastAsia="Calibri" w:hAnsi="Arial" w:cs="Arial"/>
          <w:bCs/>
          <w:sz w:val="22"/>
          <w:szCs w:val="22"/>
          <w:lang w:val="es-CO" w:eastAsia="en-US"/>
        </w:rPr>
        <w:t>T</w:t>
      </w:r>
      <w:r w:rsidR="00E2515B" w:rsidRPr="006021DA">
        <w:rPr>
          <w:rFonts w:ascii="Arial" w:eastAsia="Calibri" w:hAnsi="Arial" w:cs="Arial"/>
          <w:bCs/>
          <w:sz w:val="22"/>
          <w:szCs w:val="22"/>
          <w:lang w:val="es-CO" w:eastAsia="en-US"/>
        </w:rPr>
        <w:t xml:space="preserve">erritorial, en la cual se constata el inicio </w:t>
      </w:r>
      <w:r w:rsidR="00CD5305">
        <w:rPr>
          <w:rFonts w:ascii="Arial" w:eastAsia="Calibri" w:hAnsi="Arial" w:cs="Arial"/>
          <w:bCs/>
          <w:sz w:val="22"/>
          <w:szCs w:val="22"/>
          <w:lang w:val="es-CO" w:eastAsia="en-US"/>
        </w:rPr>
        <w:t>de</w:t>
      </w:r>
      <w:r w:rsidR="00E2515B" w:rsidRPr="006021DA">
        <w:rPr>
          <w:rFonts w:ascii="Arial" w:eastAsia="Calibri" w:hAnsi="Arial" w:cs="Arial"/>
          <w:bCs/>
          <w:sz w:val="22"/>
          <w:szCs w:val="22"/>
          <w:lang w:val="es-CO" w:eastAsia="en-US"/>
        </w:rPr>
        <w:t>l Programa de Alimentación Escolar con</w:t>
      </w:r>
      <w:r w:rsidR="004336BF">
        <w:rPr>
          <w:rFonts w:ascii="Arial" w:eastAsia="Calibri" w:hAnsi="Arial" w:cs="Arial"/>
          <w:bCs/>
          <w:sz w:val="22"/>
          <w:szCs w:val="22"/>
          <w:lang w:val="es-CO" w:eastAsia="en-US"/>
        </w:rPr>
        <w:t xml:space="preserve">forme al </w:t>
      </w:r>
      <w:r w:rsidR="00E2515B" w:rsidRPr="006021DA">
        <w:rPr>
          <w:rFonts w:ascii="Arial" w:eastAsia="Calibri" w:hAnsi="Arial" w:cs="Arial"/>
          <w:bCs/>
          <w:sz w:val="22"/>
          <w:szCs w:val="22"/>
          <w:lang w:val="es-CO" w:eastAsia="en-US"/>
        </w:rPr>
        <w:t>calendario escolar</w:t>
      </w:r>
      <w:r w:rsidR="00CD5305">
        <w:rPr>
          <w:rFonts w:ascii="Arial" w:eastAsia="Calibri" w:hAnsi="Arial" w:cs="Arial"/>
          <w:bCs/>
          <w:sz w:val="22"/>
          <w:szCs w:val="22"/>
          <w:lang w:val="es-CO" w:eastAsia="en-US"/>
        </w:rPr>
        <w:t xml:space="preserve"> para dichas vigencias</w:t>
      </w:r>
      <w:r w:rsidR="005C5380">
        <w:rPr>
          <w:rFonts w:ascii="Arial" w:eastAsia="Calibri" w:hAnsi="Arial" w:cs="Arial"/>
          <w:bCs/>
          <w:sz w:val="22"/>
          <w:szCs w:val="22"/>
          <w:lang w:val="es-CO" w:eastAsia="en-US"/>
        </w:rPr>
        <w:t>.</w:t>
      </w:r>
    </w:p>
    <w:p w14:paraId="63AADDC6" w14:textId="77777777" w:rsidR="005C1C9C" w:rsidRPr="006021DA" w:rsidRDefault="005C1C9C" w:rsidP="00835F25">
      <w:pPr>
        <w:contextualSpacing/>
        <w:jc w:val="both"/>
        <w:rPr>
          <w:rFonts w:ascii="Arial" w:eastAsia="Calibri" w:hAnsi="Arial" w:cs="Arial"/>
          <w:bCs/>
          <w:sz w:val="22"/>
          <w:szCs w:val="22"/>
          <w:lang w:val="es-CO" w:eastAsia="en-US"/>
        </w:rPr>
      </w:pPr>
    </w:p>
    <w:p w14:paraId="2D0AD5D0" w14:textId="77777777" w:rsidR="009D6BA8" w:rsidRDefault="009D6BA8" w:rsidP="00835F25">
      <w:pPr>
        <w:contextualSpacing/>
        <w:jc w:val="both"/>
        <w:rPr>
          <w:rFonts w:ascii="Arial" w:eastAsia="Calibri" w:hAnsi="Arial" w:cs="Arial"/>
          <w:b/>
          <w:sz w:val="22"/>
          <w:szCs w:val="22"/>
          <w:lang w:val="es-CO" w:eastAsia="en-US"/>
        </w:rPr>
      </w:pPr>
      <w:bookmarkStart w:id="5" w:name="_Toc487631208"/>
      <w:r w:rsidRPr="009D6BA8">
        <w:rPr>
          <w:rFonts w:ascii="Arial" w:eastAsia="Calibri" w:hAnsi="Arial" w:cs="Arial"/>
          <w:b/>
          <w:sz w:val="22"/>
          <w:szCs w:val="22"/>
          <w:lang w:val="es-CO" w:eastAsia="en-US"/>
        </w:rPr>
        <w:t xml:space="preserve">Estado: </w:t>
      </w:r>
      <w:r w:rsidR="00943756">
        <w:rPr>
          <w:rFonts w:ascii="Arial" w:eastAsia="Calibri" w:hAnsi="Arial" w:cs="Arial"/>
          <w:b/>
          <w:sz w:val="22"/>
          <w:szCs w:val="22"/>
          <w:lang w:val="es-CO" w:eastAsia="en-US"/>
        </w:rPr>
        <w:t>Cumple</w:t>
      </w:r>
      <w:r w:rsidRPr="009D6BA8">
        <w:rPr>
          <w:rFonts w:ascii="Arial" w:eastAsia="Calibri" w:hAnsi="Arial" w:cs="Arial"/>
          <w:b/>
          <w:sz w:val="22"/>
          <w:szCs w:val="22"/>
          <w:lang w:val="es-CO" w:eastAsia="en-US"/>
        </w:rPr>
        <w:t>.</w:t>
      </w:r>
    </w:p>
    <w:p w14:paraId="13B96116" w14:textId="77777777" w:rsidR="00FD0B9E" w:rsidRDefault="00FD0B9E" w:rsidP="00835F25">
      <w:pPr>
        <w:contextualSpacing/>
        <w:jc w:val="both"/>
        <w:rPr>
          <w:rFonts w:ascii="Arial" w:eastAsia="Calibri" w:hAnsi="Arial" w:cs="Arial"/>
          <w:b/>
          <w:sz w:val="22"/>
          <w:szCs w:val="22"/>
          <w:lang w:val="es-CO" w:eastAsia="en-US"/>
        </w:rPr>
      </w:pPr>
    </w:p>
    <w:p w14:paraId="49CE3846" w14:textId="77777777" w:rsidR="008F095B" w:rsidRPr="006021DA" w:rsidRDefault="008F095B" w:rsidP="00835F25">
      <w:pPr>
        <w:pStyle w:val="Ttulo1"/>
        <w:numPr>
          <w:ilvl w:val="0"/>
          <w:numId w:val="8"/>
        </w:numPr>
        <w:spacing w:line="240" w:lineRule="auto"/>
        <w:contextualSpacing/>
        <w:rPr>
          <w:rFonts w:ascii="Arial" w:hAnsi="Arial" w:cs="Arial"/>
          <w:color w:val="auto"/>
        </w:rPr>
      </w:pPr>
      <w:r w:rsidRPr="006021DA">
        <w:rPr>
          <w:rFonts w:ascii="Arial" w:hAnsi="Arial" w:cs="Arial"/>
          <w:color w:val="auto"/>
        </w:rPr>
        <w:t>CONCLUSIONES Y RECOMENDACIONES</w:t>
      </w:r>
      <w:bookmarkEnd w:id="5"/>
      <w:r w:rsidR="00FA2533" w:rsidRPr="006021DA">
        <w:rPr>
          <w:rFonts w:ascii="Arial" w:hAnsi="Arial" w:cs="Arial"/>
          <w:color w:val="auto"/>
        </w:rPr>
        <w:t>.</w:t>
      </w:r>
    </w:p>
    <w:p w14:paraId="0751A083" w14:textId="77777777" w:rsidR="008F095B" w:rsidRPr="006021DA" w:rsidRDefault="008F095B" w:rsidP="00835F25">
      <w:pPr>
        <w:pStyle w:val="yiv292490742msonormal"/>
        <w:spacing w:before="0" w:beforeAutospacing="0" w:after="0" w:afterAutospacing="0"/>
        <w:contextualSpacing/>
        <w:jc w:val="both"/>
        <w:rPr>
          <w:rFonts w:ascii="Arial" w:hAnsi="Arial" w:cs="Arial"/>
          <w:sz w:val="22"/>
          <w:szCs w:val="22"/>
          <w:lang w:val="es-ES"/>
        </w:rPr>
      </w:pPr>
    </w:p>
    <w:p w14:paraId="61877537" w14:textId="77777777" w:rsidR="00794FFC" w:rsidRPr="00794FFC" w:rsidRDefault="00794FFC" w:rsidP="00835F25">
      <w:pPr>
        <w:pStyle w:val="yiv292490742msonormal"/>
        <w:contextualSpacing/>
        <w:jc w:val="both"/>
        <w:rPr>
          <w:rFonts w:ascii="Arial" w:hAnsi="Arial" w:cs="Arial"/>
          <w:sz w:val="22"/>
          <w:szCs w:val="22"/>
          <w:lang w:val="es-ES"/>
        </w:rPr>
      </w:pPr>
      <w:r w:rsidRPr="00794FFC">
        <w:rPr>
          <w:rFonts w:ascii="Arial" w:hAnsi="Arial" w:cs="Arial"/>
          <w:sz w:val="22"/>
          <w:szCs w:val="22"/>
          <w:lang w:val="es-ES"/>
        </w:rPr>
        <w:t xml:space="preserve">Al realizar el análisis </w:t>
      </w:r>
      <w:r w:rsidR="0031489E">
        <w:rPr>
          <w:rFonts w:ascii="Arial" w:hAnsi="Arial" w:cs="Arial"/>
          <w:sz w:val="22"/>
          <w:szCs w:val="22"/>
          <w:lang w:val="es-ES"/>
        </w:rPr>
        <w:t>de</w:t>
      </w:r>
      <w:r w:rsidRPr="00794FFC">
        <w:rPr>
          <w:rFonts w:ascii="Arial" w:hAnsi="Arial" w:cs="Arial"/>
          <w:sz w:val="22"/>
          <w:szCs w:val="22"/>
          <w:lang w:val="es-ES"/>
        </w:rPr>
        <w:t xml:space="preserve">l cumplimiento de las actividades de la Medida Preventiva en la Asignación Especial para Alimentación Escolar - AESGPAE en el Distrito de </w:t>
      </w:r>
      <w:r>
        <w:rPr>
          <w:rFonts w:ascii="Arial" w:hAnsi="Arial" w:cs="Arial"/>
          <w:sz w:val="22"/>
          <w:szCs w:val="22"/>
          <w:lang w:val="es-ES"/>
        </w:rPr>
        <w:t>Cartagena de Indias</w:t>
      </w:r>
      <w:r w:rsidRPr="00794FFC">
        <w:rPr>
          <w:rFonts w:ascii="Arial" w:hAnsi="Arial" w:cs="Arial"/>
          <w:sz w:val="22"/>
          <w:szCs w:val="22"/>
          <w:lang w:val="es-ES"/>
        </w:rPr>
        <w:t xml:space="preserve">, se verificó que de las </w:t>
      </w:r>
      <w:r w:rsidR="00494EF7">
        <w:rPr>
          <w:rFonts w:ascii="Arial" w:hAnsi="Arial" w:cs="Arial"/>
          <w:sz w:val="22"/>
          <w:szCs w:val="22"/>
          <w:lang w:val="es-ES"/>
        </w:rPr>
        <w:t>diez</w:t>
      </w:r>
      <w:r w:rsidRPr="00794FFC">
        <w:rPr>
          <w:rFonts w:ascii="Arial" w:hAnsi="Arial" w:cs="Arial"/>
          <w:sz w:val="22"/>
          <w:szCs w:val="22"/>
          <w:lang w:val="es-ES"/>
        </w:rPr>
        <w:t xml:space="preserve"> (</w:t>
      </w:r>
      <w:r w:rsidR="00494EF7">
        <w:rPr>
          <w:rFonts w:ascii="Arial" w:hAnsi="Arial" w:cs="Arial"/>
          <w:sz w:val="22"/>
          <w:szCs w:val="22"/>
          <w:lang w:val="es-ES"/>
        </w:rPr>
        <w:t>10</w:t>
      </w:r>
      <w:r w:rsidRPr="00794FFC">
        <w:rPr>
          <w:rFonts w:ascii="Arial" w:hAnsi="Arial" w:cs="Arial"/>
          <w:sz w:val="22"/>
          <w:szCs w:val="22"/>
          <w:lang w:val="es-ES"/>
        </w:rPr>
        <w:t xml:space="preserve">) actividades definidas, se evaluaron </w:t>
      </w:r>
      <w:r w:rsidR="00494EF7">
        <w:rPr>
          <w:rFonts w:ascii="Arial" w:hAnsi="Arial" w:cs="Arial"/>
          <w:sz w:val="22"/>
          <w:szCs w:val="22"/>
          <w:lang w:val="es-ES"/>
        </w:rPr>
        <w:t>nueve</w:t>
      </w:r>
      <w:r w:rsidRPr="00794FFC">
        <w:rPr>
          <w:rFonts w:ascii="Arial" w:hAnsi="Arial" w:cs="Arial"/>
          <w:sz w:val="22"/>
          <w:szCs w:val="22"/>
          <w:lang w:val="es-ES"/>
        </w:rPr>
        <w:t xml:space="preserve"> (</w:t>
      </w:r>
      <w:r w:rsidR="00494EF7">
        <w:rPr>
          <w:rFonts w:ascii="Arial" w:hAnsi="Arial" w:cs="Arial"/>
          <w:sz w:val="22"/>
          <w:szCs w:val="22"/>
          <w:lang w:val="es-ES"/>
        </w:rPr>
        <w:t>9</w:t>
      </w:r>
      <w:r w:rsidRPr="00794FFC">
        <w:rPr>
          <w:rFonts w:ascii="Arial" w:hAnsi="Arial" w:cs="Arial"/>
          <w:sz w:val="22"/>
          <w:szCs w:val="22"/>
          <w:lang w:val="es-ES"/>
        </w:rPr>
        <w:t xml:space="preserve">), dadas las realidades para el cumplimiento de las actividades y una (1) No Aplica para el período analizado. </w:t>
      </w:r>
      <w:r w:rsidR="003564FF">
        <w:rPr>
          <w:rFonts w:ascii="Arial" w:hAnsi="Arial" w:cs="Arial"/>
          <w:sz w:val="22"/>
          <w:szCs w:val="22"/>
          <w:lang w:val="es-ES"/>
        </w:rPr>
        <w:t>Cuatro</w:t>
      </w:r>
      <w:r w:rsidRPr="00794FFC">
        <w:rPr>
          <w:rFonts w:ascii="Arial" w:hAnsi="Arial" w:cs="Arial"/>
          <w:sz w:val="22"/>
          <w:szCs w:val="22"/>
          <w:lang w:val="es-ES"/>
        </w:rPr>
        <w:t xml:space="preserve"> (</w:t>
      </w:r>
      <w:r w:rsidR="003564FF">
        <w:rPr>
          <w:rFonts w:ascii="Arial" w:hAnsi="Arial" w:cs="Arial"/>
          <w:sz w:val="22"/>
          <w:szCs w:val="22"/>
          <w:lang w:val="es-ES"/>
        </w:rPr>
        <w:t>4</w:t>
      </w:r>
      <w:r w:rsidRPr="00794FFC">
        <w:rPr>
          <w:rFonts w:ascii="Arial" w:hAnsi="Arial" w:cs="Arial"/>
          <w:sz w:val="22"/>
          <w:szCs w:val="22"/>
          <w:lang w:val="es-ES"/>
        </w:rPr>
        <w:t xml:space="preserve">) se cumplieron y se incumplieron las </w:t>
      </w:r>
      <w:r w:rsidR="003564FF">
        <w:rPr>
          <w:rFonts w:ascii="Arial" w:hAnsi="Arial" w:cs="Arial"/>
          <w:sz w:val="22"/>
          <w:szCs w:val="22"/>
          <w:lang w:val="es-ES"/>
        </w:rPr>
        <w:t xml:space="preserve">cinco </w:t>
      </w:r>
      <w:r w:rsidRPr="00794FFC">
        <w:rPr>
          <w:rFonts w:ascii="Arial" w:hAnsi="Arial" w:cs="Arial"/>
          <w:sz w:val="22"/>
          <w:szCs w:val="22"/>
          <w:lang w:val="es-ES"/>
        </w:rPr>
        <w:t>(</w:t>
      </w:r>
      <w:r w:rsidR="003564FF">
        <w:rPr>
          <w:rFonts w:ascii="Arial" w:hAnsi="Arial" w:cs="Arial"/>
          <w:sz w:val="22"/>
          <w:szCs w:val="22"/>
          <w:lang w:val="es-ES"/>
        </w:rPr>
        <w:t>5</w:t>
      </w:r>
      <w:r w:rsidRPr="00794FFC">
        <w:rPr>
          <w:rFonts w:ascii="Arial" w:hAnsi="Arial" w:cs="Arial"/>
          <w:sz w:val="22"/>
          <w:szCs w:val="22"/>
          <w:lang w:val="es-ES"/>
        </w:rPr>
        <w:t xml:space="preserve">) restantes; es decir, el porcentaje de incumplimiento fue del </w:t>
      </w:r>
      <w:r w:rsidR="003564FF">
        <w:rPr>
          <w:rFonts w:ascii="Arial" w:hAnsi="Arial" w:cs="Arial"/>
          <w:sz w:val="22"/>
          <w:szCs w:val="22"/>
          <w:lang w:val="es-ES"/>
        </w:rPr>
        <w:t>55</w:t>
      </w:r>
      <w:r w:rsidRPr="00794FFC">
        <w:rPr>
          <w:rFonts w:ascii="Arial" w:hAnsi="Arial" w:cs="Arial"/>
          <w:sz w:val="22"/>
          <w:szCs w:val="22"/>
          <w:lang w:val="es-ES"/>
        </w:rPr>
        <w:t xml:space="preserve"> %.</w:t>
      </w:r>
    </w:p>
    <w:p w14:paraId="24A89E97" w14:textId="77777777" w:rsidR="00794FFC" w:rsidRPr="00794FFC" w:rsidRDefault="00794FFC" w:rsidP="00835F25">
      <w:pPr>
        <w:pStyle w:val="yiv292490742msonormal"/>
        <w:contextualSpacing/>
        <w:jc w:val="both"/>
        <w:rPr>
          <w:rFonts w:ascii="Arial" w:hAnsi="Arial" w:cs="Arial"/>
          <w:sz w:val="22"/>
          <w:szCs w:val="22"/>
          <w:lang w:val="es-ES"/>
        </w:rPr>
      </w:pPr>
    </w:p>
    <w:p w14:paraId="73D8D800" w14:textId="77777777" w:rsidR="00794FFC" w:rsidRPr="00794FFC" w:rsidRDefault="00794FFC" w:rsidP="00835F25">
      <w:pPr>
        <w:pStyle w:val="yiv292490742msonormal"/>
        <w:contextualSpacing/>
        <w:jc w:val="both"/>
        <w:rPr>
          <w:rFonts w:ascii="Arial" w:hAnsi="Arial" w:cs="Arial"/>
          <w:sz w:val="22"/>
          <w:szCs w:val="22"/>
          <w:lang w:val="es-ES"/>
        </w:rPr>
      </w:pPr>
      <w:r w:rsidRPr="00794FFC">
        <w:rPr>
          <w:rFonts w:ascii="Arial" w:hAnsi="Arial" w:cs="Arial"/>
          <w:sz w:val="22"/>
          <w:szCs w:val="22"/>
          <w:lang w:val="es-ES"/>
        </w:rPr>
        <w:t xml:space="preserve">Frente al desarrollo del Plan de Desempeño resulta de gran preocupación la falta de acciones correspondientes al mejoramiento de la publicación con criterios de oportunidad y completitud en </w:t>
      </w:r>
      <w:r w:rsidR="00865C7C">
        <w:rPr>
          <w:rFonts w:ascii="Arial" w:hAnsi="Arial" w:cs="Arial"/>
          <w:sz w:val="22"/>
          <w:szCs w:val="22"/>
          <w:lang w:val="es-ES"/>
        </w:rPr>
        <w:t xml:space="preserve">la nueva </w:t>
      </w:r>
      <w:r w:rsidR="008D3B74">
        <w:rPr>
          <w:rFonts w:ascii="Arial" w:hAnsi="Arial" w:cs="Arial"/>
          <w:sz w:val="22"/>
          <w:szCs w:val="22"/>
          <w:lang w:val="es-ES"/>
        </w:rPr>
        <w:t>C</w:t>
      </w:r>
      <w:r w:rsidR="00865C7C">
        <w:rPr>
          <w:rFonts w:ascii="Arial" w:hAnsi="Arial" w:cs="Arial"/>
          <w:sz w:val="22"/>
          <w:szCs w:val="22"/>
          <w:lang w:val="es-ES"/>
        </w:rPr>
        <w:t>ategoría de información CUIPO</w:t>
      </w:r>
      <w:r w:rsidRPr="00794FFC">
        <w:rPr>
          <w:rFonts w:ascii="Arial" w:hAnsi="Arial" w:cs="Arial"/>
          <w:sz w:val="22"/>
          <w:szCs w:val="22"/>
          <w:lang w:val="es-ES"/>
        </w:rPr>
        <w:t xml:space="preserve">, la correspondiente articulación del proceso financiero y contractual al interior de la Administración Distrital; </w:t>
      </w:r>
      <w:r w:rsidR="00E2107F">
        <w:rPr>
          <w:rFonts w:ascii="Arial" w:hAnsi="Arial" w:cs="Arial"/>
          <w:sz w:val="22"/>
          <w:szCs w:val="22"/>
          <w:lang w:val="es-ES"/>
        </w:rPr>
        <w:t>el fortalecimiento y</w:t>
      </w:r>
      <w:r w:rsidRPr="00794FFC">
        <w:rPr>
          <w:rFonts w:ascii="Arial" w:hAnsi="Arial" w:cs="Arial"/>
          <w:sz w:val="22"/>
          <w:szCs w:val="22"/>
          <w:lang w:val="es-ES"/>
        </w:rPr>
        <w:t xml:space="preserve"> seguimiento a la ejecución de los recursos por fuente de </w:t>
      </w:r>
      <w:r w:rsidR="0031489E">
        <w:rPr>
          <w:rFonts w:ascii="Arial" w:hAnsi="Arial" w:cs="Arial"/>
          <w:sz w:val="22"/>
          <w:szCs w:val="22"/>
          <w:lang w:val="es-ES"/>
        </w:rPr>
        <w:t>recursos</w:t>
      </w:r>
      <w:r w:rsidRPr="00794FFC">
        <w:rPr>
          <w:rFonts w:ascii="Arial" w:hAnsi="Arial" w:cs="Arial"/>
          <w:sz w:val="22"/>
          <w:szCs w:val="22"/>
          <w:lang w:val="es-ES"/>
        </w:rPr>
        <w:t>.</w:t>
      </w:r>
    </w:p>
    <w:p w14:paraId="60E36D56" w14:textId="77777777" w:rsidR="00794FFC" w:rsidRPr="00794FFC" w:rsidRDefault="00794FFC" w:rsidP="00835F25">
      <w:pPr>
        <w:pStyle w:val="yiv292490742msonormal"/>
        <w:contextualSpacing/>
        <w:jc w:val="both"/>
        <w:rPr>
          <w:rFonts w:ascii="Arial" w:hAnsi="Arial" w:cs="Arial"/>
          <w:sz w:val="22"/>
          <w:szCs w:val="22"/>
          <w:lang w:val="es-ES"/>
        </w:rPr>
      </w:pPr>
    </w:p>
    <w:p w14:paraId="0FE66778" w14:textId="77777777" w:rsidR="00794FFC" w:rsidRPr="00794FFC" w:rsidRDefault="00794FFC" w:rsidP="00835F25">
      <w:pPr>
        <w:pStyle w:val="yiv292490742msonormal"/>
        <w:contextualSpacing/>
        <w:jc w:val="both"/>
        <w:rPr>
          <w:rFonts w:ascii="Arial" w:hAnsi="Arial" w:cs="Arial"/>
          <w:sz w:val="22"/>
          <w:szCs w:val="22"/>
          <w:lang w:val="es-ES"/>
        </w:rPr>
      </w:pPr>
      <w:r w:rsidRPr="00794FFC">
        <w:rPr>
          <w:rFonts w:ascii="Arial" w:hAnsi="Arial" w:cs="Arial"/>
          <w:sz w:val="22"/>
          <w:szCs w:val="22"/>
          <w:lang w:val="es-ES"/>
        </w:rPr>
        <w:t>También es preciso señalar que el Distrito tiene deficiencia en el uso y adecuado manejo de la Cuenta Maestra del Programa de Alimentación Escolar – PAE, toda vez que presenta inconsistencia en el registro de beneficiarios, código inadecuado de los egresos</w:t>
      </w:r>
      <w:r w:rsidR="00E2107F">
        <w:rPr>
          <w:rFonts w:ascii="Arial" w:hAnsi="Arial" w:cs="Arial"/>
          <w:sz w:val="22"/>
          <w:szCs w:val="22"/>
          <w:lang w:val="es-ES"/>
        </w:rPr>
        <w:t xml:space="preserve"> y</w:t>
      </w:r>
      <w:r w:rsidRPr="00794FFC">
        <w:rPr>
          <w:rFonts w:ascii="Arial" w:hAnsi="Arial" w:cs="Arial"/>
          <w:sz w:val="22"/>
          <w:szCs w:val="22"/>
          <w:lang w:val="es-ES"/>
        </w:rPr>
        <w:t xml:space="preserve"> pagos de impuestos fuera de la Cuenta Maestra Pagadora</w:t>
      </w:r>
      <w:r w:rsidR="00E2107F">
        <w:rPr>
          <w:rFonts w:ascii="Arial" w:hAnsi="Arial" w:cs="Arial"/>
          <w:sz w:val="22"/>
          <w:szCs w:val="22"/>
          <w:lang w:val="es-ES"/>
        </w:rPr>
        <w:t>.</w:t>
      </w:r>
      <w:r w:rsidR="00CD2B2B">
        <w:rPr>
          <w:rFonts w:ascii="Arial" w:hAnsi="Arial" w:cs="Arial"/>
          <w:sz w:val="22"/>
          <w:szCs w:val="22"/>
          <w:lang w:val="es-ES"/>
        </w:rPr>
        <w:t xml:space="preserve"> Igualmente, es fundamental que el Distrito tenga </w:t>
      </w:r>
      <w:r w:rsidR="00CD2B2B">
        <w:rPr>
          <w:rFonts w:ascii="Arial" w:hAnsi="Arial" w:cs="Arial"/>
          <w:sz w:val="22"/>
          <w:szCs w:val="22"/>
          <w:lang w:val="es-ES"/>
        </w:rPr>
        <w:lastRenderedPageBreak/>
        <w:t xml:space="preserve">la </w:t>
      </w:r>
      <w:r w:rsidR="00CD2B2B" w:rsidRPr="00794FFC">
        <w:rPr>
          <w:rFonts w:ascii="Arial" w:hAnsi="Arial" w:cs="Arial"/>
          <w:sz w:val="22"/>
          <w:szCs w:val="22"/>
          <w:lang w:val="es-ES"/>
        </w:rPr>
        <w:t>riguro</w:t>
      </w:r>
      <w:r w:rsidR="00CD2B2B">
        <w:rPr>
          <w:rFonts w:ascii="Arial" w:hAnsi="Arial" w:cs="Arial"/>
          <w:sz w:val="22"/>
          <w:szCs w:val="22"/>
          <w:lang w:val="es-ES"/>
        </w:rPr>
        <w:t xml:space="preserve">sidad en el apartado poblacional relacionado con alimentación escolar del </w:t>
      </w:r>
      <w:r w:rsidR="00CD2B2B" w:rsidRPr="00794FFC">
        <w:rPr>
          <w:rFonts w:ascii="Arial" w:hAnsi="Arial" w:cs="Arial"/>
          <w:sz w:val="22"/>
          <w:szCs w:val="22"/>
          <w:lang w:val="es-ES"/>
        </w:rPr>
        <w:t>Diagnóstico Situacional</w:t>
      </w:r>
      <w:r w:rsidR="00CD2B2B">
        <w:rPr>
          <w:rFonts w:ascii="Arial" w:hAnsi="Arial" w:cs="Arial"/>
          <w:sz w:val="22"/>
          <w:szCs w:val="22"/>
          <w:lang w:val="es-ES"/>
        </w:rPr>
        <w:t>, así como lo tiene en los numerales 10. E</w:t>
      </w:r>
      <w:r w:rsidR="00CD2B2B" w:rsidRPr="00CD2B2B">
        <w:rPr>
          <w:rFonts w:ascii="Arial" w:hAnsi="Arial" w:cs="Arial"/>
          <w:sz w:val="22"/>
          <w:szCs w:val="22"/>
          <w:lang w:val="es-ES"/>
        </w:rPr>
        <w:t>xistencia, calidad y acceso a los servicios públicos</w:t>
      </w:r>
      <w:r w:rsidR="00CD2B2B">
        <w:rPr>
          <w:rFonts w:ascii="Arial" w:hAnsi="Arial" w:cs="Arial"/>
          <w:sz w:val="22"/>
          <w:szCs w:val="22"/>
          <w:lang w:val="es-ES"/>
        </w:rPr>
        <w:t xml:space="preserve"> y 11 A</w:t>
      </w:r>
      <w:r w:rsidR="00CD2B2B" w:rsidRPr="00CD2B2B">
        <w:rPr>
          <w:rFonts w:ascii="Arial" w:hAnsi="Arial" w:cs="Arial"/>
          <w:sz w:val="22"/>
          <w:szCs w:val="22"/>
          <w:lang w:val="es-ES"/>
        </w:rPr>
        <w:t>nálisis de dotación de equipos y menaje en los comedores escolares donde se</w:t>
      </w:r>
      <w:r w:rsidR="00CD2B2B">
        <w:rPr>
          <w:rFonts w:ascii="Arial" w:hAnsi="Arial" w:cs="Arial"/>
          <w:sz w:val="22"/>
          <w:szCs w:val="22"/>
          <w:lang w:val="es-ES"/>
        </w:rPr>
        <w:t xml:space="preserve"> </w:t>
      </w:r>
      <w:r w:rsidR="00CD2B2B" w:rsidRPr="00CD2B2B">
        <w:rPr>
          <w:rFonts w:ascii="Arial" w:hAnsi="Arial" w:cs="Arial"/>
          <w:sz w:val="22"/>
          <w:szCs w:val="22"/>
          <w:lang w:val="es-ES"/>
        </w:rPr>
        <w:t xml:space="preserve">prestará el </w:t>
      </w:r>
      <w:r w:rsidR="00EB0320">
        <w:rPr>
          <w:rFonts w:ascii="Arial" w:hAnsi="Arial" w:cs="Arial"/>
          <w:sz w:val="22"/>
          <w:szCs w:val="22"/>
          <w:lang w:val="es-ES"/>
        </w:rPr>
        <w:t>S</w:t>
      </w:r>
      <w:r w:rsidR="00CD2B2B" w:rsidRPr="00CD2B2B">
        <w:rPr>
          <w:rFonts w:ascii="Arial" w:hAnsi="Arial" w:cs="Arial"/>
          <w:sz w:val="22"/>
          <w:szCs w:val="22"/>
          <w:lang w:val="es-ES"/>
        </w:rPr>
        <w:t xml:space="preserve">ervicio de </w:t>
      </w:r>
      <w:r w:rsidR="00EB0320">
        <w:rPr>
          <w:rFonts w:ascii="Arial" w:hAnsi="Arial" w:cs="Arial"/>
          <w:sz w:val="22"/>
          <w:szCs w:val="22"/>
          <w:lang w:val="es-ES"/>
        </w:rPr>
        <w:t>A</w:t>
      </w:r>
      <w:r w:rsidR="00CD2B2B" w:rsidRPr="00CD2B2B">
        <w:rPr>
          <w:rFonts w:ascii="Arial" w:hAnsi="Arial" w:cs="Arial"/>
          <w:sz w:val="22"/>
          <w:szCs w:val="22"/>
          <w:lang w:val="es-ES"/>
        </w:rPr>
        <w:t>limentación</w:t>
      </w:r>
      <w:r w:rsidR="00CD2B2B">
        <w:rPr>
          <w:rFonts w:ascii="Arial" w:hAnsi="Arial" w:cs="Arial"/>
          <w:sz w:val="22"/>
          <w:szCs w:val="22"/>
          <w:lang w:val="es-ES"/>
        </w:rPr>
        <w:t>,</w:t>
      </w:r>
      <w:r w:rsidR="00CD2B2B" w:rsidRPr="00CD2B2B">
        <w:rPr>
          <w:rFonts w:ascii="Arial" w:hAnsi="Arial" w:cs="Arial"/>
          <w:sz w:val="22"/>
          <w:szCs w:val="22"/>
          <w:lang w:val="es-ES"/>
        </w:rPr>
        <w:t xml:space="preserve"> </w:t>
      </w:r>
      <w:r w:rsidR="00CD2B2B">
        <w:rPr>
          <w:rFonts w:ascii="Arial" w:hAnsi="Arial" w:cs="Arial"/>
          <w:sz w:val="22"/>
          <w:szCs w:val="22"/>
          <w:lang w:val="es-ES"/>
        </w:rPr>
        <w:t>del mencionado documento</w:t>
      </w:r>
      <w:r w:rsidR="00CD2B2B" w:rsidRPr="00794FFC">
        <w:rPr>
          <w:rFonts w:ascii="Arial" w:hAnsi="Arial" w:cs="Arial"/>
          <w:sz w:val="22"/>
          <w:szCs w:val="22"/>
          <w:lang w:val="es-ES"/>
        </w:rPr>
        <w:t>.</w:t>
      </w:r>
    </w:p>
    <w:p w14:paraId="151C174D" w14:textId="77777777" w:rsidR="00794FFC" w:rsidRPr="00794FFC" w:rsidRDefault="00794FFC" w:rsidP="00835F25">
      <w:pPr>
        <w:pStyle w:val="yiv292490742msonormal"/>
        <w:contextualSpacing/>
        <w:jc w:val="both"/>
        <w:rPr>
          <w:rFonts w:ascii="Arial" w:hAnsi="Arial" w:cs="Arial"/>
          <w:sz w:val="22"/>
          <w:szCs w:val="22"/>
          <w:lang w:val="es-ES"/>
        </w:rPr>
      </w:pPr>
    </w:p>
    <w:p w14:paraId="71B69AFE" w14:textId="77777777" w:rsidR="008F095B" w:rsidRPr="006021DA" w:rsidRDefault="00794FFC" w:rsidP="00835F25">
      <w:pPr>
        <w:pStyle w:val="yiv292490742msonormal"/>
        <w:spacing w:before="0" w:beforeAutospacing="0" w:after="0" w:afterAutospacing="0"/>
        <w:contextualSpacing/>
        <w:jc w:val="both"/>
        <w:rPr>
          <w:rFonts w:ascii="Arial" w:hAnsi="Arial" w:cs="Arial"/>
          <w:sz w:val="22"/>
          <w:szCs w:val="22"/>
          <w:lang w:val="es-ES"/>
        </w:rPr>
      </w:pPr>
      <w:r w:rsidRPr="00794FFC">
        <w:rPr>
          <w:rFonts w:ascii="Arial" w:hAnsi="Arial" w:cs="Arial"/>
          <w:sz w:val="22"/>
          <w:szCs w:val="22"/>
          <w:lang w:val="es-ES"/>
        </w:rPr>
        <w:t xml:space="preserve">Por último, para garantizar la adecuada prestación del Servicio, esta Dirección recomienda a la Administración Distrital, que continúe promoviendo el control social, las redes de veeduría ciudadana y la rendición de cuentas del PAE y se apoye en los Comités de Alimentación </w:t>
      </w:r>
      <w:r w:rsidR="0031489E">
        <w:rPr>
          <w:rFonts w:ascii="Arial" w:hAnsi="Arial" w:cs="Arial"/>
          <w:sz w:val="22"/>
          <w:szCs w:val="22"/>
          <w:lang w:val="es-ES"/>
        </w:rPr>
        <w:t xml:space="preserve">Escolar </w:t>
      </w:r>
      <w:r w:rsidRPr="00794FFC">
        <w:rPr>
          <w:rFonts w:ascii="Arial" w:hAnsi="Arial" w:cs="Arial"/>
          <w:sz w:val="22"/>
          <w:szCs w:val="22"/>
          <w:lang w:val="es-ES"/>
        </w:rPr>
        <w:t xml:space="preserve">de las Instituciones Educativas quienes ejercen la supervisión al interior del establecimiento educativo </w:t>
      </w:r>
      <w:r w:rsidR="003564FF">
        <w:rPr>
          <w:rFonts w:ascii="Arial" w:hAnsi="Arial" w:cs="Arial"/>
          <w:sz w:val="22"/>
          <w:szCs w:val="22"/>
          <w:lang w:val="es-ES"/>
        </w:rPr>
        <w:t xml:space="preserve">identificados en el diagnóstico inicial realizado a la </w:t>
      </w:r>
      <w:r w:rsidR="00EB0320">
        <w:rPr>
          <w:rFonts w:ascii="Arial" w:hAnsi="Arial" w:cs="Arial"/>
          <w:sz w:val="22"/>
          <w:szCs w:val="22"/>
          <w:lang w:val="es-ES"/>
        </w:rPr>
        <w:t>E</w:t>
      </w:r>
      <w:r w:rsidR="003564FF">
        <w:rPr>
          <w:rFonts w:ascii="Arial" w:hAnsi="Arial" w:cs="Arial"/>
          <w:sz w:val="22"/>
          <w:szCs w:val="22"/>
          <w:lang w:val="es-ES"/>
        </w:rPr>
        <w:t xml:space="preserve">ntidad </w:t>
      </w:r>
      <w:r w:rsidR="00EB0320">
        <w:rPr>
          <w:rFonts w:ascii="Arial" w:hAnsi="Arial" w:cs="Arial"/>
          <w:sz w:val="22"/>
          <w:szCs w:val="22"/>
          <w:lang w:val="es-ES"/>
        </w:rPr>
        <w:t>T</w:t>
      </w:r>
      <w:r w:rsidR="003564FF">
        <w:rPr>
          <w:rFonts w:ascii="Arial" w:hAnsi="Arial" w:cs="Arial"/>
          <w:sz w:val="22"/>
          <w:szCs w:val="22"/>
          <w:lang w:val="es-ES"/>
        </w:rPr>
        <w:t xml:space="preserve">erritorial. </w:t>
      </w:r>
      <w:r w:rsidRPr="00794FFC">
        <w:rPr>
          <w:rFonts w:ascii="Arial" w:hAnsi="Arial" w:cs="Arial"/>
          <w:sz w:val="22"/>
          <w:szCs w:val="22"/>
          <w:lang w:val="es-ES"/>
        </w:rPr>
        <w:t>Así mismo, se recomienda a la Entidad Territorial la aplicación de la Resolución 335 del 23 de diciembre de 2021 “</w:t>
      </w:r>
      <w:r w:rsidRPr="0060366A">
        <w:rPr>
          <w:rFonts w:ascii="Arial" w:hAnsi="Arial" w:cs="Arial"/>
          <w:i/>
          <w:iCs/>
          <w:sz w:val="22"/>
          <w:szCs w:val="22"/>
          <w:lang w:val="es-ES"/>
        </w:rPr>
        <w:t>Por la cual se expiden los Lineamientos Técnicos – Administrativos, los Estándares y las Condiciones Mínimas del Programa de Alimentación Escolar – PAE</w:t>
      </w:r>
      <w:r w:rsidRPr="00794FFC">
        <w:rPr>
          <w:rFonts w:ascii="Arial" w:hAnsi="Arial" w:cs="Arial"/>
          <w:sz w:val="22"/>
          <w:szCs w:val="22"/>
          <w:lang w:val="es-ES"/>
        </w:rPr>
        <w:t>”</w:t>
      </w:r>
      <w:r w:rsidR="0031489E">
        <w:rPr>
          <w:rFonts w:ascii="Arial" w:hAnsi="Arial" w:cs="Arial"/>
          <w:sz w:val="22"/>
          <w:szCs w:val="22"/>
          <w:lang w:val="es-ES"/>
        </w:rPr>
        <w:t xml:space="preserve"> y sus Anexos Técnicos</w:t>
      </w:r>
      <w:r w:rsidRPr="00794FFC">
        <w:rPr>
          <w:rFonts w:ascii="Arial" w:hAnsi="Arial" w:cs="Arial"/>
          <w:sz w:val="22"/>
          <w:szCs w:val="22"/>
          <w:lang w:val="es-ES"/>
        </w:rPr>
        <w:t>.</w:t>
      </w:r>
    </w:p>
    <w:p w14:paraId="0565010E" w14:textId="77777777" w:rsidR="008F095B" w:rsidRPr="006021DA" w:rsidRDefault="008F095B" w:rsidP="00835F25">
      <w:pPr>
        <w:contextualSpacing/>
        <w:rPr>
          <w:rFonts w:ascii="Arial" w:hAnsi="Arial" w:cs="Arial"/>
          <w:szCs w:val="22"/>
        </w:rPr>
      </w:pPr>
    </w:p>
    <w:p w14:paraId="0EE63674" w14:textId="77777777" w:rsidR="008F095B" w:rsidRPr="006021DA" w:rsidRDefault="008F095B" w:rsidP="00835F25">
      <w:pPr>
        <w:pStyle w:val="Formatolibre"/>
        <w:contextualSpacing/>
        <w:rPr>
          <w:rFonts w:ascii="Arial" w:eastAsia="Times New Roman" w:hAnsi="Arial" w:cs="Arial"/>
          <w:color w:val="auto"/>
          <w:sz w:val="16"/>
          <w:szCs w:val="14"/>
          <w:lang w:val="es-MX" w:bidi="x-none"/>
        </w:rPr>
      </w:pPr>
    </w:p>
    <w:p w14:paraId="30C3B4BE" w14:textId="77777777" w:rsidR="00AC3DC1" w:rsidRPr="006021DA" w:rsidRDefault="00AC3DC1" w:rsidP="00835F25">
      <w:pPr>
        <w:pStyle w:val="Formatolibre"/>
        <w:contextualSpacing/>
        <w:rPr>
          <w:rFonts w:ascii="Arial" w:eastAsia="Times New Roman" w:hAnsi="Arial" w:cs="Arial"/>
          <w:color w:val="auto"/>
          <w:sz w:val="16"/>
          <w:szCs w:val="14"/>
          <w:lang w:val="es-MX" w:bidi="x-none"/>
        </w:rPr>
      </w:pPr>
      <w:r w:rsidRPr="006021DA">
        <w:rPr>
          <w:rFonts w:ascii="Arial" w:eastAsia="Times New Roman" w:hAnsi="Arial" w:cs="Arial"/>
          <w:b/>
          <w:color w:val="auto"/>
          <w:sz w:val="16"/>
          <w:szCs w:val="14"/>
          <w:lang w:val="es-MX" w:bidi="x-none"/>
        </w:rPr>
        <w:t>APROBÓ:</w:t>
      </w:r>
      <w:r w:rsidRPr="006021DA">
        <w:rPr>
          <w:rFonts w:ascii="Arial" w:eastAsia="Times New Roman" w:hAnsi="Arial" w:cs="Arial"/>
          <w:color w:val="auto"/>
          <w:sz w:val="16"/>
          <w:szCs w:val="14"/>
          <w:lang w:val="es-MX" w:bidi="x-none"/>
        </w:rPr>
        <w:t xml:space="preserve"> Fernando Olivera</w:t>
      </w:r>
    </w:p>
    <w:p w14:paraId="5EF9A421" w14:textId="77777777" w:rsidR="00AC3DC1" w:rsidRPr="006021DA" w:rsidRDefault="00AC3DC1" w:rsidP="00835F25">
      <w:pPr>
        <w:pStyle w:val="Formatolibre"/>
        <w:contextualSpacing/>
        <w:rPr>
          <w:rFonts w:ascii="Arial" w:eastAsia="Times New Roman" w:hAnsi="Arial" w:cs="Arial"/>
          <w:color w:val="auto"/>
          <w:sz w:val="16"/>
          <w:szCs w:val="14"/>
          <w:lang w:val="es-MX" w:bidi="x-none"/>
        </w:rPr>
      </w:pPr>
      <w:r w:rsidRPr="006021DA">
        <w:rPr>
          <w:rFonts w:ascii="Arial" w:eastAsia="Times New Roman" w:hAnsi="Arial" w:cs="Arial"/>
          <w:b/>
          <w:color w:val="auto"/>
          <w:sz w:val="16"/>
          <w:szCs w:val="14"/>
          <w:lang w:val="es-MX" w:bidi="x-none"/>
        </w:rPr>
        <w:t>REVISIÓN JURÍDICA:</w:t>
      </w:r>
      <w:r w:rsidRPr="006021DA">
        <w:rPr>
          <w:rFonts w:ascii="Arial" w:eastAsia="Times New Roman" w:hAnsi="Arial" w:cs="Arial"/>
          <w:color w:val="auto"/>
          <w:sz w:val="16"/>
          <w:szCs w:val="14"/>
          <w:lang w:val="es-MX" w:bidi="x-none"/>
        </w:rPr>
        <w:t xml:space="preserve"> Carlos Barona</w:t>
      </w:r>
    </w:p>
    <w:p w14:paraId="2A1A6E4A" w14:textId="77777777" w:rsidR="00AC3DC1" w:rsidRPr="006021DA" w:rsidRDefault="00AC3DC1" w:rsidP="00835F25">
      <w:pPr>
        <w:pStyle w:val="Formatolibre"/>
        <w:contextualSpacing/>
        <w:rPr>
          <w:rFonts w:ascii="Arial" w:eastAsia="Times New Roman" w:hAnsi="Arial" w:cs="Arial"/>
          <w:color w:val="auto"/>
          <w:sz w:val="16"/>
          <w:szCs w:val="14"/>
          <w:lang w:val="es-MX" w:bidi="x-none"/>
        </w:rPr>
      </w:pPr>
      <w:r w:rsidRPr="006021DA">
        <w:rPr>
          <w:rFonts w:ascii="Arial" w:eastAsia="Times New Roman" w:hAnsi="Arial" w:cs="Arial"/>
          <w:b/>
          <w:color w:val="auto"/>
          <w:sz w:val="16"/>
          <w:szCs w:val="14"/>
          <w:lang w:val="es-MX" w:bidi="x-none"/>
        </w:rPr>
        <w:t>REVISIÓN TÉCNICA:</w:t>
      </w:r>
      <w:r w:rsidRPr="006021DA">
        <w:rPr>
          <w:rFonts w:ascii="Arial" w:eastAsia="Times New Roman" w:hAnsi="Arial" w:cs="Arial"/>
          <w:color w:val="auto"/>
          <w:sz w:val="16"/>
          <w:szCs w:val="14"/>
          <w:lang w:val="es-MX" w:bidi="x-none"/>
        </w:rPr>
        <w:t xml:space="preserve"> Viviana Ruiz</w:t>
      </w:r>
    </w:p>
    <w:p w14:paraId="5305E0BA" w14:textId="77777777" w:rsidR="00AC3DC1" w:rsidRPr="006021DA" w:rsidRDefault="00AC3DC1" w:rsidP="00835F25">
      <w:pPr>
        <w:contextualSpacing/>
        <w:rPr>
          <w:rFonts w:ascii="Arial" w:hAnsi="Arial" w:cs="Arial"/>
        </w:rPr>
      </w:pPr>
      <w:r w:rsidRPr="006021DA">
        <w:rPr>
          <w:rFonts w:ascii="Arial" w:eastAsia="Times New Roman" w:hAnsi="Arial" w:cs="Arial"/>
          <w:b/>
          <w:sz w:val="16"/>
          <w:szCs w:val="14"/>
          <w:lang w:val="es-MX" w:bidi="x-none"/>
        </w:rPr>
        <w:t>ELABORÓ:</w:t>
      </w:r>
      <w:r w:rsidRPr="006021DA">
        <w:rPr>
          <w:rFonts w:ascii="Arial" w:eastAsia="Times New Roman" w:hAnsi="Arial" w:cs="Arial"/>
          <w:sz w:val="16"/>
          <w:szCs w:val="14"/>
          <w:lang w:val="es-MX" w:bidi="x-none"/>
        </w:rPr>
        <w:t xml:space="preserve"> Daniel Ospina / </w:t>
      </w:r>
      <w:r>
        <w:rPr>
          <w:rFonts w:ascii="Arial" w:eastAsia="Times New Roman" w:hAnsi="Arial" w:cs="Arial"/>
          <w:sz w:val="16"/>
          <w:szCs w:val="14"/>
          <w:lang w:val="es-MX" w:bidi="x-none"/>
        </w:rPr>
        <w:t xml:space="preserve">Angelica </w:t>
      </w:r>
      <w:r w:rsidR="007D5835">
        <w:rPr>
          <w:rFonts w:ascii="Arial" w:eastAsia="Times New Roman" w:hAnsi="Arial" w:cs="Arial"/>
          <w:sz w:val="16"/>
          <w:szCs w:val="14"/>
          <w:lang w:val="es-MX" w:bidi="x-none"/>
        </w:rPr>
        <w:t>Sánchez</w:t>
      </w:r>
    </w:p>
    <w:p w14:paraId="238B233A" w14:textId="77777777" w:rsidR="00F01F75" w:rsidRPr="006021DA" w:rsidRDefault="00F01F75" w:rsidP="00835F25">
      <w:pPr>
        <w:contextualSpacing/>
        <w:rPr>
          <w:rFonts w:ascii="Arial" w:hAnsi="Arial" w:cs="Arial"/>
        </w:rPr>
      </w:pPr>
    </w:p>
    <w:sectPr w:rsidR="00F01F75" w:rsidRPr="006021DA" w:rsidSect="00B3648E">
      <w:headerReference w:type="default" r:id="rId24"/>
      <w:footerReference w:type="default" r:id="rId25"/>
      <w:headerReference w:type="first" r:id="rId26"/>
      <w:footerReference w:type="first" r:id="rId27"/>
      <w:pgSz w:w="12240" w:h="15840" w:code="1"/>
      <w:pgMar w:top="1701" w:right="1418" w:bottom="1985"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A6A2" w14:textId="77777777" w:rsidR="009C7898" w:rsidRDefault="009C7898" w:rsidP="00F71345">
      <w:r>
        <w:separator/>
      </w:r>
    </w:p>
  </w:endnote>
  <w:endnote w:type="continuationSeparator" w:id="0">
    <w:p w14:paraId="186F3305" w14:textId="77777777" w:rsidR="009C7898" w:rsidRDefault="009C7898"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B921" w14:textId="77777777" w:rsidR="00A814A7" w:rsidRPr="00D416AE" w:rsidRDefault="00A814A7" w:rsidP="00D416AE">
    <w:pPr>
      <w:pStyle w:val="Piedepgina"/>
      <w:rPr>
        <w:rFonts w:ascii="Arial" w:hAnsi="Arial" w:cs="Arial"/>
        <w:b/>
        <w:sz w:val="20"/>
        <w:szCs w:val="20"/>
      </w:rPr>
    </w:pPr>
    <w:r>
      <w:rPr>
        <w:noProof/>
        <w:lang w:eastAsia="es-CO"/>
      </w:rPr>
      <w:drawing>
        <wp:inline distT="0" distB="0" distL="0" distR="0" wp14:anchorId="3E4570A9" wp14:editId="08FFEAB9">
          <wp:extent cx="2705100" cy="552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5100" cy="5524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EE3A" w14:textId="77777777" w:rsidR="00A814A7" w:rsidRPr="00FE4097" w:rsidRDefault="00A814A7" w:rsidP="00D416AE">
    <w:pPr>
      <w:pStyle w:val="Piedepgina"/>
      <w:rPr>
        <w:sz w:val="16"/>
        <w:szCs w:val="16"/>
      </w:rPr>
    </w:pPr>
    <w:r>
      <w:rPr>
        <w:noProof/>
        <w:lang w:eastAsia="es-CO"/>
      </w:rPr>
      <w:drawing>
        <wp:inline distT="0" distB="0" distL="0" distR="0" wp14:anchorId="621FD245" wp14:editId="79D27F19">
          <wp:extent cx="2705100" cy="552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5100" cy="552450"/>
                  </a:xfrm>
                  <a:prstGeom prst="rect">
                    <a:avLst/>
                  </a:prstGeom>
                </pic:spPr>
              </pic:pic>
            </a:graphicData>
          </a:graphic>
        </wp:inline>
      </w:drawing>
    </w:r>
  </w:p>
  <w:p w14:paraId="7AE3F37E" w14:textId="77777777" w:rsidR="00A814A7" w:rsidRPr="00F01F75" w:rsidRDefault="00A814A7"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EEFA" w14:textId="77777777" w:rsidR="009C7898" w:rsidRDefault="009C7898" w:rsidP="00F71345">
      <w:r>
        <w:separator/>
      </w:r>
    </w:p>
  </w:footnote>
  <w:footnote w:type="continuationSeparator" w:id="0">
    <w:p w14:paraId="2E6DEDB5" w14:textId="77777777" w:rsidR="009C7898" w:rsidRDefault="009C7898" w:rsidP="00F71345">
      <w:r>
        <w:continuationSeparator/>
      </w:r>
    </w:p>
  </w:footnote>
  <w:footnote w:id="1">
    <w:p w14:paraId="1B62E0B7" w14:textId="77777777" w:rsidR="00A814A7" w:rsidRDefault="00A814A7" w:rsidP="00342885">
      <w:pPr>
        <w:pStyle w:val="Textonotapie"/>
      </w:pPr>
      <w:r>
        <w:rPr>
          <w:rStyle w:val="Refdenotaalpie"/>
        </w:rPr>
        <w:footnoteRef/>
      </w:r>
      <w:r>
        <w:t xml:space="preserve"> Derogada a través de la Resolución 00335 del 23 de diciembre de 2021 </w:t>
      </w:r>
      <w:r w:rsidRPr="00342885">
        <w:rPr>
          <w:i/>
          <w:iCs/>
        </w:rPr>
        <w:t>“Por la cual se expiden los Lineamientos Técnicos – Administrativos, los Estándares y las Condiciones Mínimas del Programa de Alimentación Escolar – PAE y se derogan las disposiciones anteriores”</w:t>
      </w:r>
    </w:p>
  </w:footnote>
  <w:footnote w:id="2">
    <w:p w14:paraId="3B537F0F" w14:textId="77777777" w:rsidR="00A814A7" w:rsidRDefault="00A814A7">
      <w:pPr>
        <w:pStyle w:val="Textonotapie"/>
      </w:pPr>
      <w:r>
        <w:rPr>
          <w:rStyle w:val="Refdenotaalpie"/>
        </w:rPr>
        <w:footnoteRef/>
      </w:r>
      <w:r>
        <w:t xml:space="preserve"> Según el glosario de Colombia Compra Eficiente: </w:t>
      </w:r>
      <w:r w:rsidRPr="00B4181D">
        <w:t xml:space="preserve">Bienes y servicios de común utilización con especificaciones técnicas y </w:t>
      </w:r>
      <w:proofErr w:type="spellStart"/>
      <w:r w:rsidRPr="00B4181D">
        <w:t>pa</w:t>
      </w:r>
      <w:proofErr w:type="spellEnd"/>
      <w:r w:rsidRPr="00B4181D">
        <w:rPr>
          <w:rFonts w:ascii="Arial" w:hAnsi="Arial" w:cs="Arial"/>
        </w:rPr>
        <w:t>​​</w:t>
      </w:r>
      <w:proofErr w:type="spellStart"/>
      <w:r w:rsidRPr="00B4181D">
        <w:t>trones</w:t>
      </w:r>
      <w:proofErr w:type="spellEnd"/>
      <w:r w:rsidRPr="00B4181D">
        <w:t xml:space="preserve"> de desempe</w:t>
      </w:r>
      <w:r w:rsidRPr="00B4181D">
        <w:rPr>
          <w:rFonts w:cs="Arial Narrow"/>
        </w:rPr>
        <w:t>ñ</w:t>
      </w:r>
      <w:r w:rsidRPr="00B4181D">
        <w:t>o y calidad iguales o similares, que en consecuencia pueden ser agrupados como bienes y servicios homog</w:t>
      </w:r>
      <w:r w:rsidRPr="00B4181D">
        <w:rPr>
          <w:rFonts w:cs="Arial Narrow"/>
        </w:rPr>
        <w:t>é</w:t>
      </w:r>
      <w:r w:rsidRPr="00B4181D">
        <w:t>neos para su adquisición y a los que se refiere el literal (a) del numeral 2 del artículo 2 de la Ley 1150 de 2007.</w:t>
      </w:r>
    </w:p>
  </w:footnote>
  <w:footnote w:id="3">
    <w:p w14:paraId="0D3E2D3B" w14:textId="77777777" w:rsidR="00A814A7" w:rsidRPr="005E6904" w:rsidRDefault="00A814A7" w:rsidP="00DA6EF1">
      <w:pPr>
        <w:pStyle w:val="Textonotapie"/>
        <w:rPr>
          <w:rFonts w:ascii="Arial" w:hAnsi="Arial" w:cs="Arial"/>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8"/>
        </w:rPr>
        <w:t>“Por lo cual se reglamentan las Cuentas Maestras del Programa de Alimentación Escolar”.</w:t>
      </w:r>
    </w:p>
  </w:footnote>
  <w:footnote w:id="4">
    <w:p w14:paraId="2559EE8D" w14:textId="77777777" w:rsidR="00A814A7" w:rsidRDefault="00A814A7">
      <w:pPr>
        <w:pStyle w:val="Textonotapie"/>
      </w:pPr>
      <w:r>
        <w:rPr>
          <w:rStyle w:val="Refdenotaalpie"/>
        </w:rPr>
        <w:footnoteRef/>
      </w:r>
      <w:r>
        <w:t xml:space="preserve"> </w:t>
      </w:r>
      <w:r w:rsidRPr="00366795">
        <w:t>Categoría Única de Información del Presupuesto Ordinario -CUIPO</w:t>
      </w:r>
      <w:r>
        <w:t>, administrada por la Contraloría General de la República – CGR.</w:t>
      </w:r>
    </w:p>
  </w:footnote>
  <w:footnote w:id="5">
    <w:p w14:paraId="062160F5" w14:textId="77777777" w:rsidR="00A814A7" w:rsidRDefault="00A814A7">
      <w:pPr>
        <w:pStyle w:val="Textonotapie"/>
      </w:pPr>
      <w:r>
        <w:rPr>
          <w:rStyle w:val="Refdenotaalpie"/>
        </w:rPr>
        <w:footnoteRef/>
      </w:r>
      <w:r>
        <w:t xml:space="preserve"> En diciembre de 2021 se trasladaron saldos a </w:t>
      </w:r>
      <w:r w:rsidRPr="001C3324">
        <w:t>la nueva Cuenta Maestra No. 220230412017</w:t>
      </w:r>
      <w:r>
        <w:t>, la cual fue</w:t>
      </w:r>
      <w:r w:rsidRPr="001C3324">
        <w:t xml:space="preserve"> </w:t>
      </w:r>
      <w:r>
        <w:t>constituida</w:t>
      </w:r>
      <w:r w:rsidRPr="001C3324">
        <w:t xml:space="preserve"> en el Banco Popular, en el marco del proceso de sustitución</w:t>
      </w:r>
      <w:r>
        <w:t>.</w:t>
      </w:r>
    </w:p>
  </w:footnote>
  <w:footnote w:id="6">
    <w:p w14:paraId="4991404A" w14:textId="77777777" w:rsidR="00A814A7" w:rsidRDefault="00A814A7">
      <w:pPr>
        <w:pStyle w:val="Textonotapie"/>
      </w:pPr>
      <w:r>
        <w:rPr>
          <w:rStyle w:val="Refdenotaalpie"/>
        </w:rPr>
        <w:footnoteRef/>
      </w:r>
      <w:r>
        <w:t xml:space="preserve"> Producto bancario No cancelado.</w:t>
      </w:r>
    </w:p>
  </w:footnote>
  <w:footnote w:id="7">
    <w:p w14:paraId="645C33F1" w14:textId="77777777" w:rsidR="00A814A7" w:rsidRDefault="00A814A7" w:rsidP="00BD08B8">
      <w:pPr>
        <w:pStyle w:val="Textonotapie"/>
      </w:pPr>
      <w:r>
        <w:rPr>
          <w:rStyle w:val="Refdenotaalpie"/>
        </w:rPr>
        <w:footnoteRef/>
      </w:r>
      <w:r>
        <w:t xml:space="preserve"> </w:t>
      </w:r>
      <w:r w:rsidRPr="00366795">
        <w:t>Categoría Única de Información del Presupuesto Ordinario -CUIPO</w:t>
      </w:r>
      <w:r>
        <w:t>, administrada por la Contraloría General de la República – CGR.</w:t>
      </w:r>
    </w:p>
  </w:footnote>
  <w:footnote w:id="8">
    <w:p w14:paraId="40419551" w14:textId="77777777" w:rsidR="00A814A7" w:rsidRDefault="00A814A7">
      <w:pPr>
        <w:pStyle w:val="Textonotapie"/>
      </w:pPr>
      <w:r>
        <w:rPr>
          <w:rStyle w:val="Refdenotaalpie"/>
        </w:rPr>
        <w:footnoteRef/>
      </w:r>
      <w:r>
        <w:t xml:space="preserve"> “Por</w:t>
      </w:r>
      <w:r w:rsidRPr="00AD049D">
        <w:t xml:space="preserve"> </w:t>
      </w:r>
      <w:r>
        <w:t>el</w:t>
      </w:r>
      <w:r w:rsidRPr="00AD049D">
        <w:t xml:space="preserve"> cual se expidió el Plan Nacional de Desarrollo</w:t>
      </w:r>
      <w:r>
        <w:t xml:space="preserve"> 2018-2022</w:t>
      </w:r>
      <w:r w:rsidRPr="00AD049D">
        <w:t xml:space="preserve">, </w:t>
      </w:r>
      <w:r w:rsidRPr="00DC6946">
        <w:rPr>
          <w:i/>
          <w:iCs/>
        </w:rPr>
        <w:t>“Pacto por Colombia, pacto por la Equidad”</w:t>
      </w:r>
      <w:r>
        <w:t>.</w:t>
      </w:r>
    </w:p>
  </w:footnote>
  <w:footnote w:id="9">
    <w:p w14:paraId="2F0A2C6D" w14:textId="77777777" w:rsidR="00A814A7" w:rsidRDefault="00A814A7" w:rsidP="00004F67">
      <w:pPr>
        <w:pStyle w:val="Textonotapie"/>
      </w:pPr>
      <w:r>
        <w:rPr>
          <w:rStyle w:val="Refdenotaalpie"/>
        </w:rPr>
        <w:footnoteRef/>
      </w:r>
      <w:r>
        <w:t xml:space="preserve"> </w:t>
      </w:r>
      <w:proofErr w:type="spellStart"/>
      <w:r w:rsidRPr="006A2D91">
        <w:t>Makón</w:t>
      </w:r>
      <w:proofErr w:type="spellEnd"/>
      <w:r w:rsidRPr="006A2D91">
        <w:t xml:space="preserve">, M. P.  </w:t>
      </w:r>
      <w:r>
        <w:t>(</w:t>
      </w:r>
      <w:r w:rsidRPr="006A2D91">
        <w:t xml:space="preserve">2000). </w:t>
      </w:r>
      <w:r w:rsidRPr="006A2D91">
        <w:rPr>
          <w:i/>
          <w:iCs/>
        </w:rPr>
        <w:t>Sistemas Integrados de Administración Financiera Pública en América Latina</w:t>
      </w:r>
      <w:r w:rsidRPr="006A2D91">
        <w:t xml:space="preserve">. </w:t>
      </w:r>
      <w:r>
        <w:t>Recuperado</w:t>
      </w:r>
      <w:r w:rsidRPr="006A2D91">
        <w:t xml:space="preserve"> </w:t>
      </w:r>
      <w:r w:rsidRPr="004C419B">
        <w:rPr>
          <w:color w:val="000000" w:themeColor="text1"/>
        </w:rPr>
        <w:t xml:space="preserve">de </w:t>
      </w:r>
      <w:r w:rsidRPr="006A2D91">
        <w:t xml:space="preserve">Comisión Económica para América Latina - CEPAL: </w:t>
      </w:r>
      <w:hyperlink r:id="rId1" w:history="1">
        <w:r w:rsidRPr="00F908A4">
          <w:rPr>
            <w:rStyle w:val="Hipervnculo"/>
          </w:rPr>
          <w:t>http://www.eclac.org/publicaciones/xml/3/4453/lcl1343e.pdf</w:t>
        </w:r>
      </w:hyperlink>
    </w:p>
    <w:p w14:paraId="34572FEF" w14:textId="77777777" w:rsidR="00A814A7" w:rsidRDefault="00A814A7" w:rsidP="00004F67">
      <w:pPr>
        <w:pStyle w:val="Textonotapie"/>
        <w:rPr>
          <w:lang w:val="es-ES"/>
        </w:rPr>
      </w:pPr>
    </w:p>
    <w:p w14:paraId="0FD6B19A" w14:textId="77777777" w:rsidR="00A814A7" w:rsidRPr="006A2D91" w:rsidRDefault="00A814A7" w:rsidP="00004F67">
      <w:pPr>
        <w:pStyle w:val="Textonotapie"/>
      </w:pPr>
      <w:r w:rsidRPr="00CA7D4A">
        <w:rPr>
          <w:lang w:val="es-ES"/>
        </w:rPr>
        <w:t>Montaño Hormigo, F. J. (2013).</w:t>
      </w:r>
      <w:r w:rsidR="00635D1C">
        <w:rPr>
          <w:lang w:val="es-ES"/>
        </w:rPr>
        <w:t xml:space="preserve"> </w:t>
      </w:r>
      <w:r w:rsidRPr="00CA7D4A">
        <w:rPr>
          <w:i/>
          <w:iCs/>
          <w:lang w:val="es-ES"/>
        </w:rPr>
        <w:t>Gestión y control del presupuesto de tesorería (UF0340)</w:t>
      </w:r>
      <w:r w:rsidRPr="00CA7D4A">
        <w:rPr>
          <w:lang w:val="es-ES"/>
        </w:rPr>
        <w:t>. IC Editorial.</w:t>
      </w:r>
    </w:p>
  </w:footnote>
  <w:footnote w:id="10">
    <w:p w14:paraId="3A682940" w14:textId="77777777" w:rsidR="00A814A7" w:rsidRDefault="00A814A7">
      <w:pPr>
        <w:pStyle w:val="Textonotapie"/>
      </w:pPr>
      <w:r>
        <w:rPr>
          <w:rStyle w:val="Refdenotaalpie"/>
        </w:rPr>
        <w:footnoteRef/>
      </w:r>
      <w:r>
        <w:t xml:space="preserve"> Resolución 4835 de 2015 y Resolución 2248 de 2018.</w:t>
      </w:r>
    </w:p>
  </w:footnote>
  <w:footnote w:id="11">
    <w:p w14:paraId="490360F4" w14:textId="77777777" w:rsidR="00A814A7" w:rsidRPr="005E6904" w:rsidRDefault="00A814A7" w:rsidP="00735958">
      <w:pPr>
        <w:pStyle w:val="Textonotapie"/>
        <w:rPr>
          <w:rFonts w:ascii="Arial" w:hAnsi="Arial" w:cs="Arial"/>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8"/>
        </w:rPr>
        <w:t>Resolución 533 de 2015 expedida por la Contaduría General de la Nación – CGN</w:t>
      </w:r>
      <w:r>
        <w:rPr>
          <w:rFonts w:ascii="Arial" w:hAnsi="Arial" w:cs="Arial"/>
          <w:sz w:val="18"/>
        </w:rPr>
        <w:t xml:space="preserve"> y sus complementarios</w:t>
      </w:r>
      <w:r w:rsidRPr="005E6904">
        <w:rPr>
          <w:rFonts w:ascii="Arial" w:hAnsi="Arial" w:cs="Arial"/>
          <w:sz w:val="18"/>
        </w:rPr>
        <w:t>.</w:t>
      </w:r>
    </w:p>
  </w:footnote>
  <w:footnote w:id="12">
    <w:p w14:paraId="21AB4F47" w14:textId="77777777" w:rsidR="00A814A7" w:rsidRDefault="00A814A7">
      <w:pPr>
        <w:pStyle w:val="Textonotapie"/>
      </w:pPr>
      <w:r>
        <w:rPr>
          <w:rStyle w:val="Refdenotaalpie"/>
        </w:rPr>
        <w:footnoteRef/>
      </w:r>
      <w:r>
        <w:t xml:space="preserve"> El artículo citado hace referencia a la Resolución 29452 de 2017, la cual estuvo vigente hasta 31 de diciembre de 2021.</w:t>
      </w:r>
    </w:p>
  </w:footnote>
  <w:footnote w:id="13">
    <w:p w14:paraId="440D1A14" w14:textId="77777777" w:rsidR="00A814A7" w:rsidRDefault="00A814A7">
      <w:pPr>
        <w:pStyle w:val="Textonotapie"/>
      </w:pPr>
      <w:r>
        <w:rPr>
          <w:rStyle w:val="Refdenotaalpie"/>
        </w:rPr>
        <w:footnoteRef/>
      </w:r>
      <w:r>
        <w:t xml:space="preserve"> Certificación firmada por la Dra. Verena Lucia Guerrero </w:t>
      </w:r>
      <w:proofErr w:type="spellStart"/>
      <w:r>
        <w:t>Bettín</w:t>
      </w:r>
      <w:proofErr w:type="spellEnd"/>
      <w:r>
        <w:t xml:space="preserve"> – jefe de la OCI.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7526" w14:textId="77777777" w:rsidR="00A814A7" w:rsidRDefault="00A814A7" w:rsidP="00A82889">
    <w:pPr>
      <w:jc w:val="right"/>
      <w:rPr>
        <w:rFonts w:ascii="Arial" w:hAnsi="Arial" w:cs="Arial"/>
        <w:sz w:val="16"/>
        <w:szCs w:val="16"/>
      </w:rPr>
    </w:pPr>
  </w:p>
  <w:p w14:paraId="138314E4" w14:textId="77777777" w:rsidR="00A814A7" w:rsidRDefault="00A814A7" w:rsidP="00A82889">
    <w:pPr>
      <w:jc w:val="right"/>
      <w:rPr>
        <w:rFonts w:ascii="Arial" w:hAnsi="Arial" w:cs="Arial"/>
        <w:sz w:val="16"/>
        <w:szCs w:val="16"/>
      </w:rPr>
    </w:pPr>
  </w:p>
  <w:p w14:paraId="26C51964" w14:textId="77777777" w:rsidR="00A814A7" w:rsidRDefault="00A814A7" w:rsidP="00F01F75">
    <w:pPr>
      <w:pStyle w:val="Encabezado"/>
      <w:rPr>
        <w:rFonts w:ascii="Arial" w:hAnsi="Arial" w:cs="Arial"/>
        <w:sz w:val="16"/>
        <w:szCs w:val="16"/>
      </w:rPr>
    </w:pPr>
    <w:r>
      <w:rPr>
        <w:noProof/>
        <w:lang w:eastAsia="es-CO"/>
      </w:rPr>
      <w:drawing>
        <wp:inline distT="0" distB="0" distL="0" distR="0" wp14:anchorId="3B0913BA" wp14:editId="66469EC2">
          <wp:extent cx="3453140" cy="586854"/>
          <wp:effectExtent l="0" t="0" r="0" b="381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9732" cy="587974"/>
                  </a:xfrm>
                  <a:prstGeom prst="rect">
                    <a:avLst/>
                  </a:prstGeom>
                  <a:noFill/>
                  <a:ln>
                    <a:noFill/>
                  </a:ln>
                </pic:spPr>
              </pic:pic>
            </a:graphicData>
          </a:graphic>
        </wp:inline>
      </w:drawing>
    </w:r>
  </w:p>
  <w:p w14:paraId="726BCB65" w14:textId="77777777" w:rsidR="00A814A7" w:rsidRDefault="00A814A7" w:rsidP="00F01F75">
    <w:pPr>
      <w:pStyle w:val="Encabezado"/>
      <w:rPr>
        <w:rFonts w:ascii="Arial" w:hAnsi="Arial" w:cs="Arial"/>
        <w:sz w:val="16"/>
        <w:szCs w:val="16"/>
      </w:rPr>
    </w:pPr>
  </w:p>
  <w:p w14:paraId="2C66D921" w14:textId="77777777" w:rsidR="00A814A7" w:rsidRPr="00F01F75" w:rsidRDefault="00A814A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Informe</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9F0DDF">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9F0DDF">
      <w:rPr>
        <w:rStyle w:val="Nmerodepgina"/>
        <w:rFonts w:ascii="Arial" w:hAnsi="Arial" w:cs="Arial"/>
        <w:noProof/>
        <w:sz w:val="16"/>
        <w:szCs w:val="16"/>
      </w:rPr>
      <w:t>32</w:t>
    </w:r>
    <w:r w:rsidRPr="00F01F75">
      <w:rPr>
        <w:rStyle w:val="Nmerodepgina"/>
        <w:rFonts w:ascii="Arial" w:hAnsi="Arial" w:cs="Arial"/>
        <w:sz w:val="16"/>
        <w:szCs w:val="16"/>
      </w:rPr>
      <w:fldChar w:fldCharType="end"/>
    </w:r>
  </w:p>
  <w:p w14:paraId="00A48F26" w14:textId="77777777" w:rsidR="00A814A7" w:rsidRPr="00F01F75" w:rsidRDefault="00A814A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28E8" w14:textId="77777777" w:rsidR="00A814A7" w:rsidRDefault="00A814A7" w:rsidP="001339E2">
    <w:pPr>
      <w:pStyle w:val="Encabezado"/>
      <w:jc w:val="right"/>
    </w:pPr>
  </w:p>
  <w:p w14:paraId="29C824A0" w14:textId="77777777" w:rsidR="00A814A7" w:rsidRDefault="00A814A7" w:rsidP="001339E2">
    <w:pPr>
      <w:pStyle w:val="Encabezado"/>
      <w:jc w:val="right"/>
    </w:pPr>
    <w:r>
      <w:rPr>
        <w:noProof/>
        <w:lang w:eastAsia="es-CO"/>
      </w:rPr>
      <w:drawing>
        <wp:anchor distT="0" distB="0" distL="114300" distR="114300" simplePos="0" relativeHeight="251663360" behindDoc="0" locked="0" layoutInCell="1" allowOverlap="1" wp14:anchorId="5CDC8130" wp14:editId="1255014E">
          <wp:simplePos x="0" y="0"/>
          <wp:positionH relativeFrom="margin">
            <wp:align>left</wp:align>
          </wp:positionH>
          <wp:positionV relativeFrom="paragraph">
            <wp:posOffset>39370</wp:posOffset>
          </wp:positionV>
          <wp:extent cx="3453140" cy="586854"/>
          <wp:effectExtent l="0" t="0" r="0" b="3810"/>
          <wp:wrapThrough wrapText="bothSides">
            <wp:wrapPolygon edited="0">
              <wp:start x="0" y="0"/>
              <wp:lineTo x="0" y="21039"/>
              <wp:lineTo x="21449" y="21039"/>
              <wp:lineTo x="21449" y="0"/>
              <wp:lineTo x="0" y="0"/>
            </wp:wrapPolygon>
          </wp:wrapThrough>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3140" cy="586854"/>
                  </a:xfrm>
                  <a:prstGeom prst="rect">
                    <a:avLst/>
                  </a:prstGeom>
                  <a:noFill/>
                  <a:ln>
                    <a:noFill/>
                  </a:ln>
                </pic:spPr>
              </pic:pic>
            </a:graphicData>
          </a:graphic>
        </wp:anchor>
      </w:drawing>
    </w:r>
  </w:p>
  <w:p w14:paraId="7E31C784" w14:textId="77777777" w:rsidR="00A814A7" w:rsidRDefault="00A814A7" w:rsidP="001339E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0D4"/>
    <w:multiLevelType w:val="hybridMultilevel"/>
    <w:tmpl w:val="86B2F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993A83"/>
    <w:multiLevelType w:val="hybridMultilevel"/>
    <w:tmpl w:val="0CA68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077896"/>
    <w:multiLevelType w:val="hybridMultilevel"/>
    <w:tmpl w:val="E9AAA8A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15965562"/>
    <w:multiLevelType w:val="hybridMultilevel"/>
    <w:tmpl w:val="C680CE6C"/>
    <w:lvl w:ilvl="0" w:tplc="240A0001">
      <w:start w:val="1"/>
      <w:numFmt w:val="bullet"/>
      <w:lvlText w:val=""/>
      <w:lvlJc w:val="left"/>
      <w:pPr>
        <w:ind w:left="720" w:hanging="360"/>
      </w:pPr>
      <w:rPr>
        <w:rFonts w:ascii="Symbol" w:hAnsi="Symbol" w:hint="default"/>
      </w:rPr>
    </w:lvl>
    <w:lvl w:ilvl="1" w:tplc="ADF667F0">
      <w:numFmt w:val="bullet"/>
      <w:lvlText w:val="•"/>
      <w:lvlJc w:val="left"/>
      <w:pPr>
        <w:ind w:left="1785" w:hanging="705"/>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B0679B"/>
    <w:multiLevelType w:val="hybridMultilevel"/>
    <w:tmpl w:val="ED0A5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FE0FA4"/>
    <w:multiLevelType w:val="hybridMultilevel"/>
    <w:tmpl w:val="89CA6D1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86C7720"/>
    <w:multiLevelType w:val="hybridMultilevel"/>
    <w:tmpl w:val="CF161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371E45"/>
    <w:multiLevelType w:val="hybridMultilevel"/>
    <w:tmpl w:val="0CDA70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380D1693"/>
    <w:multiLevelType w:val="hybridMultilevel"/>
    <w:tmpl w:val="1C3EF09C"/>
    <w:lvl w:ilvl="0" w:tplc="F6FE10A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844A91"/>
    <w:multiLevelType w:val="hybridMultilevel"/>
    <w:tmpl w:val="D71248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914078"/>
    <w:multiLevelType w:val="hybridMultilevel"/>
    <w:tmpl w:val="03F08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4779DE"/>
    <w:multiLevelType w:val="hybridMultilevel"/>
    <w:tmpl w:val="F9D4FC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50894EEE"/>
    <w:multiLevelType w:val="hybridMultilevel"/>
    <w:tmpl w:val="6D9A1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80325BF"/>
    <w:multiLevelType w:val="hybridMultilevel"/>
    <w:tmpl w:val="85E06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5225AE"/>
    <w:multiLevelType w:val="hybridMultilevel"/>
    <w:tmpl w:val="D430E924"/>
    <w:lvl w:ilvl="0" w:tplc="93C0D84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375719"/>
    <w:multiLevelType w:val="hybridMultilevel"/>
    <w:tmpl w:val="795A03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F2425C"/>
    <w:multiLevelType w:val="hybridMultilevel"/>
    <w:tmpl w:val="FBB2A8A2"/>
    <w:lvl w:ilvl="0" w:tplc="CAD61AAC">
      <w:start w:val="1"/>
      <w:numFmt w:val="decimal"/>
      <w:lvlText w:val="%1."/>
      <w:lvlJc w:val="left"/>
      <w:pPr>
        <w:ind w:left="720" w:hanging="360"/>
      </w:pPr>
    </w:lvl>
    <w:lvl w:ilvl="1" w:tplc="BEDEFC10">
      <w:start w:val="1"/>
      <w:numFmt w:val="lowerLetter"/>
      <w:lvlText w:val="%2."/>
      <w:lvlJc w:val="left"/>
      <w:pPr>
        <w:ind w:left="1440" w:hanging="360"/>
      </w:pPr>
    </w:lvl>
    <w:lvl w:ilvl="2" w:tplc="88A6B43A">
      <w:start w:val="1"/>
      <w:numFmt w:val="lowerRoman"/>
      <w:lvlText w:val="%3."/>
      <w:lvlJc w:val="right"/>
      <w:pPr>
        <w:ind w:left="2160" w:hanging="180"/>
      </w:pPr>
    </w:lvl>
    <w:lvl w:ilvl="3" w:tplc="C816971C">
      <w:start w:val="1"/>
      <w:numFmt w:val="decimal"/>
      <w:lvlText w:val="%4."/>
      <w:lvlJc w:val="left"/>
      <w:pPr>
        <w:ind w:left="2880" w:hanging="360"/>
      </w:pPr>
    </w:lvl>
    <w:lvl w:ilvl="4" w:tplc="843210E2">
      <w:start w:val="1"/>
      <w:numFmt w:val="lowerLetter"/>
      <w:lvlText w:val="%5."/>
      <w:lvlJc w:val="left"/>
      <w:pPr>
        <w:ind w:left="3600" w:hanging="360"/>
      </w:pPr>
    </w:lvl>
    <w:lvl w:ilvl="5" w:tplc="13421456">
      <w:start w:val="1"/>
      <w:numFmt w:val="lowerRoman"/>
      <w:lvlText w:val="%6."/>
      <w:lvlJc w:val="right"/>
      <w:pPr>
        <w:ind w:left="4320" w:hanging="180"/>
      </w:pPr>
    </w:lvl>
    <w:lvl w:ilvl="6" w:tplc="8E0AA6F0">
      <w:start w:val="1"/>
      <w:numFmt w:val="decimal"/>
      <w:lvlText w:val="%7."/>
      <w:lvlJc w:val="left"/>
      <w:pPr>
        <w:ind w:left="5040" w:hanging="360"/>
      </w:pPr>
    </w:lvl>
    <w:lvl w:ilvl="7" w:tplc="DF94BA4A">
      <w:start w:val="1"/>
      <w:numFmt w:val="lowerLetter"/>
      <w:lvlText w:val="%8."/>
      <w:lvlJc w:val="left"/>
      <w:pPr>
        <w:ind w:left="5760" w:hanging="360"/>
      </w:pPr>
    </w:lvl>
    <w:lvl w:ilvl="8" w:tplc="193C8C00">
      <w:start w:val="1"/>
      <w:numFmt w:val="lowerRoman"/>
      <w:lvlText w:val="%9."/>
      <w:lvlJc w:val="right"/>
      <w:pPr>
        <w:ind w:left="6480" w:hanging="180"/>
      </w:pPr>
    </w:lvl>
  </w:abstractNum>
  <w:abstractNum w:abstractNumId="23" w15:restartNumberingAfterBreak="0">
    <w:nsid w:val="77D60D0E"/>
    <w:multiLevelType w:val="hybridMultilevel"/>
    <w:tmpl w:val="FBB2A8A2"/>
    <w:lvl w:ilvl="0" w:tplc="CAD61AAC">
      <w:start w:val="1"/>
      <w:numFmt w:val="decimal"/>
      <w:lvlText w:val="%1."/>
      <w:lvlJc w:val="left"/>
      <w:pPr>
        <w:ind w:left="720" w:hanging="360"/>
      </w:pPr>
    </w:lvl>
    <w:lvl w:ilvl="1" w:tplc="BEDEFC10">
      <w:start w:val="1"/>
      <w:numFmt w:val="lowerLetter"/>
      <w:lvlText w:val="%2."/>
      <w:lvlJc w:val="left"/>
      <w:pPr>
        <w:ind w:left="1440" w:hanging="360"/>
      </w:pPr>
    </w:lvl>
    <w:lvl w:ilvl="2" w:tplc="88A6B43A">
      <w:start w:val="1"/>
      <w:numFmt w:val="lowerRoman"/>
      <w:lvlText w:val="%3."/>
      <w:lvlJc w:val="right"/>
      <w:pPr>
        <w:ind w:left="2160" w:hanging="180"/>
      </w:pPr>
    </w:lvl>
    <w:lvl w:ilvl="3" w:tplc="C816971C">
      <w:start w:val="1"/>
      <w:numFmt w:val="decimal"/>
      <w:lvlText w:val="%4."/>
      <w:lvlJc w:val="left"/>
      <w:pPr>
        <w:ind w:left="2880" w:hanging="360"/>
      </w:pPr>
    </w:lvl>
    <w:lvl w:ilvl="4" w:tplc="843210E2">
      <w:start w:val="1"/>
      <w:numFmt w:val="lowerLetter"/>
      <w:lvlText w:val="%5."/>
      <w:lvlJc w:val="left"/>
      <w:pPr>
        <w:ind w:left="3600" w:hanging="360"/>
      </w:pPr>
    </w:lvl>
    <w:lvl w:ilvl="5" w:tplc="13421456">
      <w:start w:val="1"/>
      <w:numFmt w:val="lowerRoman"/>
      <w:lvlText w:val="%6."/>
      <w:lvlJc w:val="right"/>
      <w:pPr>
        <w:ind w:left="4320" w:hanging="180"/>
      </w:pPr>
    </w:lvl>
    <w:lvl w:ilvl="6" w:tplc="8E0AA6F0">
      <w:start w:val="1"/>
      <w:numFmt w:val="decimal"/>
      <w:lvlText w:val="%7."/>
      <w:lvlJc w:val="left"/>
      <w:pPr>
        <w:ind w:left="5040" w:hanging="360"/>
      </w:pPr>
    </w:lvl>
    <w:lvl w:ilvl="7" w:tplc="DF94BA4A">
      <w:start w:val="1"/>
      <w:numFmt w:val="lowerLetter"/>
      <w:lvlText w:val="%8."/>
      <w:lvlJc w:val="left"/>
      <w:pPr>
        <w:ind w:left="5760" w:hanging="360"/>
      </w:pPr>
    </w:lvl>
    <w:lvl w:ilvl="8" w:tplc="193C8C00">
      <w:start w:val="1"/>
      <w:numFmt w:val="lowerRoman"/>
      <w:lvlText w:val="%9."/>
      <w:lvlJc w:val="right"/>
      <w:pPr>
        <w:ind w:left="6480" w:hanging="180"/>
      </w:pPr>
    </w:lvl>
  </w:abstractNum>
  <w:abstractNum w:abstractNumId="24"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14468065">
    <w:abstractNumId w:val="6"/>
  </w:num>
  <w:num w:numId="2" w16cid:durableId="630675192">
    <w:abstractNumId w:val="24"/>
  </w:num>
  <w:num w:numId="3" w16cid:durableId="1207066674">
    <w:abstractNumId w:val="9"/>
  </w:num>
  <w:num w:numId="4" w16cid:durableId="1938562403">
    <w:abstractNumId w:val="19"/>
  </w:num>
  <w:num w:numId="5" w16cid:durableId="761994310">
    <w:abstractNumId w:val="2"/>
  </w:num>
  <w:num w:numId="6" w16cid:durableId="146290377">
    <w:abstractNumId w:val="21"/>
  </w:num>
  <w:num w:numId="7" w16cid:durableId="1260481342">
    <w:abstractNumId w:val="16"/>
  </w:num>
  <w:num w:numId="8" w16cid:durableId="729109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594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1084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6385860">
    <w:abstractNumId w:val="10"/>
  </w:num>
  <w:num w:numId="12" w16cid:durableId="912274345">
    <w:abstractNumId w:val="20"/>
  </w:num>
  <w:num w:numId="13" w16cid:durableId="323898666">
    <w:abstractNumId w:val="10"/>
  </w:num>
  <w:num w:numId="14" w16cid:durableId="1579245076">
    <w:abstractNumId w:val="20"/>
  </w:num>
  <w:num w:numId="15" w16cid:durableId="126047406">
    <w:abstractNumId w:val="10"/>
  </w:num>
  <w:num w:numId="16" w16cid:durableId="67699681">
    <w:abstractNumId w:val="20"/>
  </w:num>
  <w:num w:numId="17" w16cid:durableId="1302421537">
    <w:abstractNumId w:val="23"/>
  </w:num>
  <w:num w:numId="18" w16cid:durableId="1400520141">
    <w:abstractNumId w:val="3"/>
  </w:num>
  <w:num w:numId="19" w16cid:durableId="334067735">
    <w:abstractNumId w:val="12"/>
  </w:num>
  <w:num w:numId="20" w16cid:durableId="2017032426">
    <w:abstractNumId w:val="17"/>
  </w:num>
  <w:num w:numId="21" w16cid:durableId="1900314012">
    <w:abstractNumId w:val="5"/>
  </w:num>
  <w:num w:numId="22" w16cid:durableId="2080518539">
    <w:abstractNumId w:val="4"/>
  </w:num>
  <w:num w:numId="23" w16cid:durableId="34963200">
    <w:abstractNumId w:val="15"/>
  </w:num>
  <w:num w:numId="24" w16cid:durableId="838271149">
    <w:abstractNumId w:val="8"/>
  </w:num>
  <w:num w:numId="25" w16cid:durableId="1830973726">
    <w:abstractNumId w:val="13"/>
  </w:num>
  <w:num w:numId="26" w16cid:durableId="1047415725">
    <w:abstractNumId w:val="1"/>
  </w:num>
  <w:num w:numId="27" w16cid:durableId="914318806">
    <w:abstractNumId w:val="0"/>
  </w:num>
  <w:num w:numId="28" w16cid:durableId="1522284372">
    <w:abstractNumId w:val="11"/>
  </w:num>
  <w:num w:numId="29" w16cid:durableId="19533233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CA3"/>
    <w:rsid w:val="00003925"/>
    <w:rsid w:val="00004F67"/>
    <w:rsid w:val="00005502"/>
    <w:rsid w:val="000059DA"/>
    <w:rsid w:val="000059F1"/>
    <w:rsid w:val="00006418"/>
    <w:rsid w:val="00006FA1"/>
    <w:rsid w:val="00013CF1"/>
    <w:rsid w:val="00020091"/>
    <w:rsid w:val="00020104"/>
    <w:rsid w:val="00021888"/>
    <w:rsid w:val="00022680"/>
    <w:rsid w:val="00022A91"/>
    <w:rsid w:val="00022CC6"/>
    <w:rsid w:val="00022D22"/>
    <w:rsid w:val="00023795"/>
    <w:rsid w:val="000242FA"/>
    <w:rsid w:val="00027A29"/>
    <w:rsid w:val="000308B7"/>
    <w:rsid w:val="00032DCF"/>
    <w:rsid w:val="0003372A"/>
    <w:rsid w:val="00040376"/>
    <w:rsid w:val="000415C0"/>
    <w:rsid w:val="00041A2D"/>
    <w:rsid w:val="00042451"/>
    <w:rsid w:val="00042527"/>
    <w:rsid w:val="000442FC"/>
    <w:rsid w:val="00044A20"/>
    <w:rsid w:val="00046601"/>
    <w:rsid w:val="00047A65"/>
    <w:rsid w:val="00051FE3"/>
    <w:rsid w:val="00052EF8"/>
    <w:rsid w:val="000546E1"/>
    <w:rsid w:val="00054F3C"/>
    <w:rsid w:val="00055B61"/>
    <w:rsid w:val="000565C5"/>
    <w:rsid w:val="00057CFD"/>
    <w:rsid w:val="00060319"/>
    <w:rsid w:val="00060EA5"/>
    <w:rsid w:val="00062F90"/>
    <w:rsid w:val="000641AA"/>
    <w:rsid w:val="00065380"/>
    <w:rsid w:val="00065535"/>
    <w:rsid w:val="0006554B"/>
    <w:rsid w:val="00066FB2"/>
    <w:rsid w:val="00067273"/>
    <w:rsid w:val="00067ED6"/>
    <w:rsid w:val="000710B6"/>
    <w:rsid w:val="0007194D"/>
    <w:rsid w:val="00073A1F"/>
    <w:rsid w:val="00074C27"/>
    <w:rsid w:val="000756E4"/>
    <w:rsid w:val="00075C6B"/>
    <w:rsid w:val="0007665E"/>
    <w:rsid w:val="0007736D"/>
    <w:rsid w:val="00080E69"/>
    <w:rsid w:val="000826CA"/>
    <w:rsid w:val="00084319"/>
    <w:rsid w:val="00084667"/>
    <w:rsid w:val="00084A1D"/>
    <w:rsid w:val="000856CC"/>
    <w:rsid w:val="0008667E"/>
    <w:rsid w:val="00086C5C"/>
    <w:rsid w:val="0008758D"/>
    <w:rsid w:val="000877D1"/>
    <w:rsid w:val="0009288A"/>
    <w:rsid w:val="00093868"/>
    <w:rsid w:val="00093D8A"/>
    <w:rsid w:val="0009622D"/>
    <w:rsid w:val="00096E9F"/>
    <w:rsid w:val="000A198E"/>
    <w:rsid w:val="000A263B"/>
    <w:rsid w:val="000A3722"/>
    <w:rsid w:val="000A52D3"/>
    <w:rsid w:val="000A5FD9"/>
    <w:rsid w:val="000A61EB"/>
    <w:rsid w:val="000B14AE"/>
    <w:rsid w:val="000B2401"/>
    <w:rsid w:val="000B242B"/>
    <w:rsid w:val="000B2B58"/>
    <w:rsid w:val="000B3BE3"/>
    <w:rsid w:val="000B64D3"/>
    <w:rsid w:val="000B6E70"/>
    <w:rsid w:val="000B7EA0"/>
    <w:rsid w:val="000B7EC6"/>
    <w:rsid w:val="000C07D4"/>
    <w:rsid w:val="000C2767"/>
    <w:rsid w:val="000C29CD"/>
    <w:rsid w:val="000C44B8"/>
    <w:rsid w:val="000C532E"/>
    <w:rsid w:val="000C548D"/>
    <w:rsid w:val="000C7160"/>
    <w:rsid w:val="000C72C4"/>
    <w:rsid w:val="000C7A44"/>
    <w:rsid w:val="000D033D"/>
    <w:rsid w:val="000D0A2D"/>
    <w:rsid w:val="000D176E"/>
    <w:rsid w:val="000D4461"/>
    <w:rsid w:val="000D4D06"/>
    <w:rsid w:val="000D501E"/>
    <w:rsid w:val="000D674B"/>
    <w:rsid w:val="000D7058"/>
    <w:rsid w:val="000D7575"/>
    <w:rsid w:val="000E02D9"/>
    <w:rsid w:val="000E1C02"/>
    <w:rsid w:val="000E1EB7"/>
    <w:rsid w:val="000E2B78"/>
    <w:rsid w:val="000E2EF8"/>
    <w:rsid w:val="000E3078"/>
    <w:rsid w:val="000E3527"/>
    <w:rsid w:val="000E3B2D"/>
    <w:rsid w:val="000E42D0"/>
    <w:rsid w:val="000E4EB3"/>
    <w:rsid w:val="000E6A3F"/>
    <w:rsid w:val="000E7B17"/>
    <w:rsid w:val="000F2C94"/>
    <w:rsid w:val="000F3EDC"/>
    <w:rsid w:val="000F3F18"/>
    <w:rsid w:val="000F5ED1"/>
    <w:rsid w:val="000F68E4"/>
    <w:rsid w:val="000F6BF0"/>
    <w:rsid w:val="000F6C29"/>
    <w:rsid w:val="000F7DE1"/>
    <w:rsid w:val="00100493"/>
    <w:rsid w:val="00100F18"/>
    <w:rsid w:val="00100FEE"/>
    <w:rsid w:val="001049D2"/>
    <w:rsid w:val="00104FB7"/>
    <w:rsid w:val="0010637A"/>
    <w:rsid w:val="00106834"/>
    <w:rsid w:val="00107D92"/>
    <w:rsid w:val="001103C2"/>
    <w:rsid w:val="00111E43"/>
    <w:rsid w:val="001120CC"/>
    <w:rsid w:val="0011242A"/>
    <w:rsid w:val="0011263A"/>
    <w:rsid w:val="00112FF6"/>
    <w:rsid w:val="00113605"/>
    <w:rsid w:val="00116696"/>
    <w:rsid w:val="001169ED"/>
    <w:rsid w:val="001172A9"/>
    <w:rsid w:val="001200F4"/>
    <w:rsid w:val="00120781"/>
    <w:rsid w:val="001212AE"/>
    <w:rsid w:val="00121564"/>
    <w:rsid w:val="001216EE"/>
    <w:rsid w:val="00121C02"/>
    <w:rsid w:val="00122585"/>
    <w:rsid w:val="0012289A"/>
    <w:rsid w:val="001236C7"/>
    <w:rsid w:val="00123DAC"/>
    <w:rsid w:val="0012587F"/>
    <w:rsid w:val="001276C3"/>
    <w:rsid w:val="001301E2"/>
    <w:rsid w:val="001303AD"/>
    <w:rsid w:val="00130477"/>
    <w:rsid w:val="00131C8B"/>
    <w:rsid w:val="00131FE4"/>
    <w:rsid w:val="001320D1"/>
    <w:rsid w:val="001339E2"/>
    <w:rsid w:val="001342B8"/>
    <w:rsid w:val="0013472A"/>
    <w:rsid w:val="00137446"/>
    <w:rsid w:val="0014078E"/>
    <w:rsid w:val="001411DF"/>
    <w:rsid w:val="00141487"/>
    <w:rsid w:val="00141A5C"/>
    <w:rsid w:val="00141BB1"/>
    <w:rsid w:val="00142B3B"/>
    <w:rsid w:val="0014592E"/>
    <w:rsid w:val="00145F8F"/>
    <w:rsid w:val="001475B3"/>
    <w:rsid w:val="001505BE"/>
    <w:rsid w:val="00150CC1"/>
    <w:rsid w:val="0015141E"/>
    <w:rsid w:val="0015159C"/>
    <w:rsid w:val="00151EDD"/>
    <w:rsid w:val="0015259A"/>
    <w:rsid w:val="00153332"/>
    <w:rsid w:val="00153719"/>
    <w:rsid w:val="00153C65"/>
    <w:rsid w:val="0015506B"/>
    <w:rsid w:val="0015535C"/>
    <w:rsid w:val="00156406"/>
    <w:rsid w:val="00156495"/>
    <w:rsid w:val="00156BFE"/>
    <w:rsid w:val="001578E3"/>
    <w:rsid w:val="00160C30"/>
    <w:rsid w:val="0016165F"/>
    <w:rsid w:val="00162187"/>
    <w:rsid w:val="00162999"/>
    <w:rsid w:val="001629F9"/>
    <w:rsid w:val="00162B8C"/>
    <w:rsid w:val="00163971"/>
    <w:rsid w:val="00165F77"/>
    <w:rsid w:val="0016792B"/>
    <w:rsid w:val="00170A3C"/>
    <w:rsid w:val="00170BD6"/>
    <w:rsid w:val="0017382B"/>
    <w:rsid w:val="00173AF8"/>
    <w:rsid w:val="00173E70"/>
    <w:rsid w:val="001767BC"/>
    <w:rsid w:val="00177D8B"/>
    <w:rsid w:val="0018095B"/>
    <w:rsid w:val="00181714"/>
    <w:rsid w:val="00181CE0"/>
    <w:rsid w:val="00181DB7"/>
    <w:rsid w:val="00182CC3"/>
    <w:rsid w:val="00182E3D"/>
    <w:rsid w:val="00184438"/>
    <w:rsid w:val="00185721"/>
    <w:rsid w:val="00186058"/>
    <w:rsid w:val="001869D1"/>
    <w:rsid w:val="00186F9C"/>
    <w:rsid w:val="0018706A"/>
    <w:rsid w:val="00190B73"/>
    <w:rsid w:val="00190ECF"/>
    <w:rsid w:val="00192F54"/>
    <w:rsid w:val="00193DD3"/>
    <w:rsid w:val="00194A1D"/>
    <w:rsid w:val="00195715"/>
    <w:rsid w:val="001971DA"/>
    <w:rsid w:val="001976D2"/>
    <w:rsid w:val="001A14D7"/>
    <w:rsid w:val="001A2E5F"/>
    <w:rsid w:val="001A3F8B"/>
    <w:rsid w:val="001A426A"/>
    <w:rsid w:val="001A4735"/>
    <w:rsid w:val="001A5061"/>
    <w:rsid w:val="001A7841"/>
    <w:rsid w:val="001B0603"/>
    <w:rsid w:val="001B2F70"/>
    <w:rsid w:val="001B3E4A"/>
    <w:rsid w:val="001B54F5"/>
    <w:rsid w:val="001B5C24"/>
    <w:rsid w:val="001B607E"/>
    <w:rsid w:val="001B6C1C"/>
    <w:rsid w:val="001B7010"/>
    <w:rsid w:val="001B7685"/>
    <w:rsid w:val="001C2DCF"/>
    <w:rsid w:val="001C3324"/>
    <w:rsid w:val="001C395E"/>
    <w:rsid w:val="001C52C7"/>
    <w:rsid w:val="001C53E9"/>
    <w:rsid w:val="001C54B2"/>
    <w:rsid w:val="001C553E"/>
    <w:rsid w:val="001C69D2"/>
    <w:rsid w:val="001C6D73"/>
    <w:rsid w:val="001D0E36"/>
    <w:rsid w:val="001D1844"/>
    <w:rsid w:val="001D229E"/>
    <w:rsid w:val="001D388B"/>
    <w:rsid w:val="001D404B"/>
    <w:rsid w:val="001D5E05"/>
    <w:rsid w:val="001D67E6"/>
    <w:rsid w:val="001D6C36"/>
    <w:rsid w:val="001D70B2"/>
    <w:rsid w:val="001D736E"/>
    <w:rsid w:val="001D77C4"/>
    <w:rsid w:val="001E0B35"/>
    <w:rsid w:val="001E0EEC"/>
    <w:rsid w:val="001E34BB"/>
    <w:rsid w:val="001E3616"/>
    <w:rsid w:val="001E3CD8"/>
    <w:rsid w:val="001E5B10"/>
    <w:rsid w:val="001E615D"/>
    <w:rsid w:val="001E69C3"/>
    <w:rsid w:val="001F094C"/>
    <w:rsid w:val="001F1A4F"/>
    <w:rsid w:val="001F276E"/>
    <w:rsid w:val="001F2C51"/>
    <w:rsid w:val="001F4932"/>
    <w:rsid w:val="001F4F33"/>
    <w:rsid w:val="001F582E"/>
    <w:rsid w:val="001F6776"/>
    <w:rsid w:val="001F7009"/>
    <w:rsid w:val="00200A12"/>
    <w:rsid w:val="00200AE4"/>
    <w:rsid w:val="0020115E"/>
    <w:rsid w:val="0020245F"/>
    <w:rsid w:val="0020284B"/>
    <w:rsid w:val="00204069"/>
    <w:rsid w:val="00205008"/>
    <w:rsid w:val="00205B39"/>
    <w:rsid w:val="0020673C"/>
    <w:rsid w:val="00206862"/>
    <w:rsid w:val="00206880"/>
    <w:rsid w:val="002074D9"/>
    <w:rsid w:val="002075ED"/>
    <w:rsid w:val="00207E3C"/>
    <w:rsid w:val="00210195"/>
    <w:rsid w:val="00210E8B"/>
    <w:rsid w:val="0021194D"/>
    <w:rsid w:val="00211A22"/>
    <w:rsid w:val="00214063"/>
    <w:rsid w:val="00214AAC"/>
    <w:rsid w:val="00214B08"/>
    <w:rsid w:val="0021670E"/>
    <w:rsid w:val="00217AE0"/>
    <w:rsid w:val="00217D6A"/>
    <w:rsid w:val="0022185C"/>
    <w:rsid w:val="0022264A"/>
    <w:rsid w:val="002241C9"/>
    <w:rsid w:val="00225697"/>
    <w:rsid w:val="00227BD6"/>
    <w:rsid w:val="00227D84"/>
    <w:rsid w:val="00232C0B"/>
    <w:rsid w:val="002336DE"/>
    <w:rsid w:val="002352AF"/>
    <w:rsid w:val="002358ED"/>
    <w:rsid w:val="002365F2"/>
    <w:rsid w:val="00236F35"/>
    <w:rsid w:val="00240656"/>
    <w:rsid w:val="00240814"/>
    <w:rsid w:val="0024191A"/>
    <w:rsid w:val="002419B1"/>
    <w:rsid w:val="00241E64"/>
    <w:rsid w:val="00243E19"/>
    <w:rsid w:val="00244315"/>
    <w:rsid w:val="0024487B"/>
    <w:rsid w:val="00244BD7"/>
    <w:rsid w:val="00244F62"/>
    <w:rsid w:val="00246072"/>
    <w:rsid w:val="0024641D"/>
    <w:rsid w:val="00246C98"/>
    <w:rsid w:val="0024780B"/>
    <w:rsid w:val="002479C9"/>
    <w:rsid w:val="002508EC"/>
    <w:rsid w:val="00251243"/>
    <w:rsid w:val="00251F3A"/>
    <w:rsid w:val="00252336"/>
    <w:rsid w:val="00252A8E"/>
    <w:rsid w:val="00252E11"/>
    <w:rsid w:val="00253600"/>
    <w:rsid w:val="00254425"/>
    <w:rsid w:val="00254646"/>
    <w:rsid w:val="002575C8"/>
    <w:rsid w:val="00257BA6"/>
    <w:rsid w:val="00257E4E"/>
    <w:rsid w:val="00260B36"/>
    <w:rsid w:val="00261F30"/>
    <w:rsid w:val="00262DE4"/>
    <w:rsid w:val="002637E9"/>
    <w:rsid w:val="0026430B"/>
    <w:rsid w:val="00265F27"/>
    <w:rsid w:val="002677EC"/>
    <w:rsid w:val="00267B99"/>
    <w:rsid w:val="002715E7"/>
    <w:rsid w:val="0027387A"/>
    <w:rsid w:val="00273A3A"/>
    <w:rsid w:val="0027403A"/>
    <w:rsid w:val="0027447F"/>
    <w:rsid w:val="00274BF8"/>
    <w:rsid w:val="00274D20"/>
    <w:rsid w:val="0027516B"/>
    <w:rsid w:val="002776D0"/>
    <w:rsid w:val="00280559"/>
    <w:rsid w:val="00280C6B"/>
    <w:rsid w:val="002814A6"/>
    <w:rsid w:val="0028200B"/>
    <w:rsid w:val="00284993"/>
    <w:rsid w:val="00286921"/>
    <w:rsid w:val="00292137"/>
    <w:rsid w:val="002937C2"/>
    <w:rsid w:val="0029512B"/>
    <w:rsid w:val="002961AC"/>
    <w:rsid w:val="002A005B"/>
    <w:rsid w:val="002A4621"/>
    <w:rsid w:val="002A4752"/>
    <w:rsid w:val="002A47B8"/>
    <w:rsid w:val="002A47CD"/>
    <w:rsid w:val="002A5003"/>
    <w:rsid w:val="002A60AB"/>
    <w:rsid w:val="002A6351"/>
    <w:rsid w:val="002A6880"/>
    <w:rsid w:val="002A787B"/>
    <w:rsid w:val="002A78FC"/>
    <w:rsid w:val="002B1BF6"/>
    <w:rsid w:val="002B2111"/>
    <w:rsid w:val="002B2E03"/>
    <w:rsid w:val="002B33E9"/>
    <w:rsid w:val="002B75BE"/>
    <w:rsid w:val="002C0605"/>
    <w:rsid w:val="002C0F85"/>
    <w:rsid w:val="002C1096"/>
    <w:rsid w:val="002C4777"/>
    <w:rsid w:val="002C4797"/>
    <w:rsid w:val="002C5572"/>
    <w:rsid w:val="002C5A59"/>
    <w:rsid w:val="002C6849"/>
    <w:rsid w:val="002C69EC"/>
    <w:rsid w:val="002C6AB6"/>
    <w:rsid w:val="002D0046"/>
    <w:rsid w:val="002D274E"/>
    <w:rsid w:val="002D59DE"/>
    <w:rsid w:val="002D6BDD"/>
    <w:rsid w:val="002D6F70"/>
    <w:rsid w:val="002D74A7"/>
    <w:rsid w:val="002E02C2"/>
    <w:rsid w:val="002E0D27"/>
    <w:rsid w:val="002E0EBD"/>
    <w:rsid w:val="002E3B1C"/>
    <w:rsid w:val="002E5BB0"/>
    <w:rsid w:val="002E5D15"/>
    <w:rsid w:val="002E67D3"/>
    <w:rsid w:val="002E7672"/>
    <w:rsid w:val="002E7B98"/>
    <w:rsid w:val="002E7D58"/>
    <w:rsid w:val="002F3BCD"/>
    <w:rsid w:val="002F3C85"/>
    <w:rsid w:val="002F5472"/>
    <w:rsid w:val="002F62C6"/>
    <w:rsid w:val="002F7445"/>
    <w:rsid w:val="002F7F1A"/>
    <w:rsid w:val="003019E0"/>
    <w:rsid w:val="00302A4A"/>
    <w:rsid w:val="00302EC7"/>
    <w:rsid w:val="00303E6E"/>
    <w:rsid w:val="0030548D"/>
    <w:rsid w:val="00305BA7"/>
    <w:rsid w:val="00305ECB"/>
    <w:rsid w:val="003072ED"/>
    <w:rsid w:val="003072F6"/>
    <w:rsid w:val="00307371"/>
    <w:rsid w:val="0030772E"/>
    <w:rsid w:val="003100BD"/>
    <w:rsid w:val="00310B41"/>
    <w:rsid w:val="00310D05"/>
    <w:rsid w:val="0031102B"/>
    <w:rsid w:val="003116AE"/>
    <w:rsid w:val="003136F2"/>
    <w:rsid w:val="003142D3"/>
    <w:rsid w:val="0031436B"/>
    <w:rsid w:val="0031489E"/>
    <w:rsid w:val="00315871"/>
    <w:rsid w:val="00316804"/>
    <w:rsid w:val="00316957"/>
    <w:rsid w:val="00316FF7"/>
    <w:rsid w:val="00322A04"/>
    <w:rsid w:val="00322A71"/>
    <w:rsid w:val="00323707"/>
    <w:rsid w:val="0032392B"/>
    <w:rsid w:val="003249C6"/>
    <w:rsid w:val="00326A21"/>
    <w:rsid w:val="00327701"/>
    <w:rsid w:val="0033029E"/>
    <w:rsid w:val="0033071C"/>
    <w:rsid w:val="00330979"/>
    <w:rsid w:val="00331176"/>
    <w:rsid w:val="00331A6D"/>
    <w:rsid w:val="00331DF7"/>
    <w:rsid w:val="00332554"/>
    <w:rsid w:val="0033289D"/>
    <w:rsid w:val="00333238"/>
    <w:rsid w:val="00333892"/>
    <w:rsid w:val="003338D4"/>
    <w:rsid w:val="0033391F"/>
    <w:rsid w:val="00336B56"/>
    <w:rsid w:val="003416CA"/>
    <w:rsid w:val="00341E4A"/>
    <w:rsid w:val="00342745"/>
    <w:rsid w:val="00342885"/>
    <w:rsid w:val="0034312A"/>
    <w:rsid w:val="0034424C"/>
    <w:rsid w:val="00344C7C"/>
    <w:rsid w:val="00345988"/>
    <w:rsid w:val="0034776F"/>
    <w:rsid w:val="00347988"/>
    <w:rsid w:val="00347E59"/>
    <w:rsid w:val="0035025F"/>
    <w:rsid w:val="00350F12"/>
    <w:rsid w:val="00353E6A"/>
    <w:rsid w:val="00353EC7"/>
    <w:rsid w:val="0035527B"/>
    <w:rsid w:val="00355A39"/>
    <w:rsid w:val="003564FF"/>
    <w:rsid w:val="00357202"/>
    <w:rsid w:val="00357B1E"/>
    <w:rsid w:val="0036071B"/>
    <w:rsid w:val="00362BB3"/>
    <w:rsid w:val="0036352E"/>
    <w:rsid w:val="003648CA"/>
    <w:rsid w:val="003653DC"/>
    <w:rsid w:val="00366214"/>
    <w:rsid w:val="00366795"/>
    <w:rsid w:val="00366D6A"/>
    <w:rsid w:val="003673F4"/>
    <w:rsid w:val="003703BE"/>
    <w:rsid w:val="003712CD"/>
    <w:rsid w:val="003725EE"/>
    <w:rsid w:val="00373279"/>
    <w:rsid w:val="00373866"/>
    <w:rsid w:val="003748C5"/>
    <w:rsid w:val="00381843"/>
    <w:rsid w:val="00381CA5"/>
    <w:rsid w:val="00382AE1"/>
    <w:rsid w:val="00382D18"/>
    <w:rsid w:val="00383396"/>
    <w:rsid w:val="003865DC"/>
    <w:rsid w:val="00387063"/>
    <w:rsid w:val="00387711"/>
    <w:rsid w:val="00387880"/>
    <w:rsid w:val="0039017D"/>
    <w:rsid w:val="003902C8"/>
    <w:rsid w:val="0039156F"/>
    <w:rsid w:val="003919BA"/>
    <w:rsid w:val="003935BE"/>
    <w:rsid w:val="00397967"/>
    <w:rsid w:val="003A007B"/>
    <w:rsid w:val="003A029C"/>
    <w:rsid w:val="003A0426"/>
    <w:rsid w:val="003A048C"/>
    <w:rsid w:val="003A1943"/>
    <w:rsid w:val="003A2ADA"/>
    <w:rsid w:val="003A2F9C"/>
    <w:rsid w:val="003A7DE7"/>
    <w:rsid w:val="003B18F6"/>
    <w:rsid w:val="003B2237"/>
    <w:rsid w:val="003B2B54"/>
    <w:rsid w:val="003B3041"/>
    <w:rsid w:val="003B3C56"/>
    <w:rsid w:val="003B3E1B"/>
    <w:rsid w:val="003B47D1"/>
    <w:rsid w:val="003B4DD5"/>
    <w:rsid w:val="003B527F"/>
    <w:rsid w:val="003B5D65"/>
    <w:rsid w:val="003B5F94"/>
    <w:rsid w:val="003B6C1F"/>
    <w:rsid w:val="003B7D5D"/>
    <w:rsid w:val="003C0905"/>
    <w:rsid w:val="003C0BE2"/>
    <w:rsid w:val="003C198D"/>
    <w:rsid w:val="003C2830"/>
    <w:rsid w:val="003C2AC3"/>
    <w:rsid w:val="003C2C6B"/>
    <w:rsid w:val="003C325A"/>
    <w:rsid w:val="003C62E6"/>
    <w:rsid w:val="003C693B"/>
    <w:rsid w:val="003C6D25"/>
    <w:rsid w:val="003D1739"/>
    <w:rsid w:val="003D1A46"/>
    <w:rsid w:val="003D5ED5"/>
    <w:rsid w:val="003D5F68"/>
    <w:rsid w:val="003D6E5C"/>
    <w:rsid w:val="003D798F"/>
    <w:rsid w:val="003E00A9"/>
    <w:rsid w:val="003E05AD"/>
    <w:rsid w:val="003E1637"/>
    <w:rsid w:val="003E24F1"/>
    <w:rsid w:val="003E2C4E"/>
    <w:rsid w:val="003E3358"/>
    <w:rsid w:val="003E4CA2"/>
    <w:rsid w:val="003E5D10"/>
    <w:rsid w:val="003E5D32"/>
    <w:rsid w:val="003E632D"/>
    <w:rsid w:val="003E68B1"/>
    <w:rsid w:val="003E6D77"/>
    <w:rsid w:val="003E6EF5"/>
    <w:rsid w:val="003E7AB3"/>
    <w:rsid w:val="003F0E37"/>
    <w:rsid w:val="003F0EB9"/>
    <w:rsid w:val="003F122B"/>
    <w:rsid w:val="003F36B8"/>
    <w:rsid w:val="003F36D1"/>
    <w:rsid w:val="003F6675"/>
    <w:rsid w:val="003F791D"/>
    <w:rsid w:val="00400022"/>
    <w:rsid w:val="00400298"/>
    <w:rsid w:val="00401F2B"/>
    <w:rsid w:val="0040238E"/>
    <w:rsid w:val="00402A75"/>
    <w:rsid w:val="00402C5D"/>
    <w:rsid w:val="00403D41"/>
    <w:rsid w:val="00404729"/>
    <w:rsid w:val="00404A4F"/>
    <w:rsid w:val="004066AE"/>
    <w:rsid w:val="00406B09"/>
    <w:rsid w:val="00406B8C"/>
    <w:rsid w:val="00406FA6"/>
    <w:rsid w:val="004104CA"/>
    <w:rsid w:val="00410C94"/>
    <w:rsid w:val="00411709"/>
    <w:rsid w:val="004117AB"/>
    <w:rsid w:val="004123B0"/>
    <w:rsid w:val="00413041"/>
    <w:rsid w:val="00413E16"/>
    <w:rsid w:val="0041637D"/>
    <w:rsid w:val="00416CCD"/>
    <w:rsid w:val="00417471"/>
    <w:rsid w:val="00422B1E"/>
    <w:rsid w:val="00423AAD"/>
    <w:rsid w:val="00425436"/>
    <w:rsid w:val="00426C05"/>
    <w:rsid w:val="004313B6"/>
    <w:rsid w:val="004316B6"/>
    <w:rsid w:val="00432151"/>
    <w:rsid w:val="00433225"/>
    <w:rsid w:val="004336BF"/>
    <w:rsid w:val="0043445A"/>
    <w:rsid w:val="00434E2F"/>
    <w:rsid w:val="0043501B"/>
    <w:rsid w:val="004377E9"/>
    <w:rsid w:val="00437966"/>
    <w:rsid w:val="004405B1"/>
    <w:rsid w:val="0044092F"/>
    <w:rsid w:val="00440D3B"/>
    <w:rsid w:val="004412E7"/>
    <w:rsid w:val="00442ACD"/>
    <w:rsid w:val="00442AFE"/>
    <w:rsid w:val="00442CA3"/>
    <w:rsid w:val="0044344C"/>
    <w:rsid w:val="004451C8"/>
    <w:rsid w:val="0044525C"/>
    <w:rsid w:val="00446C3A"/>
    <w:rsid w:val="00451227"/>
    <w:rsid w:val="00452334"/>
    <w:rsid w:val="0045264A"/>
    <w:rsid w:val="00452CAE"/>
    <w:rsid w:val="0045333A"/>
    <w:rsid w:val="00454378"/>
    <w:rsid w:val="004543E8"/>
    <w:rsid w:val="004605CE"/>
    <w:rsid w:val="00460AEA"/>
    <w:rsid w:val="004620DB"/>
    <w:rsid w:val="00463D91"/>
    <w:rsid w:val="004646CC"/>
    <w:rsid w:val="0046591A"/>
    <w:rsid w:val="0046653A"/>
    <w:rsid w:val="004670F2"/>
    <w:rsid w:val="004701A6"/>
    <w:rsid w:val="0047174F"/>
    <w:rsid w:val="00471AE8"/>
    <w:rsid w:val="00471B96"/>
    <w:rsid w:val="00472DB8"/>
    <w:rsid w:val="0047365C"/>
    <w:rsid w:val="004737CB"/>
    <w:rsid w:val="00473B82"/>
    <w:rsid w:val="00474B5D"/>
    <w:rsid w:val="004769A2"/>
    <w:rsid w:val="0048020C"/>
    <w:rsid w:val="00481FE4"/>
    <w:rsid w:val="00482160"/>
    <w:rsid w:val="00482938"/>
    <w:rsid w:val="00484068"/>
    <w:rsid w:val="0048519B"/>
    <w:rsid w:val="00486F90"/>
    <w:rsid w:val="00490077"/>
    <w:rsid w:val="0049009A"/>
    <w:rsid w:val="004900A0"/>
    <w:rsid w:val="004911C9"/>
    <w:rsid w:val="004921B1"/>
    <w:rsid w:val="0049374C"/>
    <w:rsid w:val="00494739"/>
    <w:rsid w:val="00494EB6"/>
    <w:rsid w:val="00494EF7"/>
    <w:rsid w:val="00495786"/>
    <w:rsid w:val="00496CD3"/>
    <w:rsid w:val="004A0246"/>
    <w:rsid w:val="004A0CF6"/>
    <w:rsid w:val="004A1697"/>
    <w:rsid w:val="004A17E5"/>
    <w:rsid w:val="004A2A41"/>
    <w:rsid w:val="004A2D09"/>
    <w:rsid w:val="004A315C"/>
    <w:rsid w:val="004A3E31"/>
    <w:rsid w:val="004A4956"/>
    <w:rsid w:val="004A4B66"/>
    <w:rsid w:val="004A7CCD"/>
    <w:rsid w:val="004B00A8"/>
    <w:rsid w:val="004B0E36"/>
    <w:rsid w:val="004B112B"/>
    <w:rsid w:val="004B16C1"/>
    <w:rsid w:val="004B3E1B"/>
    <w:rsid w:val="004B46B3"/>
    <w:rsid w:val="004B526B"/>
    <w:rsid w:val="004B6883"/>
    <w:rsid w:val="004B69F2"/>
    <w:rsid w:val="004C418B"/>
    <w:rsid w:val="004C59BF"/>
    <w:rsid w:val="004D038F"/>
    <w:rsid w:val="004D0A1E"/>
    <w:rsid w:val="004D0C64"/>
    <w:rsid w:val="004D1AAA"/>
    <w:rsid w:val="004D2959"/>
    <w:rsid w:val="004D2A9E"/>
    <w:rsid w:val="004D3076"/>
    <w:rsid w:val="004D4724"/>
    <w:rsid w:val="004D4EBE"/>
    <w:rsid w:val="004D62E9"/>
    <w:rsid w:val="004D63E2"/>
    <w:rsid w:val="004D74D4"/>
    <w:rsid w:val="004E008C"/>
    <w:rsid w:val="004E1109"/>
    <w:rsid w:val="004E17DF"/>
    <w:rsid w:val="004E19DD"/>
    <w:rsid w:val="004E1AAE"/>
    <w:rsid w:val="004E2993"/>
    <w:rsid w:val="004E3AA2"/>
    <w:rsid w:val="004E432F"/>
    <w:rsid w:val="004E4C3A"/>
    <w:rsid w:val="004E4DCC"/>
    <w:rsid w:val="004E7B18"/>
    <w:rsid w:val="004E7BA1"/>
    <w:rsid w:val="004E7F05"/>
    <w:rsid w:val="004F0BCC"/>
    <w:rsid w:val="004F0D52"/>
    <w:rsid w:val="004F16CC"/>
    <w:rsid w:val="004F1CFD"/>
    <w:rsid w:val="004F2733"/>
    <w:rsid w:val="004F2A46"/>
    <w:rsid w:val="004F35F8"/>
    <w:rsid w:val="004F4AF8"/>
    <w:rsid w:val="004F4CE5"/>
    <w:rsid w:val="004F5CC1"/>
    <w:rsid w:val="004F75EE"/>
    <w:rsid w:val="0050068B"/>
    <w:rsid w:val="00501296"/>
    <w:rsid w:val="005014D1"/>
    <w:rsid w:val="00501C5C"/>
    <w:rsid w:val="005021FD"/>
    <w:rsid w:val="005037BD"/>
    <w:rsid w:val="00504496"/>
    <w:rsid w:val="00504C0C"/>
    <w:rsid w:val="00506487"/>
    <w:rsid w:val="00506EB2"/>
    <w:rsid w:val="00507711"/>
    <w:rsid w:val="00507D15"/>
    <w:rsid w:val="00510625"/>
    <w:rsid w:val="00511FE2"/>
    <w:rsid w:val="005120DA"/>
    <w:rsid w:val="005121FC"/>
    <w:rsid w:val="0051423D"/>
    <w:rsid w:val="0051432A"/>
    <w:rsid w:val="00515A28"/>
    <w:rsid w:val="00516439"/>
    <w:rsid w:val="00516850"/>
    <w:rsid w:val="005170F6"/>
    <w:rsid w:val="0051721D"/>
    <w:rsid w:val="00520075"/>
    <w:rsid w:val="0052191F"/>
    <w:rsid w:val="005221BA"/>
    <w:rsid w:val="00524782"/>
    <w:rsid w:val="0052527F"/>
    <w:rsid w:val="005258EE"/>
    <w:rsid w:val="005259DF"/>
    <w:rsid w:val="00526785"/>
    <w:rsid w:val="005267D4"/>
    <w:rsid w:val="00526981"/>
    <w:rsid w:val="0052781B"/>
    <w:rsid w:val="00527DBC"/>
    <w:rsid w:val="0053132B"/>
    <w:rsid w:val="00531DA6"/>
    <w:rsid w:val="0053286C"/>
    <w:rsid w:val="00533D74"/>
    <w:rsid w:val="0053421F"/>
    <w:rsid w:val="00540BB1"/>
    <w:rsid w:val="00541870"/>
    <w:rsid w:val="00541FAC"/>
    <w:rsid w:val="005430B1"/>
    <w:rsid w:val="00544ECA"/>
    <w:rsid w:val="005450FD"/>
    <w:rsid w:val="00545DDA"/>
    <w:rsid w:val="00546A6E"/>
    <w:rsid w:val="00546CB7"/>
    <w:rsid w:val="00547CAC"/>
    <w:rsid w:val="005511AA"/>
    <w:rsid w:val="00553B07"/>
    <w:rsid w:val="00554B3F"/>
    <w:rsid w:val="00555073"/>
    <w:rsid w:val="00555328"/>
    <w:rsid w:val="00555C06"/>
    <w:rsid w:val="005576CA"/>
    <w:rsid w:val="00557756"/>
    <w:rsid w:val="005602CD"/>
    <w:rsid w:val="005606F8"/>
    <w:rsid w:val="00560DBA"/>
    <w:rsid w:val="00561999"/>
    <w:rsid w:val="0056273C"/>
    <w:rsid w:val="005629B5"/>
    <w:rsid w:val="00563765"/>
    <w:rsid w:val="00564325"/>
    <w:rsid w:val="00565A2F"/>
    <w:rsid w:val="00566E7E"/>
    <w:rsid w:val="005678AB"/>
    <w:rsid w:val="00570237"/>
    <w:rsid w:val="005705B7"/>
    <w:rsid w:val="00572F6A"/>
    <w:rsid w:val="00573777"/>
    <w:rsid w:val="005737B9"/>
    <w:rsid w:val="00575513"/>
    <w:rsid w:val="00576CDE"/>
    <w:rsid w:val="0058035C"/>
    <w:rsid w:val="00580902"/>
    <w:rsid w:val="00581236"/>
    <w:rsid w:val="00581D22"/>
    <w:rsid w:val="00582BC8"/>
    <w:rsid w:val="00582F19"/>
    <w:rsid w:val="00583F4F"/>
    <w:rsid w:val="0058441E"/>
    <w:rsid w:val="00584BEC"/>
    <w:rsid w:val="00586C85"/>
    <w:rsid w:val="0058734A"/>
    <w:rsid w:val="00591885"/>
    <w:rsid w:val="00592228"/>
    <w:rsid w:val="0059245E"/>
    <w:rsid w:val="0059261C"/>
    <w:rsid w:val="00593A71"/>
    <w:rsid w:val="00594794"/>
    <w:rsid w:val="00594F0D"/>
    <w:rsid w:val="0059705B"/>
    <w:rsid w:val="005A17CB"/>
    <w:rsid w:val="005A25B9"/>
    <w:rsid w:val="005A26F7"/>
    <w:rsid w:val="005A2712"/>
    <w:rsid w:val="005A31C0"/>
    <w:rsid w:val="005A6E88"/>
    <w:rsid w:val="005B0674"/>
    <w:rsid w:val="005B2070"/>
    <w:rsid w:val="005B2D9A"/>
    <w:rsid w:val="005B40DA"/>
    <w:rsid w:val="005B7815"/>
    <w:rsid w:val="005C17C1"/>
    <w:rsid w:val="005C1C9C"/>
    <w:rsid w:val="005C27F3"/>
    <w:rsid w:val="005C2A2F"/>
    <w:rsid w:val="005C331D"/>
    <w:rsid w:val="005C3C5A"/>
    <w:rsid w:val="005C4D37"/>
    <w:rsid w:val="005C5380"/>
    <w:rsid w:val="005C5839"/>
    <w:rsid w:val="005C6301"/>
    <w:rsid w:val="005C788E"/>
    <w:rsid w:val="005C7954"/>
    <w:rsid w:val="005D0987"/>
    <w:rsid w:val="005D0FC2"/>
    <w:rsid w:val="005D1424"/>
    <w:rsid w:val="005D19A9"/>
    <w:rsid w:val="005D20D2"/>
    <w:rsid w:val="005D226D"/>
    <w:rsid w:val="005D2D93"/>
    <w:rsid w:val="005D3863"/>
    <w:rsid w:val="005D53FA"/>
    <w:rsid w:val="005D73B6"/>
    <w:rsid w:val="005D764F"/>
    <w:rsid w:val="005D788B"/>
    <w:rsid w:val="005E1133"/>
    <w:rsid w:val="005E12C8"/>
    <w:rsid w:val="005E1B74"/>
    <w:rsid w:val="005E270F"/>
    <w:rsid w:val="005E348D"/>
    <w:rsid w:val="005E3E5F"/>
    <w:rsid w:val="005E5833"/>
    <w:rsid w:val="005E6386"/>
    <w:rsid w:val="005E6904"/>
    <w:rsid w:val="005E7978"/>
    <w:rsid w:val="005F149E"/>
    <w:rsid w:val="005F1CB0"/>
    <w:rsid w:val="005F2A21"/>
    <w:rsid w:val="005F2C7B"/>
    <w:rsid w:val="005F2EAD"/>
    <w:rsid w:val="005F4FBF"/>
    <w:rsid w:val="005F5D44"/>
    <w:rsid w:val="005F6110"/>
    <w:rsid w:val="005F6585"/>
    <w:rsid w:val="005F7488"/>
    <w:rsid w:val="005F7723"/>
    <w:rsid w:val="00600AC5"/>
    <w:rsid w:val="006021DA"/>
    <w:rsid w:val="00602306"/>
    <w:rsid w:val="0060366A"/>
    <w:rsid w:val="00603C72"/>
    <w:rsid w:val="00603C8D"/>
    <w:rsid w:val="00603FB1"/>
    <w:rsid w:val="00606169"/>
    <w:rsid w:val="006079CA"/>
    <w:rsid w:val="006107C4"/>
    <w:rsid w:val="00610CF4"/>
    <w:rsid w:val="006120DB"/>
    <w:rsid w:val="00612127"/>
    <w:rsid w:val="006139F5"/>
    <w:rsid w:val="006148A4"/>
    <w:rsid w:val="0061520A"/>
    <w:rsid w:val="00620E74"/>
    <w:rsid w:val="00621BF7"/>
    <w:rsid w:val="00621ECC"/>
    <w:rsid w:val="0062323A"/>
    <w:rsid w:val="0062352C"/>
    <w:rsid w:val="006244B0"/>
    <w:rsid w:val="006252FE"/>
    <w:rsid w:val="00625FC7"/>
    <w:rsid w:val="00626179"/>
    <w:rsid w:val="00626F81"/>
    <w:rsid w:val="006308D4"/>
    <w:rsid w:val="006309C2"/>
    <w:rsid w:val="00631028"/>
    <w:rsid w:val="00631564"/>
    <w:rsid w:val="0063188F"/>
    <w:rsid w:val="00631DF2"/>
    <w:rsid w:val="0063268A"/>
    <w:rsid w:val="00633218"/>
    <w:rsid w:val="0063366F"/>
    <w:rsid w:val="00633825"/>
    <w:rsid w:val="00633B57"/>
    <w:rsid w:val="006354E6"/>
    <w:rsid w:val="00635D1C"/>
    <w:rsid w:val="006364EE"/>
    <w:rsid w:val="00637AFB"/>
    <w:rsid w:val="00637B1F"/>
    <w:rsid w:val="00640123"/>
    <w:rsid w:val="0064054F"/>
    <w:rsid w:val="00641274"/>
    <w:rsid w:val="00642068"/>
    <w:rsid w:val="006434A1"/>
    <w:rsid w:val="00643C45"/>
    <w:rsid w:val="00644CE3"/>
    <w:rsid w:val="00645D93"/>
    <w:rsid w:val="00646114"/>
    <w:rsid w:val="00646700"/>
    <w:rsid w:val="0065007D"/>
    <w:rsid w:val="00651436"/>
    <w:rsid w:val="00652E91"/>
    <w:rsid w:val="00652EE5"/>
    <w:rsid w:val="00653003"/>
    <w:rsid w:val="00653909"/>
    <w:rsid w:val="006540BD"/>
    <w:rsid w:val="0065638C"/>
    <w:rsid w:val="00656FB8"/>
    <w:rsid w:val="0065700B"/>
    <w:rsid w:val="00657312"/>
    <w:rsid w:val="00657FDA"/>
    <w:rsid w:val="0066016E"/>
    <w:rsid w:val="00663123"/>
    <w:rsid w:val="006646C6"/>
    <w:rsid w:val="0066472A"/>
    <w:rsid w:val="00665413"/>
    <w:rsid w:val="0067047D"/>
    <w:rsid w:val="006707AD"/>
    <w:rsid w:val="006707F4"/>
    <w:rsid w:val="00670E8C"/>
    <w:rsid w:val="00675355"/>
    <w:rsid w:val="00675CCE"/>
    <w:rsid w:val="006761DD"/>
    <w:rsid w:val="006801DA"/>
    <w:rsid w:val="00680DED"/>
    <w:rsid w:val="00681140"/>
    <w:rsid w:val="00683250"/>
    <w:rsid w:val="006841B7"/>
    <w:rsid w:val="006843B7"/>
    <w:rsid w:val="00684779"/>
    <w:rsid w:val="00684F9E"/>
    <w:rsid w:val="00687DAC"/>
    <w:rsid w:val="00687E5C"/>
    <w:rsid w:val="00687F06"/>
    <w:rsid w:val="0069000E"/>
    <w:rsid w:val="006907BC"/>
    <w:rsid w:val="00690EE7"/>
    <w:rsid w:val="006932EE"/>
    <w:rsid w:val="0069699F"/>
    <w:rsid w:val="006A1ADC"/>
    <w:rsid w:val="006A2021"/>
    <w:rsid w:val="006A251A"/>
    <w:rsid w:val="006A29E0"/>
    <w:rsid w:val="006A2B3B"/>
    <w:rsid w:val="006A338F"/>
    <w:rsid w:val="006A51B9"/>
    <w:rsid w:val="006A7286"/>
    <w:rsid w:val="006A786D"/>
    <w:rsid w:val="006A7E75"/>
    <w:rsid w:val="006B1251"/>
    <w:rsid w:val="006B15B3"/>
    <w:rsid w:val="006B1E92"/>
    <w:rsid w:val="006B42D7"/>
    <w:rsid w:val="006B4E5E"/>
    <w:rsid w:val="006B70CD"/>
    <w:rsid w:val="006B7823"/>
    <w:rsid w:val="006C041C"/>
    <w:rsid w:val="006C116F"/>
    <w:rsid w:val="006C14AD"/>
    <w:rsid w:val="006C171E"/>
    <w:rsid w:val="006C2B4A"/>
    <w:rsid w:val="006C310B"/>
    <w:rsid w:val="006C618D"/>
    <w:rsid w:val="006C7285"/>
    <w:rsid w:val="006D056F"/>
    <w:rsid w:val="006D165F"/>
    <w:rsid w:val="006D4F21"/>
    <w:rsid w:val="006D6B76"/>
    <w:rsid w:val="006D7572"/>
    <w:rsid w:val="006E18DB"/>
    <w:rsid w:val="006E213B"/>
    <w:rsid w:val="006E3409"/>
    <w:rsid w:val="006E6305"/>
    <w:rsid w:val="006E675B"/>
    <w:rsid w:val="006E68ED"/>
    <w:rsid w:val="006E7199"/>
    <w:rsid w:val="006F3FBB"/>
    <w:rsid w:val="006F7A5C"/>
    <w:rsid w:val="00700DAA"/>
    <w:rsid w:val="00701210"/>
    <w:rsid w:val="00701973"/>
    <w:rsid w:val="00701E23"/>
    <w:rsid w:val="00701FDD"/>
    <w:rsid w:val="00702037"/>
    <w:rsid w:val="0070557D"/>
    <w:rsid w:val="00705AFF"/>
    <w:rsid w:val="00705B30"/>
    <w:rsid w:val="00706A3B"/>
    <w:rsid w:val="00707BAF"/>
    <w:rsid w:val="007106F9"/>
    <w:rsid w:val="0071223A"/>
    <w:rsid w:val="00712A46"/>
    <w:rsid w:val="007148D1"/>
    <w:rsid w:val="00715BD0"/>
    <w:rsid w:val="007164E1"/>
    <w:rsid w:val="007175EE"/>
    <w:rsid w:val="00717BC3"/>
    <w:rsid w:val="00717DC2"/>
    <w:rsid w:val="00721C39"/>
    <w:rsid w:val="007224BB"/>
    <w:rsid w:val="00722D78"/>
    <w:rsid w:val="00723DCB"/>
    <w:rsid w:val="007276A7"/>
    <w:rsid w:val="007301EC"/>
    <w:rsid w:val="00730C98"/>
    <w:rsid w:val="00732013"/>
    <w:rsid w:val="0073228D"/>
    <w:rsid w:val="0073327F"/>
    <w:rsid w:val="00733B83"/>
    <w:rsid w:val="00733C0F"/>
    <w:rsid w:val="00733F3E"/>
    <w:rsid w:val="00734121"/>
    <w:rsid w:val="00734432"/>
    <w:rsid w:val="00735958"/>
    <w:rsid w:val="00735CE0"/>
    <w:rsid w:val="00735DCB"/>
    <w:rsid w:val="00736096"/>
    <w:rsid w:val="007365CA"/>
    <w:rsid w:val="00737CFD"/>
    <w:rsid w:val="007412BB"/>
    <w:rsid w:val="00741424"/>
    <w:rsid w:val="00742605"/>
    <w:rsid w:val="007436FA"/>
    <w:rsid w:val="00745108"/>
    <w:rsid w:val="0074632B"/>
    <w:rsid w:val="0074694A"/>
    <w:rsid w:val="00747070"/>
    <w:rsid w:val="00750644"/>
    <w:rsid w:val="00751F7E"/>
    <w:rsid w:val="00752A40"/>
    <w:rsid w:val="00756A19"/>
    <w:rsid w:val="00757E4E"/>
    <w:rsid w:val="00760DA5"/>
    <w:rsid w:val="0076123A"/>
    <w:rsid w:val="0076184D"/>
    <w:rsid w:val="00761DB0"/>
    <w:rsid w:val="00762B61"/>
    <w:rsid w:val="00762C6E"/>
    <w:rsid w:val="00762C72"/>
    <w:rsid w:val="0076466A"/>
    <w:rsid w:val="00764D3F"/>
    <w:rsid w:val="0076681F"/>
    <w:rsid w:val="00767236"/>
    <w:rsid w:val="00767F61"/>
    <w:rsid w:val="00770666"/>
    <w:rsid w:val="0077176C"/>
    <w:rsid w:val="00771B78"/>
    <w:rsid w:val="00773253"/>
    <w:rsid w:val="007735A7"/>
    <w:rsid w:val="0077386F"/>
    <w:rsid w:val="00774DC9"/>
    <w:rsid w:val="00775DEC"/>
    <w:rsid w:val="00775F92"/>
    <w:rsid w:val="007760F2"/>
    <w:rsid w:val="00776F91"/>
    <w:rsid w:val="007770C1"/>
    <w:rsid w:val="00777301"/>
    <w:rsid w:val="00777A62"/>
    <w:rsid w:val="00780AF7"/>
    <w:rsid w:val="00783708"/>
    <w:rsid w:val="0078612A"/>
    <w:rsid w:val="0078775B"/>
    <w:rsid w:val="007878ED"/>
    <w:rsid w:val="007922E6"/>
    <w:rsid w:val="00793A2E"/>
    <w:rsid w:val="00793BF7"/>
    <w:rsid w:val="00793C3D"/>
    <w:rsid w:val="00793F3E"/>
    <w:rsid w:val="00793FAA"/>
    <w:rsid w:val="00794118"/>
    <w:rsid w:val="00794FFC"/>
    <w:rsid w:val="0079621A"/>
    <w:rsid w:val="00797597"/>
    <w:rsid w:val="0079793D"/>
    <w:rsid w:val="007A3383"/>
    <w:rsid w:val="007A33D9"/>
    <w:rsid w:val="007A3645"/>
    <w:rsid w:val="007A3CB9"/>
    <w:rsid w:val="007A3FF3"/>
    <w:rsid w:val="007A4C9C"/>
    <w:rsid w:val="007A6FE2"/>
    <w:rsid w:val="007A734E"/>
    <w:rsid w:val="007A7FFD"/>
    <w:rsid w:val="007B12F8"/>
    <w:rsid w:val="007B2067"/>
    <w:rsid w:val="007B24BF"/>
    <w:rsid w:val="007B454A"/>
    <w:rsid w:val="007B5EBE"/>
    <w:rsid w:val="007B6675"/>
    <w:rsid w:val="007B7E8B"/>
    <w:rsid w:val="007C0399"/>
    <w:rsid w:val="007C0756"/>
    <w:rsid w:val="007C1EC7"/>
    <w:rsid w:val="007C42EB"/>
    <w:rsid w:val="007C44FF"/>
    <w:rsid w:val="007C60B1"/>
    <w:rsid w:val="007C7CEB"/>
    <w:rsid w:val="007D12C0"/>
    <w:rsid w:val="007D178D"/>
    <w:rsid w:val="007D5835"/>
    <w:rsid w:val="007D7427"/>
    <w:rsid w:val="007E0CC5"/>
    <w:rsid w:val="007E13E8"/>
    <w:rsid w:val="007E216E"/>
    <w:rsid w:val="007E36B2"/>
    <w:rsid w:val="007E404B"/>
    <w:rsid w:val="007E4BA8"/>
    <w:rsid w:val="007E4C03"/>
    <w:rsid w:val="007E5A1C"/>
    <w:rsid w:val="007E6D4F"/>
    <w:rsid w:val="007E7788"/>
    <w:rsid w:val="007F07CC"/>
    <w:rsid w:val="007F1396"/>
    <w:rsid w:val="007F1B27"/>
    <w:rsid w:val="007F269C"/>
    <w:rsid w:val="007F3521"/>
    <w:rsid w:val="007F3714"/>
    <w:rsid w:val="007F3B60"/>
    <w:rsid w:val="007F3C98"/>
    <w:rsid w:val="007F4266"/>
    <w:rsid w:val="007F70A4"/>
    <w:rsid w:val="007F7EE8"/>
    <w:rsid w:val="00800C50"/>
    <w:rsid w:val="00801001"/>
    <w:rsid w:val="0080249B"/>
    <w:rsid w:val="008024AB"/>
    <w:rsid w:val="0080298D"/>
    <w:rsid w:val="00804184"/>
    <w:rsid w:val="008043F7"/>
    <w:rsid w:val="00804BF0"/>
    <w:rsid w:val="00805814"/>
    <w:rsid w:val="008063EB"/>
    <w:rsid w:val="0081013B"/>
    <w:rsid w:val="00810637"/>
    <w:rsid w:val="00812817"/>
    <w:rsid w:val="00813767"/>
    <w:rsid w:val="00815EE0"/>
    <w:rsid w:val="00816B9E"/>
    <w:rsid w:val="00816BBE"/>
    <w:rsid w:val="0082065A"/>
    <w:rsid w:val="00822DD6"/>
    <w:rsid w:val="008243B5"/>
    <w:rsid w:val="00824786"/>
    <w:rsid w:val="00825201"/>
    <w:rsid w:val="0082578C"/>
    <w:rsid w:val="00825972"/>
    <w:rsid w:val="008271CE"/>
    <w:rsid w:val="00832A05"/>
    <w:rsid w:val="008339D3"/>
    <w:rsid w:val="00833B07"/>
    <w:rsid w:val="00833F68"/>
    <w:rsid w:val="00834852"/>
    <w:rsid w:val="00835F25"/>
    <w:rsid w:val="0083658C"/>
    <w:rsid w:val="00836C9D"/>
    <w:rsid w:val="00836DCE"/>
    <w:rsid w:val="008376F8"/>
    <w:rsid w:val="00841D4D"/>
    <w:rsid w:val="00841E03"/>
    <w:rsid w:val="00842CE2"/>
    <w:rsid w:val="0084354D"/>
    <w:rsid w:val="00843C43"/>
    <w:rsid w:val="008445FA"/>
    <w:rsid w:val="00845E72"/>
    <w:rsid w:val="008469E0"/>
    <w:rsid w:val="008470F7"/>
    <w:rsid w:val="0084732D"/>
    <w:rsid w:val="0085292E"/>
    <w:rsid w:val="008540DC"/>
    <w:rsid w:val="0085519E"/>
    <w:rsid w:val="00855642"/>
    <w:rsid w:val="00856A24"/>
    <w:rsid w:val="00856FBB"/>
    <w:rsid w:val="00857228"/>
    <w:rsid w:val="0085766D"/>
    <w:rsid w:val="00857ADF"/>
    <w:rsid w:val="00860028"/>
    <w:rsid w:val="008617F6"/>
    <w:rsid w:val="00862A45"/>
    <w:rsid w:val="0086377C"/>
    <w:rsid w:val="0086449E"/>
    <w:rsid w:val="00865C7C"/>
    <w:rsid w:val="00865D65"/>
    <w:rsid w:val="00865FE7"/>
    <w:rsid w:val="00870412"/>
    <w:rsid w:val="00870879"/>
    <w:rsid w:val="00870CD3"/>
    <w:rsid w:val="00870E09"/>
    <w:rsid w:val="00870FC3"/>
    <w:rsid w:val="00871B95"/>
    <w:rsid w:val="008744A5"/>
    <w:rsid w:val="00874628"/>
    <w:rsid w:val="00876F10"/>
    <w:rsid w:val="00876F5E"/>
    <w:rsid w:val="00880CE8"/>
    <w:rsid w:val="00882E83"/>
    <w:rsid w:val="0088365F"/>
    <w:rsid w:val="008853D0"/>
    <w:rsid w:val="00885847"/>
    <w:rsid w:val="00886096"/>
    <w:rsid w:val="00886FE3"/>
    <w:rsid w:val="00887479"/>
    <w:rsid w:val="00887513"/>
    <w:rsid w:val="0089105B"/>
    <w:rsid w:val="0089125D"/>
    <w:rsid w:val="0089256A"/>
    <w:rsid w:val="00892701"/>
    <w:rsid w:val="00892978"/>
    <w:rsid w:val="008929DA"/>
    <w:rsid w:val="00892C0B"/>
    <w:rsid w:val="008951EB"/>
    <w:rsid w:val="008954F1"/>
    <w:rsid w:val="00896955"/>
    <w:rsid w:val="00897F59"/>
    <w:rsid w:val="008A12E5"/>
    <w:rsid w:val="008A1BB4"/>
    <w:rsid w:val="008A2143"/>
    <w:rsid w:val="008A2620"/>
    <w:rsid w:val="008A2D0E"/>
    <w:rsid w:val="008A4C44"/>
    <w:rsid w:val="008A50A2"/>
    <w:rsid w:val="008A51E8"/>
    <w:rsid w:val="008A5478"/>
    <w:rsid w:val="008A7959"/>
    <w:rsid w:val="008A7BE0"/>
    <w:rsid w:val="008B06F7"/>
    <w:rsid w:val="008B0D1C"/>
    <w:rsid w:val="008B0D49"/>
    <w:rsid w:val="008B1119"/>
    <w:rsid w:val="008B14CC"/>
    <w:rsid w:val="008B291E"/>
    <w:rsid w:val="008B3688"/>
    <w:rsid w:val="008B3B54"/>
    <w:rsid w:val="008B4A8C"/>
    <w:rsid w:val="008B533C"/>
    <w:rsid w:val="008B566F"/>
    <w:rsid w:val="008C07B7"/>
    <w:rsid w:val="008C09CF"/>
    <w:rsid w:val="008C1D12"/>
    <w:rsid w:val="008C2900"/>
    <w:rsid w:val="008C3648"/>
    <w:rsid w:val="008C3D44"/>
    <w:rsid w:val="008C4929"/>
    <w:rsid w:val="008C4D89"/>
    <w:rsid w:val="008C705B"/>
    <w:rsid w:val="008C7E1F"/>
    <w:rsid w:val="008D3B74"/>
    <w:rsid w:val="008D462E"/>
    <w:rsid w:val="008D4B7C"/>
    <w:rsid w:val="008D58C8"/>
    <w:rsid w:val="008E0F29"/>
    <w:rsid w:val="008E11FD"/>
    <w:rsid w:val="008E1A9A"/>
    <w:rsid w:val="008E2349"/>
    <w:rsid w:val="008E470F"/>
    <w:rsid w:val="008E4D09"/>
    <w:rsid w:val="008E5FA0"/>
    <w:rsid w:val="008E6017"/>
    <w:rsid w:val="008E7C10"/>
    <w:rsid w:val="008F0070"/>
    <w:rsid w:val="008F095B"/>
    <w:rsid w:val="008F272C"/>
    <w:rsid w:val="008F4345"/>
    <w:rsid w:val="008F49FF"/>
    <w:rsid w:val="008F51A5"/>
    <w:rsid w:val="008F5A60"/>
    <w:rsid w:val="008F6949"/>
    <w:rsid w:val="008F72DA"/>
    <w:rsid w:val="008F7867"/>
    <w:rsid w:val="0090035E"/>
    <w:rsid w:val="00901DC4"/>
    <w:rsid w:val="00902238"/>
    <w:rsid w:val="009023DD"/>
    <w:rsid w:val="009023EE"/>
    <w:rsid w:val="0090336B"/>
    <w:rsid w:val="0090507F"/>
    <w:rsid w:val="009052E7"/>
    <w:rsid w:val="0090629C"/>
    <w:rsid w:val="009064EB"/>
    <w:rsid w:val="009066C6"/>
    <w:rsid w:val="009124DC"/>
    <w:rsid w:val="009136AF"/>
    <w:rsid w:val="00913B76"/>
    <w:rsid w:val="00913CF8"/>
    <w:rsid w:val="0091601C"/>
    <w:rsid w:val="009177FB"/>
    <w:rsid w:val="00920B11"/>
    <w:rsid w:val="00921437"/>
    <w:rsid w:val="00921C0E"/>
    <w:rsid w:val="009228D5"/>
    <w:rsid w:val="0092453E"/>
    <w:rsid w:val="00925F4D"/>
    <w:rsid w:val="00927B86"/>
    <w:rsid w:val="00930A40"/>
    <w:rsid w:val="00931596"/>
    <w:rsid w:val="00931D87"/>
    <w:rsid w:val="0093490A"/>
    <w:rsid w:val="009356D3"/>
    <w:rsid w:val="009358DB"/>
    <w:rsid w:val="0094287E"/>
    <w:rsid w:val="00943756"/>
    <w:rsid w:val="009439BE"/>
    <w:rsid w:val="00944119"/>
    <w:rsid w:val="00944349"/>
    <w:rsid w:val="009454D2"/>
    <w:rsid w:val="009455DA"/>
    <w:rsid w:val="009477C6"/>
    <w:rsid w:val="009505F3"/>
    <w:rsid w:val="00950D92"/>
    <w:rsid w:val="009525AA"/>
    <w:rsid w:val="009527F2"/>
    <w:rsid w:val="0095459E"/>
    <w:rsid w:val="00954EDB"/>
    <w:rsid w:val="00954F97"/>
    <w:rsid w:val="009563CC"/>
    <w:rsid w:val="009563DD"/>
    <w:rsid w:val="009577D6"/>
    <w:rsid w:val="00957BCD"/>
    <w:rsid w:val="009607D7"/>
    <w:rsid w:val="00960D1F"/>
    <w:rsid w:val="0096106B"/>
    <w:rsid w:val="00961B6D"/>
    <w:rsid w:val="00961BD1"/>
    <w:rsid w:val="00961CE3"/>
    <w:rsid w:val="0096390F"/>
    <w:rsid w:val="00964DAE"/>
    <w:rsid w:val="0096681D"/>
    <w:rsid w:val="00966A32"/>
    <w:rsid w:val="00967666"/>
    <w:rsid w:val="009677E3"/>
    <w:rsid w:val="0097065D"/>
    <w:rsid w:val="00970C5A"/>
    <w:rsid w:val="00970FDA"/>
    <w:rsid w:val="009711D8"/>
    <w:rsid w:val="009719E3"/>
    <w:rsid w:val="009723BF"/>
    <w:rsid w:val="009728CB"/>
    <w:rsid w:val="009728E3"/>
    <w:rsid w:val="00973A37"/>
    <w:rsid w:val="00973FA8"/>
    <w:rsid w:val="0097601E"/>
    <w:rsid w:val="00976866"/>
    <w:rsid w:val="00980A8D"/>
    <w:rsid w:val="00980ED4"/>
    <w:rsid w:val="0098105E"/>
    <w:rsid w:val="00981535"/>
    <w:rsid w:val="009828C5"/>
    <w:rsid w:val="00984394"/>
    <w:rsid w:val="009855ED"/>
    <w:rsid w:val="00986563"/>
    <w:rsid w:val="00987F25"/>
    <w:rsid w:val="0099208D"/>
    <w:rsid w:val="00992C34"/>
    <w:rsid w:val="00992DB2"/>
    <w:rsid w:val="0099360E"/>
    <w:rsid w:val="00994368"/>
    <w:rsid w:val="00995144"/>
    <w:rsid w:val="009955EF"/>
    <w:rsid w:val="00996902"/>
    <w:rsid w:val="00996E4F"/>
    <w:rsid w:val="00997513"/>
    <w:rsid w:val="009A0C57"/>
    <w:rsid w:val="009A14D9"/>
    <w:rsid w:val="009A1CCC"/>
    <w:rsid w:val="009A26DA"/>
    <w:rsid w:val="009A375C"/>
    <w:rsid w:val="009A3864"/>
    <w:rsid w:val="009A46E1"/>
    <w:rsid w:val="009A4DFD"/>
    <w:rsid w:val="009A530D"/>
    <w:rsid w:val="009A7407"/>
    <w:rsid w:val="009B22E8"/>
    <w:rsid w:val="009B2F3E"/>
    <w:rsid w:val="009B3414"/>
    <w:rsid w:val="009B4038"/>
    <w:rsid w:val="009B4A8E"/>
    <w:rsid w:val="009B4BC7"/>
    <w:rsid w:val="009B5F9B"/>
    <w:rsid w:val="009B757B"/>
    <w:rsid w:val="009C279F"/>
    <w:rsid w:val="009C2B01"/>
    <w:rsid w:val="009C3A5D"/>
    <w:rsid w:val="009C486F"/>
    <w:rsid w:val="009C57BA"/>
    <w:rsid w:val="009C693A"/>
    <w:rsid w:val="009C70E3"/>
    <w:rsid w:val="009C7898"/>
    <w:rsid w:val="009D2841"/>
    <w:rsid w:val="009D2A82"/>
    <w:rsid w:val="009D3E43"/>
    <w:rsid w:val="009D5112"/>
    <w:rsid w:val="009D5993"/>
    <w:rsid w:val="009D622E"/>
    <w:rsid w:val="009D6794"/>
    <w:rsid w:val="009D67B5"/>
    <w:rsid w:val="009D6BA8"/>
    <w:rsid w:val="009D7106"/>
    <w:rsid w:val="009E1021"/>
    <w:rsid w:val="009E3A55"/>
    <w:rsid w:val="009E5983"/>
    <w:rsid w:val="009E683E"/>
    <w:rsid w:val="009E73BB"/>
    <w:rsid w:val="009F0224"/>
    <w:rsid w:val="009F0DDF"/>
    <w:rsid w:val="009F1853"/>
    <w:rsid w:val="009F24E0"/>
    <w:rsid w:val="009F3315"/>
    <w:rsid w:val="009F4718"/>
    <w:rsid w:val="009F708D"/>
    <w:rsid w:val="00A012BB"/>
    <w:rsid w:val="00A01315"/>
    <w:rsid w:val="00A01C84"/>
    <w:rsid w:val="00A03422"/>
    <w:rsid w:val="00A03CB9"/>
    <w:rsid w:val="00A069F4"/>
    <w:rsid w:val="00A06AD3"/>
    <w:rsid w:val="00A11CCC"/>
    <w:rsid w:val="00A12177"/>
    <w:rsid w:val="00A12569"/>
    <w:rsid w:val="00A129DE"/>
    <w:rsid w:val="00A136A3"/>
    <w:rsid w:val="00A142DA"/>
    <w:rsid w:val="00A14AE4"/>
    <w:rsid w:val="00A1630F"/>
    <w:rsid w:val="00A168CB"/>
    <w:rsid w:val="00A16BCE"/>
    <w:rsid w:val="00A16E42"/>
    <w:rsid w:val="00A205F3"/>
    <w:rsid w:val="00A206CB"/>
    <w:rsid w:val="00A20C83"/>
    <w:rsid w:val="00A23942"/>
    <w:rsid w:val="00A2396D"/>
    <w:rsid w:val="00A23DFA"/>
    <w:rsid w:val="00A24843"/>
    <w:rsid w:val="00A267EB"/>
    <w:rsid w:val="00A30865"/>
    <w:rsid w:val="00A318A8"/>
    <w:rsid w:val="00A32C02"/>
    <w:rsid w:val="00A337D2"/>
    <w:rsid w:val="00A33A4F"/>
    <w:rsid w:val="00A34E82"/>
    <w:rsid w:val="00A356F1"/>
    <w:rsid w:val="00A367A5"/>
    <w:rsid w:val="00A367A9"/>
    <w:rsid w:val="00A36A2B"/>
    <w:rsid w:val="00A40227"/>
    <w:rsid w:val="00A40FCD"/>
    <w:rsid w:val="00A44619"/>
    <w:rsid w:val="00A44835"/>
    <w:rsid w:val="00A44E12"/>
    <w:rsid w:val="00A45C91"/>
    <w:rsid w:val="00A468F6"/>
    <w:rsid w:val="00A46F23"/>
    <w:rsid w:val="00A47AC7"/>
    <w:rsid w:val="00A47D70"/>
    <w:rsid w:val="00A515C0"/>
    <w:rsid w:val="00A516BF"/>
    <w:rsid w:val="00A53D86"/>
    <w:rsid w:val="00A53EAA"/>
    <w:rsid w:val="00A559CC"/>
    <w:rsid w:val="00A57F0F"/>
    <w:rsid w:val="00A619E2"/>
    <w:rsid w:val="00A64142"/>
    <w:rsid w:val="00A6468F"/>
    <w:rsid w:val="00A64978"/>
    <w:rsid w:val="00A6535D"/>
    <w:rsid w:val="00A65A1E"/>
    <w:rsid w:val="00A65E0D"/>
    <w:rsid w:val="00A66FC5"/>
    <w:rsid w:val="00A6705F"/>
    <w:rsid w:val="00A7329C"/>
    <w:rsid w:val="00A74542"/>
    <w:rsid w:val="00A74A77"/>
    <w:rsid w:val="00A75C65"/>
    <w:rsid w:val="00A761FF"/>
    <w:rsid w:val="00A76631"/>
    <w:rsid w:val="00A76819"/>
    <w:rsid w:val="00A77492"/>
    <w:rsid w:val="00A77F5B"/>
    <w:rsid w:val="00A814A7"/>
    <w:rsid w:val="00A82889"/>
    <w:rsid w:val="00A83245"/>
    <w:rsid w:val="00A8466F"/>
    <w:rsid w:val="00A851E6"/>
    <w:rsid w:val="00A86A5A"/>
    <w:rsid w:val="00A87AE4"/>
    <w:rsid w:val="00A87EBE"/>
    <w:rsid w:val="00A900FB"/>
    <w:rsid w:val="00A9069B"/>
    <w:rsid w:val="00A90D6C"/>
    <w:rsid w:val="00A910AA"/>
    <w:rsid w:val="00A915D5"/>
    <w:rsid w:val="00A920D4"/>
    <w:rsid w:val="00A9234E"/>
    <w:rsid w:val="00A93229"/>
    <w:rsid w:val="00A951D7"/>
    <w:rsid w:val="00A96F00"/>
    <w:rsid w:val="00A976F5"/>
    <w:rsid w:val="00AA04E8"/>
    <w:rsid w:val="00AA0CAA"/>
    <w:rsid w:val="00AA11DD"/>
    <w:rsid w:val="00AA1875"/>
    <w:rsid w:val="00AA3311"/>
    <w:rsid w:val="00AA5319"/>
    <w:rsid w:val="00AA5892"/>
    <w:rsid w:val="00AA7A33"/>
    <w:rsid w:val="00AB01B8"/>
    <w:rsid w:val="00AB02BF"/>
    <w:rsid w:val="00AB1CDE"/>
    <w:rsid w:val="00AB25D0"/>
    <w:rsid w:val="00AB5D3E"/>
    <w:rsid w:val="00AB7131"/>
    <w:rsid w:val="00AB7CAE"/>
    <w:rsid w:val="00AB7CEB"/>
    <w:rsid w:val="00AC0429"/>
    <w:rsid w:val="00AC2DBE"/>
    <w:rsid w:val="00AC2F38"/>
    <w:rsid w:val="00AC32BA"/>
    <w:rsid w:val="00AC3DC1"/>
    <w:rsid w:val="00AC4C36"/>
    <w:rsid w:val="00AC4E33"/>
    <w:rsid w:val="00AC63AD"/>
    <w:rsid w:val="00AC6908"/>
    <w:rsid w:val="00AC7082"/>
    <w:rsid w:val="00AD049D"/>
    <w:rsid w:val="00AD0830"/>
    <w:rsid w:val="00AD18D8"/>
    <w:rsid w:val="00AD2B2E"/>
    <w:rsid w:val="00AD36D8"/>
    <w:rsid w:val="00AD41F1"/>
    <w:rsid w:val="00AD4732"/>
    <w:rsid w:val="00AD4FAA"/>
    <w:rsid w:val="00AD5399"/>
    <w:rsid w:val="00AD5495"/>
    <w:rsid w:val="00AD75C2"/>
    <w:rsid w:val="00AD76AD"/>
    <w:rsid w:val="00AE1244"/>
    <w:rsid w:val="00AE1F3E"/>
    <w:rsid w:val="00AE1FC7"/>
    <w:rsid w:val="00AE2468"/>
    <w:rsid w:val="00AE34AE"/>
    <w:rsid w:val="00AE4915"/>
    <w:rsid w:val="00AE5B63"/>
    <w:rsid w:val="00AE5CB5"/>
    <w:rsid w:val="00AE5CC3"/>
    <w:rsid w:val="00AE6DA3"/>
    <w:rsid w:val="00AE7852"/>
    <w:rsid w:val="00AE7B90"/>
    <w:rsid w:val="00AF0643"/>
    <w:rsid w:val="00AF11BB"/>
    <w:rsid w:val="00AF1F0A"/>
    <w:rsid w:val="00AF229F"/>
    <w:rsid w:val="00AF2B9D"/>
    <w:rsid w:val="00AF396E"/>
    <w:rsid w:val="00AF48FF"/>
    <w:rsid w:val="00AF519E"/>
    <w:rsid w:val="00AF63CB"/>
    <w:rsid w:val="00AF64FD"/>
    <w:rsid w:val="00AF65C9"/>
    <w:rsid w:val="00B0087C"/>
    <w:rsid w:val="00B01DBF"/>
    <w:rsid w:val="00B02E45"/>
    <w:rsid w:val="00B038F3"/>
    <w:rsid w:val="00B04C8A"/>
    <w:rsid w:val="00B051E1"/>
    <w:rsid w:val="00B051ED"/>
    <w:rsid w:val="00B054F9"/>
    <w:rsid w:val="00B05F4E"/>
    <w:rsid w:val="00B06480"/>
    <w:rsid w:val="00B07A08"/>
    <w:rsid w:val="00B10B3E"/>
    <w:rsid w:val="00B10EF8"/>
    <w:rsid w:val="00B12358"/>
    <w:rsid w:val="00B1253E"/>
    <w:rsid w:val="00B13B20"/>
    <w:rsid w:val="00B14642"/>
    <w:rsid w:val="00B15255"/>
    <w:rsid w:val="00B16343"/>
    <w:rsid w:val="00B17711"/>
    <w:rsid w:val="00B20FCE"/>
    <w:rsid w:val="00B21502"/>
    <w:rsid w:val="00B22F0D"/>
    <w:rsid w:val="00B23D7C"/>
    <w:rsid w:val="00B2651F"/>
    <w:rsid w:val="00B33061"/>
    <w:rsid w:val="00B34413"/>
    <w:rsid w:val="00B35291"/>
    <w:rsid w:val="00B3648E"/>
    <w:rsid w:val="00B40A00"/>
    <w:rsid w:val="00B41396"/>
    <w:rsid w:val="00B4177B"/>
    <w:rsid w:val="00B4181D"/>
    <w:rsid w:val="00B41F72"/>
    <w:rsid w:val="00B42508"/>
    <w:rsid w:val="00B42984"/>
    <w:rsid w:val="00B434C6"/>
    <w:rsid w:val="00B44184"/>
    <w:rsid w:val="00B446A3"/>
    <w:rsid w:val="00B45138"/>
    <w:rsid w:val="00B45148"/>
    <w:rsid w:val="00B45CB4"/>
    <w:rsid w:val="00B45D5C"/>
    <w:rsid w:val="00B45DA8"/>
    <w:rsid w:val="00B50DAE"/>
    <w:rsid w:val="00B50FB1"/>
    <w:rsid w:val="00B51775"/>
    <w:rsid w:val="00B51957"/>
    <w:rsid w:val="00B5211F"/>
    <w:rsid w:val="00B53A17"/>
    <w:rsid w:val="00B55DAC"/>
    <w:rsid w:val="00B55E28"/>
    <w:rsid w:val="00B56344"/>
    <w:rsid w:val="00B56377"/>
    <w:rsid w:val="00B603F0"/>
    <w:rsid w:val="00B60F26"/>
    <w:rsid w:val="00B614CA"/>
    <w:rsid w:val="00B61BAF"/>
    <w:rsid w:val="00B61EEC"/>
    <w:rsid w:val="00B65B44"/>
    <w:rsid w:val="00B66B8E"/>
    <w:rsid w:val="00B66C51"/>
    <w:rsid w:val="00B670C3"/>
    <w:rsid w:val="00B67EBA"/>
    <w:rsid w:val="00B701A8"/>
    <w:rsid w:val="00B70CBA"/>
    <w:rsid w:val="00B7230E"/>
    <w:rsid w:val="00B72C45"/>
    <w:rsid w:val="00B74688"/>
    <w:rsid w:val="00B74870"/>
    <w:rsid w:val="00B758C3"/>
    <w:rsid w:val="00B75AC1"/>
    <w:rsid w:val="00B76702"/>
    <w:rsid w:val="00B7692B"/>
    <w:rsid w:val="00B808CA"/>
    <w:rsid w:val="00B81D1E"/>
    <w:rsid w:val="00B82D92"/>
    <w:rsid w:val="00B83AA3"/>
    <w:rsid w:val="00B84C61"/>
    <w:rsid w:val="00B86346"/>
    <w:rsid w:val="00B87215"/>
    <w:rsid w:val="00B875B3"/>
    <w:rsid w:val="00B87E41"/>
    <w:rsid w:val="00B917B5"/>
    <w:rsid w:val="00B91DFE"/>
    <w:rsid w:val="00B921CF"/>
    <w:rsid w:val="00B948BD"/>
    <w:rsid w:val="00B953EC"/>
    <w:rsid w:val="00B96221"/>
    <w:rsid w:val="00B96914"/>
    <w:rsid w:val="00B97126"/>
    <w:rsid w:val="00B9788D"/>
    <w:rsid w:val="00BA0425"/>
    <w:rsid w:val="00BA057D"/>
    <w:rsid w:val="00BA0729"/>
    <w:rsid w:val="00BA098A"/>
    <w:rsid w:val="00BA104B"/>
    <w:rsid w:val="00BA250E"/>
    <w:rsid w:val="00BA2AD8"/>
    <w:rsid w:val="00BA3A20"/>
    <w:rsid w:val="00BA3EA1"/>
    <w:rsid w:val="00BA7BDA"/>
    <w:rsid w:val="00BA7E97"/>
    <w:rsid w:val="00BB285F"/>
    <w:rsid w:val="00BB2C10"/>
    <w:rsid w:val="00BB2D89"/>
    <w:rsid w:val="00BB2DD1"/>
    <w:rsid w:val="00BB46FC"/>
    <w:rsid w:val="00BB5205"/>
    <w:rsid w:val="00BB5262"/>
    <w:rsid w:val="00BB5581"/>
    <w:rsid w:val="00BB7726"/>
    <w:rsid w:val="00BB7DA4"/>
    <w:rsid w:val="00BB7E3B"/>
    <w:rsid w:val="00BB7E6D"/>
    <w:rsid w:val="00BC0257"/>
    <w:rsid w:val="00BC0CCC"/>
    <w:rsid w:val="00BC1762"/>
    <w:rsid w:val="00BC30C5"/>
    <w:rsid w:val="00BC4C94"/>
    <w:rsid w:val="00BD08B8"/>
    <w:rsid w:val="00BD1A8B"/>
    <w:rsid w:val="00BD2970"/>
    <w:rsid w:val="00BD2BD5"/>
    <w:rsid w:val="00BD2F7E"/>
    <w:rsid w:val="00BD357D"/>
    <w:rsid w:val="00BD44E7"/>
    <w:rsid w:val="00BD4D3A"/>
    <w:rsid w:val="00BD608D"/>
    <w:rsid w:val="00BD69B1"/>
    <w:rsid w:val="00BD7CF7"/>
    <w:rsid w:val="00BE033C"/>
    <w:rsid w:val="00BE1962"/>
    <w:rsid w:val="00BE1CBE"/>
    <w:rsid w:val="00BE312C"/>
    <w:rsid w:val="00BE3D60"/>
    <w:rsid w:val="00BE3F99"/>
    <w:rsid w:val="00BE440E"/>
    <w:rsid w:val="00BE55F4"/>
    <w:rsid w:val="00BE6478"/>
    <w:rsid w:val="00BF2246"/>
    <w:rsid w:val="00BF2469"/>
    <w:rsid w:val="00BF25A1"/>
    <w:rsid w:val="00BF260F"/>
    <w:rsid w:val="00BF51CD"/>
    <w:rsid w:val="00BF5AE9"/>
    <w:rsid w:val="00BF654B"/>
    <w:rsid w:val="00BF7628"/>
    <w:rsid w:val="00BF7818"/>
    <w:rsid w:val="00C0006C"/>
    <w:rsid w:val="00C003A4"/>
    <w:rsid w:val="00C0169F"/>
    <w:rsid w:val="00C01DD6"/>
    <w:rsid w:val="00C01E2C"/>
    <w:rsid w:val="00C01FEC"/>
    <w:rsid w:val="00C0242B"/>
    <w:rsid w:val="00C03D4E"/>
    <w:rsid w:val="00C03D8A"/>
    <w:rsid w:val="00C04575"/>
    <w:rsid w:val="00C04808"/>
    <w:rsid w:val="00C0739B"/>
    <w:rsid w:val="00C07441"/>
    <w:rsid w:val="00C1014B"/>
    <w:rsid w:val="00C10518"/>
    <w:rsid w:val="00C10CE7"/>
    <w:rsid w:val="00C11A29"/>
    <w:rsid w:val="00C12368"/>
    <w:rsid w:val="00C12815"/>
    <w:rsid w:val="00C12E7A"/>
    <w:rsid w:val="00C13ECA"/>
    <w:rsid w:val="00C13FFC"/>
    <w:rsid w:val="00C15922"/>
    <w:rsid w:val="00C15B80"/>
    <w:rsid w:val="00C17030"/>
    <w:rsid w:val="00C2076A"/>
    <w:rsid w:val="00C2111A"/>
    <w:rsid w:val="00C219E1"/>
    <w:rsid w:val="00C21E3B"/>
    <w:rsid w:val="00C21FE1"/>
    <w:rsid w:val="00C22E17"/>
    <w:rsid w:val="00C25027"/>
    <w:rsid w:val="00C25E9A"/>
    <w:rsid w:val="00C2705B"/>
    <w:rsid w:val="00C3020C"/>
    <w:rsid w:val="00C30590"/>
    <w:rsid w:val="00C3114C"/>
    <w:rsid w:val="00C3174A"/>
    <w:rsid w:val="00C319A3"/>
    <w:rsid w:val="00C32609"/>
    <w:rsid w:val="00C326F8"/>
    <w:rsid w:val="00C33674"/>
    <w:rsid w:val="00C34220"/>
    <w:rsid w:val="00C34FF2"/>
    <w:rsid w:val="00C36ECC"/>
    <w:rsid w:val="00C37A4D"/>
    <w:rsid w:val="00C37C13"/>
    <w:rsid w:val="00C422E3"/>
    <w:rsid w:val="00C447A9"/>
    <w:rsid w:val="00C44E64"/>
    <w:rsid w:val="00C4707D"/>
    <w:rsid w:val="00C50483"/>
    <w:rsid w:val="00C522D7"/>
    <w:rsid w:val="00C524E2"/>
    <w:rsid w:val="00C54093"/>
    <w:rsid w:val="00C5411D"/>
    <w:rsid w:val="00C5526A"/>
    <w:rsid w:val="00C56F75"/>
    <w:rsid w:val="00C60119"/>
    <w:rsid w:val="00C60682"/>
    <w:rsid w:val="00C60727"/>
    <w:rsid w:val="00C60A1B"/>
    <w:rsid w:val="00C60C02"/>
    <w:rsid w:val="00C60DE4"/>
    <w:rsid w:val="00C60F99"/>
    <w:rsid w:val="00C61B85"/>
    <w:rsid w:val="00C62138"/>
    <w:rsid w:val="00C624C1"/>
    <w:rsid w:val="00C63815"/>
    <w:rsid w:val="00C64028"/>
    <w:rsid w:val="00C6407C"/>
    <w:rsid w:val="00C64BE0"/>
    <w:rsid w:val="00C65CE7"/>
    <w:rsid w:val="00C65D81"/>
    <w:rsid w:val="00C667A5"/>
    <w:rsid w:val="00C668DD"/>
    <w:rsid w:val="00C7034C"/>
    <w:rsid w:val="00C70790"/>
    <w:rsid w:val="00C7127F"/>
    <w:rsid w:val="00C72A24"/>
    <w:rsid w:val="00C76DC2"/>
    <w:rsid w:val="00C77B7F"/>
    <w:rsid w:val="00C818E9"/>
    <w:rsid w:val="00C81976"/>
    <w:rsid w:val="00C81AFB"/>
    <w:rsid w:val="00C82613"/>
    <w:rsid w:val="00C827FC"/>
    <w:rsid w:val="00C82A1A"/>
    <w:rsid w:val="00C833A5"/>
    <w:rsid w:val="00C83552"/>
    <w:rsid w:val="00C8405D"/>
    <w:rsid w:val="00C84401"/>
    <w:rsid w:val="00C84671"/>
    <w:rsid w:val="00C84BAD"/>
    <w:rsid w:val="00C851A3"/>
    <w:rsid w:val="00C867CE"/>
    <w:rsid w:val="00C879C1"/>
    <w:rsid w:val="00C9098C"/>
    <w:rsid w:val="00C90E7D"/>
    <w:rsid w:val="00C90EEC"/>
    <w:rsid w:val="00C910A6"/>
    <w:rsid w:val="00C91559"/>
    <w:rsid w:val="00C91F3F"/>
    <w:rsid w:val="00C92581"/>
    <w:rsid w:val="00C93036"/>
    <w:rsid w:val="00C930AD"/>
    <w:rsid w:val="00C9363F"/>
    <w:rsid w:val="00C9372B"/>
    <w:rsid w:val="00C945DD"/>
    <w:rsid w:val="00C95337"/>
    <w:rsid w:val="00C95550"/>
    <w:rsid w:val="00C96054"/>
    <w:rsid w:val="00C9675F"/>
    <w:rsid w:val="00CA070F"/>
    <w:rsid w:val="00CA07A4"/>
    <w:rsid w:val="00CA0A18"/>
    <w:rsid w:val="00CA1C33"/>
    <w:rsid w:val="00CA30A1"/>
    <w:rsid w:val="00CA3325"/>
    <w:rsid w:val="00CA3EF1"/>
    <w:rsid w:val="00CA48AE"/>
    <w:rsid w:val="00CA5028"/>
    <w:rsid w:val="00CA58A3"/>
    <w:rsid w:val="00CA5FC2"/>
    <w:rsid w:val="00CA75DB"/>
    <w:rsid w:val="00CA772F"/>
    <w:rsid w:val="00CB3D50"/>
    <w:rsid w:val="00CB63B0"/>
    <w:rsid w:val="00CB6A0D"/>
    <w:rsid w:val="00CB6F9E"/>
    <w:rsid w:val="00CC0B88"/>
    <w:rsid w:val="00CC0FA7"/>
    <w:rsid w:val="00CC1678"/>
    <w:rsid w:val="00CC2072"/>
    <w:rsid w:val="00CC2D17"/>
    <w:rsid w:val="00CC3538"/>
    <w:rsid w:val="00CC541E"/>
    <w:rsid w:val="00CC58F0"/>
    <w:rsid w:val="00CC59DE"/>
    <w:rsid w:val="00CC5EA4"/>
    <w:rsid w:val="00CC6CAE"/>
    <w:rsid w:val="00CC705A"/>
    <w:rsid w:val="00CD08B8"/>
    <w:rsid w:val="00CD0D84"/>
    <w:rsid w:val="00CD2ACB"/>
    <w:rsid w:val="00CD2B2B"/>
    <w:rsid w:val="00CD2F1D"/>
    <w:rsid w:val="00CD5305"/>
    <w:rsid w:val="00CD5344"/>
    <w:rsid w:val="00CE0194"/>
    <w:rsid w:val="00CE0B9A"/>
    <w:rsid w:val="00CE19F0"/>
    <w:rsid w:val="00CE2454"/>
    <w:rsid w:val="00CE3F71"/>
    <w:rsid w:val="00CE4FD2"/>
    <w:rsid w:val="00CE65F8"/>
    <w:rsid w:val="00CE6EBD"/>
    <w:rsid w:val="00CE7DF7"/>
    <w:rsid w:val="00CF093F"/>
    <w:rsid w:val="00CF09AC"/>
    <w:rsid w:val="00CF0E78"/>
    <w:rsid w:val="00CF1233"/>
    <w:rsid w:val="00CF2EB7"/>
    <w:rsid w:val="00CF4D86"/>
    <w:rsid w:val="00CF5048"/>
    <w:rsid w:val="00CF7418"/>
    <w:rsid w:val="00CF757A"/>
    <w:rsid w:val="00D00DDF"/>
    <w:rsid w:val="00D00F0C"/>
    <w:rsid w:val="00D010C3"/>
    <w:rsid w:val="00D01513"/>
    <w:rsid w:val="00D0198F"/>
    <w:rsid w:val="00D052F7"/>
    <w:rsid w:val="00D05D2F"/>
    <w:rsid w:val="00D06FF1"/>
    <w:rsid w:val="00D116E7"/>
    <w:rsid w:val="00D11DB4"/>
    <w:rsid w:val="00D12CC1"/>
    <w:rsid w:val="00D14326"/>
    <w:rsid w:val="00D14467"/>
    <w:rsid w:val="00D14B33"/>
    <w:rsid w:val="00D1684D"/>
    <w:rsid w:val="00D16A01"/>
    <w:rsid w:val="00D17E2A"/>
    <w:rsid w:val="00D20A0D"/>
    <w:rsid w:val="00D21138"/>
    <w:rsid w:val="00D2162C"/>
    <w:rsid w:val="00D2185A"/>
    <w:rsid w:val="00D22622"/>
    <w:rsid w:val="00D245AB"/>
    <w:rsid w:val="00D24751"/>
    <w:rsid w:val="00D250E1"/>
    <w:rsid w:val="00D25CE1"/>
    <w:rsid w:val="00D2652E"/>
    <w:rsid w:val="00D26864"/>
    <w:rsid w:val="00D2696C"/>
    <w:rsid w:val="00D26D76"/>
    <w:rsid w:val="00D26F42"/>
    <w:rsid w:val="00D27D55"/>
    <w:rsid w:val="00D306AE"/>
    <w:rsid w:val="00D30F36"/>
    <w:rsid w:val="00D3146A"/>
    <w:rsid w:val="00D3182C"/>
    <w:rsid w:val="00D323F4"/>
    <w:rsid w:val="00D3391D"/>
    <w:rsid w:val="00D33F22"/>
    <w:rsid w:val="00D34F84"/>
    <w:rsid w:val="00D350FD"/>
    <w:rsid w:val="00D3557E"/>
    <w:rsid w:val="00D35AF1"/>
    <w:rsid w:val="00D35FC9"/>
    <w:rsid w:val="00D36A7D"/>
    <w:rsid w:val="00D370F8"/>
    <w:rsid w:val="00D37DB0"/>
    <w:rsid w:val="00D40BC8"/>
    <w:rsid w:val="00D416AE"/>
    <w:rsid w:val="00D426C8"/>
    <w:rsid w:val="00D42C2B"/>
    <w:rsid w:val="00D431E4"/>
    <w:rsid w:val="00D44D47"/>
    <w:rsid w:val="00D44D51"/>
    <w:rsid w:val="00D45594"/>
    <w:rsid w:val="00D455AA"/>
    <w:rsid w:val="00D45F04"/>
    <w:rsid w:val="00D4744C"/>
    <w:rsid w:val="00D5308B"/>
    <w:rsid w:val="00D53283"/>
    <w:rsid w:val="00D54073"/>
    <w:rsid w:val="00D54A2C"/>
    <w:rsid w:val="00D563D6"/>
    <w:rsid w:val="00D568E0"/>
    <w:rsid w:val="00D60374"/>
    <w:rsid w:val="00D61439"/>
    <w:rsid w:val="00D61BDE"/>
    <w:rsid w:val="00D62D29"/>
    <w:rsid w:val="00D65470"/>
    <w:rsid w:val="00D65987"/>
    <w:rsid w:val="00D66F27"/>
    <w:rsid w:val="00D6713B"/>
    <w:rsid w:val="00D67643"/>
    <w:rsid w:val="00D715AD"/>
    <w:rsid w:val="00D72295"/>
    <w:rsid w:val="00D7252A"/>
    <w:rsid w:val="00D726C8"/>
    <w:rsid w:val="00D72743"/>
    <w:rsid w:val="00D73A07"/>
    <w:rsid w:val="00D74586"/>
    <w:rsid w:val="00D74E12"/>
    <w:rsid w:val="00D74F7C"/>
    <w:rsid w:val="00D755B7"/>
    <w:rsid w:val="00D75D57"/>
    <w:rsid w:val="00D761E1"/>
    <w:rsid w:val="00D76E05"/>
    <w:rsid w:val="00D77FD5"/>
    <w:rsid w:val="00D81E83"/>
    <w:rsid w:val="00D8259E"/>
    <w:rsid w:val="00D8341C"/>
    <w:rsid w:val="00D84DD2"/>
    <w:rsid w:val="00D854FA"/>
    <w:rsid w:val="00D873AC"/>
    <w:rsid w:val="00D876EE"/>
    <w:rsid w:val="00D87BAF"/>
    <w:rsid w:val="00D9144E"/>
    <w:rsid w:val="00D9149E"/>
    <w:rsid w:val="00D92191"/>
    <w:rsid w:val="00D9286F"/>
    <w:rsid w:val="00D93BFA"/>
    <w:rsid w:val="00D940A4"/>
    <w:rsid w:val="00D95346"/>
    <w:rsid w:val="00D95BD7"/>
    <w:rsid w:val="00D964B6"/>
    <w:rsid w:val="00D96592"/>
    <w:rsid w:val="00D974A2"/>
    <w:rsid w:val="00DA21D2"/>
    <w:rsid w:val="00DA2567"/>
    <w:rsid w:val="00DA25C6"/>
    <w:rsid w:val="00DA4290"/>
    <w:rsid w:val="00DA45AF"/>
    <w:rsid w:val="00DA6090"/>
    <w:rsid w:val="00DA6A83"/>
    <w:rsid w:val="00DA6D1A"/>
    <w:rsid w:val="00DA6EF1"/>
    <w:rsid w:val="00DA72D9"/>
    <w:rsid w:val="00DA7642"/>
    <w:rsid w:val="00DB124B"/>
    <w:rsid w:val="00DB17AD"/>
    <w:rsid w:val="00DB18B0"/>
    <w:rsid w:val="00DB2A88"/>
    <w:rsid w:val="00DB3A6F"/>
    <w:rsid w:val="00DB50D8"/>
    <w:rsid w:val="00DB55C9"/>
    <w:rsid w:val="00DB67FD"/>
    <w:rsid w:val="00DB6AB7"/>
    <w:rsid w:val="00DB7457"/>
    <w:rsid w:val="00DB7460"/>
    <w:rsid w:val="00DB7969"/>
    <w:rsid w:val="00DC0265"/>
    <w:rsid w:val="00DC088C"/>
    <w:rsid w:val="00DC25D3"/>
    <w:rsid w:val="00DC27A0"/>
    <w:rsid w:val="00DC293E"/>
    <w:rsid w:val="00DC2ADB"/>
    <w:rsid w:val="00DC2E43"/>
    <w:rsid w:val="00DC5A55"/>
    <w:rsid w:val="00DC6946"/>
    <w:rsid w:val="00DD3539"/>
    <w:rsid w:val="00DD3C5C"/>
    <w:rsid w:val="00DD482D"/>
    <w:rsid w:val="00DD4C14"/>
    <w:rsid w:val="00DD5162"/>
    <w:rsid w:val="00DD6086"/>
    <w:rsid w:val="00DD61E6"/>
    <w:rsid w:val="00DD76AD"/>
    <w:rsid w:val="00DD789F"/>
    <w:rsid w:val="00DE1838"/>
    <w:rsid w:val="00DE18DB"/>
    <w:rsid w:val="00DE24E3"/>
    <w:rsid w:val="00DE35A3"/>
    <w:rsid w:val="00DE3816"/>
    <w:rsid w:val="00DE41A8"/>
    <w:rsid w:val="00DE470C"/>
    <w:rsid w:val="00DE503C"/>
    <w:rsid w:val="00DE50A1"/>
    <w:rsid w:val="00DE546A"/>
    <w:rsid w:val="00DE6CB8"/>
    <w:rsid w:val="00DE7F92"/>
    <w:rsid w:val="00DF13EB"/>
    <w:rsid w:val="00DF16D3"/>
    <w:rsid w:val="00DF1742"/>
    <w:rsid w:val="00DF2D3B"/>
    <w:rsid w:val="00DF3742"/>
    <w:rsid w:val="00DF4656"/>
    <w:rsid w:val="00DF46D4"/>
    <w:rsid w:val="00DF4AE6"/>
    <w:rsid w:val="00DF4B5C"/>
    <w:rsid w:val="00DF4C7B"/>
    <w:rsid w:val="00DF5CFE"/>
    <w:rsid w:val="00DF7F4E"/>
    <w:rsid w:val="00E000B7"/>
    <w:rsid w:val="00E00B4E"/>
    <w:rsid w:val="00E00F5E"/>
    <w:rsid w:val="00E01139"/>
    <w:rsid w:val="00E01993"/>
    <w:rsid w:val="00E01A58"/>
    <w:rsid w:val="00E026A5"/>
    <w:rsid w:val="00E02C94"/>
    <w:rsid w:val="00E0338B"/>
    <w:rsid w:val="00E0394A"/>
    <w:rsid w:val="00E047A6"/>
    <w:rsid w:val="00E059E2"/>
    <w:rsid w:val="00E06807"/>
    <w:rsid w:val="00E0684C"/>
    <w:rsid w:val="00E07003"/>
    <w:rsid w:val="00E073CC"/>
    <w:rsid w:val="00E115BC"/>
    <w:rsid w:val="00E11CB5"/>
    <w:rsid w:val="00E11E28"/>
    <w:rsid w:val="00E1297B"/>
    <w:rsid w:val="00E13776"/>
    <w:rsid w:val="00E1422B"/>
    <w:rsid w:val="00E1509F"/>
    <w:rsid w:val="00E16205"/>
    <w:rsid w:val="00E16E64"/>
    <w:rsid w:val="00E174C0"/>
    <w:rsid w:val="00E1750E"/>
    <w:rsid w:val="00E17CA5"/>
    <w:rsid w:val="00E2107F"/>
    <w:rsid w:val="00E22A06"/>
    <w:rsid w:val="00E22C98"/>
    <w:rsid w:val="00E236DA"/>
    <w:rsid w:val="00E2470D"/>
    <w:rsid w:val="00E2515B"/>
    <w:rsid w:val="00E27366"/>
    <w:rsid w:val="00E309E7"/>
    <w:rsid w:val="00E31718"/>
    <w:rsid w:val="00E328F8"/>
    <w:rsid w:val="00E3306E"/>
    <w:rsid w:val="00E339CF"/>
    <w:rsid w:val="00E34FE6"/>
    <w:rsid w:val="00E353D0"/>
    <w:rsid w:val="00E356C0"/>
    <w:rsid w:val="00E35C68"/>
    <w:rsid w:val="00E3621A"/>
    <w:rsid w:val="00E36BA3"/>
    <w:rsid w:val="00E405FC"/>
    <w:rsid w:val="00E408C0"/>
    <w:rsid w:val="00E40ED1"/>
    <w:rsid w:val="00E437CE"/>
    <w:rsid w:val="00E4539A"/>
    <w:rsid w:val="00E46CC7"/>
    <w:rsid w:val="00E47B8C"/>
    <w:rsid w:val="00E47FD4"/>
    <w:rsid w:val="00E510D3"/>
    <w:rsid w:val="00E543C2"/>
    <w:rsid w:val="00E546C3"/>
    <w:rsid w:val="00E55817"/>
    <w:rsid w:val="00E55B2F"/>
    <w:rsid w:val="00E571D3"/>
    <w:rsid w:val="00E57979"/>
    <w:rsid w:val="00E61662"/>
    <w:rsid w:val="00E61E67"/>
    <w:rsid w:val="00E65129"/>
    <w:rsid w:val="00E65203"/>
    <w:rsid w:val="00E65884"/>
    <w:rsid w:val="00E65F4C"/>
    <w:rsid w:val="00E668B2"/>
    <w:rsid w:val="00E67E3D"/>
    <w:rsid w:val="00E71B7A"/>
    <w:rsid w:val="00E73247"/>
    <w:rsid w:val="00E73589"/>
    <w:rsid w:val="00E73A87"/>
    <w:rsid w:val="00E73E6A"/>
    <w:rsid w:val="00E74AE4"/>
    <w:rsid w:val="00E76536"/>
    <w:rsid w:val="00E77DF5"/>
    <w:rsid w:val="00E81E8B"/>
    <w:rsid w:val="00E822B3"/>
    <w:rsid w:val="00E829F1"/>
    <w:rsid w:val="00E8317D"/>
    <w:rsid w:val="00E84029"/>
    <w:rsid w:val="00E85FD2"/>
    <w:rsid w:val="00E90CFF"/>
    <w:rsid w:val="00E9154F"/>
    <w:rsid w:val="00E9178E"/>
    <w:rsid w:val="00E918F2"/>
    <w:rsid w:val="00E920FF"/>
    <w:rsid w:val="00E924CC"/>
    <w:rsid w:val="00E947EE"/>
    <w:rsid w:val="00E95467"/>
    <w:rsid w:val="00E95E94"/>
    <w:rsid w:val="00E962A5"/>
    <w:rsid w:val="00E97BFD"/>
    <w:rsid w:val="00EA0541"/>
    <w:rsid w:val="00EA2040"/>
    <w:rsid w:val="00EA2106"/>
    <w:rsid w:val="00EA2D44"/>
    <w:rsid w:val="00EA32F5"/>
    <w:rsid w:val="00EA4999"/>
    <w:rsid w:val="00EA5526"/>
    <w:rsid w:val="00EA602F"/>
    <w:rsid w:val="00EA6418"/>
    <w:rsid w:val="00EA6AA4"/>
    <w:rsid w:val="00EA7742"/>
    <w:rsid w:val="00EA7E24"/>
    <w:rsid w:val="00EB0320"/>
    <w:rsid w:val="00EB09C2"/>
    <w:rsid w:val="00EB1C6F"/>
    <w:rsid w:val="00EB5584"/>
    <w:rsid w:val="00EB61BD"/>
    <w:rsid w:val="00EB6C9A"/>
    <w:rsid w:val="00EC0173"/>
    <w:rsid w:val="00EC0796"/>
    <w:rsid w:val="00EC1C7E"/>
    <w:rsid w:val="00EC2791"/>
    <w:rsid w:val="00EC4BA7"/>
    <w:rsid w:val="00EC507A"/>
    <w:rsid w:val="00EC5DAD"/>
    <w:rsid w:val="00EC6958"/>
    <w:rsid w:val="00ED015B"/>
    <w:rsid w:val="00ED02C9"/>
    <w:rsid w:val="00ED2185"/>
    <w:rsid w:val="00ED5E31"/>
    <w:rsid w:val="00EE0320"/>
    <w:rsid w:val="00EE0B19"/>
    <w:rsid w:val="00EE231F"/>
    <w:rsid w:val="00EE2349"/>
    <w:rsid w:val="00EE279D"/>
    <w:rsid w:val="00EE29D2"/>
    <w:rsid w:val="00EE3087"/>
    <w:rsid w:val="00EE5CCE"/>
    <w:rsid w:val="00EE771A"/>
    <w:rsid w:val="00EE7ECF"/>
    <w:rsid w:val="00EF0890"/>
    <w:rsid w:val="00EF0E5D"/>
    <w:rsid w:val="00EF14BA"/>
    <w:rsid w:val="00EF246F"/>
    <w:rsid w:val="00EF270B"/>
    <w:rsid w:val="00EF2FA0"/>
    <w:rsid w:val="00EF4C6F"/>
    <w:rsid w:val="00EF4D67"/>
    <w:rsid w:val="00EF523B"/>
    <w:rsid w:val="00EF6813"/>
    <w:rsid w:val="00EF7D8B"/>
    <w:rsid w:val="00F003E9"/>
    <w:rsid w:val="00F006BB"/>
    <w:rsid w:val="00F017F0"/>
    <w:rsid w:val="00F01F75"/>
    <w:rsid w:val="00F02013"/>
    <w:rsid w:val="00F02D8E"/>
    <w:rsid w:val="00F044F9"/>
    <w:rsid w:val="00F04D0A"/>
    <w:rsid w:val="00F06971"/>
    <w:rsid w:val="00F06FB9"/>
    <w:rsid w:val="00F100D8"/>
    <w:rsid w:val="00F11382"/>
    <w:rsid w:val="00F11707"/>
    <w:rsid w:val="00F11C28"/>
    <w:rsid w:val="00F121D5"/>
    <w:rsid w:val="00F12AF4"/>
    <w:rsid w:val="00F147FF"/>
    <w:rsid w:val="00F16035"/>
    <w:rsid w:val="00F17232"/>
    <w:rsid w:val="00F174CE"/>
    <w:rsid w:val="00F20CC5"/>
    <w:rsid w:val="00F218BB"/>
    <w:rsid w:val="00F2206B"/>
    <w:rsid w:val="00F220AB"/>
    <w:rsid w:val="00F229AE"/>
    <w:rsid w:val="00F23433"/>
    <w:rsid w:val="00F331DD"/>
    <w:rsid w:val="00F338E7"/>
    <w:rsid w:val="00F33C23"/>
    <w:rsid w:val="00F3404F"/>
    <w:rsid w:val="00F404D9"/>
    <w:rsid w:val="00F43981"/>
    <w:rsid w:val="00F43CA7"/>
    <w:rsid w:val="00F44A16"/>
    <w:rsid w:val="00F4550A"/>
    <w:rsid w:val="00F45D22"/>
    <w:rsid w:val="00F46681"/>
    <w:rsid w:val="00F50313"/>
    <w:rsid w:val="00F51614"/>
    <w:rsid w:val="00F51CB1"/>
    <w:rsid w:val="00F55610"/>
    <w:rsid w:val="00F5565A"/>
    <w:rsid w:val="00F55AFC"/>
    <w:rsid w:val="00F60BD9"/>
    <w:rsid w:val="00F61962"/>
    <w:rsid w:val="00F61BCF"/>
    <w:rsid w:val="00F61F5F"/>
    <w:rsid w:val="00F622EA"/>
    <w:rsid w:val="00F6545B"/>
    <w:rsid w:val="00F65748"/>
    <w:rsid w:val="00F65E4C"/>
    <w:rsid w:val="00F662B3"/>
    <w:rsid w:val="00F6755F"/>
    <w:rsid w:val="00F67722"/>
    <w:rsid w:val="00F67B08"/>
    <w:rsid w:val="00F70D9B"/>
    <w:rsid w:val="00F70EAB"/>
    <w:rsid w:val="00F71345"/>
    <w:rsid w:val="00F715E0"/>
    <w:rsid w:val="00F7193A"/>
    <w:rsid w:val="00F775AE"/>
    <w:rsid w:val="00F77F5C"/>
    <w:rsid w:val="00F829A8"/>
    <w:rsid w:val="00F82C5C"/>
    <w:rsid w:val="00F82DB3"/>
    <w:rsid w:val="00F83A79"/>
    <w:rsid w:val="00F85BD3"/>
    <w:rsid w:val="00F86A18"/>
    <w:rsid w:val="00F87188"/>
    <w:rsid w:val="00F91982"/>
    <w:rsid w:val="00F92A3E"/>
    <w:rsid w:val="00F93347"/>
    <w:rsid w:val="00F941D3"/>
    <w:rsid w:val="00F9427E"/>
    <w:rsid w:val="00F94BEE"/>
    <w:rsid w:val="00F94D82"/>
    <w:rsid w:val="00F96256"/>
    <w:rsid w:val="00F970D0"/>
    <w:rsid w:val="00F97D89"/>
    <w:rsid w:val="00FA1A66"/>
    <w:rsid w:val="00FA23AA"/>
    <w:rsid w:val="00FA2533"/>
    <w:rsid w:val="00FA2B68"/>
    <w:rsid w:val="00FA3445"/>
    <w:rsid w:val="00FA3845"/>
    <w:rsid w:val="00FA3BF5"/>
    <w:rsid w:val="00FA5551"/>
    <w:rsid w:val="00FA5F5C"/>
    <w:rsid w:val="00FA7AA7"/>
    <w:rsid w:val="00FA7EB8"/>
    <w:rsid w:val="00FB03E7"/>
    <w:rsid w:val="00FB1F16"/>
    <w:rsid w:val="00FB2202"/>
    <w:rsid w:val="00FB4708"/>
    <w:rsid w:val="00FB48A0"/>
    <w:rsid w:val="00FB58C7"/>
    <w:rsid w:val="00FB73D1"/>
    <w:rsid w:val="00FB7B48"/>
    <w:rsid w:val="00FC0941"/>
    <w:rsid w:val="00FC0B8A"/>
    <w:rsid w:val="00FC11A8"/>
    <w:rsid w:val="00FC1D2F"/>
    <w:rsid w:val="00FC26CA"/>
    <w:rsid w:val="00FC3C88"/>
    <w:rsid w:val="00FC44B4"/>
    <w:rsid w:val="00FC4A32"/>
    <w:rsid w:val="00FC4C09"/>
    <w:rsid w:val="00FC57C2"/>
    <w:rsid w:val="00FD0710"/>
    <w:rsid w:val="00FD0B9E"/>
    <w:rsid w:val="00FD0D89"/>
    <w:rsid w:val="00FD1815"/>
    <w:rsid w:val="00FD1B02"/>
    <w:rsid w:val="00FD1F8E"/>
    <w:rsid w:val="00FD5035"/>
    <w:rsid w:val="00FD72E4"/>
    <w:rsid w:val="00FD76B2"/>
    <w:rsid w:val="00FD7B16"/>
    <w:rsid w:val="00FD7F0C"/>
    <w:rsid w:val="00FE1D2C"/>
    <w:rsid w:val="00FE357C"/>
    <w:rsid w:val="00FE3610"/>
    <w:rsid w:val="00FE42A0"/>
    <w:rsid w:val="00FE4F09"/>
    <w:rsid w:val="00FE502B"/>
    <w:rsid w:val="00FE52C0"/>
    <w:rsid w:val="00FE5755"/>
    <w:rsid w:val="00FE5AE2"/>
    <w:rsid w:val="00FE73B0"/>
    <w:rsid w:val="00FE7B83"/>
    <w:rsid w:val="00FF0706"/>
    <w:rsid w:val="00FF11D8"/>
    <w:rsid w:val="00FF170D"/>
    <w:rsid w:val="00FF17BE"/>
    <w:rsid w:val="00FF216B"/>
    <w:rsid w:val="00FF3CBA"/>
    <w:rsid w:val="00FF3D5C"/>
    <w:rsid w:val="00FF3F23"/>
    <w:rsid w:val="00FF489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53971BB"/>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D416AE"/>
    <w:pPr>
      <w:keepNext/>
      <w:keepLines/>
      <w:spacing w:before="240" w:line="256" w:lineRule="auto"/>
      <w:jc w:val="both"/>
      <w:outlineLvl w:val="0"/>
    </w:pPr>
    <w:rPr>
      <w:rFonts w:ascii="Arial Narrow" w:eastAsiaTheme="majorEastAsia" w:hAnsi="Arial Narrow" w:cstheme="majorBidi"/>
      <w:b/>
      <w:color w:val="000000" w:themeColor="text1"/>
      <w:szCs w:val="32"/>
      <w:lang w:val="es-CO" w:eastAsia="en-US"/>
    </w:rPr>
  </w:style>
  <w:style w:type="paragraph" w:styleId="Ttulo2">
    <w:name w:val="heading 2"/>
    <w:basedOn w:val="Normal"/>
    <w:next w:val="Normal"/>
    <w:link w:val="Ttulo2Car"/>
    <w:uiPriority w:val="9"/>
    <w:semiHidden/>
    <w:unhideWhenUsed/>
    <w:qFormat/>
    <w:rsid w:val="00D416AE"/>
    <w:pPr>
      <w:keepNext/>
      <w:keepLines/>
      <w:spacing w:before="40" w:line="256" w:lineRule="auto"/>
      <w:jc w:val="both"/>
      <w:outlineLvl w:val="1"/>
    </w:pPr>
    <w:rPr>
      <w:rFonts w:ascii="Arial Narrow" w:eastAsiaTheme="majorEastAsia" w:hAnsi="Arial Narrow" w:cstheme="majorBidi"/>
      <w:b/>
      <w:color w:val="000000" w:themeColor="text1"/>
      <w:sz w:val="22"/>
      <w:szCs w:val="26"/>
      <w:lang w:val="es-CO" w:eastAsia="en-US"/>
    </w:rPr>
  </w:style>
  <w:style w:type="paragraph" w:styleId="Ttulo3">
    <w:name w:val="heading 3"/>
    <w:basedOn w:val="Normal"/>
    <w:next w:val="Normal"/>
    <w:link w:val="Ttulo3Car"/>
    <w:uiPriority w:val="9"/>
    <w:semiHidden/>
    <w:unhideWhenUsed/>
    <w:qFormat/>
    <w:rsid w:val="00D416AE"/>
    <w:pPr>
      <w:keepNext/>
      <w:keepLines/>
      <w:spacing w:before="40" w:line="256" w:lineRule="auto"/>
      <w:jc w:val="both"/>
      <w:outlineLvl w:val="2"/>
    </w:pPr>
    <w:rPr>
      <w:rFonts w:ascii="Arial Narrow" w:eastAsiaTheme="majorEastAsia" w:hAnsi="Arial Narrow" w:cstheme="majorBidi"/>
      <w:b/>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9"/>
    <w:rsid w:val="00D416AE"/>
    <w:rPr>
      <w:rFonts w:ascii="Arial Narrow" w:eastAsiaTheme="majorEastAsia" w:hAnsi="Arial Narrow" w:cstheme="majorBidi"/>
      <w:b/>
      <w:color w:val="000000" w:themeColor="text1"/>
      <w:sz w:val="24"/>
      <w:szCs w:val="32"/>
    </w:rPr>
  </w:style>
  <w:style w:type="character" w:customStyle="1" w:styleId="Ttulo2Car">
    <w:name w:val="Título 2 Car"/>
    <w:basedOn w:val="Fuentedeprrafopredeter"/>
    <w:link w:val="Ttulo2"/>
    <w:uiPriority w:val="9"/>
    <w:semiHidden/>
    <w:rsid w:val="00D416AE"/>
    <w:rPr>
      <w:rFonts w:ascii="Arial Narrow" w:eastAsiaTheme="majorEastAsia" w:hAnsi="Arial Narrow" w:cstheme="majorBidi"/>
      <w:b/>
      <w:color w:val="000000" w:themeColor="text1"/>
      <w:szCs w:val="26"/>
    </w:rPr>
  </w:style>
  <w:style w:type="character" w:customStyle="1" w:styleId="Ttulo3Car">
    <w:name w:val="Título 3 Car"/>
    <w:basedOn w:val="Fuentedeprrafopredeter"/>
    <w:link w:val="Ttulo3"/>
    <w:uiPriority w:val="9"/>
    <w:semiHidden/>
    <w:rsid w:val="00D416AE"/>
    <w:rPr>
      <w:rFonts w:ascii="Arial Narrow" w:eastAsiaTheme="majorEastAsia" w:hAnsi="Arial Narrow" w:cstheme="majorBidi"/>
      <w:b/>
      <w:szCs w:val="24"/>
    </w:rPr>
  </w:style>
  <w:style w:type="character" w:styleId="Hipervnculovisitado">
    <w:name w:val="FollowedHyperlink"/>
    <w:basedOn w:val="Fuentedeprrafopredeter"/>
    <w:uiPriority w:val="99"/>
    <w:semiHidden/>
    <w:unhideWhenUsed/>
    <w:rsid w:val="00D416AE"/>
    <w:rPr>
      <w:color w:val="800080" w:themeColor="followedHyperlink"/>
      <w:u w:val="single"/>
    </w:rPr>
  </w:style>
  <w:style w:type="paragraph" w:customStyle="1" w:styleId="msonormal0">
    <w:name w:val="msonormal"/>
    <w:basedOn w:val="Normal"/>
    <w:rsid w:val="00D416AE"/>
    <w:pPr>
      <w:spacing w:before="100" w:beforeAutospacing="1" w:after="100" w:afterAutospacing="1"/>
    </w:pPr>
    <w:rPr>
      <w:rFonts w:eastAsia="Times New Roman"/>
      <w:lang w:val="es-CO" w:eastAsia="es-CO"/>
    </w:rPr>
  </w:style>
  <w:style w:type="paragraph" w:styleId="TDC1">
    <w:name w:val="toc 1"/>
    <w:basedOn w:val="Normal"/>
    <w:next w:val="Normal"/>
    <w:autoRedefine/>
    <w:uiPriority w:val="39"/>
    <w:semiHidden/>
    <w:unhideWhenUsed/>
    <w:rsid w:val="00D416AE"/>
    <w:pPr>
      <w:spacing w:after="100" w:line="256" w:lineRule="auto"/>
      <w:jc w:val="both"/>
    </w:pPr>
    <w:rPr>
      <w:rFonts w:ascii="Arial Narrow" w:eastAsiaTheme="minorHAnsi" w:hAnsi="Arial Narrow" w:cstheme="minorBidi"/>
      <w:sz w:val="22"/>
      <w:szCs w:val="22"/>
      <w:lang w:val="es-CO" w:eastAsia="en-US"/>
    </w:rPr>
  </w:style>
  <w:style w:type="paragraph" w:styleId="TDC2">
    <w:name w:val="toc 2"/>
    <w:basedOn w:val="Normal"/>
    <w:next w:val="Normal"/>
    <w:autoRedefine/>
    <w:uiPriority w:val="39"/>
    <w:semiHidden/>
    <w:unhideWhenUsed/>
    <w:rsid w:val="00D416AE"/>
    <w:pPr>
      <w:spacing w:after="100" w:line="256" w:lineRule="auto"/>
      <w:ind w:left="220"/>
      <w:jc w:val="both"/>
    </w:pPr>
    <w:rPr>
      <w:rFonts w:ascii="Arial Narrow" w:eastAsiaTheme="minorHAnsi" w:hAnsi="Arial Narrow" w:cstheme="minorBidi"/>
      <w:sz w:val="22"/>
      <w:szCs w:val="22"/>
      <w:lang w:val="es-CO" w:eastAsia="en-US"/>
    </w:rPr>
  </w:style>
  <w:style w:type="paragraph" w:styleId="TDC3">
    <w:name w:val="toc 3"/>
    <w:basedOn w:val="Normal"/>
    <w:next w:val="Normal"/>
    <w:autoRedefine/>
    <w:uiPriority w:val="39"/>
    <w:semiHidden/>
    <w:unhideWhenUsed/>
    <w:rsid w:val="00D416AE"/>
    <w:pPr>
      <w:spacing w:after="100" w:line="256" w:lineRule="auto"/>
      <w:ind w:left="440"/>
      <w:jc w:val="both"/>
    </w:pPr>
    <w:rPr>
      <w:rFonts w:ascii="Arial Narrow" w:eastAsiaTheme="minorHAnsi" w:hAnsi="Arial Narrow" w:cstheme="minorBidi"/>
      <w:sz w:val="22"/>
      <w:szCs w:val="22"/>
      <w:lang w:val="es-CO" w:eastAsia="en-US"/>
    </w:rPr>
  </w:style>
  <w:style w:type="paragraph" w:styleId="Textonotapie">
    <w:name w:val="footnote text"/>
    <w:basedOn w:val="Normal"/>
    <w:link w:val="TextonotapieCar"/>
    <w:uiPriority w:val="99"/>
    <w:semiHidden/>
    <w:unhideWhenUsed/>
    <w:rsid w:val="00D416AE"/>
    <w:pPr>
      <w:jc w:val="both"/>
    </w:pPr>
    <w:rPr>
      <w:rFonts w:ascii="Arial Narrow" w:eastAsiaTheme="minorHAnsi" w:hAnsi="Arial Narrow" w:cstheme="minorBidi"/>
      <w:sz w:val="20"/>
      <w:szCs w:val="20"/>
      <w:lang w:val="es-CO" w:eastAsia="en-US"/>
    </w:rPr>
  </w:style>
  <w:style w:type="character" w:customStyle="1" w:styleId="TextonotapieCar">
    <w:name w:val="Texto nota pie Car"/>
    <w:basedOn w:val="Fuentedeprrafopredeter"/>
    <w:link w:val="Textonotapie"/>
    <w:uiPriority w:val="99"/>
    <w:semiHidden/>
    <w:rsid w:val="00D416AE"/>
    <w:rPr>
      <w:rFonts w:ascii="Arial Narrow" w:hAnsi="Arial Narrow"/>
      <w:sz w:val="20"/>
      <w:szCs w:val="20"/>
    </w:rPr>
  </w:style>
  <w:style w:type="paragraph" w:styleId="Textocomentario">
    <w:name w:val="annotation text"/>
    <w:basedOn w:val="Normal"/>
    <w:link w:val="TextocomentarioCar"/>
    <w:uiPriority w:val="99"/>
    <w:unhideWhenUsed/>
    <w:rsid w:val="00D416AE"/>
    <w:pPr>
      <w:spacing w:after="160"/>
      <w:jc w:val="both"/>
    </w:pPr>
    <w:rPr>
      <w:rFonts w:ascii="Arial Narrow" w:eastAsiaTheme="minorHAnsi" w:hAnsi="Arial Narrow" w:cstheme="minorBidi"/>
      <w:sz w:val="20"/>
      <w:szCs w:val="20"/>
      <w:lang w:val="es-CO" w:eastAsia="en-US"/>
    </w:rPr>
  </w:style>
  <w:style w:type="character" w:customStyle="1" w:styleId="TextocomentarioCar">
    <w:name w:val="Texto comentario Car"/>
    <w:basedOn w:val="Fuentedeprrafopredeter"/>
    <w:link w:val="Textocomentario"/>
    <w:uiPriority w:val="99"/>
    <w:rsid w:val="00D416AE"/>
    <w:rPr>
      <w:rFonts w:ascii="Arial Narrow" w:hAnsi="Arial Narrow"/>
      <w:sz w:val="20"/>
      <w:szCs w:val="20"/>
    </w:rPr>
  </w:style>
  <w:style w:type="paragraph" w:styleId="Descripcin">
    <w:name w:val="caption"/>
    <w:basedOn w:val="Normal"/>
    <w:next w:val="Normal"/>
    <w:uiPriority w:val="35"/>
    <w:unhideWhenUsed/>
    <w:qFormat/>
    <w:rsid w:val="00D416AE"/>
    <w:pPr>
      <w:spacing w:after="200"/>
      <w:jc w:val="both"/>
    </w:pPr>
    <w:rPr>
      <w:rFonts w:ascii="Arial Narrow" w:eastAsiaTheme="minorHAnsi" w:hAnsi="Arial Narrow" w:cstheme="minorBidi"/>
      <w:i/>
      <w:iCs/>
      <w:color w:val="1F497D" w:themeColor="text2"/>
      <w:sz w:val="18"/>
      <w:szCs w:val="18"/>
      <w:lang w:val="es-CO" w:eastAsia="en-US"/>
    </w:rPr>
  </w:style>
  <w:style w:type="paragraph" w:styleId="Tabladeilustraciones">
    <w:name w:val="table of figures"/>
    <w:basedOn w:val="Normal"/>
    <w:next w:val="Normal"/>
    <w:uiPriority w:val="99"/>
    <w:semiHidden/>
    <w:unhideWhenUsed/>
    <w:rsid w:val="00D416AE"/>
    <w:pPr>
      <w:spacing w:line="360" w:lineRule="auto"/>
    </w:pPr>
    <w:rPr>
      <w:rFonts w:ascii="Arial Narrow" w:eastAsiaTheme="minorHAnsi" w:hAnsi="Arial Narrow" w:cstheme="minorBidi"/>
      <w:iCs/>
      <w:sz w:val="20"/>
      <w:szCs w:val="20"/>
      <w:lang w:val="es-CO" w:eastAsia="en-US"/>
    </w:rPr>
  </w:style>
  <w:style w:type="paragraph" w:styleId="Textonotaalfinal">
    <w:name w:val="endnote text"/>
    <w:basedOn w:val="Normal"/>
    <w:link w:val="TextonotaalfinalCar"/>
    <w:uiPriority w:val="99"/>
    <w:semiHidden/>
    <w:unhideWhenUsed/>
    <w:rsid w:val="00D416AE"/>
    <w:pPr>
      <w:jc w:val="both"/>
    </w:pPr>
    <w:rPr>
      <w:rFonts w:ascii="Arial Narrow" w:eastAsiaTheme="minorHAnsi" w:hAnsi="Arial Narrow" w:cstheme="minorBidi"/>
      <w:sz w:val="20"/>
      <w:szCs w:val="20"/>
      <w:lang w:val="es-CO" w:eastAsia="en-US"/>
    </w:rPr>
  </w:style>
  <w:style w:type="character" w:customStyle="1" w:styleId="TextonotaalfinalCar">
    <w:name w:val="Texto nota al final Car"/>
    <w:basedOn w:val="Fuentedeprrafopredeter"/>
    <w:link w:val="Textonotaalfinal"/>
    <w:uiPriority w:val="99"/>
    <w:semiHidden/>
    <w:rsid w:val="00D416AE"/>
    <w:rPr>
      <w:rFonts w:ascii="Arial Narrow" w:hAnsi="Arial Narrow"/>
      <w:sz w:val="20"/>
      <w:szCs w:val="20"/>
    </w:rPr>
  </w:style>
  <w:style w:type="character" w:customStyle="1" w:styleId="SubttuloCar1">
    <w:name w:val="Subtítulo Car1"/>
    <w:aliases w:val="Tablas Car1"/>
    <w:basedOn w:val="Fuentedeprrafopredeter"/>
    <w:uiPriority w:val="11"/>
    <w:rsid w:val="00D416AE"/>
    <w:rPr>
      <w:rFonts w:eastAsiaTheme="minorEastAsia"/>
      <w:color w:val="5A5A5A" w:themeColor="text1" w:themeTint="A5"/>
      <w:spacing w:val="15"/>
      <w:lang w:val="es-ES" w:eastAsia="es-ES"/>
    </w:rPr>
  </w:style>
  <w:style w:type="paragraph" w:styleId="Asuntodelcomentario">
    <w:name w:val="annotation subject"/>
    <w:basedOn w:val="Textocomentario"/>
    <w:next w:val="Textocomentario"/>
    <w:link w:val="AsuntodelcomentarioCar"/>
    <w:uiPriority w:val="99"/>
    <w:semiHidden/>
    <w:unhideWhenUsed/>
    <w:rsid w:val="00D416AE"/>
    <w:rPr>
      <w:b/>
      <w:bCs/>
    </w:rPr>
  </w:style>
  <w:style w:type="character" w:customStyle="1" w:styleId="AsuntodelcomentarioCar">
    <w:name w:val="Asunto del comentario Car"/>
    <w:basedOn w:val="TextocomentarioCar"/>
    <w:link w:val="Asuntodelcomentario"/>
    <w:uiPriority w:val="99"/>
    <w:semiHidden/>
    <w:rsid w:val="00D416AE"/>
    <w:rPr>
      <w:rFonts w:ascii="Arial Narrow" w:hAnsi="Arial Narrow"/>
      <w:b/>
      <w:bCs/>
      <w:sz w:val="20"/>
      <w:szCs w:val="20"/>
    </w:rPr>
  </w:style>
  <w:style w:type="paragraph" w:styleId="Sinespaciado">
    <w:name w:val="No Spacing"/>
    <w:aliases w:val="Subtitulo"/>
    <w:link w:val="SinespaciadoCar"/>
    <w:uiPriority w:val="1"/>
    <w:qFormat/>
    <w:rsid w:val="00D416AE"/>
    <w:pPr>
      <w:jc w:val="both"/>
    </w:pPr>
    <w:rPr>
      <w:rFonts w:ascii="Arial Narrow" w:hAnsi="Arial Narrow"/>
    </w:rPr>
  </w:style>
  <w:style w:type="paragraph" w:styleId="Revisin">
    <w:name w:val="Revision"/>
    <w:uiPriority w:val="99"/>
    <w:semiHidden/>
    <w:rsid w:val="00D416AE"/>
    <w:rPr>
      <w:rFonts w:ascii="Times New Roman" w:eastAsia="MS Mincho"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D416AE"/>
    <w:rPr>
      <w:rFonts w:ascii="Times New Roman" w:eastAsia="MS Mincho" w:hAnsi="Times New Roman" w:cs="Times New Roman"/>
      <w:sz w:val="24"/>
      <w:szCs w:val="24"/>
      <w:lang w:val="es-ES" w:eastAsia="es-ES"/>
    </w:rPr>
  </w:style>
  <w:style w:type="paragraph" w:styleId="TtuloTDC">
    <w:name w:val="TOC Heading"/>
    <w:basedOn w:val="Ttulo1"/>
    <w:next w:val="Normal"/>
    <w:uiPriority w:val="39"/>
    <w:semiHidden/>
    <w:unhideWhenUsed/>
    <w:qFormat/>
    <w:rsid w:val="00D416AE"/>
    <w:pPr>
      <w:jc w:val="left"/>
      <w:outlineLvl w:val="9"/>
    </w:pPr>
    <w:rPr>
      <w:rFonts w:asciiTheme="majorHAnsi" w:hAnsiTheme="majorHAnsi"/>
      <w:b w:val="0"/>
      <w:color w:val="365F91" w:themeColor="accent1" w:themeShade="BF"/>
      <w:sz w:val="32"/>
      <w:lang w:eastAsia="es-CO"/>
    </w:rPr>
  </w:style>
  <w:style w:type="paragraph" w:customStyle="1" w:styleId="Default">
    <w:name w:val="Default"/>
    <w:rsid w:val="00D416AE"/>
    <w:pPr>
      <w:autoSpaceDE w:val="0"/>
      <w:autoSpaceDN w:val="0"/>
      <w:adjustRightInd w:val="0"/>
    </w:pPr>
    <w:rPr>
      <w:rFonts w:ascii="Arial" w:hAnsi="Arial" w:cs="Arial"/>
      <w:color w:val="000000"/>
      <w:sz w:val="24"/>
      <w:szCs w:val="24"/>
    </w:rPr>
  </w:style>
  <w:style w:type="paragraph" w:customStyle="1" w:styleId="yiv292490742msonormal">
    <w:name w:val="yiv292490742msonormal"/>
    <w:basedOn w:val="Normal"/>
    <w:rsid w:val="00D416AE"/>
    <w:pPr>
      <w:spacing w:before="100" w:beforeAutospacing="1" w:after="100" w:afterAutospacing="1"/>
    </w:pPr>
    <w:rPr>
      <w:rFonts w:eastAsia="Times New Roman"/>
      <w:lang w:val="en-US" w:eastAsia="en-US"/>
    </w:rPr>
  </w:style>
  <w:style w:type="paragraph" w:customStyle="1" w:styleId="paragraph">
    <w:name w:val="paragraph"/>
    <w:basedOn w:val="Normal"/>
    <w:rsid w:val="00D416AE"/>
    <w:pPr>
      <w:spacing w:before="100" w:beforeAutospacing="1" w:after="100" w:afterAutospacing="1"/>
    </w:pPr>
    <w:rPr>
      <w:rFonts w:eastAsia="Times New Roman"/>
      <w:lang w:val="es-CO" w:eastAsia="es-CO"/>
    </w:rPr>
  </w:style>
  <w:style w:type="paragraph" w:customStyle="1" w:styleId="Formatolibre">
    <w:name w:val="Formato libre"/>
    <w:rsid w:val="00D416AE"/>
    <w:rPr>
      <w:rFonts w:ascii="Times New Roman" w:eastAsia="ヒラギノ角ゴ Pro W3" w:hAnsi="Times New Roman" w:cs="Times New Roman"/>
      <w:color w:val="000000"/>
      <w:sz w:val="20"/>
      <w:szCs w:val="20"/>
      <w:lang w:eastAsia="es-CO"/>
    </w:rPr>
  </w:style>
  <w:style w:type="paragraph" w:customStyle="1" w:styleId="Body">
    <w:name w:val="Body"/>
    <w:rsid w:val="00D416AE"/>
    <w:rPr>
      <w:rFonts w:ascii="Helvetica" w:eastAsia="ヒラギノ角ゴ Pro W3" w:hAnsi="Helvetica" w:cs="Times New Roman"/>
      <w:color w:val="000000"/>
      <w:sz w:val="24"/>
      <w:szCs w:val="20"/>
      <w:lang w:val="en-US" w:eastAsia="es-CO"/>
    </w:rPr>
  </w:style>
  <w:style w:type="character" w:styleId="Refdenotaalpie">
    <w:name w:val="footnote reference"/>
    <w:basedOn w:val="Fuentedeprrafopredeter"/>
    <w:uiPriority w:val="99"/>
    <w:semiHidden/>
    <w:unhideWhenUsed/>
    <w:rsid w:val="00D416AE"/>
    <w:rPr>
      <w:vertAlign w:val="superscript"/>
    </w:rPr>
  </w:style>
  <w:style w:type="character" w:styleId="Refdecomentario">
    <w:name w:val="annotation reference"/>
    <w:basedOn w:val="Fuentedeprrafopredeter"/>
    <w:uiPriority w:val="99"/>
    <w:semiHidden/>
    <w:unhideWhenUsed/>
    <w:rsid w:val="00D416AE"/>
    <w:rPr>
      <w:sz w:val="16"/>
      <w:szCs w:val="16"/>
    </w:rPr>
  </w:style>
  <w:style w:type="character" w:styleId="Refdenotaalfinal">
    <w:name w:val="endnote reference"/>
    <w:basedOn w:val="Fuentedeprrafopredeter"/>
    <w:uiPriority w:val="99"/>
    <w:semiHidden/>
    <w:unhideWhenUsed/>
    <w:rsid w:val="00D416AE"/>
    <w:rPr>
      <w:vertAlign w:val="superscript"/>
    </w:rPr>
  </w:style>
  <w:style w:type="character" w:customStyle="1" w:styleId="SinespaciadoCar">
    <w:name w:val="Sin espaciado Car"/>
    <w:aliases w:val="Subtitulo Car"/>
    <w:basedOn w:val="Fuentedeprrafopredeter"/>
    <w:link w:val="Sinespaciado"/>
    <w:uiPriority w:val="1"/>
    <w:locked/>
    <w:rsid w:val="00A337D2"/>
    <w:rPr>
      <w:rFonts w:ascii="Arial Narrow" w:hAnsi="Arial Narrow"/>
    </w:rPr>
  </w:style>
  <w:style w:type="character" w:customStyle="1" w:styleId="normaltextrun">
    <w:name w:val="normaltextrun"/>
    <w:basedOn w:val="Fuentedeprrafopredeter"/>
    <w:rsid w:val="00992C34"/>
  </w:style>
  <w:style w:type="character" w:customStyle="1" w:styleId="Mencinsinresolver1">
    <w:name w:val="Mención sin resolver1"/>
    <w:basedOn w:val="Fuentedeprrafopredeter"/>
    <w:uiPriority w:val="99"/>
    <w:semiHidden/>
    <w:unhideWhenUsed/>
    <w:rsid w:val="00824786"/>
    <w:rPr>
      <w:color w:val="605E5C"/>
      <w:shd w:val="clear" w:color="auto" w:fill="E1DFDD"/>
    </w:rPr>
  </w:style>
  <w:style w:type="character" w:customStyle="1" w:styleId="Mencinsinresolver2">
    <w:name w:val="Mención sin resolver2"/>
    <w:basedOn w:val="Fuentedeprrafopredeter"/>
    <w:uiPriority w:val="99"/>
    <w:semiHidden/>
    <w:unhideWhenUsed/>
    <w:rsid w:val="007D1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937">
      <w:bodyDiv w:val="1"/>
      <w:marLeft w:val="0"/>
      <w:marRight w:val="0"/>
      <w:marTop w:val="0"/>
      <w:marBottom w:val="0"/>
      <w:divBdr>
        <w:top w:val="none" w:sz="0" w:space="0" w:color="auto"/>
        <w:left w:val="none" w:sz="0" w:space="0" w:color="auto"/>
        <w:bottom w:val="none" w:sz="0" w:space="0" w:color="auto"/>
        <w:right w:val="none" w:sz="0" w:space="0" w:color="auto"/>
      </w:divBdr>
    </w:div>
    <w:div w:id="51928721">
      <w:bodyDiv w:val="1"/>
      <w:marLeft w:val="0"/>
      <w:marRight w:val="0"/>
      <w:marTop w:val="0"/>
      <w:marBottom w:val="0"/>
      <w:divBdr>
        <w:top w:val="none" w:sz="0" w:space="0" w:color="auto"/>
        <w:left w:val="none" w:sz="0" w:space="0" w:color="auto"/>
        <w:bottom w:val="none" w:sz="0" w:space="0" w:color="auto"/>
        <w:right w:val="none" w:sz="0" w:space="0" w:color="auto"/>
      </w:divBdr>
    </w:div>
    <w:div w:id="84428086">
      <w:bodyDiv w:val="1"/>
      <w:marLeft w:val="0"/>
      <w:marRight w:val="0"/>
      <w:marTop w:val="0"/>
      <w:marBottom w:val="0"/>
      <w:divBdr>
        <w:top w:val="none" w:sz="0" w:space="0" w:color="auto"/>
        <w:left w:val="none" w:sz="0" w:space="0" w:color="auto"/>
        <w:bottom w:val="none" w:sz="0" w:space="0" w:color="auto"/>
        <w:right w:val="none" w:sz="0" w:space="0" w:color="auto"/>
      </w:divBdr>
    </w:div>
    <w:div w:id="91248315">
      <w:bodyDiv w:val="1"/>
      <w:marLeft w:val="0"/>
      <w:marRight w:val="0"/>
      <w:marTop w:val="0"/>
      <w:marBottom w:val="0"/>
      <w:divBdr>
        <w:top w:val="none" w:sz="0" w:space="0" w:color="auto"/>
        <w:left w:val="none" w:sz="0" w:space="0" w:color="auto"/>
        <w:bottom w:val="none" w:sz="0" w:space="0" w:color="auto"/>
        <w:right w:val="none" w:sz="0" w:space="0" w:color="auto"/>
      </w:divBdr>
    </w:div>
    <w:div w:id="200285873">
      <w:bodyDiv w:val="1"/>
      <w:marLeft w:val="0"/>
      <w:marRight w:val="0"/>
      <w:marTop w:val="0"/>
      <w:marBottom w:val="0"/>
      <w:divBdr>
        <w:top w:val="none" w:sz="0" w:space="0" w:color="auto"/>
        <w:left w:val="none" w:sz="0" w:space="0" w:color="auto"/>
        <w:bottom w:val="none" w:sz="0" w:space="0" w:color="auto"/>
        <w:right w:val="none" w:sz="0" w:space="0" w:color="auto"/>
      </w:divBdr>
    </w:div>
    <w:div w:id="201327726">
      <w:bodyDiv w:val="1"/>
      <w:marLeft w:val="0"/>
      <w:marRight w:val="0"/>
      <w:marTop w:val="0"/>
      <w:marBottom w:val="0"/>
      <w:divBdr>
        <w:top w:val="none" w:sz="0" w:space="0" w:color="auto"/>
        <w:left w:val="none" w:sz="0" w:space="0" w:color="auto"/>
        <w:bottom w:val="none" w:sz="0" w:space="0" w:color="auto"/>
        <w:right w:val="none" w:sz="0" w:space="0" w:color="auto"/>
      </w:divBdr>
    </w:div>
    <w:div w:id="212236934">
      <w:bodyDiv w:val="1"/>
      <w:marLeft w:val="0"/>
      <w:marRight w:val="0"/>
      <w:marTop w:val="0"/>
      <w:marBottom w:val="0"/>
      <w:divBdr>
        <w:top w:val="none" w:sz="0" w:space="0" w:color="auto"/>
        <w:left w:val="none" w:sz="0" w:space="0" w:color="auto"/>
        <w:bottom w:val="none" w:sz="0" w:space="0" w:color="auto"/>
        <w:right w:val="none" w:sz="0" w:space="0" w:color="auto"/>
      </w:divBdr>
    </w:div>
    <w:div w:id="248200263">
      <w:bodyDiv w:val="1"/>
      <w:marLeft w:val="0"/>
      <w:marRight w:val="0"/>
      <w:marTop w:val="0"/>
      <w:marBottom w:val="0"/>
      <w:divBdr>
        <w:top w:val="none" w:sz="0" w:space="0" w:color="auto"/>
        <w:left w:val="none" w:sz="0" w:space="0" w:color="auto"/>
        <w:bottom w:val="none" w:sz="0" w:space="0" w:color="auto"/>
        <w:right w:val="none" w:sz="0" w:space="0" w:color="auto"/>
      </w:divBdr>
    </w:div>
    <w:div w:id="280378905">
      <w:bodyDiv w:val="1"/>
      <w:marLeft w:val="0"/>
      <w:marRight w:val="0"/>
      <w:marTop w:val="0"/>
      <w:marBottom w:val="0"/>
      <w:divBdr>
        <w:top w:val="none" w:sz="0" w:space="0" w:color="auto"/>
        <w:left w:val="none" w:sz="0" w:space="0" w:color="auto"/>
        <w:bottom w:val="none" w:sz="0" w:space="0" w:color="auto"/>
        <w:right w:val="none" w:sz="0" w:space="0" w:color="auto"/>
      </w:divBdr>
    </w:div>
    <w:div w:id="308949194">
      <w:bodyDiv w:val="1"/>
      <w:marLeft w:val="0"/>
      <w:marRight w:val="0"/>
      <w:marTop w:val="0"/>
      <w:marBottom w:val="0"/>
      <w:divBdr>
        <w:top w:val="none" w:sz="0" w:space="0" w:color="auto"/>
        <w:left w:val="none" w:sz="0" w:space="0" w:color="auto"/>
        <w:bottom w:val="none" w:sz="0" w:space="0" w:color="auto"/>
        <w:right w:val="none" w:sz="0" w:space="0" w:color="auto"/>
      </w:divBdr>
    </w:div>
    <w:div w:id="332416665">
      <w:bodyDiv w:val="1"/>
      <w:marLeft w:val="0"/>
      <w:marRight w:val="0"/>
      <w:marTop w:val="0"/>
      <w:marBottom w:val="0"/>
      <w:divBdr>
        <w:top w:val="none" w:sz="0" w:space="0" w:color="auto"/>
        <w:left w:val="none" w:sz="0" w:space="0" w:color="auto"/>
        <w:bottom w:val="none" w:sz="0" w:space="0" w:color="auto"/>
        <w:right w:val="none" w:sz="0" w:space="0" w:color="auto"/>
      </w:divBdr>
    </w:div>
    <w:div w:id="419376490">
      <w:bodyDiv w:val="1"/>
      <w:marLeft w:val="0"/>
      <w:marRight w:val="0"/>
      <w:marTop w:val="0"/>
      <w:marBottom w:val="0"/>
      <w:divBdr>
        <w:top w:val="none" w:sz="0" w:space="0" w:color="auto"/>
        <w:left w:val="none" w:sz="0" w:space="0" w:color="auto"/>
        <w:bottom w:val="none" w:sz="0" w:space="0" w:color="auto"/>
        <w:right w:val="none" w:sz="0" w:space="0" w:color="auto"/>
      </w:divBdr>
    </w:div>
    <w:div w:id="442960756">
      <w:bodyDiv w:val="1"/>
      <w:marLeft w:val="0"/>
      <w:marRight w:val="0"/>
      <w:marTop w:val="0"/>
      <w:marBottom w:val="0"/>
      <w:divBdr>
        <w:top w:val="none" w:sz="0" w:space="0" w:color="auto"/>
        <w:left w:val="none" w:sz="0" w:space="0" w:color="auto"/>
        <w:bottom w:val="none" w:sz="0" w:space="0" w:color="auto"/>
        <w:right w:val="none" w:sz="0" w:space="0" w:color="auto"/>
      </w:divBdr>
    </w:div>
    <w:div w:id="476187072">
      <w:bodyDiv w:val="1"/>
      <w:marLeft w:val="0"/>
      <w:marRight w:val="0"/>
      <w:marTop w:val="0"/>
      <w:marBottom w:val="0"/>
      <w:divBdr>
        <w:top w:val="none" w:sz="0" w:space="0" w:color="auto"/>
        <w:left w:val="none" w:sz="0" w:space="0" w:color="auto"/>
        <w:bottom w:val="none" w:sz="0" w:space="0" w:color="auto"/>
        <w:right w:val="none" w:sz="0" w:space="0" w:color="auto"/>
      </w:divBdr>
    </w:div>
    <w:div w:id="571350222">
      <w:bodyDiv w:val="1"/>
      <w:marLeft w:val="0"/>
      <w:marRight w:val="0"/>
      <w:marTop w:val="0"/>
      <w:marBottom w:val="0"/>
      <w:divBdr>
        <w:top w:val="none" w:sz="0" w:space="0" w:color="auto"/>
        <w:left w:val="none" w:sz="0" w:space="0" w:color="auto"/>
        <w:bottom w:val="none" w:sz="0" w:space="0" w:color="auto"/>
        <w:right w:val="none" w:sz="0" w:space="0" w:color="auto"/>
      </w:divBdr>
    </w:div>
    <w:div w:id="627512411">
      <w:bodyDiv w:val="1"/>
      <w:marLeft w:val="0"/>
      <w:marRight w:val="0"/>
      <w:marTop w:val="0"/>
      <w:marBottom w:val="0"/>
      <w:divBdr>
        <w:top w:val="none" w:sz="0" w:space="0" w:color="auto"/>
        <w:left w:val="none" w:sz="0" w:space="0" w:color="auto"/>
        <w:bottom w:val="none" w:sz="0" w:space="0" w:color="auto"/>
        <w:right w:val="none" w:sz="0" w:space="0" w:color="auto"/>
      </w:divBdr>
    </w:div>
    <w:div w:id="637999239">
      <w:bodyDiv w:val="1"/>
      <w:marLeft w:val="0"/>
      <w:marRight w:val="0"/>
      <w:marTop w:val="0"/>
      <w:marBottom w:val="0"/>
      <w:divBdr>
        <w:top w:val="none" w:sz="0" w:space="0" w:color="auto"/>
        <w:left w:val="none" w:sz="0" w:space="0" w:color="auto"/>
        <w:bottom w:val="none" w:sz="0" w:space="0" w:color="auto"/>
        <w:right w:val="none" w:sz="0" w:space="0" w:color="auto"/>
      </w:divBdr>
    </w:div>
    <w:div w:id="704867042">
      <w:bodyDiv w:val="1"/>
      <w:marLeft w:val="0"/>
      <w:marRight w:val="0"/>
      <w:marTop w:val="0"/>
      <w:marBottom w:val="0"/>
      <w:divBdr>
        <w:top w:val="none" w:sz="0" w:space="0" w:color="auto"/>
        <w:left w:val="none" w:sz="0" w:space="0" w:color="auto"/>
        <w:bottom w:val="none" w:sz="0" w:space="0" w:color="auto"/>
        <w:right w:val="none" w:sz="0" w:space="0" w:color="auto"/>
      </w:divBdr>
    </w:div>
    <w:div w:id="712922946">
      <w:bodyDiv w:val="1"/>
      <w:marLeft w:val="0"/>
      <w:marRight w:val="0"/>
      <w:marTop w:val="0"/>
      <w:marBottom w:val="0"/>
      <w:divBdr>
        <w:top w:val="none" w:sz="0" w:space="0" w:color="auto"/>
        <w:left w:val="none" w:sz="0" w:space="0" w:color="auto"/>
        <w:bottom w:val="none" w:sz="0" w:space="0" w:color="auto"/>
        <w:right w:val="none" w:sz="0" w:space="0" w:color="auto"/>
      </w:divBdr>
    </w:div>
    <w:div w:id="723211578">
      <w:bodyDiv w:val="1"/>
      <w:marLeft w:val="0"/>
      <w:marRight w:val="0"/>
      <w:marTop w:val="0"/>
      <w:marBottom w:val="0"/>
      <w:divBdr>
        <w:top w:val="none" w:sz="0" w:space="0" w:color="auto"/>
        <w:left w:val="none" w:sz="0" w:space="0" w:color="auto"/>
        <w:bottom w:val="none" w:sz="0" w:space="0" w:color="auto"/>
        <w:right w:val="none" w:sz="0" w:space="0" w:color="auto"/>
      </w:divBdr>
    </w:div>
    <w:div w:id="750471248">
      <w:bodyDiv w:val="1"/>
      <w:marLeft w:val="0"/>
      <w:marRight w:val="0"/>
      <w:marTop w:val="0"/>
      <w:marBottom w:val="0"/>
      <w:divBdr>
        <w:top w:val="none" w:sz="0" w:space="0" w:color="auto"/>
        <w:left w:val="none" w:sz="0" w:space="0" w:color="auto"/>
        <w:bottom w:val="none" w:sz="0" w:space="0" w:color="auto"/>
        <w:right w:val="none" w:sz="0" w:space="0" w:color="auto"/>
      </w:divBdr>
    </w:div>
    <w:div w:id="780883213">
      <w:bodyDiv w:val="1"/>
      <w:marLeft w:val="0"/>
      <w:marRight w:val="0"/>
      <w:marTop w:val="0"/>
      <w:marBottom w:val="0"/>
      <w:divBdr>
        <w:top w:val="none" w:sz="0" w:space="0" w:color="auto"/>
        <w:left w:val="none" w:sz="0" w:space="0" w:color="auto"/>
        <w:bottom w:val="none" w:sz="0" w:space="0" w:color="auto"/>
        <w:right w:val="none" w:sz="0" w:space="0" w:color="auto"/>
      </w:divBdr>
    </w:div>
    <w:div w:id="797146175">
      <w:bodyDiv w:val="1"/>
      <w:marLeft w:val="0"/>
      <w:marRight w:val="0"/>
      <w:marTop w:val="0"/>
      <w:marBottom w:val="0"/>
      <w:divBdr>
        <w:top w:val="none" w:sz="0" w:space="0" w:color="auto"/>
        <w:left w:val="none" w:sz="0" w:space="0" w:color="auto"/>
        <w:bottom w:val="none" w:sz="0" w:space="0" w:color="auto"/>
        <w:right w:val="none" w:sz="0" w:space="0" w:color="auto"/>
      </w:divBdr>
    </w:div>
    <w:div w:id="831263395">
      <w:bodyDiv w:val="1"/>
      <w:marLeft w:val="0"/>
      <w:marRight w:val="0"/>
      <w:marTop w:val="0"/>
      <w:marBottom w:val="0"/>
      <w:divBdr>
        <w:top w:val="none" w:sz="0" w:space="0" w:color="auto"/>
        <w:left w:val="none" w:sz="0" w:space="0" w:color="auto"/>
        <w:bottom w:val="none" w:sz="0" w:space="0" w:color="auto"/>
        <w:right w:val="none" w:sz="0" w:space="0" w:color="auto"/>
      </w:divBdr>
    </w:div>
    <w:div w:id="863791711">
      <w:bodyDiv w:val="1"/>
      <w:marLeft w:val="0"/>
      <w:marRight w:val="0"/>
      <w:marTop w:val="0"/>
      <w:marBottom w:val="0"/>
      <w:divBdr>
        <w:top w:val="none" w:sz="0" w:space="0" w:color="auto"/>
        <w:left w:val="none" w:sz="0" w:space="0" w:color="auto"/>
        <w:bottom w:val="none" w:sz="0" w:space="0" w:color="auto"/>
        <w:right w:val="none" w:sz="0" w:space="0" w:color="auto"/>
      </w:divBdr>
    </w:div>
    <w:div w:id="908148848">
      <w:bodyDiv w:val="1"/>
      <w:marLeft w:val="0"/>
      <w:marRight w:val="0"/>
      <w:marTop w:val="0"/>
      <w:marBottom w:val="0"/>
      <w:divBdr>
        <w:top w:val="none" w:sz="0" w:space="0" w:color="auto"/>
        <w:left w:val="none" w:sz="0" w:space="0" w:color="auto"/>
        <w:bottom w:val="none" w:sz="0" w:space="0" w:color="auto"/>
        <w:right w:val="none" w:sz="0" w:space="0" w:color="auto"/>
      </w:divBdr>
    </w:div>
    <w:div w:id="913704345">
      <w:bodyDiv w:val="1"/>
      <w:marLeft w:val="0"/>
      <w:marRight w:val="0"/>
      <w:marTop w:val="0"/>
      <w:marBottom w:val="0"/>
      <w:divBdr>
        <w:top w:val="none" w:sz="0" w:space="0" w:color="auto"/>
        <w:left w:val="none" w:sz="0" w:space="0" w:color="auto"/>
        <w:bottom w:val="none" w:sz="0" w:space="0" w:color="auto"/>
        <w:right w:val="none" w:sz="0" w:space="0" w:color="auto"/>
      </w:divBdr>
    </w:div>
    <w:div w:id="961112538">
      <w:bodyDiv w:val="1"/>
      <w:marLeft w:val="0"/>
      <w:marRight w:val="0"/>
      <w:marTop w:val="0"/>
      <w:marBottom w:val="0"/>
      <w:divBdr>
        <w:top w:val="none" w:sz="0" w:space="0" w:color="auto"/>
        <w:left w:val="none" w:sz="0" w:space="0" w:color="auto"/>
        <w:bottom w:val="none" w:sz="0" w:space="0" w:color="auto"/>
        <w:right w:val="none" w:sz="0" w:space="0" w:color="auto"/>
      </w:divBdr>
    </w:div>
    <w:div w:id="977757873">
      <w:bodyDiv w:val="1"/>
      <w:marLeft w:val="0"/>
      <w:marRight w:val="0"/>
      <w:marTop w:val="0"/>
      <w:marBottom w:val="0"/>
      <w:divBdr>
        <w:top w:val="none" w:sz="0" w:space="0" w:color="auto"/>
        <w:left w:val="none" w:sz="0" w:space="0" w:color="auto"/>
        <w:bottom w:val="none" w:sz="0" w:space="0" w:color="auto"/>
        <w:right w:val="none" w:sz="0" w:space="0" w:color="auto"/>
      </w:divBdr>
    </w:div>
    <w:div w:id="992564509">
      <w:bodyDiv w:val="1"/>
      <w:marLeft w:val="0"/>
      <w:marRight w:val="0"/>
      <w:marTop w:val="0"/>
      <w:marBottom w:val="0"/>
      <w:divBdr>
        <w:top w:val="none" w:sz="0" w:space="0" w:color="auto"/>
        <w:left w:val="none" w:sz="0" w:space="0" w:color="auto"/>
        <w:bottom w:val="none" w:sz="0" w:space="0" w:color="auto"/>
        <w:right w:val="none" w:sz="0" w:space="0" w:color="auto"/>
      </w:divBdr>
    </w:div>
    <w:div w:id="1012147066">
      <w:bodyDiv w:val="1"/>
      <w:marLeft w:val="0"/>
      <w:marRight w:val="0"/>
      <w:marTop w:val="0"/>
      <w:marBottom w:val="0"/>
      <w:divBdr>
        <w:top w:val="none" w:sz="0" w:space="0" w:color="auto"/>
        <w:left w:val="none" w:sz="0" w:space="0" w:color="auto"/>
        <w:bottom w:val="none" w:sz="0" w:space="0" w:color="auto"/>
        <w:right w:val="none" w:sz="0" w:space="0" w:color="auto"/>
      </w:divBdr>
    </w:div>
    <w:div w:id="1104568863">
      <w:bodyDiv w:val="1"/>
      <w:marLeft w:val="0"/>
      <w:marRight w:val="0"/>
      <w:marTop w:val="0"/>
      <w:marBottom w:val="0"/>
      <w:divBdr>
        <w:top w:val="none" w:sz="0" w:space="0" w:color="auto"/>
        <w:left w:val="none" w:sz="0" w:space="0" w:color="auto"/>
        <w:bottom w:val="none" w:sz="0" w:space="0" w:color="auto"/>
        <w:right w:val="none" w:sz="0" w:space="0" w:color="auto"/>
      </w:divBdr>
    </w:div>
    <w:div w:id="1110856185">
      <w:bodyDiv w:val="1"/>
      <w:marLeft w:val="0"/>
      <w:marRight w:val="0"/>
      <w:marTop w:val="0"/>
      <w:marBottom w:val="0"/>
      <w:divBdr>
        <w:top w:val="none" w:sz="0" w:space="0" w:color="auto"/>
        <w:left w:val="none" w:sz="0" w:space="0" w:color="auto"/>
        <w:bottom w:val="none" w:sz="0" w:space="0" w:color="auto"/>
        <w:right w:val="none" w:sz="0" w:space="0" w:color="auto"/>
      </w:divBdr>
    </w:div>
    <w:div w:id="1185830030">
      <w:bodyDiv w:val="1"/>
      <w:marLeft w:val="0"/>
      <w:marRight w:val="0"/>
      <w:marTop w:val="0"/>
      <w:marBottom w:val="0"/>
      <w:divBdr>
        <w:top w:val="none" w:sz="0" w:space="0" w:color="auto"/>
        <w:left w:val="none" w:sz="0" w:space="0" w:color="auto"/>
        <w:bottom w:val="none" w:sz="0" w:space="0" w:color="auto"/>
        <w:right w:val="none" w:sz="0" w:space="0" w:color="auto"/>
      </w:divBdr>
    </w:div>
    <w:div w:id="1225145753">
      <w:bodyDiv w:val="1"/>
      <w:marLeft w:val="0"/>
      <w:marRight w:val="0"/>
      <w:marTop w:val="0"/>
      <w:marBottom w:val="0"/>
      <w:divBdr>
        <w:top w:val="none" w:sz="0" w:space="0" w:color="auto"/>
        <w:left w:val="none" w:sz="0" w:space="0" w:color="auto"/>
        <w:bottom w:val="none" w:sz="0" w:space="0" w:color="auto"/>
        <w:right w:val="none" w:sz="0" w:space="0" w:color="auto"/>
      </w:divBdr>
    </w:div>
    <w:div w:id="1335451925">
      <w:bodyDiv w:val="1"/>
      <w:marLeft w:val="0"/>
      <w:marRight w:val="0"/>
      <w:marTop w:val="0"/>
      <w:marBottom w:val="0"/>
      <w:divBdr>
        <w:top w:val="none" w:sz="0" w:space="0" w:color="auto"/>
        <w:left w:val="none" w:sz="0" w:space="0" w:color="auto"/>
        <w:bottom w:val="none" w:sz="0" w:space="0" w:color="auto"/>
        <w:right w:val="none" w:sz="0" w:space="0" w:color="auto"/>
      </w:divBdr>
    </w:div>
    <w:div w:id="1379741577">
      <w:bodyDiv w:val="1"/>
      <w:marLeft w:val="0"/>
      <w:marRight w:val="0"/>
      <w:marTop w:val="0"/>
      <w:marBottom w:val="0"/>
      <w:divBdr>
        <w:top w:val="none" w:sz="0" w:space="0" w:color="auto"/>
        <w:left w:val="none" w:sz="0" w:space="0" w:color="auto"/>
        <w:bottom w:val="none" w:sz="0" w:space="0" w:color="auto"/>
        <w:right w:val="none" w:sz="0" w:space="0" w:color="auto"/>
      </w:divBdr>
    </w:div>
    <w:div w:id="1401513411">
      <w:bodyDiv w:val="1"/>
      <w:marLeft w:val="0"/>
      <w:marRight w:val="0"/>
      <w:marTop w:val="0"/>
      <w:marBottom w:val="0"/>
      <w:divBdr>
        <w:top w:val="none" w:sz="0" w:space="0" w:color="auto"/>
        <w:left w:val="none" w:sz="0" w:space="0" w:color="auto"/>
        <w:bottom w:val="none" w:sz="0" w:space="0" w:color="auto"/>
        <w:right w:val="none" w:sz="0" w:space="0" w:color="auto"/>
      </w:divBdr>
    </w:div>
    <w:div w:id="1464735274">
      <w:bodyDiv w:val="1"/>
      <w:marLeft w:val="0"/>
      <w:marRight w:val="0"/>
      <w:marTop w:val="0"/>
      <w:marBottom w:val="0"/>
      <w:divBdr>
        <w:top w:val="none" w:sz="0" w:space="0" w:color="auto"/>
        <w:left w:val="none" w:sz="0" w:space="0" w:color="auto"/>
        <w:bottom w:val="none" w:sz="0" w:space="0" w:color="auto"/>
        <w:right w:val="none" w:sz="0" w:space="0" w:color="auto"/>
      </w:divBdr>
    </w:div>
    <w:div w:id="1516577885">
      <w:bodyDiv w:val="1"/>
      <w:marLeft w:val="0"/>
      <w:marRight w:val="0"/>
      <w:marTop w:val="0"/>
      <w:marBottom w:val="0"/>
      <w:divBdr>
        <w:top w:val="none" w:sz="0" w:space="0" w:color="auto"/>
        <w:left w:val="none" w:sz="0" w:space="0" w:color="auto"/>
        <w:bottom w:val="none" w:sz="0" w:space="0" w:color="auto"/>
        <w:right w:val="none" w:sz="0" w:space="0" w:color="auto"/>
      </w:divBdr>
    </w:div>
    <w:div w:id="1539706616">
      <w:bodyDiv w:val="1"/>
      <w:marLeft w:val="0"/>
      <w:marRight w:val="0"/>
      <w:marTop w:val="0"/>
      <w:marBottom w:val="0"/>
      <w:divBdr>
        <w:top w:val="none" w:sz="0" w:space="0" w:color="auto"/>
        <w:left w:val="none" w:sz="0" w:space="0" w:color="auto"/>
        <w:bottom w:val="none" w:sz="0" w:space="0" w:color="auto"/>
        <w:right w:val="none" w:sz="0" w:space="0" w:color="auto"/>
      </w:divBdr>
    </w:div>
    <w:div w:id="1627152729">
      <w:bodyDiv w:val="1"/>
      <w:marLeft w:val="0"/>
      <w:marRight w:val="0"/>
      <w:marTop w:val="0"/>
      <w:marBottom w:val="0"/>
      <w:divBdr>
        <w:top w:val="none" w:sz="0" w:space="0" w:color="auto"/>
        <w:left w:val="none" w:sz="0" w:space="0" w:color="auto"/>
        <w:bottom w:val="none" w:sz="0" w:space="0" w:color="auto"/>
        <w:right w:val="none" w:sz="0" w:space="0" w:color="auto"/>
      </w:divBdr>
    </w:div>
    <w:div w:id="1631090646">
      <w:bodyDiv w:val="1"/>
      <w:marLeft w:val="0"/>
      <w:marRight w:val="0"/>
      <w:marTop w:val="0"/>
      <w:marBottom w:val="0"/>
      <w:divBdr>
        <w:top w:val="none" w:sz="0" w:space="0" w:color="auto"/>
        <w:left w:val="none" w:sz="0" w:space="0" w:color="auto"/>
        <w:bottom w:val="none" w:sz="0" w:space="0" w:color="auto"/>
        <w:right w:val="none" w:sz="0" w:space="0" w:color="auto"/>
      </w:divBdr>
    </w:div>
    <w:div w:id="1653874673">
      <w:bodyDiv w:val="1"/>
      <w:marLeft w:val="0"/>
      <w:marRight w:val="0"/>
      <w:marTop w:val="0"/>
      <w:marBottom w:val="0"/>
      <w:divBdr>
        <w:top w:val="none" w:sz="0" w:space="0" w:color="auto"/>
        <w:left w:val="none" w:sz="0" w:space="0" w:color="auto"/>
        <w:bottom w:val="none" w:sz="0" w:space="0" w:color="auto"/>
        <w:right w:val="none" w:sz="0" w:space="0" w:color="auto"/>
      </w:divBdr>
    </w:div>
    <w:div w:id="1820682595">
      <w:bodyDiv w:val="1"/>
      <w:marLeft w:val="0"/>
      <w:marRight w:val="0"/>
      <w:marTop w:val="0"/>
      <w:marBottom w:val="0"/>
      <w:divBdr>
        <w:top w:val="none" w:sz="0" w:space="0" w:color="auto"/>
        <w:left w:val="none" w:sz="0" w:space="0" w:color="auto"/>
        <w:bottom w:val="none" w:sz="0" w:space="0" w:color="auto"/>
        <w:right w:val="none" w:sz="0" w:space="0" w:color="auto"/>
      </w:divBdr>
    </w:div>
    <w:div w:id="1842086235">
      <w:bodyDiv w:val="1"/>
      <w:marLeft w:val="0"/>
      <w:marRight w:val="0"/>
      <w:marTop w:val="0"/>
      <w:marBottom w:val="0"/>
      <w:divBdr>
        <w:top w:val="none" w:sz="0" w:space="0" w:color="auto"/>
        <w:left w:val="none" w:sz="0" w:space="0" w:color="auto"/>
        <w:bottom w:val="none" w:sz="0" w:space="0" w:color="auto"/>
        <w:right w:val="none" w:sz="0" w:space="0" w:color="auto"/>
      </w:divBdr>
    </w:div>
    <w:div w:id="1892958531">
      <w:bodyDiv w:val="1"/>
      <w:marLeft w:val="0"/>
      <w:marRight w:val="0"/>
      <w:marTop w:val="0"/>
      <w:marBottom w:val="0"/>
      <w:divBdr>
        <w:top w:val="none" w:sz="0" w:space="0" w:color="auto"/>
        <w:left w:val="none" w:sz="0" w:space="0" w:color="auto"/>
        <w:bottom w:val="none" w:sz="0" w:space="0" w:color="auto"/>
        <w:right w:val="none" w:sz="0" w:space="0" w:color="auto"/>
      </w:divBdr>
    </w:div>
    <w:div w:id="1919288515">
      <w:bodyDiv w:val="1"/>
      <w:marLeft w:val="0"/>
      <w:marRight w:val="0"/>
      <w:marTop w:val="0"/>
      <w:marBottom w:val="0"/>
      <w:divBdr>
        <w:top w:val="none" w:sz="0" w:space="0" w:color="auto"/>
        <w:left w:val="none" w:sz="0" w:space="0" w:color="auto"/>
        <w:bottom w:val="none" w:sz="0" w:space="0" w:color="auto"/>
        <w:right w:val="none" w:sz="0" w:space="0" w:color="auto"/>
      </w:divBdr>
    </w:div>
    <w:div w:id="1989944177">
      <w:bodyDiv w:val="1"/>
      <w:marLeft w:val="0"/>
      <w:marRight w:val="0"/>
      <w:marTop w:val="0"/>
      <w:marBottom w:val="0"/>
      <w:divBdr>
        <w:top w:val="none" w:sz="0" w:space="0" w:color="auto"/>
        <w:left w:val="none" w:sz="0" w:space="0" w:color="auto"/>
        <w:bottom w:val="none" w:sz="0" w:space="0" w:color="auto"/>
        <w:right w:val="none" w:sz="0" w:space="0" w:color="auto"/>
      </w:divBdr>
    </w:div>
    <w:div w:id="2042316859">
      <w:bodyDiv w:val="1"/>
      <w:marLeft w:val="0"/>
      <w:marRight w:val="0"/>
      <w:marTop w:val="0"/>
      <w:marBottom w:val="0"/>
      <w:divBdr>
        <w:top w:val="none" w:sz="0" w:space="0" w:color="auto"/>
        <w:left w:val="none" w:sz="0" w:space="0" w:color="auto"/>
        <w:bottom w:val="none" w:sz="0" w:space="0" w:color="auto"/>
        <w:right w:val="none" w:sz="0" w:space="0" w:color="auto"/>
      </w:divBdr>
    </w:div>
    <w:div w:id="2056460653">
      <w:bodyDiv w:val="1"/>
      <w:marLeft w:val="0"/>
      <w:marRight w:val="0"/>
      <w:marTop w:val="0"/>
      <w:marBottom w:val="0"/>
      <w:divBdr>
        <w:top w:val="none" w:sz="0" w:space="0" w:color="auto"/>
        <w:left w:val="none" w:sz="0" w:space="0" w:color="auto"/>
        <w:bottom w:val="none" w:sz="0" w:space="0" w:color="auto"/>
        <w:right w:val="none" w:sz="0" w:space="0" w:color="auto"/>
      </w:divBdr>
    </w:div>
    <w:div w:id="20758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herrerap@sedcartagena.gov.co"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oeacosta@sedcartagena.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secretariadeeducacion@cartagena.gov.co"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27"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secretariadeeducacion@cartagen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eclac.org/publicaciones/xml/3/4453/lcl1343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61D1A-6046-4D30-831D-C5C52765C22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621D0532-F624-469A-B79E-5D18F716A674}"/>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32</Pages>
  <Words>12635</Words>
  <Characters>69493</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81965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cp:lastModifiedBy>
  <cp:revision>2</cp:revision>
  <cp:lastPrinted>2022-08-03T16:27:00Z</cp:lastPrinted>
  <dcterms:created xsi:type="dcterms:W3CDTF">2023-10-14T08:40:00Z</dcterms:created>
  <dcterms:modified xsi:type="dcterms:W3CDTF">2023-10-14T08:40:00Z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