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9D8" w:rsidRDefault="007B39D8" w:rsidP="007B39D8">
      <w:pPr>
        <w:keepNext/>
        <w:keepLines/>
        <w:jc w:val="center"/>
        <w:rPr>
          <w:rFonts w:ascii="Arial" w:hAnsi="Arial" w:cs="Arial"/>
          <w:b/>
          <w:sz w:val="22"/>
          <w:szCs w:val="22"/>
        </w:rPr>
      </w:pPr>
      <w:bookmarkStart w:id="0" w:name="_GoBack"/>
      <w:r>
        <w:rPr>
          <w:rFonts w:ascii="Arial" w:eastAsia="Arial" w:hAnsi="Arial" w:cs="Arial"/>
          <w:b/>
          <w:bCs/>
          <w:position w:val="-1"/>
          <w:sz w:val="22"/>
          <w:szCs w:val="22"/>
        </w:rPr>
        <w:t>INFORME EJECUTIVO DE EVALUACIÓN A LA MEDIDA CORRECTIVA</w:t>
      </w:r>
      <w:r>
        <w:rPr>
          <w:rFonts w:ascii="Arial" w:hAnsi="Arial" w:cs="Arial"/>
          <w:b/>
          <w:sz w:val="22"/>
          <w:szCs w:val="22"/>
        </w:rPr>
        <w:t xml:space="preserve"> - </w:t>
      </w:r>
      <w:bookmarkEnd w:id="0"/>
      <w:r>
        <w:rPr>
          <w:rFonts w:ascii="Arial" w:hAnsi="Arial" w:cs="Arial"/>
          <w:b/>
          <w:sz w:val="22"/>
          <w:szCs w:val="22"/>
        </w:rPr>
        <w:fldChar w:fldCharType="begin"/>
      </w:r>
      <w:r>
        <w:rPr>
          <w:rFonts w:ascii="Arial" w:hAnsi="Arial" w:cs="Arial"/>
          <w:b/>
          <w:sz w:val="22"/>
          <w:szCs w:val="22"/>
        </w:rPr>
        <w:instrText xml:space="preserve"> LINK Excel.SheetMacroEnabled.12 "\\\\MH-EXMOSSSA01.MHEXT.RED\\EncuestasPSFF_Archivos\\Decreto028\\BD\\Excel\\Matriz_2018_Giros_Municipio_Ipiales_Nariño_Sector_Educación.xlsm" "Principal!F18C7" \a \t  \* MERGEFORMAT </w:instrText>
      </w:r>
      <w:r>
        <w:rPr>
          <w:rFonts w:ascii="Arial" w:hAnsi="Arial" w:cs="Arial"/>
          <w:b/>
          <w:sz w:val="22"/>
          <w:szCs w:val="22"/>
        </w:rPr>
        <w:fldChar w:fldCharType="separate"/>
      </w:r>
      <w:r>
        <w:rPr>
          <w:rFonts w:ascii="Arial" w:hAnsi="Arial" w:cs="Arial"/>
          <w:b/>
          <w:sz w:val="22"/>
          <w:szCs w:val="22"/>
        </w:rPr>
        <w:t>SUSPENSIÓN DE GIROS</w:t>
      </w:r>
      <w:r>
        <w:rPr>
          <w:rFonts w:ascii="Arial" w:hAnsi="Arial" w:cs="Arial"/>
          <w:b/>
          <w:sz w:val="22"/>
          <w:szCs w:val="22"/>
        </w:rPr>
        <w:fldChar w:fldCharType="end"/>
      </w:r>
      <w:r>
        <w:rPr>
          <w:rFonts w:ascii="Arial" w:hAnsi="Arial" w:cs="Arial"/>
          <w:b/>
          <w:sz w:val="22"/>
          <w:szCs w:val="22"/>
        </w:rPr>
        <w:t xml:space="preserve"> DEL SECTOR </w:t>
      </w:r>
      <w:r>
        <w:rPr>
          <w:rFonts w:ascii="Arial" w:hAnsi="Arial" w:cs="Arial"/>
          <w:b/>
          <w:sz w:val="22"/>
          <w:szCs w:val="22"/>
        </w:rPr>
        <w:fldChar w:fldCharType="begin"/>
      </w:r>
      <w:r>
        <w:rPr>
          <w:rFonts w:ascii="Arial" w:hAnsi="Arial" w:cs="Arial"/>
          <w:b/>
          <w:sz w:val="22"/>
          <w:szCs w:val="22"/>
        </w:rPr>
        <w:instrText xml:space="preserve"> LINK Excel.SheetMacroEnabled.12 "\\\\MH-EXMOSSSA01.MHEXT.RED\\EncuestasPSFF_Archivos\\Decreto028\\BD\\Excel\\Matriz_2018_Giros_Municipio_Ipiales_Nariño_Sector_Educación.xlsm" "Principal!F7C7" \a \t  \* MERGEFORMAT </w:instrText>
      </w:r>
      <w:r>
        <w:rPr>
          <w:rFonts w:ascii="Arial" w:hAnsi="Arial" w:cs="Arial"/>
          <w:b/>
          <w:sz w:val="22"/>
          <w:szCs w:val="22"/>
        </w:rPr>
        <w:fldChar w:fldCharType="separate"/>
      </w:r>
      <w:r>
        <w:rPr>
          <w:rFonts w:ascii="Arial" w:hAnsi="Arial" w:cs="Arial"/>
          <w:b/>
          <w:sz w:val="22"/>
          <w:szCs w:val="22"/>
        </w:rPr>
        <w:t>EDUCACIÓN</w:t>
      </w:r>
      <w:r>
        <w:rPr>
          <w:rFonts w:ascii="Arial" w:hAnsi="Arial" w:cs="Arial"/>
          <w:b/>
          <w:sz w:val="22"/>
          <w:szCs w:val="22"/>
        </w:rPr>
        <w:fldChar w:fldCharType="end"/>
      </w:r>
    </w:p>
    <w:p w:rsidR="007B39D8" w:rsidRDefault="007B39D8" w:rsidP="007B39D8">
      <w:pPr>
        <w:keepNext/>
        <w:keepLines/>
        <w:jc w:val="center"/>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LINK Excel.SheetMacroEnabled.12 "\\\\MH-EXMOSSSA01.MHEXT.RED\\EncuestasPSFF_Archivos\\Decreto028\\BD\\Excel\\Matriz_2018_Giros_Municipio_Ipiales_Nariño_Sector_Educación.xlsm" "Principal!F5C7" \a \t  \* MERGEFORMAT </w:instrText>
      </w:r>
      <w:r>
        <w:rPr>
          <w:rFonts w:ascii="Arial" w:hAnsi="Arial" w:cs="Arial"/>
          <w:b/>
          <w:sz w:val="22"/>
          <w:szCs w:val="22"/>
        </w:rPr>
        <w:fldChar w:fldCharType="separate"/>
      </w:r>
      <w:r>
        <w:rPr>
          <w:rFonts w:ascii="Arial" w:hAnsi="Arial" w:cs="Arial"/>
          <w:b/>
          <w:sz w:val="22"/>
          <w:szCs w:val="22"/>
        </w:rPr>
        <w:t>MUNICIPIO: IPIALES - NARIÑO</w:t>
      </w:r>
      <w:r>
        <w:rPr>
          <w:rFonts w:ascii="Arial" w:hAnsi="Arial" w:cs="Arial"/>
          <w:b/>
          <w:sz w:val="22"/>
          <w:szCs w:val="22"/>
        </w:rPr>
        <w:fldChar w:fldCharType="end"/>
      </w:r>
    </w:p>
    <w:p w:rsidR="007B39D8" w:rsidRDefault="007B39D8" w:rsidP="007B39D8">
      <w:pPr>
        <w:jc w:val="both"/>
        <w:rPr>
          <w:rFonts w:ascii="Arial" w:hAnsi="Arial" w:cs="Arial"/>
          <w:b/>
          <w:sz w:val="22"/>
          <w:szCs w:val="22"/>
        </w:rPr>
      </w:pPr>
    </w:p>
    <w:p w:rsidR="007B39D8" w:rsidRDefault="007B39D8" w:rsidP="007B39D8">
      <w:pPr>
        <w:jc w:val="both"/>
        <w:rPr>
          <w:rFonts w:ascii="Arial" w:hAnsi="Arial" w:cs="Arial"/>
          <w:b/>
          <w:sz w:val="22"/>
          <w:szCs w:val="22"/>
        </w:rPr>
      </w:pPr>
      <w:r>
        <w:rPr>
          <w:rFonts w:ascii="Arial" w:hAnsi="Arial" w:cs="Arial"/>
          <w:b/>
          <w:sz w:val="22"/>
          <w:szCs w:val="22"/>
        </w:rPr>
        <w:t xml:space="preserve">Periodo de evaluación: </w:t>
      </w:r>
      <w:bookmarkStart w:id="1" w:name="PERIODO_EVALUACION"/>
      <w:bookmarkEnd w:id="1"/>
      <w:r>
        <w:rPr>
          <w:rFonts w:ascii="Arial" w:hAnsi="Arial" w:cs="Arial"/>
          <w:b/>
          <w:sz w:val="22"/>
          <w:szCs w:val="22"/>
        </w:rPr>
        <w:t>30/06/2020 a 13/09/2021</w:t>
      </w:r>
    </w:p>
    <w:p w:rsidR="007B39D8" w:rsidRDefault="007B39D8" w:rsidP="007B39D8">
      <w:pPr>
        <w:jc w:val="both"/>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DOCVARIABLE  sector  \* MERGEFORMAT </w:instrText>
      </w:r>
      <w:r>
        <w:rPr>
          <w:rFonts w:ascii="Arial" w:hAnsi="Arial" w:cs="Arial"/>
          <w:b/>
          <w:sz w:val="22"/>
          <w:szCs w:val="22"/>
        </w:rPr>
        <w:fldChar w:fldCharType="end"/>
      </w:r>
      <w:r>
        <w:rPr>
          <w:rFonts w:ascii="Arial" w:hAnsi="Arial" w:cs="Arial"/>
          <w:b/>
          <w:sz w:val="22"/>
          <w:szCs w:val="22"/>
        </w:rPr>
        <w:fldChar w:fldCharType="begin"/>
      </w:r>
      <w:r>
        <w:rPr>
          <w:rFonts w:ascii="Arial" w:hAnsi="Arial" w:cs="Arial"/>
          <w:b/>
          <w:sz w:val="22"/>
          <w:szCs w:val="22"/>
        </w:rPr>
        <w:instrText xml:space="preserve"> DOCVARIABLE  Sector  \* MERGEFORMAT </w:instrText>
      </w:r>
      <w:r>
        <w:rPr>
          <w:rFonts w:ascii="Arial" w:hAnsi="Arial" w:cs="Arial"/>
          <w:b/>
          <w:sz w:val="22"/>
          <w:szCs w:val="22"/>
        </w:rPr>
        <w:fldChar w:fldCharType="end"/>
      </w:r>
    </w:p>
    <w:p w:rsidR="007B39D8" w:rsidRDefault="007B39D8" w:rsidP="007B39D8">
      <w:pPr>
        <w:pStyle w:val="Prrafodelista"/>
        <w:widowControl w:val="0"/>
        <w:numPr>
          <w:ilvl w:val="0"/>
          <w:numId w:val="8"/>
        </w:numPr>
        <w:ind w:left="426" w:right="-20" w:hanging="426"/>
        <w:outlineLvl w:val="0"/>
        <w:rPr>
          <w:rFonts w:ascii="Arial" w:eastAsia="Arial" w:hAnsi="Arial" w:cs="Arial"/>
          <w:b/>
          <w:bCs/>
          <w:position w:val="-1"/>
          <w:sz w:val="22"/>
          <w:szCs w:val="22"/>
        </w:rPr>
      </w:pPr>
      <w:r>
        <w:rPr>
          <w:rFonts w:ascii="Arial" w:eastAsia="Arial" w:hAnsi="Arial" w:cs="Arial"/>
          <w:b/>
          <w:bCs/>
          <w:position w:val="-1"/>
          <w:sz w:val="22"/>
          <w:szCs w:val="22"/>
        </w:rPr>
        <w:t>DIAGNÓSTICO INICIAL</w:t>
      </w:r>
    </w:p>
    <w:p w:rsidR="007B39D8" w:rsidRDefault="007B39D8" w:rsidP="007B39D8">
      <w:pPr>
        <w:jc w:val="both"/>
        <w:rPr>
          <w:rFonts w:ascii="Arial" w:hAnsi="Arial" w:cs="Arial"/>
          <w:b/>
          <w:sz w:val="22"/>
          <w:szCs w:val="22"/>
        </w:rPr>
      </w:pPr>
    </w:p>
    <w:p w:rsidR="007B39D8" w:rsidRDefault="007B39D8" w:rsidP="007B39D8">
      <w:pPr>
        <w:pStyle w:val="Ttulo2"/>
        <w:numPr>
          <w:ilvl w:val="0"/>
          <w:numId w:val="10"/>
        </w:numPr>
        <w:spacing w:before="0"/>
        <w:ind w:left="426" w:hanging="426"/>
        <w:rPr>
          <w:rFonts w:ascii="Arial" w:eastAsia="Arial" w:hAnsi="Arial" w:cs="Arial"/>
          <w:b/>
          <w:color w:val="auto"/>
          <w:sz w:val="22"/>
          <w:szCs w:val="22"/>
        </w:rPr>
      </w:pPr>
      <w:r>
        <w:rPr>
          <w:rFonts w:ascii="Arial" w:eastAsia="Arial" w:hAnsi="Arial" w:cs="Arial"/>
          <w:b/>
          <w:color w:val="auto"/>
          <w:sz w:val="22"/>
          <w:szCs w:val="22"/>
        </w:rPr>
        <w:t>ANTECEDENTES</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El </w:t>
      </w:r>
      <w:r>
        <w:rPr>
          <w:rFonts w:ascii="Arial" w:hAnsi="Arial" w:cs="Arial"/>
          <w:sz w:val="22"/>
          <w:szCs w:val="22"/>
        </w:rPr>
        <w:fldChar w:fldCharType="begin"/>
      </w:r>
      <w:r>
        <w:rPr>
          <w:rFonts w:ascii="Arial" w:hAnsi="Arial" w:cs="Arial"/>
          <w:sz w:val="22"/>
          <w:szCs w:val="22"/>
        </w:rPr>
        <w:instrText xml:space="preserve"> LINK Excel.SheetMacroEnabled.12 "\\\\MH-EXMOSSSA01.MHEXT.RED\\EncuestasPSFF_Archivos\\Decreto028\\BD\\Excel\\Matriz_PlanDesempeño_Municipio_Ipiales_Nariño_Sector_Educación.xlsm" "Principal!F6C7" \a \t  \* MERGEFORMAT </w:instrText>
      </w:r>
      <w:r>
        <w:rPr>
          <w:rFonts w:ascii="Arial" w:hAnsi="Arial" w:cs="Arial"/>
          <w:sz w:val="22"/>
          <w:szCs w:val="22"/>
        </w:rPr>
        <w:fldChar w:fldCharType="separate"/>
      </w:r>
      <w:r>
        <w:rPr>
          <w:rFonts w:ascii="Arial" w:hAnsi="Arial" w:cs="Arial"/>
          <w:sz w:val="22"/>
          <w:szCs w:val="22"/>
        </w:rPr>
        <w:t>Municipio de Ipiales - Nariño</w:t>
      </w:r>
      <w:r>
        <w:rPr>
          <w:rFonts w:ascii="Arial" w:hAnsi="Arial" w:cs="Arial"/>
          <w:sz w:val="22"/>
          <w:szCs w:val="22"/>
        </w:rPr>
        <w:fldChar w:fldCharType="end"/>
      </w:r>
      <w:r>
        <w:rPr>
          <w:rFonts w:ascii="Arial" w:hAnsi="Arial" w:cs="Arial"/>
          <w:sz w:val="22"/>
          <w:szCs w:val="22"/>
        </w:rPr>
        <w:t xml:space="preserve"> fue priorizado por la Dirección General de Apoyo Fiscal para aplicar las actividades de seguimiento y control asociadas a la estrategia de monitoreo, seguimiento y control al uso de recursos del Sistema General de Participaciones a las que se refiere el Decreto 028 de 2008 y sus reglamentarios, razón por la cual se realizó una visita de reconocimiento institucional a dicha entidad en mayo de 2015.</w:t>
      </w:r>
    </w:p>
    <w:p w:rsidR="007B39D8" w:rsidRDefault="007B39D8" w:rsidP="007B39D8">
      <w:pPr>
        <w:jc w:val="both"/>
        <w:rPr>
          <w:rFonts w:ascii="Arial" w:hAnsi="Arial" w:cs="Arial"/>
          <w:sz w:val="22"/>
          <w:szCs w:val="22"/>
        </w:rPr>
      </w:pPr>
    </w:p>
    <w:p w:rsidR="007B39D8" w:rsidRDefault="007B39D8" w:rsidP="007B39D8">
      <w:pPr>
        <w:autoSpaceDE w:val="0"/>
        <w:autoSpaceDN w:val="0"/>
        <w:adjustRightInd w:val="0"/>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En el diagnóstico inicial de los principales temas del sector</w:t>
      </w:r>
      <w:r w:rsidR="005551D8">
        <w:rPr>
          <w:rFonts w:ascii="Arial" w:eastAsia="Calibri" w:hAnsi="Arial" w:cs="Arial"/>
          <w:color w:val="000000"/>
          <w:sz w:val="22"/>
          <w:szCs w:val="22"/>
          <w:lang w:eastAsia="en-US"/>
        </w:rPr>
        <w:t xml:space="preserve">, </w:t>
      </w:r>
      <w:r>
        <w:rPr>
          <w:rFonts w:ascii="Arial" w:eastAsia="Calibri" w:hAnsi="Arial" w:cs="Arial"/>
          <w:color w:val="000000"/>
          <w:sz w:val="22"/>
          <w:szCs w:val="22"/>
          <w:lang w:eastAsia="en-US"/>
        </w:rPr>
        <w:t>se encontraron problemas relacionados con los reportes de información al FUT, inconvenientes en la incorporación y/o afectación de recursos, d</w:t>
      </w:r>
      <w:r>
        <w:rPr>
          <w:rFonts w:ascii="Arial" w:eastAsia="Calibri" w:hAnsi="Arial" w:cs="Arial"/>
          <w:bCs/>
          <w:color w:val="000000"/>
          <w:sz w:val="22"/>
          <w:szCs w:val="22"/>
          <w:lang w:eastAsia="en-US"/>
        </w:rPr>
        <w:t xml:space="preserve">esarticulación en el manejo presupuestal y de tesorería, inconsistencias en la información financiera, falta de ejecución de los recursos de Necesidades Educativas Especiales, </w:t>
      </w:r>
      <w:r>
        <w:rPr>
          <w:rFonts w:ascii="Arial" w:eastAsia="Calibri" w:hAnsi="Arial" w:cs="Arial"/>
          <w:color w:val="000000"/>
          <w:sz w:val="22"/>
          <w:szCs w:val="22"/>
          <w:lang w:eastAsia="en-US"/>
        </w:rPr>
        <w:t>a</w:t>
      </w:r>
      <w:r>
        <w:rPr>
          <w:rFonts w:ascii="Arial" w:eastAsia="Calibri" w:hAnsi="Arial" w:cs="Arial"/>
          <w:bCs/>
          <w:color w:val="000000"/>
          <w:sz w:val="22"/>
          <w:szCs w:val="22"/>
          <w:lang w:eastAsia="en-US"/>
        </w:rPr>
        <w:t xml:space="preserve">usencia de reglamentación del fondo de servicios educativos, compromisos no soportados en un certificado de disponibilidad presupuestal, inadecuada interventoría o supervisión de contratos de prestación del servicio educativo, contratación extemporánea del servicio educativo, </w:t>
      </w:r>
      <w:r>
        <w:rPr>
          <w:rFonts w:ascii="Arial" w:eastAsia="Calibri" w:hAnsi="Arial" w:cs="Arial"/>
          <w:color w:val="000000"/>
          <w:sz w:val="22"/>
          <w:szCs w:val="22"/>
          <w:lang w:eastAsia="en-US"/>
        </w:rPr>
        <w:t>d</w:t>
      </w:r>
      <w:r>
        <w:rPr>
          <w:rFonts w:ascii="Arial" w:eastAsia="Calibri" w:hAnsi="Arial" w:cs="Arial"/>
          <w:bCs/>
          <w:color w:val="000000"/>
          <w:sz w:val="22"/>
          <w:szCs w:val="22"/>
          <w:lang w:eastAsia="en-US"/>
        </w:rPr>
        <w:t xml:space="preserve">eficiente planeación contractual, inconsistencia en la información reportada al FUC, irregularidades en los pagos de la contratación de la prestación del servicio, entrega de dotación extemporánea, </w:t>
      </w:r>
      <w:r>
        <w:rPr>
          <w:rFonts w:ascii="Arial" w:eastAsia="Calibri" w:hAnsi="Arial" w:cs="Arial"/>
          <w:color w:val="000000"/>
          <w:sz w:val="22"/>
          <w:szCs w:val="22"/>
          <w:lang w:eastAsia="en-US"/>
        </w:rPr>
        <w:t xml:space="preserve">y </w:t>
      </w:r>
      <w:r>
        <w:rPr>
          <w:rFonts w:ascii="Arial" w:eastAsia="Calibri" w:hAnsi="Arial" w:cs="Arial"/>
          <w:bCs/>
          <w:color w:val="000000"/>
          <w:sz w:val="22"/>
          <w:szCs w:val="22"/>
          <w:lang w:eastAsia="en-US"/>
        </w:rPr>
        <w:t>reconocimiento extemporáneo de la bonificación por laborar en zonas de difícil acceso.</w:t>
      </w:r>
      <w:r>
        <w:rPr>
          <w:rFonts w:ascii="Arial" w:eastAsia="Calibri" w:hAnsi="Arial" w:cs="Arial"/>
          <w:b/>
          <w:bCs/>
          <w:color w:val="000000"/>
          <w:sz w:val="22"/>
          <w:szCs w:val="22"/>
          <w:lang w:eastAsia="en-US"/>
        </w:rPr>
        <w:t xml:space="preserve"> </w:t>
      </w:r>
      <w:r>
        <w:rPr>
          <w:rFonts w:ascii="Arial" w:eastAsia="Calibri" w:hAnsi="Arial" w:cs="Arial"/>
          <w:color w:val="000000"/>
          <w:sz w:val="22"/>
          <w:szCs w:val="22"/>
          <w:lang w:eastAsia="en-US"/>
        </w:rPr>
        <w:t xml:space="preserve">Como resultado se evidenció la ocurrencia de los eventos de riesgo No. </w:t>
      </w:r>
      <w:r>
        <w:rPr>
          <w:rFonts w:ascii="Arial" w:hAnsi="Arial" w:cs="Arial"/>
          <w:sz w:val="22"/>
          <w:szCs w:val="22"/>
        </w:rPr>
        <w:fldChar w:fldCharType="begin"/>
      </w:r>
      <w:r>
        <w:rPr>
          <w:rFonts w:ascii="Arial" w:eastAsia="Calibri" w:hAnsi="Arial" w:cs="Arial"/>
          <w:color w:val="000000"/>
          <w:sz w:val="22"/>
          <w:szCs w:val="22"/>
          <w:lang w:eastAsia="en-US"/>
        </w:rPr>
        <w:instrText xml:space="preserve"> LINK Excel.SheetMacroEnabled.12 "\\\\MH-EXMOSSSA01.MHEXT.RED\\EncuestasPSFF_Archivos\\Decreto028\\BD\\Excel\\Matriz_PlanDesempeño_Municipio_Ipiales_Nariño_Sector_Educación.xlsm" "Principal!F8C10" \a \t  \* MERGEFORMAT </w:instrText>
      </w:r>
      <w:r>
        <w:rPr>
          <w:rFonts w:ascii="Arial" w:hAnsi="Arial" w:cs="Arial"/>
          <w:sz w:val="22"/>
          <w:szCs w:val="22"/>
        </w:rPr>
        <w:fldChar w:fldCharType="separate"/>
      </w:r>
      <w:r>
        <w:rPr>
          <w:rFonts w:ascii="Arial" w:eastAsia="Calibri" w:hAnsi="Arial" w:cs="Arial"/>
          <w:color w:val="000000"/>
          <w:sz w:val="22"/>
          <w:szCs w:val="22"/>
          <w:lang w:eastAsia="en-US"/>
        </w:rPr>
        <w:t>9.1, 9.9, 9.10</w:t>
      </w:r>
      <w:r>
        <w:rPr>
          <w:rFonts w:ascii="Arial" w:hAnsi="Arial" w:cs="Arial"/>
          <w:sz w:val="22"/>
          <w:szCs w:val="22"/>
        </w:rPr>
        <w:fldChar w:fldCharType="end"/>
      </w:r>
      <w:r>
        <w:rPr>
          <w:rFonts w:ascii="Arial" w:eastAsia="Calibri" w:hAnsi="Arial" w:cs="Arial"/>
          <w:color w:val="000000"/>
          <w:sz w:val="22"/>
          <w:szCs w:val="22"/>
          <w:lang w:eastAsia="en-US"/>
        </w:rPr>
        <w:t>, 9.17 y 9.18, incluidos en el artículo 9 del Decreto 028 de 2008.</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bookmarkStart w:id="2" w:name="ANTECEDENTES_PLAN_DESEMPEÑO"/>
      <w:r>
        <w:rPr>
          <w:rFonts w:ascii="Arial" w:hAnsi="Arial" w:cs="Arial"/>
          <w:sz w:val="22"/>
          <w:szCs w:val="22"/>
        </w:rPr>
        <w:t xml:space="preserve">Por medio de la </w:t>
      </w:r>
      <w:r>
        <w:fldChar w:fldCharType="begin"/>
      </w:r>
      <w:r>
        <w:rPr>
          <w:rFonts w:ascii="Arial" w:hAnsi="Arial" w:cs="Arial"/>
          <w:sz w:val="22"/>
          <w:szCs w:val="22"/>
        </w:rPr>
        <w:instrText xml:space="preserve"> LINK Excel.SheetMacroEnabled.12 "\\\\MH-EXMOSSSA01.MHEXT.RED\\EncuestasPSFF_Archivos\\Decreto028\\BD\\Excel\\Matriz_2018_Giros_Municipio_Ipiales_Nariño_Sector_Educación.xlsm" "Antecedentes!F10C7" \a \t  \* MERGEFORMAT </w:instrText>
      </w:r>
      <w:r>
        <w:fldChar w:fldCharType="separate"/>
      </w:r>
      <w:r>
        <w:rPr>
          <w:rFonts w:ascii="Arial" w:hAnsi="Arial" w:cs="Arial"/>
          <w:sz w:val="22"/>
          <w:szCs w:val="22"/>
        </w:rPr>
        <w:t>Resolución No. 2911 del 20 de septiembre del 2016</w:t>
      </w:r>
      <w:r>
        <w:fldChar w:fldCharType="end"/>
      </w:r>
      <w:r>
        <w:rPr>
          <w:rFonts w:ascii="Arial" w:hAnsi="Arial" w:cs="Arial"/>
          <w:sz w:val="22"/>
          <w:szCs w:val="22"/>
        </w:rPr>
        <w:t xml:space="preserve">, la Dirección General de Apoyo Fiscal ordenó la adopción de la </w:t>
      </w:r>
      <w:r>
        <w:fldChar w:fldCharType="begin"/>
      </w:r>
      <w:r>
        <w:rPr>
          <w:rFonts w:ascii="Arial" w:hAnsi="Arial" w:cs="Arial"/>
          <w:sz w:val="22"/>
          <w:szCs w:val="22"/>
        </w:rPr>
        <w:instrText xml:space="preserve"> LINK Excel.SheetMacroEnabled.12 "\\\\MH-EXMOSSSA01.MHEXT.RED\\EncuestasPSFF_Archivos\\Decreto028\\BD\\Excel\\Matriz_2018_Giros_Municipio_Ipiales_Nariño_Sector_Educación.xlsm" "Antecedentes!F18C8" \a \t  \* MERGEFORMAT </w:instrText>
      </w:r>
      <w:r>
        <w:fldChar w:fldCharType="separate"/>
      </w:r>
      <w:r>
        <w:rPr>
          <w:rFonts w:ascii="Arial" w:hAnsi="Arial" w:cs="Arial"/>
          <w:sz w:val="22"/>
          <w:szCs w:val="22"/>
        </w:rPr>
        <w:t>Medida Preventiva de Plan de Desempeño</w:t>
      </w:r>
      <w:r>
        <w:fldChar w:fldCharType="end"/>
      </w:r>
      <w:r>
        <w:rPr>
          <w:rFonts w:ascii="Arial" w:hAnsi="Arial" w:cs="Arial"/>
          <w:sz w:val="22"/>
          <w:szCs w:val="22"/>
        </w:rPr>
        <w:t xml:space="preserve"> en el sector educación al </w:t>
      </w:r>
      <w:r>
        <w:fldChar w:fldCharType="begin"/>
      </w:r>
      <w:r>
        <w:rPr>
          <w:rFonts w:ascii="Arial" w:hAnsi="Arial" w:cs="Arial"/>
          <w:sz w:val="22"/>
          <w:szCs w:val="22"/>
        </w:rPr>
        <w:instrText xml:space="preserve"> LINK Excel.SheetMacroEnabled.12 "\\\\MH-EXMOSSSA01.MHEXT.RED\\EncuestasPSFF_Archivos\\Decreto028\\BD\\Excel\\Matriz_2018_Giros_Municipio_Ipiales_Nariño_Sector_Educación.xlsm" "Principal!F6C7" \a \t  \* MERGEFORMAT </w:instrText>
      </w:r>
      <w:r>
        <w:fldChar w:fldCharType="separate"/>
      </w:r>
      <w:r>
        <w:rPr>
          <w:rFonts w:ascii="Arial" w:hAnsi="Arial" w:cs="Arial"/>
          <w:sz w:val="22"/>
          <w:szCs w:val="22"/>
        </w:rPr>
        <w:t>municipio de Ipiales - Nariño</w:t>
      </w:r>
      <w:r>
        <w:fldChar w:fldCharType="end"/>
      </w:r>
      <w:r>
        <w:rPr>
          <w:rFonts w:ascii="Arial" w:hAnsi="Arial" w:cs="Arial"/>
          <w:sz w:val="22"/>
          <w:szCs w:val="22"/>
        </w:rPr>
        <w:t xml:space="preserve">, adoptado por la Entidad Territorial mediante Decreto </w:t>
      </w:r>
      <w:r>
        <w:fldChar w:fldCharType="begin"/>
      </w:r>
      <w:r>
        <w:rPr>
          <w:rFonts w:ascii="Arial" w:hAnsi="Arial" w:cs="Arial"/>
          <w:sz w:val="22"/>
          <w:szCs w:val="22"/>
        </w:rPr>
        <w:instrText xml:space="preserve"> LINK Excel.SheetMacroEnabled.12 "\\\\MH-EXMOSSSA01.MHEXT.RED\\EncuestasPSFF_Archivos\\Decreto028\\BD\\Excel\\Matriz_2018_Giros_Municipio_Ipiales_Nariño_Sector_Educación.xlsm" "Antecedentes!F11C8" \a \t  \* MERGEFORMAT </w:instrText>
      </w:r>
      <w:r>
        <w:fldChar w:fldCharType="separate"/>
      </w:r>
      <w:r>
        <w:rPr>
          <w:rFonts w:ascii="Arial" w:hAnsi="Arial" w:cs="Arial"/>
          <w:sz w:val="22"/>
          <w:szCs w:val="22"/>
        </w:rPr>
        <w:t>Municipal No. 4628 del 25 de Noviembre del 2016</w:t>
      </w:r>
      <w:r>
        <w:fldChar w:fldCharType="end"/>
      </w:r>
      <w:r>
        <w:rPr>
          <w:rFonts w:ascii="Arial" w:hAnsi="Arial" w:cs="Arial"/>
          <w:sz w:val="22"/>
          <w:szCs w:val="22"/>
        </w:rPr>
        <w:t xml:space="preserve"> y aprobado por esta Dirección a través de la </w:t>
      </w:r>
      <w:r>
        <w:fldChar w:fldCharType="begin"/>
      </w:r>
      <w:r>
        <w:rPr>
          <w:rFonts w:ascii="Arial" w:hAnsi="Arial" w:cs="Arial"/>
          <w:sz w:val="22"/>
          <w:szCs w:val="22"/>
        </w:rPr>
        <w:instrText xml:space="preserve"> LINK Excel.SheetMacroEnabled.12 "\\\\MH-EXMOSSSA01.MHEXT.RED\\EncuestasPSFF_Archivos\\Decreto028\\BD\\Excel\\Matriz_2018_Giros_Municipio_Ipiales_Nariño_Sector_Educación.xlsm" "Antecedentes!F12C7" \a \t  \* MERGEFORMAT </w:instrText>
      </w:r>
      <w:r>
        <w:fldChar w:fldCharType="separate"/>
      </w:r>
      <w:r>
        <w:rPr>
          <w:rFonts w:ascii="Arial" w:hAnsi="Arial" w:cs="Arial"/>
          <w:sz w:val="22"/>
          <w:szCs w:val="22"/>
        </w:rPr>
        <w:t>Resolución No. 0226 del 22 de diciembre del 2016</w:t>
      </w:r>
      <w:r>
        <w:fldChar w:fldCharType="end"/>
      </w:r>
      <w:r>
        <w:rPr>
          <w:rFonts w:ascii="Arial" w:hAnsi="Arial" w:cs="Arial"/>
          <w:sz w:val="22"/>
          <w:szCs w:val="22"/>
        </w:rPr>
        <w:t xml:space="preserve">. </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La última evaluación realizada en junio de 2018 evidenció el incumplimiento del plan de desempeño por parte del </w:t>
      </w:r>
      <w:r>
        <w:fldChar w:fldCharType="begin"/>
      </w:r>
      <w:r>
        <w:rPr>
          <w:rFonts w:ascii="Arial" w:hAnsi="Arial" w:cs="Arial"/>
          <w:sz w:val="22"/>
          <w:szCs w:val="22"/>
        </w:rPr>
        <w:instrText xml:space="preserve"> LINK Excel.SheetMacroEnabled.12 "\\\\MH-EXMOSSSA01.MHEXT.RED\\EncuestasPSFF_Archivos\\Decreto028\\BD\\Excel\\Matriz_2018_Giros_Municipio_Ipiales_Nariño_Sector_Educación.xlsm" "Principal!F6C7" \a \t  \* MERGEFORMAT </w:instrText>
      </w:r>
      <w:r>
        <w:fldChar w:fldCharType="separate"/>
      </w:r>
      <w:r>
        <w:rPr>
          <w:rFonts w:ascii="Arial" w:hAnsi="Arial" w:cs="Arial"/>
          <w:sz w:val="22"/>
          <w:szCs w:val="22"/>
        </w:rPr>
        <w:t>municipio de Ipiales - Nariño</w:t>
      </w:r>
      <w:r>
        <w:fldChar w:fldCharType="end"/>
      </w:r>
      <w:r>
        <w:rPr>
          <w:rFonts w:ascii="Arial" w:hAnsi="Arial" w:cs="Arial"/>
          <w:sz w:val="22"/>
          <w:szCs w:val="22"/>
        </w:rPr>
        <w:t xml:space="preserve">. </w:t>
      </w:r>
      <w:bookmarkStart w:id="3" w:name="GIROS"/>
      <w:bookmarkEnd w:id="2"/>
      <w:r>
        <w:rPr>
          <w:rFonts w:ascii="Arial" w:hAnsi="Arial" w:cs="Arial"/>
          <w:sz w:val="22"/>
          <w:szCs w:val="22"/>
        </w:rPr>
        <w:t xml:space="preserve">Por consiguiente, la Dirección General de Apoyo Fiscal impuso la </w:t>
      </w:r>
      <w:r>
        <w:fldChar w:fldCharType="begin"/>
      </w:r>
      <w:r>
        <w:rPr>
          <w:rFonts w:ascii="Arial" w:hAnsi="Arial" w:cs="Arial"/>
          <w:sz w:val="22"/>
          <w:szCs w:val="22"/>
        </w:rPr>
        <w:instrText xml:space="preserve"> LINK Excel.SheetMacroEnabled.12 "\\\\MH-EXMOSSSA01.MHEXT.RED\\EncuestasPSFF_Archivos\\Decreto028\\BD\\Excel\\Matriz_2018_Giros_Municipio_Ipiales_Nariño_Sector_Educación.xlsm" "Principal!F18C8" \a \t  \* MERGEFORMAT </w:instrText>
      </w:r>
      <w:r>
        <w:fldChar w:fldCharType="separate"/>
      </w:r>
      <w:r>
        <w:rPr>
          <w:rFonts w:ascii="Arial" w:hAnsi="Arial" w:cs="Arial"/>
          <w:sz w:val="22"/>
          <w:szCs w:val="22"/>
        </w:rPr>
        <w:t>Medida Correctiva de Suspensión de Giros</w:t>
      </w:r>
      <w:r>
        <w:fldChar w:fldCharType="end"/>
      </w:r>
      <w:r>
        <w:rPr>
          <w:rFonts w:ascii="Arial" w:hAnsi="Arial" w:cs="Arial"/>
          <w:sz w:val="22"/>
          <w:szCs w:val="22"/>
        </w:rPr>
        <w:t xml:space="preserve"> de los recursos de Calidad Matrícula Oficial del Sistema General de Participaciones, medida que se adoptó a través de la </w:t>
      </w:r>
      <w:r>
        <w:fldChar w:fldCharType="begin"/>
      </w:r>
      <w:r>
        <w:rPr>
          <w:rFonts w:ascii="Arial" w:hAnsi="Arial" w:cs="Arial"/>
          <w:sz w:val="22"/>
          <w:szCs w:val="22"/>
        </w:rPr>
        <w:instrText xml:space="preserve"> LINK Excel.SheetMacroEnabled.12 "\\\\MH-EXMOSSSA01.MHEXT.RED\\EncuestasPSFF_Archivos\\Decreto028\\BD\\Excel\\Matriz_2018_Giros_Municipio_Ipiales_Nariño_Sector_Educación.xlsm" "Principal!F10C7" \a \t  \* MERGEFORMAT </w:instrText>
      </w:r>
      <w:r>
        <w:fldChar w:fldCharType="separate"/>
      </w:r>
      <w:r>
        <w:rPr>
          <w:rFonts w:ascii="Arial" w:hAnsi="Arial" w:cs="Arial"/>
          <w:sz w:val="22"/>
          <w:szCs w:val="22"/>
        </w:rPr>
        <w:t>Resolución No. 2013 del 11 de julio del 2018</w:t>
      </w:r>
      <w:r>
        <w:fldChar w:fldCharType="end"/>
      </w:r>
      <w:r>
        <w:rPr>
          <w:rFonts w:ascii="Arial" w:hAnsi="Arial" w:cs="Arial"/>
          <w:sz w:val="22"/>
          <w:szCs w:val="22"/>
        </w:rPr>
        <w:t>, y se reformuló mediante resolución No. 4584 del 05 de diciembre de 2019, al evidenciarse eventos de riesgo sobrevinientes.</w:t>
      </w:r>
    </w:p>
    <w:p w:rsidR="007B39D8" w:rsidRDefault="007B39D8" w:rsidP="007B39D8">
      <w:pPr>
        <w:jc w:val="both"/>
        <w:rPr>
          <w:rFonts w:ascii="Arial" w:hAnsi="Arial" w:cs="Arial"/>
          <w:sz w:val="22"/>
          <w:szCs w:val="22"/>
        </w:rPr>
      </w:pPr>
    </w:p>
    <w:p w:rsidR="007B39D8" w:rsidRDefault="007B39D8" w:rsidP="007B39D8">
      <w:pPr>
        <w:pStyle w:val="Sinespaciado"/>
        <w:jc w:val="both"/>
        <w:rPr>
          <w:rFonts w:ascii="Arial" w:eastAsia="MS Mincho" w:hAnsi="Arial" w:cs="Arial"/>
          <w:lang w:eastAsia="es-ES"/>
        </w:rPr>
      </w:pPr>
      <w:r>
        <w:rPr>
          <w:rFonts w:ascii="Arial" w:hAnsi="Arial" w:cs="Arial"/>
        </w:rPr>
        <w:t xml:space="preserve">En ese orden de ideas, para el levantamiento de la medida correctiva, la entidad debe evidenciar el cumplimiento específico de lo contenido en los artículos 3° de la </w:t>
      </w:r>
      <w:r>
        <w:fldChar w:fldCharType="begin"/>
      </w:r>
      <w:r>
        <w:rPr>
          <w:rFonts w:ascii="Arial" w:hAnsi="Arial" w:cs="Arial"/>
        </w:rPr>
        <w:instrText xml:space="preserve"> LINK Excel.SheetMacroEnabled.12 "\\\\MH-EXMOSSSA01.MHEXT.RED\\EncuestasPSFF_Archivos\\Decreto028\\BD\\Excel\\Matriz_2018_Giros_Municipio_Ipiales_Nariño_Sector_Educación.xlsm" "Principal!F10C7" \a \t  \* MERGEFORMAT </w:instrText>
      </w:r>
      <w:r>
        <w:fldChar w:fldCharType="separate"/>
      </w:r>
      <w:r>
        <w:rPr>
          <w:rFonts w:ascii="Arial" w:hAnsi="Arial" w:cs="Arial"/>
        </w:rPr>
        <w:t>Resolución No. 2013 del 11 de julio del 2018</w:t>
      </w:r>
      <w:r>
        <w:fldChar w:fldCharType="end"/>
      </w:r>
      <w:r>
        <w:rPr>
          <w:rFonts w:ascii="Arial" w:hAnsi="Arial" w:cs="Arial"/>
        </w:rPr>
        <w:t xml:space="preserve"> y 3° de la Resolución No. 4584 del 05 de diciembre de </w:t>
      </w:r>
      <w:r>
        <w:rPr>
          <w:rFonts w:ascii="Arial" w:hAnsi="Arial" w:cs="Arial"/>
        </w:rPr>
        <w:lastRenderedPageBreak/>
        <w:t xml:space="preserve">2019, en lo relativo a: reportes de información, incorporación y ejecución de recursos, reglamentación de los fondos de servicios educativos, normalizar la entrega de la dotación, suscripción de contratos de prestación de servicios educativos de acuerdo con la normatividad vigente, ejercer adecuadamente los procesos de supervisión e interventoría, publicar en el SECOP los procesos de contratación, conciliar los recursos sin situación de fondos, realizar seguimiento a los recursos de los fondos de servicios educativos y dar cumplimiento a los topes establecidos para horas extras, </w:t>
      </w:r>
      <w:r>
        <w:rPr>
          <w:rFonts w:ascii="Arial" w:eastAsia="MS Mincho" w:hAnsi="Arial" w:cs="Arial"/>
          <w:lang w:eastAsia="es-ES"/>
        </w:rPr>
        <w:t xml:space="preserve">restituir al Sector Educativo los recursos excedidos en gastos administrativos, adelantar acciones judiciales disciplinarias y fiscales ante los organismos de control del estado que permita la defensa y el buen uso de los recursos públicos e implementar un procedimiento interno de control de pagos previo a la dispersión electrónica. </w:t>
      </w:r>
    </w:p>
    <w:p w:rsidR="007B39D8" w:rsidRDefault="007B39D8" w:rsidP="007B39D8">
      <w:pPr>
        <w:pStyle w:val="Sinespaciado"/>
        <w:jc w:val="both"/>
        <w:rPr>
          <w:rFonts w:ascii="Arial" w:eastAsia="MS Mincho" w:hAnsi="Arial" w:cs="Arial"/>
          <w:lang w:eastAsia="es-ES"/>
        </w:rPr>
      </w:pPr>
    </w:p>
    <w:p w:rsidR="007B39D8" w:rsidRDefault="007B39D8" w:rsidP="007B39D8">
      <w:pPr>
        <w:jc w:val="both"/>
        <w:rPr>
          <w:rFonts w:ascii="Arial" w:eastAsia="Arial" w:hAnsi="Arial" w:cs="Arial"/>
          <w:sz w:val="22"/>
          <w:szCs w:val="22"/>
          <w:lang w:val="es-MX"/>
        </w:rPr>
      </w:pPr>
      <w:r>
        <w:rPr>
          <w:rFonts w:ascii="Arial" w:eastAsia="Arial" w:hAnsi="Arial" w:cs="Arial"/>
          <w:sz w:val="22"/>
          <w:szCs w:val="22"/>
          <w:lang w:val="es-MX"/>
        </w:rPr>
        <w:t xml:space="preserve">No obstante, mediante el radicado No. 1-2020-031005 del 20 de abril de 2020 el Ministerio de Educación Nacional solicitó a esta Dirección el levantamiento de la medida de Suspensión de Giros vigente en el municipio de Ipiales - Nariño, de manera que se realice el giro de los recursos del criterio de Equidad - Calidad de forma tal que las entidades cuenten con los recursos que contribuyan a la protección del derecho fundamental a la educación de niños, niñas y adolescentes para atender las necesidades del sector generadas por el Coronavirus COVID 19. </w:t>
      </w:r>
    </w:p>
    <w:p w:rsidR="007B39D8" w:rsidRDefault="007B39D8" w:rsidP="007B39D8">
      <w:pPr>
        <w:jc w:val="both"/>
        <w:rPr>
          <w:rFonts w:ascii="Arial" w:eastAsia="Arial" w:hAnsi="Arial" w:cs="Arial"/>
          <w:sz w:val="22"/>
          <w:szCs w:val="22"/>
          <w:lang w:val="es-MX"/>
        </w:rPr>
      </w:pPr>
    </w:p>
    <w:p w:rsidR="007B39D8" w:rsidRDefault="007B39D8" w:rsidP="007B39D8">
      <w:pPr>
        <w:jc w:val="both"/>
        <w:rPr>
          <w:rFonts w:ascii="Arial" w:eastAsia="Arial" w:hAnsi="Arial" w:cs="Arial"/>
          <w:sz w:val="22"/>
          <w:szCs w:val="22"/>
        </w:rPr>
      </w:pPr>
      <w:r>
        <w:rPr>
          <w:rFonts w:ascii="Arial" w:eastAsia="Arial" w:hAnsi="Arial" w:cs="Arial"/>
          <w:sz w:val="22"/>
          <w:szCs w:val="22"/>
        </w:rPr>
        <w:t>En virtud de lo anterior, y teniendo en cuenta que el municipio de Ipiales - Nariño</w:t>
      </w:r>
      <w:r>
        <w:rPr>
          <w:rFonts w:ascii="Arial" w:eastAsia="Arial" w:hAnsi="Arial" w:cs="Arial"/>
          <w:color w:val="FF0000"/>
          <w:sz w:val="22"/>
          <w:szCs w:val="22"/>
          <w:lang w:val="es-MX"/>
        </w:rPr>
        <w:t xml:space="preserve"> </w:t>
      </w:r>
      <w:r>
        <w:rPr>
          <w:rFonts w:ascii="Arial" w:eastAsia="Arial" w:hAnsi="Arial" w:cs="Arial"/>
          <w:sz w:val="22"/>
          <w:szCs w:val="22"/>
          <w:lang w:val="es-MX"/>
        </w:rPr>
        <w:t xml:space="preserve">no había cumplido con las acciones que conducen a la superación de los eventos de riesgo identificados por la Dirección General de Apoyo Fiscal, </w:t>
      </w:r>
      <w:r>
        <w:rPr>
          <w:rFonts w:ascii="Arial" w:eastAsia="Arial" w:hAnsi="Arial" w:cs="Arial"/>
          <w:sz w:val="22"/>
          <w:szCs w:val="22"/>
        </w:rPr>
        <w:t>se emitió la Resolución No.1047 del 28 de abril del 2020 que realizó</w:t>
      </w:r>
      <w:r>
        <w:rPr>
          <w:rFonts w:ascii="Arial" w:eastAsia="Arial" w:hAnsi="Arial" w:cs="Arial"/>
          <w:sz w:val="22"/>
          <w:szCs w:val="22"/>
          <w:lang w:val="es-MX"/>
        </w:rPr>
        <w:t xml:space="preserve"> el levantamiento parcial de la medida correctiva correspondiente a los recursos suspendidos hasta el mes de abril de 2020 y mantener la Suspensión sobre los giros subsiguientes, hasta que la Entidad evidencie el cumplimiento total de las actividades establecidas mediante las Resoluciones </w:t>
      </w:r>
      <w:r>
        <w:rPr>
          <w:rFonts w:ascii="Arial" w:eastAsia="Arial" w:hAnsi="Arial" w:cs="Arial"/>
          <w:sz w:val="22"/>
          <w:szCs w:val="22"/>
        </w:rPr>
        <w:t>No. 2013 del 11 de julio de 2018 y No. 4584 del 05 de diciembre de 2019.</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En este orden de ideas, con el fin de realizar el seguimiento a la medida correctiva al cierre de 2020 y lo corrido de 2021, se solicitó información a la Entidad Territorial asociada con las actividades incluidas en la </w:t>
      </w:r>
      <w:r>
        <w:fldChar w:fldCharType="begin"/>
      </w:r>
      <w:r>
        <w:rPr>
          <w:rFonts w:ascii="Arial" w:hAnsi="Arial" w:cs="Arial"/>
          <w:sz w:val="22"/>
          <w:szCs w:val="22"/>
        </w:rPr>
        <w:instrText xml:space="preserve"> LINK Excel.SheetMacroEnabled.12 "\\\\MH-EXMOSSSA01.MHEXT.RED\\EncuestasPSFF_Archivos\\Decreto028\\BD\\Excel\\Matriz_2018_Giros_Municipio_Ipiales_Nariño_Sector_Educación.xlsm" "Principal!F18C9" \a \t  \* MERGEFORMAT </w:instrText>
      </w:r>
      <w:r>
        <w:fldChar w:fldCharType="separate"/>
      </w:r>
      <w:r>
        <w:rPr>
          <w:rFonts w:ascii="Arial" w:hAnsi="Arial" w:cs="Arial"/>
          <w:sz w:val="22"/>
          <w:szCs w:val="22"/>
        </w:rPr>
        <w:t>Suspensión de Giros</w:t>
      </w:r>
      <w:r>
        <w:fldChar w:fldCharType="end"/>
      </w:r>
      <w:r>
        <w:rPr>
          <w:rFonts w:ascii="Arial" w:hAnsi="Arial" w:cs="Arial"/>
          <w:sz w:val="22"/>
          <w:szCs w:val="22"/>
        </w:rPr>
        <w:t xml:space="preserve"> . Con base en la evaluación de dicha información se elaboró el presente informe está conformado por cinco apartados; el primero aborda el diagnóstico inicial, el segundo la caracterización sectorial, el tercero la situación financiera, el cuarto la evaluación del cumplimiento de las acciones incluidas en la medida correctiva, y por último se resaltan las conclusiones y recomendaciones.</w:t>
      </w:r>
    </w:p>
    <w:p w:rsidR="007B39D8" w:rsidRDefault="007B39D8" w:rsidP="007B39D8">
      <w:pPr>
        <w:jc w:val="both"/>
        <w:rPr>
          <w:rFonts w:ascii="Arial" w:hAnsi="Arial" w:cs="Arial"/>
          <w:sz w:val="22"/>
          <w:szCs w:val="22"/>
        </w:rPr>
      </w:pPr>
    </w:p>
    <w:bookmarkEnd w:id="3"/>
    <w:p w:rsidR="007B39D8" w:rsidRDefault="007B39D8" w:rsidP="007B39D8">
      <w:pPr>
        <w:rPr>
          <w:rFonts w:ascii="Arial" w:eastAsia="Arial" w:hAnsi="Arial" w:cs="Arial"/>
          <w:b/>
          <w:bCs/>
          <w:position w:val="-1"/>
          <w:sz w:val="22"/>
          <w:szCs w:val="22"/>
        </w:rPr>
      </w:pPr>
      <w:r>
        <w:rPr>
          <w:rFonts w:ascii="Arial" w:eastAsia="Arial" w:hAnsi="Arial" w:cs="Arial"/>
          <w:b/>
          <w:bCs/>
          <w:position w:val="-1"/>
          <w:sz w:val="22"/>
          <w:szCs w:val="22"/>
        </w:rPr>
        <w:br w:type="page"/>
      </w:r>
    </w:p>
    <w:p w:rsidR="007B39D8" w:rsidRDefault="007B39D8" w:rsidP="007B39D8">
      <w:pPr>
        <w:pStyle w:val="Ttulo2"/>
        <w:numPr>
          <w:ilvl w:val="0"/>
          <w:numId w:val="10"/>
        </w:numPr>
        <w:spacing w:before="0"/>
        <w:ind w:left="426" w:hanging="426"/>
        <w:rPr>
          <w:rFonts w:ascii="Arial" w:eastAsia="Arial" w:hAnsi="Arial" w:cs="Arial"/>
          <w:b/>
          <w:bCs/>
          <w:color w:val="auto"/>
          <w:position w:val="-1"/>
          <w:sz w:val="22"/>
          <w:szCs w:val="22"/>
        </w:rPr>
      </w:pPr>
      <w:r>
        <w:rPr>
          <w:rFonts w:ascii="Arial" w:eastAsia="Arial" w:hAnsi="Arial" w:cs="Arial"/>
          <w:b/>
          <w:bCs/>
          <w:color w:val="auto"/>
          <w:position w:val="-1"/>
          <w:sz w:val="22"/>
          <w:szCs w:val="22"/>
        </w:rPr>
        <w:lastRenderedPageBreak/>
        <w:t>CARACTERIZACIÓN SECTORIAL</w:t>
      </w:r>
    </w:p>
    <w:p w:rsidR="007B39D8" w:rsidRDefault="007B39D8" w:rsidP="007B39D8"/>
    <w:p w:rsidR="007B39D8" w:rsidRDefault="007B39D8" w:rsidP="007B39D8">
      <w:pPr>
        <w:jc w:val="center"/>
        <w:rPr>
          <w:rFonts w:ascii="Arial" w:hAnsi="Arial" w:cs="Arial"/>
          <w:b/>
          <w:sz w:val="22"/>
          <w:szCs w:val="22"/>
          <w:lang w:val="es-ES_tradnl"/>
        </w:rPr>
      </w:pPr>
      <w:r>
        <w:rPr>
          <w:rFonts w:ascii="Arial" w:hAnsi="Arial" w:cs="Arial"/>
          <w:noProof/>
          <w:sz w:val="22"/>
          <w:szCs w:val="22"/>
          <w:lang w:val="es-CO" w:eastAsia="es-CO"/>
        </w:rPr>
        <w:drawing>
          <wp:inline distT="0" distB="0" distL="0" distR="0">
            <wp:extent cx="5601970" cy="717613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970" cy="7176135"/>
                    </a:xfrm>
                    <a:prstGeom prst="rect">
                      <a:avLst/>
                    </a:prstGeom>
                    <a:noFill/>
                    <a:ln>
                      <a:noFill/>
                    </a:ln>
                  </pic:spPr>
                </pic:pic>
              </a:graphicData>
            </a:graphic>
          </wp:inline>
        </w:drawing>
      </w:r>
    </w:p>
    <w:p w:rsidR="007B39D8" w:rsidRDefault="007B39D8" w:rsidP="007B39D8">
      <w:pPr>
        <w:jc w:val="both"/>
        <w:rPr>
          <w:rFonts w:ascii="Arial" w:hAnsi="Arial" w:cs="Arial"/>
          <w:sz w:val="22"/>
          <w:szCs w:val="22"/>
          <w:lang w:val="es-ES_tradnl"/>
        </w:rPr>
      </w:pPr>
    </w:p>
    <w:p w:rsidR="007B39D8" w:rsidRDefault="007B39D8" w:rsidP="007B39D8">
      <w:pPr>
        <w:pStyle w:val="Prrafodelista"/>
        <w:widowControl w:val="0"/>
        <w:numPr>
          <w:ilvl w:val="0"/>
          <w:numId w:val="8"/>
        </w:numPr>
        <w:ind w:left="426" w:right="-20" w:hanging="426"/>
        <w:outlineLvl w:val="0"/>
        <w:rPr>
          <w:rFonts w:ascii="Arial" w:eastAsia="Arial" w:hAnsi="Arial" w:cs="Arial"/>
          <w:b/>
          <w:bCs/>
          <w:position w:val="-1"/>
          <w:sz w:val="22"/>
          <w:szCs w:val="22"/>
        </w:rPr>
      </w:pPr>
      <w:r>
        <w:rPr>
          <w:rFonts w:ascii="Arial" w:eastAsia="Arial" w:hAnsi="Arial" w:cs="Arial"/>
          <w:b/>
          <w:bCs/>
          <w:position w:val="-1"/>
          <w:sz w:val="22"/>
          <w:szCs w:val="22"/>
        </w:rPr>
        <w:t xml:space="preserve">ANÁLISIS FINANCIERO </w:t>
      </w:r>
    </w:p>
    <w:p w:rsidR="007B39D8" w:rsidRDefault="007B39D8" w:rsidP="007B39D8">
      <w:pPr>
        <w:jc w:val="both"/>
        <w:rPr>
          <w:rFonts w:ascii="Arial" w:hAnsi="Arial" w:cs="Arial"/>
          <w:b/>
          <w:sz w:val="22"/>
          <w:szCs w:val="22"/>
        </w:rPr>
      </w:pPr>
    </w:p>
    <w:p w:rsidR="007B39D8" w:rsidRDefault="007B39D8" w:rsidP="007B39D8">
      <w:pPr>
        <w:pStyle w:val="Ttulo2"/>
        <w:spacing w:before="0"/>
        <w:rPr>
          <w:rFonts w:ascii="Arial" w:hAnsi="Arial" w:cs="Arial"/>
          <w:b/>
          <w:color w:val="auto"/>
          <w:sz w:val="22"/>
          <w:szCs w:val="22"/>
        </w:rPr>
      </w:pPr>
      <w:bookmarkStart w:id="4" w:name="EVALUACION_NO_COMPETENCIAS"/>
      <w:r>
        <w:rPr>
          <w:rFonts w:ascii="Arial" w:hAnsi="Arial" w:cs="Arial"/>
          <w:b/>
          <w:color w:val="auto"/>
          <w:sz w:val="22"/>
          <w:szCs w:val="22"/>
        </w:rPr>
        <w:t>Ingresos</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bCs/>
          <w:sz w:val="22"/>
          <w:szCs w:val="22"/>
          <w:lang w:val="es-ES_tradnl"/>
        </w:rPr>
      </w:pPr>
      <w:r>
        <w:rPr>
          <w:rFonts w:ascii="Arial" w:hAnsi="Arial" w:cs="Arial"/>
          <w:bCs/>
          <w:sz w:val="22"/>
          <w:szCs w:val="22"/>
          <w:lang w:val="es-ES_tradnl"/>
        </w:rPr>
        <w:t>En materia de ingresos, en 2020 la entidad registró en su ejecución el recaudo de $75.067 millones asociados al Sistema General de Participaciones, de los cuales $72.970 millones (97%) correspondían a recursos corrientes y $2.097 millones (3%) a ingresos de capital. La información de recursos corrientes de prestación de servicios es consistente con el monto girado del SGP por la Nación al Municipio.</w:t>
      </w:r>
    </w:p>
    <w:p w:rsidR="007B39D8" w:rsidRDefault="007B39D8" w:rsidP="007B39D8">
      <w:pPr>
        <w:jc w:val="center"/>
        <w:rPr>
          <w:rFonts w:ascii="Arial" w:hAnsi="Arial" w:cs="Arial"/>
          <w:bCs/>
          <w:sz w:val="22"/>
          <w:szCs w:val="22"/>
          <w:lang w:val="es-ES_tradnl"/>
        </w:rPr>
      </w:pPr>
    </w:p>
    <w:tbl>
      <w:tblPr>
        <w:tblW w:w="5000" w:type="pct"/>
        <w:jc w:val="center"/>
        <w:tblCellMar>
          <w:left w:w="70" w:type="dxa"/>
          <w:right w:w="70" w:type="dxa"/>
        </w:tblCellMar>
        <w:tblLook w:val="04A0" w:firstRow="1" w:lastRow="0" w:firstColumn="1" w:lastColumn="0" w:noHBand="0" w:noVBand="1"/>
      </w:tblPr>
      <w:tblGrid>
        <w:gridCol w:w="3964"/>
        <w:gridCol w:w="1356"/>
        <w:gridCol w:w="1483"/>
        <w:gridCol w:w="2025"/>
      </w:tblGrid>
      <w:tr w:rsidR="007B39D8" w:rsidTr="007B39D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244062"/>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TABLA1. INGRESOS A DICIEMBRE DE 2020 Y A JUNIO DEL 2021 </w:t>
            </w:r>
          </w:p>
        </w:tc>
      </w:tr>
      <w:tr w:rsidR="007B39D8" w:rsidTr="007B39D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244062"/>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(MILLONES DE $) </w:t>
            </w:r>
          </w:p>
        </w:tc>
      </w:tr>
      <w:tr w:rsidR="007B39D8" w:rsidTr="007B39D8">
        <w:trPr>
          <w:trHeight w:val="20"/>
          <w:jc w:val="center"/>
        </w:trPr>
        <w:tc>
          <w:tcPr>
            <w:tcW w:w="2245" w:type="pct"/>
            <w:vMerge w:val="restart"/>
            <w:tcBorders>
              <w:top w:val="nil"/>
              <w:left w:val="single" w:sz="4" w:space="0" w:color="auto"/>
              <w:bottom w:val="single" w:sz="4" w:space="0" w:color="auto"/>
              <w:right w:val="single" w:sz="4" w:space="0" w:color="auto"/>
            </w:tcBorders>
            <w:shd w:val="clear" w:color="auto" w:fill="95B3D7"/>
            <w:vAlign w:val="center"/>
            <w:hideMark/>
          </w:tcPr>
          <w:p w:rsidR="007B39D8" w:rsidRDefault="007B39D8">
            <w:pPr>
              <w:spacing w:line="254" w:lineRule="auto"/>
              <w:jc w:val="center"/>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 xml:space="preserve"> CONCEPTOS </w:t>
            </w:r>
          </w:p>
        </w:tc>
        <w:tc>
          <w:tcPr>
            <w:tcW w:w="2755" w:type="pct"/>
            <w:gridSpan w:val="3"/>
            <w:tcBorders>
              <w:top w:val="single" w:sz="4" w:space="0" w:color="auto"/>
              <w:left w:val="nil"/>
              <w:bottom w:val="single" w:sz="4" w:space="0" w:color="auto"/>
              <w:right w:val="single" w:sz="4" w:space="0" w:color="auto"/>
            </w:tcBorders>
            <w:shd w:val="clear" w:color="auto" w:fill="95B3D7"/>
            <w:vAlign w:val="center"/>
            <w:hideMark/>
          </w:tcPr>
          <w:p w:rsidR="007B39D8" w:rsidRDefault="007B39D8">
            <w:pPr>
              <w:spacing w:line="254" w:lineRule="auto"/>
              <w:jc w:val="center"/>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 xml:space="preserve"> VIGENCIAS </w:t>
            </w:r>
          </w:p>
        </w:tc>
      </w:tr>
      <w:tr w:rsidR="007B39D8" w:rsidTr="007B39D8">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B39D8" w:rsidRDefault="007B39D8">
            <w:pPr>
              <w:rPr>
                <w:rFonts w:ascii="Arial" w:eastAsia="Times New Roman" w:hAnsi="Arial" w:cs="Arial"/>
                <w:b/>
                <w:bCs/>
                <w:sz w:val="16"/>
                <w:szCs w:val="16"/>
                <w:lang w:val="es-CO" w:eastAsia="es-CO"/>
              </w:rPr>
            </w:pPr>
          </w:p>
        </w:tc>
        <w:tc>
          <w:tcPr>
            <w:tcW w:w="768" w:type="pct"/>
            <w:tcBorders>
              <w:top w:val="nil"/>
              <w:left w:val="nil"/>
              <w:bottom w:val="single" w:sz="4" w:space="0" w:color="auto"/>
              <w:right w:val="single" w:sz="4" w:space="0" w:color="auto"/>
            </w:tcBorders>
            <w:shd w:val="clear" w:color="auto" w:fill="95B3D7"/>
            <w:vAlign w:val="center"/>
            <w:hideMark/>
          </w:tcPr>
          <w:p w:rsidR="007B39D8" w:rsidRDefault="007B39D8">
            <w:pPr>
              <w:spacing w:line="254" w:lineRule="auto"/>
              <w:jc w:val="center"/>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2019</w:t>
            </w:r>
          </w:p>
        </w:tc>
        <w:tc>
          <w:tcPr>
            <w:tcW w:w="840" w:type="pct"/>
            <w:tcBorders>
              <w:top w:val="nil"/>
              <w:left w:val="nil"/>
              <w:bottom w:val="single" w:sz="4" w:space="0" w:color="auto"/>
              <w:right w:val="single" w:sz="4" w:space="0" w:color="auto"/>
            </w:tcBorders>
            <w:shd w:val="clear" w:color="auto" w:fill="95B3D7"/>
            <w:vAlign w:val="center"/>
            <w:hideMark/>
          </w:tcPr>
          <w:p w:rsidR="007B39D8" w:rsidRDefault="007B39D8">
            <w:pPr>
              <w:spacing w:line="254" w:lineRule="auto"/>
              <w:jc w:val="center"/>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2020</w:t>
            </w:r>
          </w:p>
        </w:tc>
        <w:tc>
          <w:tcPr>
            <w:tcW w:w="1147" w:type="pct"/>
            <w:tcBorders>
              <w:top w:val="nil"/>
              <w:left w:val="nil"/>
              <w:bottom w:val="single" w:sz="4" w:space="0" w:color="auto"/>
              <w:right w:val="single" w:sz="4" w:space="0" w:color="auto"/>
            </w:tcBorders>
            <w:shd w:val="clear" w:color="auto" w:fill="95B3D7"/>
            <w:vAlign w:val="center"/>
            <w:hideMark/>
          </w:tcPr>
          <w:p w:rsidR="007B39D8" w:rsidRDefault="007B39D8">
            <w:pPr>
              <w:spacing w:line="254" w:lineRule="auto"/>
              <w:jc w:val="center"/>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Junio de 2021</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Asignación SGP-educación </w:t>
            </w:r>
          </w:p>
        </w:tc>
        <w:tc>
          <w:tcPr>
            <w:tcW w:w="76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b/>
                <w:bCs/>
                <w:color w:val="FF0000"/>
                <w:sz w:val="16"/>
                <w:szCs w:val="16"/>
                <w:lang w:val="es-CO" w:eastAsia="es-CO"/>
              </w:rPr>
              <w:t>(1)</w:t>
            </w:r>
            <w:r>
              <w:rPr>
                <w:rFonts w:ascii="Arial" w:eastAsia="Times New Roman" w:hAnsi="Arial" w:cs="Arial"/>
                <w:sz w:val="16"/>
                <w:szCs w:val="16"/>
                <w:lang w:val="es-CO" w:eastAsia="es-CO"/>
              </w:rPr>
              <w:t xml:space="preserve"> 69.061 </w:t>
            </w:r>
          </w:p>
        </w:tc>
        <w:tc>
          <w:tcPr>
            <w:tcW w:w="840"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73.331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54.721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Giro MEN-ET </w:t>
            </w:r>
          </w:p>
        </w:tc>
        <w:tc>
          <w:tcPr>
            <w:tcW w:w="76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67.572 </w:t>
            </w:r>
          </w:p>
        </w:tc>
        <w:tc>
          <w:tcPr>
            <w:tcW w:w="840"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FF0000"/>
                <w:sz w:val="16"/>
                <w:szCs w:val="16"/>
                <w:lang w:val="es-CO" w:eastAsia="es-CO"/>
              </w:rPr>
              <w:t xml:space="preserve">(2) </w:t>
            </w:r>
            <w:r>
              <w:rPr>
                <w:rFonts w:ascii="Arial" w:eastAsia="Times New Roman" w:hAnsi="Arial" w:cs="Arial"/>
                <w:b/>
                <w:bCs/>
                <w:color w:val="000000"/>
                <w:sz w:val="16"/>
                <w:szCs w:val="16"/>
                <w:lang w:val="es-CO" w:eastAsia="es-CO"/>
              </w:rPr>
              <w:t xml:space="preserve">72.970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FF0000"/>
                <w:sz w:val="16"/>
                <w:szCs w:val="16"/>
                <w:lang w:val="es-CO" w:eastAsia="es-CO"/>
              </w:rPr>
              <w:t xml:space="preserve">(4) </w:t>
            </w:r>
            <w:r>
              <w:rPr>
                <w:rFonts w:ascii="Arial" w:eastAsia="Times New Roman" w:hAnsi="Arial" w:cs="Arial"/>
                <w:b/>
                <w:bCs/>
                <w:color w:val="000000"/>
                <w:sz w:val="16"/>
                <w:szCs w:val="16"/>
                <w:lang w:val="es-CO" w:eastAsia="es-CO"/>
              </w:rPr>
              <w:t xml:space="preserve">35.606 </w:t>
            </w:r>
          </w:p>
        </w:tc>
      </w:tr>
      <w:tr w:rsidR="007B39D8" w:rsidTr="007B39D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EJECUCIÓN PRESUPUESTAL</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shd w:val="clear" w:color="auto" w:fill="D9D9D9"/>
            <w:vAlign w:val="center"/>
            <w:hideMark/>
          </w:tcPr>
          <w:p w:rsidR="007B39D8" w:rsidRDefault="007B39D8">
            <w:pPr>
              <w:spacing w:line="254" w:lineRule="auto"/>
              <w:jc w:val="both"/>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Ingresos Corrientes </w:t>
            </w:r>
          </w:p>
        </w:tc>
        <w:tc>
          <w:tcPr>
            <w:tcW w:w="768"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67.572 </w:t>
            </w:r>
          </w:p>
        </w:tc>
        <w:tc>
          <w:tcPr>
            <w:tcW w:w="840"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72.970 </w:t>
            </w:r>
          </w:p>
        </w:tc>
        <w:tc>
          <w:tcPr>
            <w:tcW w:w="1147"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35.574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Sistema General de Participaciones -Educación </w:t>
            </w:r>
          </w:p>
        </w:tc>
        <w:tc>
          <w:tcPr>
            <w:tcW w:w="768" w:type="pct"/>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67.572 </w:t>
            </w:r>
          </w:p>
        </w:tc>
        <w:tc>
          <w:tcPr>
            <w:tcW w:w="840" w:type="pct"/>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72.970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35.574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Prestación de servicios </w:t>
            </w:r>
          </w:p>
        </w:tc>
        <w:tc>
          <w:tcPr>
            <w:tcW w:w="768" w:type="pct"/>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65.988 </w:t>
            </w:r>
          </w:p>
        </w:tc>
        <w:tc>
          <w:tcPr>
            <w:tcW w:w="840" w:type="pct"/>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70.086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33.938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ind w:firstLineChars="100" w:firstLine="16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Con Situación de Fondos </w:t>
            </w:r>
          </w:p>
        </w:tc>
        <w:tc>
          <w:tcPr>
            <w:tcW w:w="76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55.728 </w:t>
            </w:r>
          </w:p>
        </w:tc>
        <w:tc>
          <w:tcPr>
            <w:tcW w:w="840"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58.763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27.461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ind w:firstLineChars="100" w:firstLine="16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Sin Situación de Fondos </w:t>
            </w:r>
          </w:p>
        </w:tc>
        <w:tc>
          <w:tcPr>
            <w:tcW w:w="76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10.261 </w:t>
            </w:r>
          </w:p>
        </w:tc>
        <w:tc>
          <w:tcPr>
            <w:tcW w:w="840"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11.323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6.477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Calidad </w:t>
            </w:r>
          </w:p>
        </w:tc>
        <w:tc>
          <w:tcPr>
            <w:tcW w:w="76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 </w:t>
            </w:r>
          </w:p>
        </w:tc>
        <w:tc>
          <w:tcPr>
            <w:tcW w:w="840"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w:t>
            </w:r>
            <w:r>
              <w:rPr>
                <w:rFonts w:ascii="Arial" w:eastAsia="Times New Roman" w:hAnsi="Arial" w:cs="Arial"/>
                <w:b/>
                <w:bCs/>
                <w:color w:val="FF0000"/>
                <w:sz w:val="16"/>
                <w:szCs w:val="16"/>
                <w:lang w:val="es-CO" w:eastAsia="es-CO"/>
              </w:rPr>
              <w:t>(3)</w:t>
            </w:r>
            <w:r>
              <w:rPr>
                <w:rFonts w:ascii="Arial" w:eastAsia="Times New Roman" w:hAnsi="Arial" w:cs="Arial"/>
                <w:b/>
                <w:bCs/>
                <w:sz w:val="16"/>
                <w:szCs w:val="16"/>
                <w:lang w:val="es-CO" w:eastAsia="es-CO"/>
              </w:rPr>
              <w:t xml:space="preserve"> </w:t>
            </w:r>
            <w:r>
              <w:rPr>
                <w:rFonts w:ascii="Arial" w:eastAsia="Times New Roman" w:hAnsi="Arial" w:cs="Arial"/>
                <w:sz w:val="16"/>
                <w:szCs w:val="16"/>
                <w:lang w:val="es-CO" w:eastAsia="es-CO"/>
              </w:rPr>
              <w:t xml:space="preserve">745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1.637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Gratuidad </w:t>
            </w:r>
          </w:p>
        </w:tc>
        <w:tc>
          <w:tcPr>
            <w:tcW w:w="76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1.584 </w:t>
            </w:r>
          </w:p>
        </w:tc>
        <w:tc>
          <w:tcPr>
            <w:tcW w:w="840"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2.139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shd w:val="clear" w:color="auto" w:fill="D9D9D9"/>
            <w:vAlign w:val="center"/>
            <w:hideMark/>
          </w:tcPr>
          <w:p w:rsidR="007B39D8" w:rsidRDefault="007B39D8">
            <w:pPr>
              <w:spacing w:line="254" w:lineRule="auto"/>
              <w:jc w:val="both"/>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INGRESOS DE CAPITAL </w:t>
            </w:r>
          </w:p>
        </w:tc>
        <w:tc>
          <w:tcPr>
            <w:tcW w:w="768"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647 </w:t>
            </w:r>
          </w:p>
        </w:tc>
        <w:tc>
          <w:tcPr>
            <w:tcW w:w="840"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2.097 </w:t>
            </w:r>
          </w:p>
        </w:tc>
        <w:tc>
          <w:tcPr>
            <w:tcW w:w="1147"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1.637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Rendimientos Financieros </w:t>
            </w:r>
          </w:p>
        </w:tc>
        <w:tc>
          <w:tcPr>
            <w:tcW w:w="768" w:type="pct"/>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114 </w:t>
            </w:r>
          </w:p>
        </w:tc>
        <w:tc>
          <w:tcPr>
            <w:tcW w:w="840" w:type="pct"/>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66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1.427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Rendimiento Prestación </w:t>
            </w:r>
          </w:p>
        </w:tc>
        <w:tc>
          <w:tcPr>
            <w:tcW w:w="76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w:t>
            </w:r>
          </w:p>
        </w:tc>
        <w:tc>
          <w:tcPr>
            <w:tcW w:w="840"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9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Rendimiento Calidad </w:t>
            </w:r>
          </w:p>
        </w:tc>
        <w:tc>
          <w:tcPr>
            <w:tcW w:w="76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w:t>
            </w:r>
          </w:p>
        </w:tc>
        <w:tc>
          <w:tcPr>
            <w:tcW w:w="840"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1.418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Recursos del Balance </w:t>
            </w:r>
          </w:p>
        </w:tc>
        <w:tc>
          <w:tcPr>
            <w:tcW w:w="76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533 </w:t>
            </w:r>
          </w:p>
        </w:tc>
        <w:tc>
          <w:tcPr>
            <w:tcW w:w="840"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2.031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Superávit fiscal Prestación </w:t>
            </w:r>
          </w:p>
        </w:tc>
        <w:tc>
          <w:tcPr>
            <w:tcW w:w="768" w:type="pct"/>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533 </w:t>
            </w:r>
          </w:p>
        </w:tc>
        <w:tc>
          <w:tcPr>
            <w:tcW w:w="840" w:type="pct"/>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454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Superávit fiscal Calidad </w:t>
            </w:r>
          </w:p>
        </w:tc>
        <w:tc>
          <w:tcPr>
            <w:tcW w:w="76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w:t>
            </w:r>
          </w:p>
        </w:tc>
        <w:tc>
          <w:tcPr>
            <w:tcW w:w="840" w:type="pct"/>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1.577 </w:t>
            </w:r>
          </w:p>
        </w:tc>
        <w:tc>
          <w:tcPr>
            <w:tcW w:w="1147"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1.418 </w:t>
            </w:r>
          </w:p>
        </w:tc>
      </w:tr>
      <w:tr w:rsidR="007B39D8" w:rsidTr="007B39D8">
        <w:trPr>
          <w:trHeight w:val="20"/>
          <w:jc w:val="center"/>
        </w:trPr>
        <w:tc>
          <w:tcPr>
            <w:tcW w:w="2245" w:type="pct"/>
            <w:tcBorders>
              <w:top w:val="nil"/>
              <w:left w:val="single" w:sz="4" w:space="0" w:color="auto"/>
              <w:bottom w:val="single" w:sz="4" w:space="0" w:color="auto"/>
              <w:right w:val="single" w:sz="4" w:space="0" w:color="auto"/>
            </w:tcBorders>
            <w:shd w:val="clear" w:color="auto" w:fill="244062"/>
            <w:vAlign w:val="center"/>
            <w:hideMark/>
          </w:tcPr>
          <w:p w:rsidR="007B39D8" w:rsidRDefault="007B39D8">
            <w:pPr>
              <w:spacing w:line="254" w:lineRule="auto"/>
              <w:jc w:val="both"/>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INGRESOS TOTALES </w:t>
            </w:r>
          </w:p>
        </w:tc>
        <w:tc>
          <w:tcPr>
            <w:tcW w:w="768" w:type="pct"/>
            <w:tcBorders>
              <w:top w:val="nil"/>
              <w:left w:val="nil"/>
              <w:bottom w:val="single" w:sz="4" w:space="0" w:color="auto"/>
              <w:right w:val="single" w:sz="4" w:space="0" w:color="auto"/>
            </w:tcBorders>
            <w:shd w:val="clear" w:color="auto" w:fill="244062"/>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68.219 </w:t>
            </w:r>
          </w:p>
        </w:tc>
        <w:tc>
          <w:tcPr>
            <w:tcW w:w="840" w:type="pct"/>
            <w:tcBorders>
              <w:top w:val="nil"/>
              <w:left w:val="nil"/>
              <w:bottom w:val="single" w:sz="4" w:space="0" w:color="auto"/>
              <w:right w:val="single" w:sz="4" w:space="0" w:color="auto"/>
            </w:tcBorders>
            <w:shd w:val="clear" w:color="auto" w:fill="244062"/>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75.067 </w:t>
            </w:r>
          </w:p>
        </w:tc>
        <w:tc>
          <w:tcPr>
            <w:tcW w:w="1147" w:type="pct"/>
            <w:tcBorders>
              <w:top w:val="nil"/>
              <w:left w:val="nil"/>
              <w:bottom w:val="single" w:sz="4" w:space="0" w:color="auto"/>
              <w:right w:val="single" w:sz="4" w:space="0" w:color="auto"/>
            </w:tcBorders>
            <w:shd w:val="clear" w:color="auto" w:fill="244062"/>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37.002 </w:t>
            </w:r>
          </w:p>
        </w:tc>
      </w:tr>
    </w:tbl>
    <w:p w:rsidR="007B39D8" w:rsidRDefault="007B39D8" w:rsidP="007B39D8">
      <w:pPr>
        <w:rPr>
          <w:rFonts w:ascii="Arial" w:hAnsi="Arial" w:cs="Arial"/>
          <w:iCs/>
          <w:sz w:val="16"/>
          <w:szCs w:val="16"/>
        </w:rPr>
      </w:pPr>
      <w:r>
        <w:rPr>
          <w:rFonts w:ascii="Arial" w:hAnsi="Arial" w:cs="Arial"/>
          <w:iCs/>
          <w:sz w:val="16"/>
          <w:szCs w:val="16"/>
        </w:rPr>
        <w:t>Fuente: Ejecución presupuestal entregada por la entidad territorial a corte a diciembre de 2019 y 2020 y junio de 2021.</w:t>
      </w:r>
    </w:p>
    <w:p w:rsidR="007B39D8" w:rsidRDefault="007B39D8" w:rsidP="007B39D8">
      <w:pPr>
        <w:jc w:val="center"/>
        <w:rPr>
          <w:rFonts w:ascii="Arial" w:hAnsi="Arial" w:cs="Arial"/>
          <w:iCs/>
          <w:sz w:val="22"/>
          <w:szCs w:val="22"/>
        </w:rPr>
      </w:pPr>
    </w:p>
    <w:p w:rsidR="007B39D8" w:rsidRDefault="007B39D8" w:rsidP="007B39D8">
      <w:pPr>
        <w:pStyle w:val="NormalWeb"/>
        <w:numPr>
          <w:ilvl w:val="0"/>
          <w:numId w:val="12"/>
        </w:numPr>
        <w:spacing w:before="0" w:beforeAutospacing="0" w:after="0" w:afterAutospacing="0"/>
        <w:ind w:left="426" w:hanging="426"/>
        <w:jc w:val="both"/>
        <w:rPr>
          <w:rStyle w:val="cf01"/>
          <w:rFonts w:ascii="Arial" w:hAnsi="Arial" w:cs="Arial"/>
          <w:sz w:val="22"/>
          <w:szCs w:val="22"/>
        </w:rPr>
      </w:pPr>
      <w:r>
        <w:rPr>
          <w:rStyle w:val="cf01"/>
          <w:rFonts w:ascii="Arial" w:hAnsi="Arial" w:cs="Arial"/>
          <w:sz w:val="22"/>
          <w:szCs w:val="22"/>
        </w:rPr>
        <w:t>La asignación en 2019 difiere con el giro en $1.489 millones, los cuales corresponden a los recursos de calidad que se asignaron en la vigencia 2019, no girados en virtud de la medida correctiva de suspensión de Giros.</w:t>
      </w:r>
    </w:p>
    <w:p w:rsidR="007B39D8" w:rsidRDefault="007B39D8" w:rsidP="007B39D8">
      <w:pPr>
        <w:pStyle w:val="NormalWeb"/>
        <w:spacing w:before="0" w:beforeAutospacing="0" w:after="0" w:afterAutospacing="0"/>
        <w:jc w:val="both"/>
        <w:rPr>
          <w:rStyle w:val="cf01"/>
          <w:rFonts w:ascii="Arial" w:hAnsi="Arial" w:cs="Arial"/>
          <w:sz w:val="22"/>
          <w:szCs w:val="22"/>
        </w:rPr>
      </w:pPr>
    </w:p>
    <w:p w:rsidR="007B39D8" w:rsidRDefault="007B39D8" w:rsidP="007B39D8">
      <w:pPr>
        <w:pStyle w:val="NormalWeb"/>
        <w:numPr>
          <w:ilvl w:val="0"/>
          <w:numId w:val="12"/>
        </w:numPr>
        <w:spacing w:before="0" w:beforeAutospacing="0" w:after="0" w:afterAutospacing="0"/>
        <w:ind w:left="426" w:hanging="426"/>
        <w:jc w:val="both"/>
        <w:rPr>
          <w:rStyle w:val="cf01"/>
          <w:rFonts w:ascii="Arial" w:hAnsi="Arial" w:cs="Arial"/>
          <w:sz w:val="22"/>
          <w:szCs w:val="22"/>
        </w:rPr>
      </w:pPr>
      <w:r>
        <w:rPr>
          <w:rStyle w:val="cf01"/>
          <w:rFonts w:ascii="Arial" w:hAnsi="Arial" w:cs="Arial"/>
          <w:sz w:val="22"/>
          <w:szCs w:val="22"/>
        </w:rPr>
        <w:t>La asignación en 2020 difiere con el giro en $361 millones, los cuales corresponden a los recursos de calidad no girados en virtud de la medida de suspensión de giros, con posterioridad al levantamiento parcial de la medida.</w:t>
      </w:r>
    </w:p>
    <w:p w:rsidR="007B39D8" w:rsidRDefault="007B39D8" w:rsidP="007B39D8">
      <w:pPr>
        <w:jc w:val="both"/>
      </w:pPr>
    </w:p>
    <w:p w:rsidR="007B39D8" w:rsidRDefault="007B39D8" w:rsidP="007B39D8">
      <w:pPr>
        <w:pStyle w:val="Prrafodelista"/>
        <w:numPr>
          <w:ilvl w:val="0"/>
          <w:numId w:val="12"/>
        </w:numPr>
        <w:ind w:left="426" w:hanging="426"/>
        <w:jc w:val="both"/>
        <w:rPr>
          <w:rStyle w:val="cf01"/>
          <w:rFonts w:ascii="Arial" w:hAnsi="Arial" w:cs="Arial"/>
          <w:sz w:val="22"/>
          <w:szCs w:val="22"/>
        </w:rPr>
      </w:pPr>
      <w:r>
        <w:rPr>
          <w:rFonts w:ascii="Arial" w:hAnsi="Arial" w:cs="Arial"/>
          <w:bCs/>
          <w:sz w:val="22"/>
          <w:szCs w:val="22"/>
          <w:lang w:val="es-ES_tradnl"/>
        </w:rPr>
        <w:t>En cuanto a la consistencia de la información de la ejecución de ingresos reportada en el FUT 2020, en lo que corresponde a los recursos de calidad matrícula, se pudo evidenciar que en el reporte de ingresos del FUT no se incluyeron los $233 millones de calidad asignados para alimentación escolar. No obstante, el reporte de ingresos a junio de 2021 está correcto.</w:t>
      </w:r>
    </w:p>
    <w:p w:rsidR="007B39D8" w:rsidRDefault="007B39D8" w:rsidP="007B39D8">
      <w:pPr>
        <w:jc w:val="both"/>
        <w:rPr>
          <w:rFonts w:eastAsia="Times New Roman"/>
          <w:lang w:val="es-CO" w:eastAsia="es-CO"/>
        </w:rPr>
      </w:pPr>
    </w:p>
    <w:p w:rsidR="007B39D8" w:rsidRDefault="007B39D8" w:rsidP="007B39D8">
      <w:pPr>
        <w:pStyle w:val="Prrafodelista"/>
        <w:numPr>
          <w:ilvl w:val="0"/>
          <w:numId w:val="12"/>
        </w:numPr>
        <w:ind w:left="426" w:hanging="426"/>
        <w:jc w:val="both"/>
        <w:rPr>
          <w:rFonts w:ascii="Arial" w:eastAsia="Times New Roman" w:hAnsi="Arial" w:cs="Arial"/>
          <w:sz w:val="22"/>
          <w:szCs w:val="22"/>
          <w:lang w:val="es-CO" w:eastAsia="es-CO"/>
        </w:rPr>
      </w:pPr>
      <w:r>
        <w:rPr>
          <w:rFonts w:ascii="Arial" w:eastAsia="Times New Roman" w:hAnsi="Arial" w:cs="Arial"/>
          <w:sz w:val="22"/>
          <w:szCs w:val="22"/>
          <w:lang w:val="es-CO" w:eastAsia="es-CO"/>
        </w:rPr>
        <w:lastRenderedPageBreak/>
        <w:t>Se evidencia una diferencia entre el valor girado por el MEN y el valor recaudado a junio de 2021 de gratuidad por $32 millones, los cuales no se afectaron en el recaudo de la ejecución presupuestal.</w:t>
      </w:r>
    </w:p>
    <w:p w:rsidR="007B39D8" w:rsidRDefault="007B39D8" w:rsidP="007B39D8">
      <w:pPr>
        <w:pStyle w:val="Prrafodelista"/>
        <w:rPr>
          <w:rFonts w:ascii="Arial" w:eastAsia="Times New Roman" w:hAnsi="Arial" w:cs="Arial"/>
          <w:sz w:val="22"/>
          <w:szCs w:val="22"/>
          <w:lang w:val="es-CO" w:eastAsia="es-CO"/>
        </w:rPr>
      </w:pPr>
    </w:p>
    <w:p w:rsidR="007B39D8" w:rsidRDefault="007B39D8" w:rsidP="007B39D8">
      <w:pPr>
        <w:pStyle w:val="Ttulo2"/>
        <w:spacing w:before="0"/>
        <w:rPr>
          <w:rFonts w:ascii="Arial" w:hAnsi="Arial" w:cs="Arial"/>
          <w:b/>
          <w:bCs/>
          <w:color w:val="FF0000"/>
          <w:sz w:val="22"/>
          <w:szCs w:val="22"/>
          <w:u w:val="single"/>
          <w:lang w:val="es-ES_tradnl"/>
        </w:rPr>
      </w:pPr>
      <w:r>
        <w:rPr>
          <w:rFonts w:ascii="Arial" w:hAnsi="Arial" w:cs="Arial"/>
          <w:b/>
          <w:color w:val="auto"/>
          <w:sz w:val="22"/>
          <w:szCs w:val="22"/>
        </w:rPr>
        <w:t xml:space="preserve">Gastos: </w:t>
      </w:r>
    </w:p>
    <w:p w:rsidR="007B39D8" w:rsidRDefault="007B39D8" w:rsidP="007B39D8">
      <w:pPr>
        <w:jc w:val="both"/>
        <w:rPr>
          <w:rFonts w:ascii="Arial" w:hAnsi="Arial" w:cs="Arial"/>
          <w:bCs/>
          <w:sz w:val="22"/>
          <w:szCs w:val="22"/>
          <w:lang w:val="es-ES_tradnl"/>
        </w:rPr>
      </w:pPr>
    </w:p>
    <w:p w:rsidR="007B39D8" w:rsidRDefault="007B39D8" w:rsidP="007B39D8">
      <w:pPr>
        <w:jc w:val="both"/>
        <w:rPr>
          <w:rFonts w:ascii="Arial" w:hAnsi="Arial" w:cs="Arial"/>
          <w:bCs/>
          <w:sz w:val="22"/>
          <w:szCs w:val="22"/>
          <w:lang w:val="es-ES_tradnl"/>
        </w:rPr>
      </w:pPr>
      <w:r>
        <w:rPr>
          <w:rFonts w:ascii="Arial" w:hAnsi="Arial" w:cs="Arial"/>
          <w:bCs/>
          <w:sz w:val="22"/>
          <w:szCs w:val="22"/>
          <w:lang w:val="es-ES_tradnl"/>
        </w:rPr>
        <w:t>En lo correspondiente al gasto, en 2020 se comprometieron $73.529 millones de los recursos del SGP asignados al sector, de los cuales se obligaron $73.381 millones y se pagaron $72.321 millones. Los gastos financiados con recursos del SGP de la vigencia y anteriores se comprometieron de la siguiente manera: $68.709 millones en cobertura, $870</w:t>
      </w:r>
      <w:r>
        <w:rPr>
          <w:rFonts w:ascii="Arial" w:eastAsia="Times New Roman" w:hAnsi="Arial" w:cs="Arial"/>
          <w:b/>
          <w:bCs/>
          <w:color w:val="000000"/>
          <w:sz w:val="22"/>
          <w:szCs w:val="22"/>
          <w:lang w:val="es-CO" w:eastAsia="es-CO"/>
        </w:rPr>
        <w:t xml:space="preserve"> </w:t>
      </w:r>
      <w:r>
        <w:rPr>
          <w:rFonts w:ascii="Arial" w:hAnsi="Arial" w:cs="Arial"/>
          <w:bCs/>
          <w:sz w:val="22"/>
          <w:szCs w:val="22"/>
          <w:lang w:val="es-ES_tradnl"/>
        </w:rPr>
        <w:t xml:space="preserve">millones en calidad, $2.139 millones en gratuidad, entre otros: </w:t>
      </w:r>
    </w:p>
    <w:p w:rsidR="007B39D8" w:rsidRDefault="007B39D8" w:rsidP="007B39D8">
      <w:pPr>
        <w:jc w:val="both"/>
        <w:rPr>
          <w:rFonts w:ascii="Arial" w:hAnsi="Arial" w:cs="Arial"/>
          <w:bCs/>
          <w:sz w:val="22"/>
          <w:szCs w:val="22"/>
          <w:lang w:val="es-ES_tradnl"/>
        </w:rPr>
      </w:pPr>
    </w:p>
    <w:tbl>
      <w:tblPr>
        <w:tblW w:w="5000" w:type="pct"/>
        <w:jc w:val="center"/>
        <w:tblCellMar>
          <w:left w:w="70" w:type="dxa"/>
          <w:right w:w="70" w:type="dxa"/>
        </w:tblCellMar>
        <w:tblLook w:val="04A0" w:firstRow="1" w:lastRow="0" w:firstColumn="1" w:lastColumn="0" w:noHBand="0" w:noVBand="1"/>
      </w:tblPr>
      <w:tblGrid>
        <w:gridCol w:w="5356"/>
        <w:gridCol w:w="1304"/>
        <w:gridCol w:w="1014"/>
        <w:gridCol w:w="1159"/>
      </w:tblGrid>
      <w:tr w:rsidR="007B39D8" w:rsidTr="007B39D8">
        <w:trPr>
          <w:trHeight w:val="20"/>
          <w:tblHeader/>
          <w:jc w:val="center"/>
        </w:trPr>
        <w:tc>
          <w:tcPr>
            <w:tcW w:w="5000" w:type="pct"/>
            <w:gridSpan w:val="4"/>
            <w:tcBorders>
              <w:top w:val="single" w:sz="4" w:space="0" w:color="auto"/>
              <w:left w:val="single" w:sz="4" w:space="0" w:color="auto"/>
              <w:bottom w:val="single" w:sz="8" w:space="0" w:color="000000"/>
              <w:right w:val="nil"/>
            </w:tcBorders>
            <w:shd w:val="clear" w:color="auto" w:fill="244062"/>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TABLA 2. GASTOS DE LA ENTIDAD TERRITORIAL (MILLONES DE $)</w:t>
            </w:r>
            <w:r>
              <w:rPr>
                <w:rFonts w:ascii="Arial" w:eastAsia="Times New Roman" w:hAnsi="Arial" w:cs="Arial"/>
                <w:color w:val="FFFFFF"/>
                <w:sz w:val="16"/>
                <w:szCs w:val="16"/>
                <w:lang w:val="es-CO" w:eastAsia="es-CO"/>
              </w:rPr>
              <w:t xml:space="preserve"> </w:t>
            </w:r>
          </w:p>
        </w:tc>
      </w:tr>
      <w:tr w:rsidR="007B39D8" w:rsidTr="007B39D8">
        <w:trPr>
          <w:trHeight w:val="20"/>
          <w:tblHeader/>
          <w:jc w:val="center"/>
        </w:trPr>
        <w:tc>
          <w:tcPr>
            <w:tcW w:w="3032" w:type="pct"/>
            <w:tcBorders>
              <w:top w:val="nil"/>
              <w:left w:val="single" w:sz="4" w:space="0" w:color="auto"/>
              <w:bottom w:val="nil"/>
              <w:right w:val="single" w:sz="8" w:space="0" w:color="000000"/>
            </w:tcBorders>
            <w:shd w:val="clear" w:color="auto" w:fill="95B3D7"/>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RUBRO</w:t>
            </w:r>
            <w:r>
              <w:rPr>
                <w:rFonts w:ascii="Arial" w:eastAsia="Times New Roman" w:hAnsi="Arial" w:cs="Arial"/>
                <w:color w:val="000000"/>
                <w:sz w:val="16"/>
                <w:szCs w:val="16"/>
                <w:lang w:val="es-CO" w:eastAsia="es-CO"/>
              </w:rPr>
              <w:t xml:space="preserve"> </w:t>
            </w:r>
          </w:p>
        </w:tc>
        <w:tc>
          <w:tcPr>
            <w:tcW w:w="738" w:type="pct"/>
            <w:tcBorders>
              <w:top w:val="nil"/>
              <w:left w:val="single" w:sz="4" w:space="0" w:color="auto"/>
              <w:bottom w:val="nil"/>
              <w:right w:val="single" w:sz="8" w:space="0" w:color="000000"/>
            </w:tcBorders>
            <w:shd w:val="clear" w:color="auto" w:fill="95B3D7"/>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2019</w:t>
            </w:r>
          </w:p>
        </w:tc>
        <w:tc>
          <w:tcPr>
            <w:tcW w:w="574" w:type="pct"/>
            <w:tcBorders>
              <w:top w:val="nil"/>
              <w:left w:val="single" w:sz="4" w:space="0" w:color="auto"/>
              <w:bottom w:val="nil"/>
              <w:right w:val="single" w:sz="8" w:space="0" w:color="000000"/>
            </w:tcBorders>
            <w:shd w:val="clear" w:color="auto" w:fill="95B3D7"/>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2020</w:t>
            </w:r>
          </w:p>
        </w:tc>
        <w:tc>
          <w:tcPr>
            <w:tcW w:w="656" w:type="pct"/>
            <w:tcBorders>
              <w:top w:val="nil"/>
              <w:left w:val="single" w:sz="4" w:space="0" w:color="auto"/>
              <w:bottom w:val="nil"/>
              <w:right w:val="single" w:sz="8" w:space="0" w:color="000000"/>
            </w:tcBorders>
            <w:shd w:val="clear" w:color="auto" w:fill="95B3D7"/>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Junio 2021</w:t>
            </w:r>
          </w:p>
        </w:tc>
      </w:tr>
      <w:tr w:rsidR="007B39D8" w:rsidTr="007B39D8">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COBERTURA </w:t>
            </w:r>
          </w:p>
        </w:tc>
        <w:tc>
          <w:tcPr>
            <w:tcW w:w="738" w:type="pct"/>
            <w:tcBorders>
              <w:top w:val="single" w:sz="4" w:space="0" w:color="auto"/>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65.433 </w:t>
            </w:r>
          </w:p>
        </w:tc>
        <w:tc>
          <w:tcPr>
            <w:tcW w:w="574" w:type="pct"/>
            <w:tcBorders>
              <w:top w:val="single" w:sz="4" w:space="0" w:color="auto"/>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68.709 </w:t>
            </w:r>
          </w:p>
        </w:tc>
        <w:tc>
          <w:tcPr>
            <w:tcW w:w="656" w:type="pct"/>
            <w:tcBorders>
              <w:top w:val="single" w:sz="4" w:space="0" w:color="auto"/>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33.476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Gastos de Personal </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47.846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51.594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24.035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Personal Docente </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40.432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43.778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20.729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Personal Directivo - Docente </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3.563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3.871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1.339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Personal Administrativo de Instituciones Educativas </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3.316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3.360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1.691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Personal Administrativo Secretaría de Educación </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535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584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276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Aportes Patronales </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15.384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15.741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8.109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Sin Situación de Fondos (Docentes y Directivos Docentes) </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10.195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10.293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5.394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Con situación de fondos (Docentes y Directivos Docentes) </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4.040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4.076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2.045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Personal Administrativo de Instituciones Educativas (A.P)</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977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1.187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579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Personal Administrativo Secretaría de Educación (A.P)</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172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186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90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Gastos Generales</w:t>
            </w:r>
            <w:r>
              <w:rPr>
                <w:rFonts w:ascii="Arial" w:eastAsia="Times New Roman" w:hAnsi="Arial" w:cs="Arial"/>
                <w:color w:val="000000"/>
                <w:sz w:val="16"/>
                <w:szCs w:val="16"/>
                <w:lang w:val="es-CO" w:eastAsia="es-CO"/>
              </w:rPr>
              <w:t xml:space="preserve"> </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239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91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119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Contratos para la Prestación del Servicio Educativo</w:t>
            </w:r>
            <w:r>
              <w:rPr>
                <w:rFonts w:ascii="Arial" w:eastAsia="Times New Roman" w:hAnsi="Arial" w:cs="Arial"/>
                <w:color w:val="000000"/>
                <w:sz w:val="16"/>
                <w:szCs w:val="16"/>
                <w:lang w:val="es-CO" w:eastAsia="es-CO"/>
              </w:rPr>
              <w:t xml:space="preserve"> </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1.650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974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1.213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Aseo y vigilancia</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314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309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shd w:val="clear" w:color="auto" w:fill="D9D9D9"/>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CALIDAD </w:t>
            </w:r>
          </w:p>
        </w:tc>
        <w:tc>
          <w:tcPr>
            <w:tcW w:w="738"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277 </w:t>
            </w:r>
          </w:p>
        </w:tc>
        <w:tc>
          <w:tcPr>
            <w:tcW w:w="574"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870 </w:t>
            </w:r>
          </w:p>
        </w:tc>
        <w:tc>
          <w:tcPr>
            <w:tcW w:w="656"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441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shd w:val="clear" w:color="auto" w:fill="FFFFFF"/>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Mantenimiento de Infraestructura Educativa</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277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85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shd w:val="clear" w:color="auto" w:fill="FFFFFF"/>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Reinversión: estudios, diseños, consultorías, asesorías e interventorías</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10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20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shd w:val="clear" w:color="auto" w:fill="FFFFFF"/>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Pago servicios públicos de las instituciones educativas </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727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40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shd w:val="clear" w:color="auto" w:fill="FFFFFF"/>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Capacitación a docentes y directivos docentes </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36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shd w:val="clear" w:color="auto" w:fill="FFFFFF"/>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Diseño e implementación de planes de mejoramiento</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23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shd w:val="clear" w:color="auto" w:fill="FFFFFF"/>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Arrendamiento</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75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129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shd w:val="clear" w:color="auto" w:fill="FFFFFF"/>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Dotación institucional de material y medios pedagógicos para el aprendizaje</w:t>
            </w:r>
          </w:p>
        </w:tc>
        <w:tc>
          <w:tcPr>
            <w:tcW w:w="738"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 </w:t>
            </w:r>
          </w:p>
        </w:tc>
        <w:tc>
          <w:tcPr>
            <w:tcW w:w="574"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w:t>
            </w:r>
          </w:p>
        </w:tc>
        <w:tc>
          <w:tcPr>
            <w:tcW w:w="656" w:type="pct"/>
            <w:tcBorders>
              <w:top w:val="nil"/>
              <w:left w:val="nil"/>
              <w:bottom w:val="single" w:sz="4" w:space="0" w:color="auto"/>
              <w:right w:val="single" w:sz="4" w:space="0" w:color="auto"/>
            </w:tcBorders>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165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shd w:val="clear" w:color="auto" w:fill="D9D9D9"/>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GRATUIDAD </w:t>
            </w:r>
          </w:p>
        </w:tc>
        <w:tc>
          <w:tcPr>
            <w:tcW w:w="738"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1.584 </w:t>
            </w:r>
          </w:p>
        </w:tc>
        <w:tc>
          <w:tcPr>
            <w:tcW w:w="574"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2.139 </w:t>
            </w:r>
          </w:p>
        </w:tc>
        <w:tc>
          <w:tcPr>
            <w:tcW w:w="656"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1.656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shd w:val="clear" w:color="auto" w:fill="D9D9D9"/>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CONECTIVIDAD </w:t>
            </w:r>
          </w:p>
        </w:tc>
        <w:tc>
          <w:tcPr>
            <w:tcW w:w="738"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608 </w:t>
            </w:r>
          </w:p>
        </w:tc>
        <w:tc>
          <w:tcPr>
            <w:tcW w:w="574"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592 </w:t>
            </w:r>
          </w:p>
        </w:tc>
        <w:tc>
          <w:tcPr>
            <w:tcW w:w="656"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612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shd w:val="clear" w:color="auto" w:fill="D9D9D9"/>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NECESIDADES EDUCATIVAS ESPECIALES </w:t>
            </w:r>
          </w:p>
        </w:tc>
        <w:tc>
          <w:tcPr>
            <w:tcW w:w="738"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203 </w:t>
            </w:r>
          </w:p>
        </w:tc>
        <w:tc>
          <w:tcPr>
            <w:tcW w:w="574"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191 </w:t>
            </w:r>
          </w:p>
        </w:tc>
        <w:tc>
          <w:tcPr>
            <w:tcW w:w="656"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166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shd w:val="clear" w:color="auto" w:fill="D9D9D9"/>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DEUDA 2019 SSF </w:t>
            </w:r>
          </w:p>
        </w:tc>
        <w:tc>
          <w:tcPr>
            <w:tcW w:w="738"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 </w:t>
            </w:r>
          </w:p>
        </w:tc>
        <w:tc>
          <w:tcPr>
            <w:tcW w:w="574"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1.028 </w:t>
            </w:r>
          </w:p>
        </w:tc>
        <w:tc>
          <w:tcPr>
            <w:tcW w:w="656" w:type="pct"/>
            <w:tcBorders>
              <w:top w:val="nil"/>
              <w:left w:val="nil"/>
              <w:bottom w:val="single" w:sz="4" w:space="0" w:color="auto"/>
              <w:right w:val="single" w:sz="4" w:space="0" w:color="auto"/>
            </w:tcBorders>
            <w:shd w:val="clear" w:color="auto" w:fill="D9D9D9"/>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 </w:t>
            </w:r>
          </w:p>
        </w:tc>
      </w:tr>
      <w:tr w:rsidR="007B39D8" w:rsidTr="007B39D8">
        <w:trPr>
          <w:trHeight w:val="20"/>
          <w:jc w:val="center"/>
        </w:trPr>
        <w:tc>
          <w:tcPr>
            <w:tcW w:w="3032" w:type="pct"/>
            <w:tcBorders>
              <w:top w:val="nil"/>
              <w:left w:val="single" w:sz="4" w:space="0" w:color="auto"/>
              <w:bottom w:val="single" w:sz="4" w:space="0" w:color="auto"/>
              <w:right w:val="single" w:sz="4" w:space="0" w:color="auto"/>
            </w:tcBorders>
            <w:shd w:val="clear" w:color="auto" w:fill="244062"/>
            <w:vAlign w:val="center"/>
            <w:hideMark/>
          </w:tcPr>
          <w:p w:rsidR="007B39D8" w:rsidRDefault="007B39D8">
            <w:pPr>
              <w:spacing w:line="254" w:lineRule="auto"/>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TOTAL COMPROMISOS SGP – Educación</w:t>
            </w:r>
            <w:r>
              <w:rPr>
                <w:rFonts w:ascii="Arial" w:eastAsia="Times New Roman" w:hAnsi="Arial" w:cs="Arial"/>
                <w:color w:val="FFFFFF"/>
                <w:sz w:val="16"/>
                <w:szCs w:val="16"/>
                <w:lang w:val="es-CO" w:eastAsia="es-CO"/>
              </w:rPr>
              <w:t xml:space="preserve"> </w:t>
            </w:r>
          </w:p>
        </w:tc>
        <w:tc>
          <w:tcPr>
            <w:tcW w:w="738" w:type="pct"/>
            <w:tcBorders>
              <w:top w:val="nil"/>
              <w:left w:val="nil"/>
              <w:bottom w:val="single" w:sz="4" w:space="0" w:color="auto"/>
              <w:right w:val="single" w:sz="4" w:space="0" w:color="auto"/>
            </w:tcBorders>
            <w:shd w:val="clear" w:color="auto" w:fill="244062"/>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68.105 </w:t>
            </w:r>
          </w:p>
        </w:tc>
        <w:tc>
          <w:tcPr>
            <w:tcW w:w="574" w:type="pct"/>
            <w:tcBorders>
              <w:top w:val="nil"/>
              <w:left w:val="nil"/>
              <w:bottom w:val="single" w:sz="4" w:space="0" w:color="auto"/>
              <w:right w:val="single" w:sz="4" w:space="0" w:color="auto"/>
            </w:tcBorders>
            <w:shd w:val="clear" w:color="auto" w:fill="244062"/>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73.529 </w:t>
            </w:r>
          </w:p>
        </w:tc>
        <w:tc>
          <w:tcPr>
            <w:tcW w:w="656" w:type="pct"/>
            <w:tcBorders>
              <w:top w:val="nil"/>
              <w:left w:val="nil"/>
              <w:bottom w:val="single" w:sz="4" w:space="0" w:color="auto"/>
              <w:right w:val="single" w:sz="4" w:space="0" w:color="auto"/>
            </w:tcBorders>
            <w:shd w:val="clear" w:color="auto" w:fill="244062"/>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36.351 </w:t>
            </w:r>
          </w:p>
        </w:tc>
      </w:tr>
    </w:tbl>
    <w:p w:rsidR="007B39D8" w:rsidRDefault="007B39D8" w:rsidP="007B39D8">
      <w:pPr>
        <w:autoSpaceDE w:val="0"/>
        <w:autoSpaceDN w:val="0"/>
        <w:adjustRightInd w:val="0"/>
        <w:jc w:val="center"/>
        <w:rPr>
          <w:rFonts w:ascii="Arial" w:hAnsi="Arial" w:cs="Arial"/>
          <w:iCs/>
          <w:sz w:val="16"/>
          <w:szCs w:val="16"/>
        </w:rPr>
      </w:pPr>
      <w:r>
        <w:rPr>
          <w:rFonts w:ascii="Arial" w:hAnsi="Arial" w:cs="Arial"/>
          <w:iCs/>
          <w:sz w:val="16"/>
          <w:szCs w:val="16"/>
        </w:rPr>
        <w:t>Fuente: Ejecución presupuestal entregada por la entidad territorial a diciembre de 2019, 2020 y junio de 2021.</w:t>
      </w:r>
    </w:p>
    <w:p w:rsidR="007B39D8" w:rsidRDefault="007B39D8" w:rsidP="007B39D8">
      <w:pPr>
        <w:autoSpaceDE w:val="0"/>
        <w:autoSpaceDN w:val="0"/>
        <w:adjustRightInd w:val="0"/>
        <w:jc w:val="center"/>
        <w:rPr>
          <w:rFonts w:ascii="Arial" w:hAnsi="Arial" w:cs="Arial"/>
          <w:iCs/>
          <w:sz w:val="22"/>
          <w:szCs w:val="22"/>
        </w:rPr>
      </w:pPr>
    </w:p>
    <w:p w:rsidR="007B39D8" w:rsidRDefault="007B39D8" w:rsidP="007B39D8">
      <w:pPr>
        <w:jc w:val="both"/>
        <w:rPr>
          <w:rFonts w:ascii="Arial" w:hAnsi="Arial" w:cs="Arial"/>
          <w:sz w:val="22"/>
          <w:szCs w:val="22"/>
        </w:rPr>
      </w:pPr>
      <w:r>
        <w:rPr>
          <w:rFonts w:ascii="Arial" w:hAnsi="Arial" w:cs="Arial"/>
          <w:sz w:val="22"/>
          <w:szCs w:val="22"/>
        </w:rPr>
        <w:t>Asimismo, se puede evidenciar en 2020 y a junio de 2021 el reporte adecuado en el Formulario Único Territorial (FUT) tanto de la categoría de gastos de inversión, como en la categoría de gastos de funcionamiento.</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En cuanto a los gastos administrativos, a continuación, se relacionan los montos máximos autorizados por la Nación mediante Documentos de Distribución en las últimas vigencias y los compromisos identificados en la ejecución presupuestal de gastos, para los rubros asociados a este concepto: </w:t>
      </w:r>
    </w:p>
    <w:p w:rsidR="007B39D8" w:rsidRDefault="007B39D8" w:rsidP="007B39D8">
      <w:pPr>
        <w:jc w:val="both"/>
        <w:rPr>
          <w:rFonts w:ascii="Arial" w:hAnsi="Arial" w:cs="Arial"/>
          <w:sz w:val="22"/>
          <w:szCs w:val="22"/>
        </w:rPr>
      </w:pPr>
    </w:p>
    <w:tbl>
      <w:tblPr>
        <w:tblW w:w="7907" w:type="dxa"/>
        <w:jc w:val="center"/>
        <w:tblCellMar>
          <w:left w:w="70" w:type="dxa"/>
          <w:right w:w="70" w:type="dxa"/>
        </w:tblCellMar>
        <w:tblLook w:val="04A0" w:firstRow="1" w:lastRow="0" w:firstColumn="1" w:lastColumn="0" w:noHBand="0" w:noVBand="1"/>
      </w:tblPr>
      <w:tblGrid>
        <w:gridCol w:w="5142"/>
        <w:gridCol w:w="1296"/>
        <w:gridCol w:w="1469"/>
      </w:tblGrid>
      <w:tr w:rsidR="007B39D8" w:rsidTr="007B39D8">
        <w:trPr>
          <w:trHeight w:val="20"/>
          <w:jc w:val="center"/>
        </w:trPr>
        <w:tc>
          <w:tcPr>
            <w:tcW w:w="7907" w:type="dxa"/>
            <w:gridSpan w:val="3"/>
            <w:tcBorders>
              <w:top w:val="single" w:sz="4" w:space="0" w:color="auto"/>
              <w:left w:val="single" w:sz="4" w:space="0" w:color="auto"/>
              <w:bottom w:val="single" w:sz="8" w:space="0" w:color="000000"/>
              <w:right w:val="nil"/>
            </w:tcBorders>
            <w:shd w:val="clear" w:color="auto" w:fill="244062"/>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TABLA 3. GASTOS ADMINISTRATIVOS DE LA ENTIDAD TERRITORIAL (MILLONES DE $)</w:t>
            </w:r>
            <w:r>
              <w:rPr>
                <w:rFonts w:ascii="Arial" w:eastAsia="Times New Roman" w:hAnsi="Arial" w:cs="Arial"/>
                <w:color w:val="FFFFFF"/>
                <w:sz w:val="16"/>
                <w:szCs w:val="16"/>
                <w:lang w:val="es-CO" w:eastAsia="es-CO"/>
              </w:rPr>
              <w:t xml:space="preserve"> </w:t>
            </w:r>
          </w:p>
        </w:tc>
      </w:tr>
      <w:tr w:rsidR="007B39D8" w:rsidTr="007B39D8">
        <w:trPr>
          <w:trHeight w:val="20"/>
          <w:jc w:val="center"/>
        </w:trPr>
        <w:tc>
          <w:tcPr>
            <w:tcW w:w="5142" w:type="dxa"/>
            <w:tcBorders>
              <w:top w:val="nil"/>
              <w:left w:val="single" w:sz="4" w:space="0" w:color="auto"/>
              <w:bottom w:val="nil"/>
              <w:right w:val="single" w:sz="8" w:space="0" w:color="000000"/>
            </w:tcBorders>
            <w:shd w:val="clear" w:color="auto" w:fill="95B3D7"/>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RUBRO</w:t>
            </w:r>
            <w:r>
              <w:rPr>
                <w:rFonts w:ascii="Arial" w:eastAsia="Times New Roman" w:hAnsi="Arial" w:cs="Arial"/>
                <w:color w:val="000000"/>
                <w:sz w:val="16"/>
                <w:szCs w:val="16"/>
                <w:lang w:val="es-CO" w:eastAsia="es-CO"/>
              </w:rPr>
              <w:t xml:space="preserve"> </w:t>
            </w:r>
          </w:p>
        </w:tc>
        <w:tc>
          <w:tcPr>
            <w:tcW w:w="1296" w:type="dxa"/>
            <w:tcBorders>
              <w:top w:val="nil"/>
              <w:left w:val="single" w:sz="4" w:space="0" w:color="auto"/>
              <w:bottom w:val="nil"/>
              <w:right w:val="single" w:sz="8" w:space="0" w:color="000000"/>
            </w:tcBorders>
            <w:shd w:val="clear" w:color="auto" w:fill="95B3D7"/>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2019</w:t>
            </w:r>
          </w:p>
        </w:tc>
        <w:tc>
          <w:tcPr>
            <w:tcW w:w="1469" w:type="dxa"/>
            <w:tcBorders>
              <w:top w:val="nil"/>
              <w:left w:val="single" w:sz="4" w:space="0" w:color="auto"/>
              <w:bottom w:val="nil"/>
              <w:right w:val="single" w:sz="8" w:space="0" w:color="000000"/>
            </w:tcBorders>
            <w:shd w:val="clear" w:color="auto" w:fill="95B3D7"/>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2020</w:t>
            </w:r>
          </w:p>
        </w:tc>
      </w:tr>
      <w:tr w:rsidR="007B39D8" w:rsidTr="007B39D8">
        <w:trPr>
          <w:trHeight w:val="20"/>
          <w:jc w:val="center"/>
        </w:trPr>
        <w:tc>
          <w:tcPr>
            <w:tcW w:w="5142" w:type="dxa"/>
            <w:tcBorders>
              <w:top w:val="nil"/>
              <w:left w:val="single" w:sz="8" w:space="0" w:color="auto"/>
              <w:bottom w:val="single" w:sz="8" w:space="0" w:color="auto"/>
              <w:right w:val="single" w:sz="8"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Personal Administrativo de Instituciones Educativas</w:t>
            </w:r>
          </w:p>
        </w:tc>
        <w:tc>
          <w:tcPr>
            <w:tcW w:w="1296" w:type="dxa"/>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3.316</w:t>
            </w:r>
          </w:p>
        </w:tc>
        <w:tc>
          <w:tcPr>
            <w:tcW w:w="1469" w:type="dxa"/>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3.360</w:t>
            </w:r>
          </w:p>
        </w:tc>
      </w:tr>
      <w:tr w:rsidR="007B39D8" w:rsidTr="007B39D8">
        <w:trPr>
          <w:trHeight w:val="20"/>
          <w:jc w:val="center"/>
        </w:trPr>
        <w:tc>
          <w:tcPr>
            <w:tcW w:w="5142" w:type="dxa"/>
            <w:tcBorders>
              <w:top w:val="nil"/>
              <w:left w:val="single" w:sz="8" w:space="0" w:color="auto"/>
              <w:bottom w:val="single" w:sz="8" w:space="0" w:color="auto"/>
              <w:right w:val="single" w:sz="8"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Personal Administrativo Secretaría de Educación</w:t>
            </w:r>
          </w:p>
        </w:tc>
        <w:tc>
          <w:tcPr>
            <w:tcW w:w="1296" w:type="dxa"/>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535</w:t>
            </w:r>
          </w:p>
        </w:tc>
        <w:tc>
          <w:tcPr>
            <w:tcW w:w="1469" w:type="dxa"/>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584</w:t>
            </w:r>
          </w:p>
        </w:tc>
      </w:tr>
      <w:tr w:rsidR="007B39D8" w:rsidTr="007B39D8">
        <w:trPr>
          <w:trHeight w:val="20"/>
          <w:jc w:val="center"/>
        </w:trPr>
        <w:tc>
          <w:tcPr>
            <w:tcW w:w="5142" w:type="dxa"/>
            <w:tcBorders>
              <w:top w:val="nil"/>
              <w:left w:val="single" w:sz="8" w:space="0" w:color="auto"/>
              <w:bottom w:val="single" w:sz="8" w:space="0" w:color="auto"/>
              <w:right w:val="single" w:sz="8"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Aportes Personal Administrativo de Instituciones Educativas</w:t>
            </w:r>
          </w:p>
        </w:tc>
        <w:tc>
          <w:tcPr>
            <w:tcW w:w="1296" w:type="dxa"/>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977</w:t>
            </w:r>
          </w:p>
        </w:tc>
        <w:tc>
          <w:tcPr>
            <w:tcW w:w="1469" w:type="dxa"/>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1.187</w:t>
            </w:r>
          </w:p>
        </w:tc>
      </w:tr>
      <w:tr w:rsidR="007B39D8" w:rsidTr="007B39D8">
        <w:trPr>
          <w:trHeight w:val="20"/>
          <w:jc w:val="center"/>
        </w:trPr>
        <w:tc>
          <w:tcPr>
            <w:tcW w:w="5142" w:type="dxa"/>
            <w:tcBorders>
              <w:top w:val="nil"/>
              <w:left w:val="single" w:sz="8" w:space="0" w:color="auto"/>
              <w:bottom w:val="single" w:sz="8" w:space="0" w:color="auto"/>
              <w:right w:val="single" w:sz="8"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Aportes Personal Administrativo de Secretaría de Educación</w:t>
            </w:r>
          </w:p>
        </w:tc>
        <w:tc>
          <w:tcPr>
            <w:tcW w:w="1296" w:type="dxa"/>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172</w:t>
            </w:r>
          </w:p>
        </w:tc>
        <w:tc>
          <w:tcPr>
            <w:tcW w:w="1469" w:type="dxa"/>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186</w:t>
            </w:r>
          </w:p>
        </w:tc>
      </w:tr>
      <w:tr w:rsidR="007B39D8" w:rsidTr="007B39D8">
        <w:trPr>
          <w:trHeight w:val="20"/>
          <w:jc w:val="center"/>
        </w:trPr>
        <w:tc>
          <w:tcPr>
            <w:tcW w:w="5142" w:type="dxa"/>
            <w:tcBorders>
              <w:top w:val="nil"/>
              <w:left w:val="single" w:sz="8" w:space="0" w:color="auto"/>
              <w:bottom w:val="single" w:sz="8" w:space="0" w:color="auto"/>
              <w:right w:val="single" w:sz="8"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Gastos Generales</w:t>
            </w:r>
          </w:p>
        </w:tc>
        <w:tc>
          <w:tcPr>
            <w:tcW w:w="1296" w:type="dxa"/>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239</w:t>
            </w:r>
          </w:p>
        </w:tc>
        <w:tc>
          <w:tcPr>
            <w:tcW w:w="1469" w:type="dxa"/>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91</w:t>
            </w:r>
          </w:p>
        </w:tc>
      </w:tr>
      <w:tr w:rsidR="007B39D8" w:rsidTr="007B39D8">
        <w:trPr>
          <w:trHeight w:val="20"/>
          <w:jc w:val="center"/>
        </w:trPr>
        <w:tc>
          <w:tcPr>
            <w:tcW w:w="5142" w:type="dxa"/>
            <w:tcBorders>
              <w:top w:val="nil"/>
              <w:left w:val="single" w:sz="8" w:space="0" w:color="auto"/>
              <w:bottom w:val="single" w:sz="8" w:space="0" w:color="auto"/>
              <w:right w:val="single" w:sz="8"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Contratos Aseo y Vigilancia</w:t>
            </w:r>
          </w:p>
        </w:tc>
        <w:tc>
          <w:tcPr>
            <w:tcW w:w="1296" w:type="dxa"/>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314</w:t>
            </w:r>
          </w:p>
        </w:tc>
        <w:tc>
          <w:tcPr>
            <w:tcW w:w="1469" w:type="dxa"/>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309</w:t>
            </w:r>
          </w:p>
        </w:tc>
      </w:tr>
      <w:tr w:rsidR="007B39D8" w:rsidTr="007B39D8">
        <w:trPr>
          <w:trHeight w:val="20"/>
          <w:jc w:val="center"/>
        </w:trPr>
        <w:tc>
          <w:tcPr>
            <w:tcW w:w="5142"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TOTAL</w:t>
            </w:r>
          </w:p>
        </w:tc>
        <w:tc>
          <w:tcPr>
            <w:tcW w:w="1296"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5.553 </w:t>
            </w:r>
          </w:p>
        </w:tc>
        <w:tc>
          <w:tcPr>
            <w:tcW w:w="1469"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5.717 </w:t>
            </w:r>
          </w:p>
        </w:tc>
      </w:tr>
      <w:tr w:rsidR="007B39D8" w:rsidTr="007B39D8">
        <w:trPr>
          <w:trHeight w:val="20"/>
          <w:jc w:val="center"/>
        </w:trPr>
        <w:tc>
          <w:tcPr>
            <w:tcW w:w="5142" w:type="dxa"/>
            <w:tcBorders>
              <w:top w:val="nil"/>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AUTORIZADO POR DOCUMENTO DE DISTRIBUCIÓN</w:t>
            </w:r>
          </w:p>
        </w:tc>
        <w:tc>
          <w:tcPr>
            <w:tcW w:w="1296" w:type="dxa"/>
            <w:tcBorders>
              <w:top w:val="nil"/>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5.592 </w:t>
            </w:r>
          </w:p>
        </w:tc>
        <w:tc>
          <w:tcPr>
            <w:tcW w:w="1469" w:type="dxa"/>
            <w:tcBorders>
              <w:top w:val="nil"/>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5.511 </w:t>
            </w:r>
          </w:p>
        </w:tc>
      </w:tr>
      <w:tr w:rsidR="007B39D8" w:rsidTr="007B39D8">
        <w:trPr>
          <w:trHeight w:val="20"/>
          <w:jc w:val="center"/>
        </w:trPr>
        <w:tc>
          <w:tcPr>
            <w:tcW w:w="5142" w:type="dxa"/>
            <w:tcBorders>
              <w:top w:val="nil"/>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DIFERENCIA</w:t>
            </w:r>
          </w:p>
        </w:tc>
        <w:tc>
          <w:tcPr>
            <w:tcW w:w="1296" w:type="dxa"/>
            <w:tcBorders>
              <w:top w:val="nil"/>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39 </w:t>
            </w:r>
          </w:p>
        </w:tc>
        <w:tc>
          <w:tcPr>
            <w:tcW w:w="1469" w:type="dxa"/>
            <w:tcBorders>
              <w:top w:val="nil"/>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- 206 </w:t>
            </w:r>
          </w:p>
        </w:tc>
      </w:tr>
    </w:tbl>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Por lo anterior, se concluye que para la vigencia 2020 la entidad superó el porcentaje de gasto administrativo autorizado en $206 millones.</w:t>
      </w:r>
    </w:p>
    <w:p w:rsidR="007B39D8" w:rsidRDefault="007B39D8" w:rsidP="007B39D8">
      <w:pPr>
        <w:jc w:val="both"/>
        <w:rPr>
          <w:rFonts w:ascii="Arial" w:hAnsi="Arial" w:cs="Arial"/>
          <w:b/>
          <w:sz w:val="22"/>
          <w:szCs w:val="22"/>
        </w:rPr>
      </w:pPr>
    </w:p>
    <w:p w:rsidR="007B39D8" w:rsidRDefault="007B39D8" w:rsidP="007B39D8">
      <w:pPr>
        <w:pStyle w:val="Ttulo2"/>
        <w:spacing w:before="0"/>
        <w:rPr>
          <w:rFonts w:ascii="Arial" w:hAnsi="Arial" w:cs="Arial"/>
          <w:b/>
          <w:color w:val="auto"/>
          <w:sz w:val="22"/>
          <w:szCs w:val="22"/>
        </w:rPr>
      </w:pPr>
      <w:r>
        <w:rPr>
          <w:rFonts w:ascii="Arial" w:hAnsi="Arial" w:cs="Arial"/>
          <w:b/>
          <w:color w:val="auto"/>
          <w:sz w:val="22"/>
          <w:szCs w:val="22"/>
        </w:rPr>
        <w:t xml:space="preserve">Cierre de tesorería: </w:t>
      </w:r>
    </w:p>
    <w:p w:rsidR="007B39D8" w:rsidRDefault="007B39D8" w:rsidP="007B39D8">
      <w:pPr>
        <w:jc w:val="both"/>
        <w:rPr>
          <w:rFonts w:ascii="Arial" w:hAnsi="Arial" w:cs="Arial"/>
          <w:b/>
          <w:sz w:val="22"/>
          <w:szCs w:val="22"/>
        </w:rPr>
      </w:pPr>
    </w:p>
    <w:p w:rsidR="007B39D8" w:rsidRDefault="007B39D8" w:rsidP="007B39D8">
      <w:pPr>
        <w:pStyle w:val="Default"/>
        <w:jc w:val="both"/>
        <w:rPr>
          <w:sz w:val="22"/>
          <w:szCs w:val="22"/>
        </w:rPr>
      </w:pPr>
      <w:r>
        <w:rPr>
          <w:rFonts w:eastAsia="MS Mincho"/>
          <w:color w:val="auto"/>
          <w:sz w:val="22"/>
          <w:szCs w:val="22"/>
          <w:lang w:val="es-ES" w:eastAsia="es-ES"/>
        </w:rPr>
        <w:t>Con respecto al cierre de la vigencia 2019 dadas las inconsistencias evidenciadas en el informe de seguimiento anterior, el Ministerio de Educación informó en el acta de la visita realizada del 17 al 19 de febrero de 2021 que en el transcurso de la vigencia 2020 la entidad presentó diferentes soportes de tesorería del cierre de 2019 por lo cual consideró necesario determinar un único documento base a fin de llegar al final de la vigencia con unos datos más específicos, por lo que en el presente seguimiento se analiza el ultimo cierre de 2019 presentado por la entidad al MEN, mediante certificación del 28 de diciembre de 2020.</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Sobre el cierre de 2019, la ejecución presupuestal de ingresos y gastos arrojó un resultado presupuestal superavitario para el sector educativo de </w:t>
      </w:r>
      <w:r>
        <w:rPr>
          <w:rFonts w:ascii="Arial" w:hAnsi="Arial" w:cs="Arial"/>
          <w:bCs/>
          <w:sz w:val="22"/>
          <w:szCs w:val="22"/>
          <w:lang w:val="es-ES_tradnl"/>
        </w:rPr>
        <w:t xml:space="preserve">$114 </w:t>
      </w:r>
      <w:r>
        <w:rPr>
          <w:rFonts w:ascii="Arial" w:hAnsi="Arial" w:cs="Arial"/>
          <w:sz w:val="22"/>
          <w:szCs w:val="22"/>
        </w:rPr>
        <w:t xml:space="preserve">millones y evidenció que la entidad debió constituir Cuentas por pagar por </w:t>
      </w:r>
      <w:r>
        <w:rPr>
          <w:rFonts w:ascii="Arial" w:hAnsi="Arial" w:cs="Arial"/>
          <w:bCs/>
          <w:sz w:val="22"/>
          <w:szCs w:val="22"/>
          <w:lang w:val="es-ES_tradnl"/>
        </w:rPr>
        <w:t>$782</w:t>
      </w:r>
      <w:r>
        <w:rPr>
          <w:rFonts w:ascii="Arial" w:hAnsi="Arial" w:cs="Arial"/>
          <w:sz w:val="22"/>
          <w:szCs w:val="22"/>
          <w:lang w:val="es-ES_tradnl"/>
        </w:rPr>
        <w:t xml:space="preserve"> </w:t>
      </w:r>
      <w:r>
        <w:rPr>
          <w:rFonts w:ascii="Arial" w:hAnsi="Arial" w:cs="Arial"/>
          <w:sz w:val="22"/>
          <w:szCs w:val="22"/>
        </w:rPr>
        <w:t xml:space="preserve">millones y tener como mínimo disponible en caja y bancos </w:t>
      </w:r>
      <w:r>
        <w:rPr>
          <w:rFonts w:ascii="Arial" w:hAnsi="Arial" w:cs="Arial"/>
          <w:bCs/>
          <w:sz w:val="22"/>
          <w:szCs w:val="22"/>
          <w:lang w:val="es-ES_tradnl"/>
        </w:rPr>
        <w:t xml:space="preserve">$896 </w:t>
      </w:r>
      <w:r>
        <w:rPr>
          <w:rFonts w:ascii="Arial" w:hAnsi="Arial" w:cs="Arial"/>
          <w:sz w:val="22"/>
          <w:szCs w:val="22"/>
        </w:rPr>
        <w:t xml:space="preserve">millones. </w:t>
      </w:r>
      <w:r>
        <w:rPr>
          <w:rFonts w:ascii="Arial" w:hAnsi="Arial" w:cs="Arial"/>
          <w:sz w:val="22"/>
          <w:szCs w:val="22"/>
          <w:lang w:val="es-ES_tradnl"/>
        </w:rPr>
        <w:t xml:space="preserve">Al comparar la información de </w:t>
      </w:r>
      <w:r>
        <w:rPr>
          <w:rFonts w:ascii="Arial" w:hAnsi="Arial" w:cs="Arial"/>
          <w:sz w:val="22"/>
          <w:szCs w:val="22"/>
        </w:rPr>
        <w:t>tesorería</w:t>
      </w:r>
      <w:r>
        <w:rPr>
          <w:rFonts w:ascii="Arial" w:hAnsi="Arial" w:cs="Arial"/>
          <w:sz w:val="22"/>
          <w:szCs w:val="22"/>
          <w:lang w:val="es-ES_tradnl"/>
        </w:rPr>
        <w:t xml:space="preserve"> contra la presupuestal, </w:t>
      </w:r>
      <w:r>
        <w:rPr>
          <w:rFonts w:ascii="Arial" w:hAnsi="Arial" w:cs="Arial"/>
          <w:sz w:val="22"/>
          <w:szCs w:val="22"/>
        </w:rPr>
        <w:t xml:space="preserve">se encontró que ésta es consistente </w:t>
      </w:r>
      <w:r>
        <w:rPr>
          <w:rFonts w:ascii="Arial" w:hAnsi="Arial" w:cs="Arial"/>
          <w:sz w:val="22"/>
          <w:szCs w:val="22"/>
          <w:lang w:val="es-ES_tradnl"/>
        </w:rPr>
        <w:t xml:space="preserve">entre </w:t>
      </w:r>
      <w:r>
        <w:rPr>
          <w:rFonts w:ascii="Arial" w:hAnsi="Arial" w:cs="Arial"/>
          <w:sz w:val="22"/>
          <w:szCs w:val="22"/>
        </w:rPr>
        <w:t>los valores de las cuentas pagar.</w:t>
      </w:r>
    </w:p>
    <w:p w:rsidR="007B39D8" w:rsidRDefault="007B39D8" w:rsidP="007B39D8">
      <w:pPr>
        <w:jc w:val="both"/>
        <w:rPr>
          <w:rFonts w:ascii="Arial"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3118"/>
        <w:gridCol w:w="871"/>
        <w:gridCol w:w="807"/>
        <w:gridCol w:w="1133"/>
        <w:gridCol w:w="973"/>
        <w:gridCol w:w="974"/>
        <w:gridCol w:w="942"/>
      </w:tblGrid>
      <w:tr w:rsidR="007B39D8" w:rsidTr="007B39D8">
        <w:trPr>
          <w:trHeight w:val="20"/>
          <w:jc w:val="center"/>
        </w:trPr>
        <w:tc>
          <w:tcPr>
            <w:tcW w:w="1768" w:type="pct"/>
            <w:vMerge w:val="restart"/>
            <w:tcBorders>
              <w:top w:val="single" w:sz="8" w:space="0" w:color="auto"/>
              <w:left w:val="single" w:sz="8" w:space="0" w:color="auto"/>
              <w:bottom w:val="single" w:sz="4" w:space="0" w:color="auto"/>
              <w:right w:val="single" w:sz="8" w:space="0" w:color="auto"/>
            </w:tcBorders>
            <w:shd w:val="clear" w:color="auto" w:fill="244061"/>
            <w:noWrap/>
            <w:vAlign w:val="center"/>
            <w:hideMark/>
          </w:tcPr>
          <w:p w:rsidR="007B39D8" w:rsidRDefault="007B39D8">
            <w:pPr>
              <w:spacing w:line="254" w:lineRule="auto"/>
              <w:jc w:val="center"/>
              <w:rPr>
                <w:rFonts w:ascii="Arial" w:eastAsia="Times New Roman" w:hAnsi="Arial" w:cs="Arial"/>
                <w:b/>
                <w:bCs/>
                <w:color w:val="FFFFFF"/>
                <w:sz w:val="14"/>
                <w:szCs w:val="16"/>
                <w:lang w:val="es-CO" w:eastAsia="es-CO"/>
              </w:rPr>
            </w:pPr>
            <w:r>
              <w:rPr>
                <w:rFonts w:ascii="Arial" w:eastAsia="Times New Roman" w:hAnsi="Arial" w:cs="Arial"/>
                <w:b/>
                <w:bCs/>
                <w:color w:val="FFFFFF"/>
                <w:sz w:val="14"/>
                <w:szCs w:val="16"/>
                <w:lang w:val="es-CO" w:eastAsia="es-CO"/>
              </w:rPr>
              <w:t>CONCEPTO</w:t>
            </w:r>
          </w:p>
        </w:tc>
        <w:tc>
          <w:tcPr>
            <w:tcW w:w="1594" w:type="pct"/>
            <w:gridSpan w:val="3"/>
            <w:tcBorders>
              <w:top w:val="single" w:sz="8" w:space="0" w:color="auto"/>
              <w:left w:val="nil"/>
              <w:bottom w:val="single" w:sz="4" w:space="0" w:color="auto"/>
              <w:right w:val="single" w:sz="8" w:space="0" w:color="000000"/>
            </w:tcBorders>
            <w:shd w:val="clear" w:color="auto" w:fill="244061"/>
            <w:noWrap/>
            <w:vAlign w:val="center"/>
            <w:hideMark/>
          </w:tcPr>
          <w:p w:rsidR="007B39D8" w:rsidRDefault="007B39D8">
            <w:pPr>
              <w:spacing w:line="254" w:lineRule="auto"/>
              <w:jc w:val="center"/>
              <w:rPr>
                <w:rFonts w:ascii="Arial" w:eastAsia="Times New Roman" w:hAnsi="Arial" w:cs="Arial"/>
                <w:b/>
                <w:bCs/>
                <w:color w:val="FFFFFF"/>
                <w:sz w:val="14"/>
                <w:szCs w:val="16"/>
                <w:lang w:val="es-CO" w:eastAsia="es-CO"/>
              </w:rPr>
            </w:pPr>
            <w:r>
              <w:rPr>
                <w:rFonts w:ascii="Arial" w:eastAsia="Times New Roman" w:hAnsi="Arial" w:cs="Arial"/>
                <w:b/>
                <w:bCs/>
                <w:color w:val="FFFFFF"/>
                <w:sz w:val="14"/>
                <w:szCs w:val="16"/>
                <w:lang w:val="es-CO" w:eastAsia="es-CO"/>
              </w:rPr>
              <w:t>2019</w:t>
            </w:r>
          </w:p>
        </w:tc>
        <w:tc>
          <w:tcPr>
            <w:tcW w:w="1638" w:type="pct"/>
            <w:gridSpan w:val="3"/>
            <w:tcBorders>
              <w:top w:val="single" w:sz="8" w:space="0" w:color="auto"/>
              <w:left w:val="nil"/>
              <w:bottom w:val="single" w:sz="4" w:space="0" w:color="auto"/>
              <w:right w:val="single" w:sz="8" w:space="0" w:color="000000"/>
            </w:tcBorders>
            <w:shd w:val="clear" w:color="auto" w:fill="244061"/>
            <w:noWrap/>
            <w:vAlign w:val="center"/>
            <w:hideMark/>
          </w:tcPr>
          <w:p w:rsidR="007B39D8" w:rsidRDefault="007B39D8">
            <w:pPr>
              <w:spacing w:line="254" w:lineRule="auto"/>
              <w:jc w:val="center"/>
              <w:rPr>
                <w:rFonts w:ascii="Arial" w:eastAsia="Times New Roman" w:hAnsi="Arial" w:cs="Arial"/>
                <w:b/>
                <w:bCs/>
                <w:color w:val="FFFFFF"/>
                <w:sz w:val="14"/>
                <w:szCs w:val="16"/>
                <w:lang w:val="es-CO" w:eastAsia="es-CO"/>
              </w:rPr>
            </w:pPr>
            <w:r>
              <w:rPr>
                <w:rFonts w:ascii="Arial" w:eastAsia="Times New Roman" w:hAnsi="Arial" w:cs="Arial"/>
                <w:b/>
                <w:bCs/>
                <w:color w:val="FFFFFF"/>
                <w:sz w:val="14"/>
                <w:szCs w:val="16"/>
                <w:lang w:val="es-CO" w:eastAsia="es-CO"/>
              </w:rPr>
              <w:t>2020</w:t>
            </w:r>
          </w:p>
        </w:tc>
      </w:tr>
      <w:tr w:rsidR="007B39D8" w:rsidTr="007B39D8">
        <w:trPr>
          <w:trHeight w:val="20"/>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rsidR="007B39D8" w:rsidRDefault="007B39D8">
            <w:pPr>
              <w:rPr>
                <w:rFonts w:ascii="Arial" w:eastAsia="Times New Roman" w:hAnsi="Arial" w:cs="Arial"/>
                <w:b/>
                <w:bCs/>
                <w:color w:val="FFFFFF"/>
                <w:sz w:val="14"/>
                <w:szCs w:val="16"/>
                <w:lang w:val="es-CO" w:eastAsia="es-CO"/>
              </w:rPr>
            </w:pPr>
          </w:p>
        </w:tc>
        <w:tc>
          <w:tcPr>
            <w:tcW w:w="494" w:type="pct"/>
            <w:tcBorders>
              <w:top w:val="nil"/>
              <w:left w:val="nil"/>
              <w:bottom w:val="single" w:sz="4" w:space="0" w:color="auto"/>
              <w:right w:val="single" w:sz="4" w:space="0" w:color="auto"/>
            </w:tcBorders>
            <w:shd w:val="clear" w:color="auto" w:fill="244061"/>
            <w:noWrap/>
            <w:vAlign w:val="center"/>
            <w:hideMark/>
          </w:tcPr>
          <w:p w:rsidR="007B39D8" w:rsidRDefault="007B39D8">
            <w:pPr>
              <w:spacing w:line="254" w:lineRule="auto"/>
              <w:jc w:val="center"/>
              <w:rPr>
                <w:rFonts w:ascii="Arial" w:eastAsia="Times New Roman" w:hAnsi="Arial" w:cs="Arial"/>
                <w:b/>
                <w:bCs/>
                <w:color w:val="FFFFFF"/>
                <w:sz w:val="14"/>
                <w:szCs w:val="16"/>
                <w:lang w:val="es-CO" w:eastAsia="es-CO"/>
              </w:rPr>
            </w:pPr>
            <w:r>
              <w:rPr>
                <w:rFonts w:ascii="Arial" w:eastAsia="Times New Roman" w:hAnsi="Arial" w:cs="Arial"/>
                <w:b/>
                <w:bCs/>
                <w:color w:val="FFFFFF"/>
                <w:sz w:val="14"/>
                <w:szCs w:val="16"/>
                <w:lang w:val="es-CO" w:eastAsia="es-CO"/>
              </w:rPr>
              <w:t xml:space="preserve"> INGRESO</w:t>
            </w:r>
          </w:p>
        </w:tc>
        <w:tc>
          <w:tcPr>
            <w:tcW w:w="458" w:type="pct"/>
            <w:tcBorders>
              <w:top w:val="nil"/>
              <w:left w:val="nil"/>
              <w:bottom w:val="single" w:sz="4" w:space="0" w:color="auto"/>
              <w:right w:val="single" w:sz="4" w:space="0" w:color="auto"/>
            </w:tcBorders>
            <w:shd w:val="clear" w:color="auto" w:fill="244061"/>
            <w:noWrap/>
            <w:vAlign w:val="center"/>
            <w:hideMark/>
          </w:tcPr>
          <w:p w:rsidR="007B39D8" w:rsidRDefault="007B39D8">
            <w:pPr>
              <w:spacing w:line="254" w:lineRule="auto"/>
              <w:jc w:val="center"/>
              <w:rPr>
                <w:rFonts w:ascii="Arial" w:eastAsia="Times New Roman" w:hAnsi="Arial" w:cs="Arial"/>
                <w:b/>
                <w:bCs/>
                <w:color w:val="FFFFFF"/>
                <w:sz w:val="14"/>
                <w:szCs w:val="16"/>
                <w:lang w:val="es-CO" w:eastAsia="es-CO"/>
              </w:rPr>
            </w:pPr>
            <w:r>
              <w:rPr>
                <w:rFonts w:ascii="Arial" w:eastAsia="Times New Roman" w:hAnsi="Arial" w:cs="Arial"/>
                <w:b/>
                <w:bCs/>
                <w:color w:val="FFFFFF"/>
                <w:sz w:val="14"/>
                <w:szCs w:val="16"/>
                <w:lang w:val="es-CO" w:eastAsia="es-CO"/>
              </w:rPr>
              <w:t xml:space="preserve"> GASTOS</w:t>
            </w:r>
          </w:p>
        </w:tc>
        <w:tc>
          <w:tcPr>
            <w:tcW w:w="642" w:type="pct"/>
            <w:tcBorders>
              <w:top w:val="nil"/>
              <w:left w:val="nil"/>
              <w:bottom w:val="single" w:sz="4" w:space="0" w:color="auto"/>
              <w:right w:val="single" w:sz="8" w:space="0" w:color="auto"/>
            </w:tcBorders>
            <w:shd w:val="clear" w:color="auto" w:fill="244061"/>
            <w:vAlign w:val="center"/>
            <w:hideMark/>
          </w:tcPr>
          <w:p w:rsidR="007B39D8" w:rsidRDefault="007B39D8">
            <w:pPr>
              <w:spacing w:line="254" w:lineRule="auto"/>
              <w:jc w:val="center"/>
              <w:rPr>
                <w:rFonts w:ascii="Arial" w:eastAsia="Times New Roman" w:hAnsi="Arial" w:cs="Arial"/>
                <w:b/>
                <w:bCs/>
                <w:color w:val="FFFFFF"/>
                <w:sz w:val="14"/>
                <w:szCs w:val="16"/>
                <w:lang w:val="es-CO" w:eastAsia="es-CO"/>
              </w:rPr>
            </w:pPr>
            <w:r>
              <w:rPr>
                <w:rFonts w:ascii="Arial" w:eastAsia="Times New Roman" w:hAnsi="Arial" w:cs="Arial"/>
                <w:b/>
                <w:bCs/>
                <w:color w:val="FFFFFF"/>
                <w:sz w:val="14"/>
                <w:szCs w:val="16"/>
                <w:lang w:val="es-CO" w:eastAsia="es-CO"/>
              </w:rPr>
              <w:t>SUPERÁVIT</w:t>
            </w:r>
          </w:p>
          <w:p w:rsidR="007B39D8" w:rsidRDefault="007B39D8">
            <w:pPr>
              <w:spacing w:line="254" w:lineRule="auto"/>
              <w:jc w:val="center"/>
              <w:rPr>
                <w:rFonts w:ascii="Arial" w:eastAsia="Times New Roman" w:hAnsi="Arial" w:cs="Arial"/>
                <w:b/>
                <w:bCs/>
                <w:color w:val="FFFFFF"/>
                <w:sz w:val="14"/>
                <w:szCs w:val="16"/>
                <w:lang w:val="es-CO" w:eastAsia="es-CO"/>
              </w:rPr>
            </w:pPr>
            <w:r>
              <w:rPr>
                <w:rFonts w:ascii="Arial" w:eastAsia="Times New Roman" w:hAnsi="Arial" w:cs="Arial"/>
                <w:b/>
                <w:bCs/>
                <w:color w:val="FFFFFF"/>
                <w:sz w:val="14"/>
                <w:szCs w:val="16"/>
                <w:lang w:val="es-CO" w:eastAsia="es-CO"/>
              </w:rPr>
              <w:t>/DÉFICIT</w:t>
            </w:r>
          </w:p>
        </w:tc>
        <w:tc>
          <w:tcPr>
            <w:tcW w:w="552" w:type="pct"/>
            <w:tcBorders>
              <w:top w:val="nil"/>
              <w:left w:val="nil"/>
              <w:bottom w:val="single" w:sz="4" w:space="0" w:color="auto"/>
              <w:right w:val="single" w:sz="4" w:space="0" w:color="auto"/>
            </w:tcBorders>
            <w:shd w:val="clear" w:color="auto" w:fill="244061"/>
            <w:noWrap/>
            <w:vAlign w:val="center"/>
            <w:hideMark/>
          </w:tcPr>
          <w:p w:rsidR="007B39D8" w:rsidRDefault="007B39D8">
            <w:pPr>
              <w:spacing w:line="254" w:lineRule="auto"/>
              <w:jc w:val="center"/>
              <w:rPr>
                <w:rFonts w:ascii="Arial" w:eastAsia="Times New Roman" w:hAnsi="Arial" w:cs="Arial"/>
                <w:b/>
                <w:bCs/>
                <w:color w:val="FFFFFF"/>
                <w:sz w:val="14"/>
                <w:szCs w:val="16"/>
                <w:lang w:val="es-CO" w:eastAsia="es-CO"/>
              </w:rPr>
            </w:pPr>
            <w:r>
              <w:rPr>
                <w:rFonts w:ascii="Arial" w:eastAsia="Times New Roman" w:hAnsi="Arial" w:cs="Arial"/>
                <w:b/>
                <w:bCs/>
                <w:color w:val="FFFFFF"/>
                <w:sz w:val="14"/>
                <w:szCs w:val="16"/>
                <w:lang w:val="es-CO" w:eastAsia="es-CO"/>
              </w:rPr>
              <w:t xml:space="preserve"> INGRESO</w:t>
            </w:r>
          </w:p>
        </w:tc>
        <w:tc>
          <w:tcPr>
            <w:tcW w:w="552" w:type="pct"/>
            <w:tcBorders>
              <w:top w:val="nil"/>
              <w:left w:val="nil"/>
              <w:bottom w:val="single" w:sz="4" w:space="0" w:color="auto"/>
              <w:right w:val="single" w:sz="4" w:space="0" w:color="auto"/>
            </w:tcBorders>
            <w:shd w:val="clear" w:color="auto" w:fill="244061"/>
            <w:noWrap/>
            <w:vAlign w:val="center"/>
            <w:hideMark/>
          </w:tcPr>
          <w:p w:rsidR="007B39D8" w:rsidRDefault="007B39D8">
            <w:pPr>
              <w:spacing w:line="254" w:lineRule="auto"/>
              <w:jc w:val="center"/>
              <w:rPr>
                <w:rFonts w:ascii="Arial" w:eastAsia="Times New Roman" w:hAnsi="Arial" w:cs="Arial"/>
                <w:b/>
                <w:bCs/>
                <w:color w:val="FFFFFF"/>
                <w:sz w:val="14"/>
                <w:szCs w:val="16"/>
                <w:lang w:val="es-CO" w:eastAsia="es-CO"/>
              </w:rPr>
            </w:pPr>
            <w:r>
              <w:rPr>
                <w:rFonts w:ascii="Arial" w:eastAsia="Times New Roman" w:hAnsi="Arial" w:cs="Arial"/>
                <w:b/>
                <w:bCs/>
                <w:color w:val="FFFFFF"/>
                <w:sz w:val="14"/>
                <w:szCs w:val="16"/>
                <w:lang w:val="es-CO" w:eastAsia="es-CO"/>
              </w:rPr>
              <w:t xml:space="preserve"> GASTOS</w:t>
            </w:r>
          </w:p>
        </w:tc>
        <w:tc>
          <w:tcPr>
            <w:tcW w:w="534" w:type="pct"/>
            <w:tcBorders>
              <w:top w:val="nil"/>
              <w:left w:val="nil"/>
              <w:bottom w:val="single" w:sz="4" w:space="0" w:color="auto"/>
              <w:right w:val="single" w:sz="8" w:space="0" w:color="auto"/>
            </w:tcBorders>
            <w:shd w:val="clear" w:color="auto" w:fill="244061"/>
            <w:vAlign w:val="center"/>
            <w:hideMark/>
          </w:tcPr>
          <w:p w:rsidR="007B39D8" w:rsidRDefault="007B39D8">
            <w:pPr>
              <w:spacing w:line="254" w:lineRule="auto"/>
              <w:jc w:val="center"/>
              <w:rPr>
                <w:rFonts w:ascii="Arial" w:eastAsia="Times New Roman" w:hAnsi="Arial" w:cs="Arial"/>
                <w:b/>
                <w:bCs/>
                <w:color w:val="FFFFFF"/>
                <w:sz w:val="14"/>
                <w:szCs w:val="16"/>
                <w:lang w:val="es-CO" w:eastAsia="es-CO"/>
              </w:rPr>
            </w:pPr>
            <w:r>
              <w:rPr>
                <w:rFonts w:ascii="Arial" w:eastAsia="Times New Roman" w:hAnsi="Arial" w:cs="Arial"/>
                <w:b/>
                <w:bCs/>
                <w:color w:val="FFFFFF"/>
                <w:sz w:val="14"/>
                <w:szCs w:val="16"/>
                <w:lang w:val="es-CO" w:eastAsia="es-CO"/>
              </w:rPr>
              <w:t>SUPERÁVIT</w:t>
            </w:r>
          </w:p>
          <w:p w:rsidR="007B39D8" w:rsidRDefault="007B39D8">
            <w:pPr>
              <w:spacing w:line="254" w:lineRule="auto"/>
              <w:jc w:val="center"/>
              <w:rPr>
                <w:rFonts w:ascii="Arial" w:eastAsia="Times New Roman" w:hAnsi="Arial" w:cs="Arial"/>
                <w:b/>
                <w:bCs/>
                <w:color w:val="FFFFFF"/>
                <w:sz w:val="14"/>
                <w:szCs w:val="16"/>
                <w:lang w:val="es-CO" w:eastAsia="es-CO"/>
              </w:rPr>
            </w:pPr>
            <w:r>
              <w:rPr>
                <w:rFonts w:ascii="Arial" w:eastAsia="Times New Roman" w:hAnsi="Arial" w:cs="Arial"/>
                <w:b/>
                <w:bCs/>
                <w:color w:val="FFFFFF"/>
                <w:sz w:val="14"/>
                <w:szCs w:val="16"/>
                <w:lang w:val="es-CO" w:eastAsia="es-CO"/>
              </w:rPr>
              <w:t>/DÉFICIT</w:t>
            </w:r>
            <w:r>
              <w:rPr>
                <w:rFonts w:ascii="Arial" w:eastAsia="Times New Roman" w:hAnsi="Arial" w:cs="Arial"/>
                <w:color w:val="FFFFFF"/>
                <w:sz w:val="14"/>
                <w:szCs w:val="16"/>
                <w:lang w:val="es-CO" w:eastAsia="es-CO"/>
              </w:rPr>
              <w:t xml:space="preserve"> </w:t>
            </w:r>
          </w:p>
        </w:tc>
      </w:tr>
      <w:tr w:rsidR="007B39D8" w:rsidTr="007B39D8">
        <w:trPr>
          <w:trHeight w:val="20"/>
          <w:jc w:val="center"/>
        </w:trPr>
        <w:tc>
          <w:tcPr>
            <w:tcW w:w="1459" w:type="pct"/>
            <w:tcBorders>
              <w:top w:val="nil"/>
              <w:left w:val="single" w:sz="8" w:space="0" w:color="auto"/>
              <w:bottom w:val="single" w:sz="4"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Prestación de servicio CSF</w:t>
            </w:r>
          </w:p>
        </w:tc>
        <w:tc>
          <w:tcPr>
            <w:tcW w:w="530"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55.728</w:t>
            </w:r>
          </w:p>
        </w:tc>
        <w:tc>
          <w:tcPr>
            <w:tcW w:w="494"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55.794</w:t>
            </w:r>
          </w:p>
        </w:tc>
        <w:tc>
          <w:tcPr>
            <w:tcW w:w="679" w:type="pct"/>
            <w:tcBorders>
              <w:top w:val="nil"/>
              <w:left w:val="nil"/>
              <w:bottom w:val="single" w:sz="4"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FF0000"/>
                <w:sz w:val="14"/>
                <w:szCs w:val="16"/>
                <w:lang w:val="es-CO" w:eastAsia="es-CO"/>
              </w:rPr>
              <w:t>(1)</w:t>
            </w:r>
            <w:r>
              <w:rPr>
                <w:rFonts w:ascii="Arial" w:eastAsia="Times New Roman" w:hAnsi="Arial" w:cs="Arial"/>
                <w:color w:val="000000"/>
                <w:sz w:val="14"/>
                <w:szCs w:val="16"/>
                <w:lang w:val="es-CO" w:eastAsia="es-CO"/>
              </w:rPr>
              <w:t>- 66</w:t>
            </w:r>
          </w:p>
        </w:tc>
        <w:tc>
          <w:tcPr>
            <w:tcW w:w="588"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58.763</w:t>
            </w:r>
          </w:p>
        </w:tc>
        <w:tc>
          <w:tcPr>
            <w:tcW w:w="588"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58.746</w:t>
            </w:r>
          </w:p>
        </w:tc>
        <w:tc>
          <w:tcPr>
            <w:tcW w:w="662" w:type="pct"/>
            <w:tcBorders>
              <w:top w:val="nil"/>
              <w:left w:val="nil"/>
              <w:bottom w:val="single" w:sz="4"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17</w:t>
            </w:r>
          </w:p>
        </w:tc>
      </w:tr>
      <w:tr w:rsidR="007B39D8" w:rsidTr="007B39D8">
        <w:trPr>
          <w:trHeight w:val="20"/>
          <w:jc w:val="center"/>
        </w:trPr>
        <w:tc>
          <w:tcPr>
            <w:tcW w:w="1459" w:type="pct"/>
            <w:tcBorders>
              <w:top w:val="nil"/>
              <w:left w:val="single" w:sz="8" w:space="0" w:color="auto"/>
              <w:bottom w:val="single" w:sz="4"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Prestación de servicio SSF</w:t>
            </w:r>
          </w:p>
        </w:tc>
        <w:tc>
          <w:tcPr>
            <w:tcW w:w="530"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10.261</w:t>
            </w:r>
          </w:p>
        </w:tc>
        <w:tc>
          <w:tcPr>
            <w:tcW w:w="494"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10.195</w:t>
            </w:r>
          </w:p>
        </w:tc>
        <w:tc>
          <w:tcPr>
            <w:tcW w:w="679" w:type="pct"/>
            <w:tcBorders>
              <w:top w:val="nil"/>
              <w:left w:val="nil"/>
              <w:bottom w:val="single" w:sz="4"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66</w:t>
            </w:r>
          </w:p>
        </w:tc>
        <w:tc>
          <w:tcPr>
            <w:tcW w:w="588"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11.323</w:t>
            </w:r>
          </w:p>
        </w:tc>
        <w:tc>
          <w:tcPr>
            <w:tcW w:w="588"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11.321</w:t>
            </w:r>
          </w:p>
        </w:tc>
        <w:tc>
          <w:tcPr>
            <w:tcW w:w="662" w:type="pct"/>
            <w:tcBorders>
              <w:top w:val="nil"/>
              <w:left w:val="nil"/>
              <w:bottom w:val="single" w:sz="4"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2</w:t>
            </w:r>
          </w:p>
        </w:tc>
      </w:tr>
      <w:tr w:rsidR="007B39D8" w:rsidTr="007B39D8">
        <w:trPr>
          <w:trHeight w:val="20"/>
          <w:jc w:val="center"/>
        </w:trPr>
        <w:tc>
          <w:tcPr>
            <w:tcW w:w="1459" w:type="pct"/>
            <w:tcBorders>
              <w:top w:val="nil"/>
              <w:left w:val="single" w:sz="8" w:space="0" w:color="auto"/>
              <w:bottom w:val="single" w:sz="4"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Recursos del balance</w:t>
            </w:r>
          </w:p>
        </w:tc>
        <w:tc>
          <w:tcPr>
            <w:tcW w:w="530"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533</w:t>
            </w:r>
          </w:p>
        </w:tc>
        <w:tc>
          <w:tcPr>
            <w:tcW w:w="494"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533</w:t>
            </w:r>
          </w:p>
        </w:tc>
        <w:tc>
          <w:tcPr>
            <w:tcW w:w="679" w:type="pct"/>
            <w:tcBorders>
              <w:top w:val="nil"/>
              <w:left w:val="nil"/>
              <w:bottom w:val="single" w:sz="4"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w:t>
            </w:r>
          </w:p>
        </w:tc>
        <w:tc>
          <w:tcPr>
            <w:tcW w:w="588"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454</w:t>
            </w:r>
          </w:p>
        </w:tc>
        <w:tc>
          <w:tcPr>
            <w:tcW w:w="588"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454</w:t>
            </w:r>
          </w:p>
        </w:tc>
        <w:tc>
          <w:tcPr>
            <w:tcW w:w="662" w:type="pct"/>
            <w:tcBorders>
              <w:top w:val="nil"/>
              <w:left w:val="nil"/>
              <w:bottom w:val="single" w:sz="4"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w:t>
            </w:r>
          </w:p>
        </w:tc>
      </w:tr>
      <w:tr w:rsidR="007B39D8" w:rsidTr="007B39D8">
        <w:trPr>
          <w:trHeight w:val="20"/>
          <w:jc w:val="center"/>
        </w:trPr>
        <w:tc>
          <w:tcPr>
            <w:tcW w:w="1459" w:type="pct"/>
            <w:tcBorders>
              <w:top w:val="nil"/>
              <w:left w:val="single" w:sz="8" w:space="0" w:color="auto"/>
              <w:bottom w:val="single" w:sz="4"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Cancelación de reservas</w:t>
            </w:r>
          </w:p>
        </w:tc>
        <w:tc>
          <w:tcPr>
            <w:tcW w:w="530" w:type="pct"/>
            <w:tcBorders>
              <w:top w:val="nil"/>
              <w:left w:val="nil"/>
              <w:bottom w:val="single" w:sz="4" w:space="0" w:color="auto"/>
              <w:right w:val="single" w:sz="4" w:space="0" w:color="auto"/>
            </w:tcBorders>
            <w:noWrap/>
            <w:vAlign w:val="center"/>
            <w:hideMark/>
          </w:tcPr>
          <w:p w:rsidR="007B39D8" w:rsidRDefault="007B39D8">
            <w:pPr>
              <w:rPr>
                <w:rFonts w:ascii="Arial" w:eastAsia="Times New Roman" w:hAnsi="Arial" w:cs="Arial"/>
                <w:color w:val="000000"/>
                <w:sz w:val="14"/>
                <w:szCs w:val="16"/>
                <w:lang w:val="es-CO" w:eastAsia="es-CO"/>
              </w:rPr>
            </w:pPr>
          </w:p>
        </w:tc>
        <w:tc>
          <w:tcPr>
            <w:tcW w:w="494"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679" w:type="pct"/>
            <w:tcBorders>
              <w:top w:val="nil"/>
              <w:left w:val="nil"/>
              <w:bottom w:val="single" w:sz="4" w:space="0" w:color="auto"/>
              <w:right w:val="single" w:sz="8"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588"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588"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662" w:type="pct"/>
            <w:tcBorders>
              <w:top w:val="nil"/>
              <w:left w:val="nil"/>
              <w:bottom w:val="single" w:sz="4" w:space="0" w:color="auto"/>
              <w:right w:val="single" w:sz="8"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r>
      <w:tr w:rsidR="007B39D8" w:rsidTr="007B39D8">
        <w:trPr>
          <w:trHeight w:val="20"/>
          <w:jc w:val="center"/>
        </w:trPr>
        <w:tc>
          <w:tcPr>
            <w:tcW w:w="1459" w:type="pct"/>
            <w:tcBorders>
              <w:top w:val="nil"/>
              <w:left w:val="single" w:sz="8" w:space="0" w:color="auto"/>
              <w:bottom w:val="single" w:sz="4"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Reintegros Prestación del Servicio</w:t>
            </w:r>
          </w:p>
        </w:tc>
        <w:tc>
          <w:tcPr>
            <w:tcW w:w="530" w:type="pct"/>
            <w:tcBorders>
              <w:top w:val="nil"/>
              <w:left w:val="nil"/>
              <w:bottom w:val="single" w:sz="4" w:space="0" w:color="auto"/>
              <w:right w:val="single" w:sz="4" w:space="0" w:color="auto"/>
            </w:tcBorders>
            <w:noWrap/>
            <w:vAlign w:val="center"/>
            <w:hideMark/>
          </w:tcPr>
          <w:p w:rsidR="007B39D8" w:rsidRDefault="007B39D8">
            <w:pPr>
              <w:rPr>
                <w:rFonts w:ascii="Arial" w:eastAsia="Times New Roman" w:hAnsi="Arial" w:cs="Arial"/>
                <w:color w:val="000000"/>
                <w:sz w:val="14"/>
                <w:szCs w:val="16"/>
                <w:lang w:val="es-CO" w:eastAsia="es-CO"/>
              </w:rPr>
            </w:pPr>
          </w:p>
        </w:tc>
        <w:tc>
          <w:tcPr>
            <w:tcW w:w="494"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679" w:type="pct"/>
            <w:tcBorders>
              <w:top w:val="nil"/>
              <w:left w:val="nil"/>
              <w:bottom w:val="single" w:sz="4" w:space="0" w:color="auto"/>
              <w:right w:val="single" w:sz="8"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588"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588"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662" w:type="pct"/>
            <w:tcBorders>
              <w:top w:val="nil"/>
              <w:left w:val="nil"/>
              <w:bottom w:val="single" w:sz="4" w:space="0" w:color="auto"/>
              <w:right w:val="single" w:sz="8"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r>
      <w:tr w:rsidR="007B39D8" w:rsidTr="007B39D8">
        <w:trPr>
          <w:trHeight w:val="20"/>
          <w:jc w:val="center"/>
        </w:trPr>
        <w:tc>
          <w:tcPr>
            <w:tcW w:w="1459" w:type="pct"/>
            <w:tcBorders>
              <w:top w:val="nil"/>
              <w:left w:val="single" w:sz="8" w:space="0" w:color="auto"/>
              <w:bottom w:val="single" w:sz="4"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Rendimientos financieros prestación</w:t>
            </w:r>
          </w:p>
        </w:tc>
        <w:tc>
          <w:tcPr>
            <w:tcW w:w="530"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114</w:t>
            </w:r>
          </w:p>
        </w:tc>
        <w:tc>
          <w:tcPr>
            <w:tcW w:w="494"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w:t>
            </w:r>
          </w:p>
        </w:tc>
        <w:tc>
          <w:tcPr>
            <w:tcW w:w="679" w:type="pct"/>
            <w:tcBorders>
              <w:top w:val="nil"/>
              <w:left w:val="nil"/>
              <w:bottom w:val="single" w:sz="4"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114</w:t>
            </w:r>
          </w:p>
        </w:tc>
        <w:tc>
          <w:tcPr>
            <w:tcW w:w="588"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66</w:t>
            </w:r>
          </w:p>
        </w:tc>
        <w:tc>
          <w:tcPr>
            <w:tcW w:w="588"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w:t>
            </w:r>
          </w:p>
        </w:tc>
        <w:tc>
          <w:tcPr>
            <w:tcW w:w="662" w:type="pct"/>
            <w:tcBorders>
              <w:top w:val="nil"/>
              <w:left w:val="nil"/>
              <w:bottom w:val="single" w:sz="4"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66</w:t>
            </w:r>
          </w:p>
        </w:tc>
      </w:tr>
      <w:tr w:rsidR="007B39D8" w:rsidTr="007B39D8">
        <w:trPr>
          <w:trHeight w:val="20"/>
          <w:jc w:val="center"/>
        </w:trPr>
        <w:tc>
          <w:tcPr>
            <w:tcW w:w="1459" w:type="pct"/>
            <w:tcBorders>
              <w:top w:val="nil"/>
              <w:left w:val="single" w:sz="8" w:space="0" w:color="auto"/>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TOTAL PRESTACION DEL SERVICIO</w:t>
            </w:r>
          </w:p>
        </w:tc>
        <w:tc>
          <w:tcPr>
            <w:tcW w:w="530"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66.636</w:t>
            </w:r>
          </w:p>
        </w:tc>
        <w:tc>
          <w:tcPr>
            <w:tcW w:w="494"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66.521</w:t>
            </w:r>
          </w:p>
        </w:tc>
        <w:tc>
          <w:tcPr>
            <w:tcW w:w="679"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114</w:t>
            </w:r>
          </w:p>
        </w:tc>
        <w:tc>
          <w:tcPr>
            <w:tcW w:w="588"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70.606</w:t>
            </w:r>
          </w:p>
        </w:tc>
        <w:tc>
          <w:tcPr>
            <w:tcW w:w="588"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70.520</w:t>
            </w:r>
          </w:p>
        </w:tc>
        <w:tc>
          <w:tcPr>
            <w:tcW w:w="662"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85</w:t>
            </w:r>
          </w:p>
        </w:tc>
      </w:tr>
      <w:tr w:rsidR="007B39D8" w:rsidTr="007B39D8">
        <w:trPr>
          <w:trHeight w:val="20"/>
          <w:jc w:val="center"/>
        </w:trPr>
        <w:tc>
          <w:tcPr>
            <w:tcW w:w="1" w:type="pct"/>
            <w:gridSpan w:val="3"/>
            <w:tcBorders>
              <w:top w:val="nil"/>
              <w:left w:val="single" w:sz="8" w:space="0" w:color="auto"/>
              <w:bottom w:val="single" w:sz="8" w:space="0" w:color="auto"/>
              <w:right w:val="single" w:sz="8" w:space="0" w:color="000000"/>
            </w:tcBorders>
            <w:shd w:val="clear" w:color="auto" w:fill="95B3D7" w:themeFill="accent1" w:themeFillTint="99"/>
            <w:noWrap/>
            <w:vAlign w:val="center"/>
            <w:hideMark/>
          </w:tcPr>
          <w:p w:rsidR="007B39D8" w:rsidRDefault="007B39D8">
            <w:pPr>
              <w:spacing w:line="254" w:lineRule="auto"/>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TESORERÍA PRESTACIÓN DEL SERVICIO CSF</w:t>
            </w:r>
          </w:p>
        </w:tc>
        <w:tc>
          <w:tcPr>
            <w:tcW w:w="679"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FF0000"/>
                <w:sz w:val="14"/>
                <w:szCs w:val="16"/>
                <w:lang w:val="es-CO" w:eastAsia="es-CO"/>
              </w:rPr>
              <w:t>(2)</w:t>
            </w:r>
            <w:r>
              <w:rPr>
                <w:rFonts w:ascii="Arial" w:eastAsia="Times New Roman" w:hAnsi="Arial" w:cs="Arial"/>
                <w:b/>
                <w:bCs/>
                <w:color w:val="000000"/>
                <w:sz w:val="14"/>
                <w:szCs w:val="16"/>
                <w:lang w:val="es-CO" w:eastAsia="es-CO"/>
              </w:rPr>
              <w:t>417</w:t>
            </w:r>
          </w:p>
        </w:tc>
        <w:tc>
          <w:tcPr>
            <w:tcW w:w="1837" w:type="pct"/>
            <w:gridSpan w:val="3"/>
            <w:tcBorders>
              <w:top w:val="single" w:sz="8" w:space="0" w:color="auto"/>
              <w:left w:val="nil"/>
              <w:bottom w:val="single" w:sz="8" w:space="0" w:color="auto"/>
              <w:right w:val="single" w:sz="8" w:space="0" w:color="000000"/>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FF0000"/>
                <w:sz w:val="14"/>
                <w:szCs w:val="16"/>
                <w:lang w:val="es-CO" w:eastAsia="es-CO"/>
              </w:rPr>
              <w:t>(3)</w:t>
            </w:r>
            <w:r>
              <w:rPr>
                <w:rFonts w:ascii="Arial" w:eastAsia="Times New Roman" w:hAnsi="Arial" w:cs="Arial"/>
                <w:b/>
                <w:bCs/>
                <w:color w:val="000000"/>
                <w:sz w:val="14"/>
                <w:szCs w:val="16"/>
                <w:lang w:val="es-CO" w:eastAsia="es-CO"/>
              </w:rPr>
              <w:t>-568</w:t>
            </w:r>
          </w:p>
        </w:tc>
      </w:tr>
      <w:tr w:rsidR="007B39D8" w:rsidTr="007B39D8">
        <w:trPr>
          <w:trHeight w:val="20"/>
          <w:jc w:val="center"/>
        </w:trPr>
        <w:tc>
          <w:tcPr>
            <w:tcW w:w="1" w:type="pct"/>
            <w:gridSpan w:val="3"/>
            <w:tcBorders>
              <w:top w:val="nil"/>
              <w:left w:val="single" w:sz="8" w:space="0" w:color="auto"/>
              <w:bottom w:val="single" w:sz="8" w:space="0" w:color="auto"/>
              <w:right w:val="single" w:sz="8" w:space="0" w:color="000000"/>
            </w:tcBorders>
            <w:shd w:val="clear" w:color="auto" w:fill="95B3D7" w:themeFill="accent1" w:themeFillTint="99"/>
            <w:noWrap/>
            <w:vAlign w:val="center"/>
            <w:hideMark/>
          </w:tcPr>
          <w:p w:rsidR="007B39D8" w:rsidRDefault="007B39D8">
            <w:pPr>
              <w:spacing w:line="254" w:lineRule="auto"/>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DIFERENCIA CON TESORERÍA</w:t>
            </w:r>
          </w:p>
        </w:tc>
        <w:tc>
          <w:tcPr>
            <w:tcW w:w="603"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- 303</w:t>
            </w:r>
          </w:p>
        </w:tc>
        <w:tc>
          <w:tcPr>
            <w:tcW w:w="1643" w:type="pct"/>
            <w:gridSpan w:val="3"/>
            <w:tcBorders>
              <w:top w:val="single" w:sz="8" w:space="0" w:color="auto"/>
              <w:left w:val="nil"/>
              <w:bottom w:val="single" w:sz="8" w:space="0" w:color="auto"/>
              <w:right w:val="single" w:sz="8" w:space="0" w:color="000000"/>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653</w:t>
            </w:r>
          </w:p>
        </w:tc>
      </w:tr>
      <w:tr w:rsidR="007B39D8" w:rsidTr="007B39D8">
        <w:trPr>
          <w:trHeight w:val="20"/>
          <w:jc w:val="center"/>
        </w:trPr>
        <w:tc>
          <w:tcPr>
            <w:tcW w:w="1804" w:type="pct"/>
            <w:tcBorders>
              <w:top w:val="single" w:sz="4" w:space="0" w:color="auto"/>
              <w:left w:val="single" w:sz="8" w:space="0" w:color="auto"/>
              <w:bottom w:val="single" w:sz="4"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Calidad Matrícula</w:t>
            </w:r>
          </w:p>
        </w:tc>
        <w:tc>
          <w:tcPr>
            <w:tcW w:w="487" w:type="pct"/>
            <w:tcBorders>
              <w:top w:val="single" w:sz="4" w:space="0" w:color="auto"/>
              <w:left w:val="nil"/>
              <w:bottom w:val="single" w:sz="4" w:space="0" w:color="auto"/>
              <w:right w:val="single" w:sz="4" w:space="0" w:color="auto"/>
            </w:tcBorders>
            <w:noWrap/>
            <w:vAlign w:val="center"/>
            <w:hideMark/>
          </w:tcPr>
          <w:p w:rsidR="007B39D8" w:rsidRDefault="007B39D8">
            <w:pPr>
              <w:rPr>
                <w:rFonts w:ascii="Arial" w:eastAsia="Times New Roman" w:hAnsi="Arial" w:cs="Arial"/>
                <w:color w:val="000000"/>
                <w:sz w:val="14"/>
                <w:szCs w:val="16"/>
                <w:lang w:val="es-CO" w:eastAsia="es-CO"/>
              </w:rPr>
            </w:pPr>
          </w:p>
        </w:tc>
        <w:tc>
          <w:tcPr>
            <w:tcW w:w="450" w:type="pct"/>
            <w:tcBorders>
              <w:top w:val="single" w:sz="4" w:space="0" w:color="auto"/>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635" w:type="pct"/>
            <w:tcBorders>
              <w:top w:val="single" w:sz="4" w:space="0" w:color="auto"/>
              <w:left w:val="nil"/>
              <w:bottom w:val="single" w:sz="4" w:space="0" w:color="auto"/>
              <w:right w:val="single" w:sz="8"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545" w:type="pct"/>
            <w:tcBorders>
              <w:top w:val="single" w:sz="4" w:space="0" w:color="auto"/>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745</w:t>
            </w:r>
          </w:p>
        </w:tc>
        <w:tc>
          <w:tcPr>
            <w:tcW w:w="545" w:type="pct"/>
            <w:tcBorders>
              <w:top w:val="single" w:sz="4" w:space="0" w:color="auto"/>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298</w:t>
            </w:r>
          </w:p>
        </w:tc>
        <w:tc>
          <w:tcPr>
            <w:tcW w:w="534" w:type="pct"/>
            <w:tcBorders>
              <w:top w:val="single" w:sz="4" w:space="0" w:color="auto"/>
              <w:left w:val="nil"/>
              <w:bottom w:val="single" w:sz="4"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447</w:t>
            </w:r>
          </w:p>
        </w:tc>
      </w:tr>
      <w:tr w:rsidR="007B39D8" w:rsidTr="007B39D8">
        <w:trPr>
          <w:trHeight w:val="20"/>
          <w:jc w:val="center"/>
        </w:trPr>
        <w:tc>
          <w:tcPr>
            <w:tcW w:w="1804" w:type="pct"/>
            <w:tcBorders>
              <w:top w:val="nil"/>
              <w:left w:val="single" w:sz="8" w:space="0" w:color="auto"/>
              <w:bottom w:val="single" w:sz="4"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Rendimientos financieros calidad</w:t>
            </w:r>
          </w:p>
        </w:tc>
        <w:tc>
          <w:tcPr>
            <w:tcW w:w="487" w:type="pct"/>
            <w:tcBorders>
              <w:top w:val="nil"/>
              <w:left w:val="nil"/>
              <w:bottom w:val="single" w:sz="4" w:space="0" w:color="auto"/>
              <w:right w:val="single" w:sz="4" w:space="0" w:color="auto"/>
            </w:tcBorders>
            <w:noWrap/>
            <w:vAlign w:val="center"/>
            <w:hideMark/>
          </w:tcPr>
          <w:p w:rsidR="007B39D8" w:rsidRDefault="007B39D8">
            <w:pPr>
              <w:rPr>
                <w:rFonts w:ascii="Arial" w:eastAsia="Times New Roman" w:hAnsi="Arial" w:cs="Arial"/>
                <w:color w:val="000000"/>
                <w:sz w:val="14"/>
                <w:szCs w:val="16"/>
                <w:lang w:val="es-CO" w:eastAsia="es-CO"/>
              </w:rPr>
            </w:pPr>
          </w:p>
        </w:tc>
        <w:tc>
          <w:tcPr>
            <w:tcW w:w="450"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635" w:type="pct"/>
            <w:tcBorders>
              <w:top w:val="nil"/>
              <w:left w:val="nil"/>
              <w:bottom w:val="single" w:sz="4" w:space="0" w:color="auto"/>
              <w:right w:val="single" w:sz="8"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545"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545"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534" w:type="pct"/>
            <w:tcBorders>
              <w:top w:val="nil"/>
              <w:left w:val="nil"/>
              <w:bottom w:val="single" w:sz="4" w:space="0" w:color="auto"/>
              <w:right w:val="single" w:sz="8"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r>
      <w:tr w:rsidR="007B39D8" w:rsidTr="007B39D8">
        <w:trPr>
          <w:trHeight w:val="20"/>
          <w:jc w:val="center"/>
        </w:trPr>
        <w:tc>
          <w:tcPr>
            <w:tcW w:w="1804" w:type="pct"/>
            <w:tcBorders>
              <w:top w:val="nil"/>
              <w:left w:val="single" w:sz="8" w:space="0" w:color="auto"/>
              <w:bottom w:val="single" w:sz="4"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Recursos del balance</w:t>
            </w:r>
          </w:p>
        </w:tc>
        <w:tc>
          <w:tcPr>
            <w:tcW w:w="487" w:type="pct"/>
            <w:tcBorders>
              <w:top w:val="nil"/>
              <w:left w:val="nil"/>
              <w:bottom w:val="single" w:sz="4" w:space="0" w:color="auto"/>
              <w:right w:val="single" w:sz="4" w:space="0" w:color="auto"/>
            </w:tcBorders>
            <w:noWrap/>
            <w:vAlign w:val="center"/>
            <w:hideMark/>
          </w:tcPr>
          <w:p w:rsidR="007B39D8" w:rsidRDefault="007B39D8">
            <w:pPr>
              <w:rPr>
                <w:rFonts w:ascii="Arial" w:eastAsia="Times New Roman" w:hAnsi="Arial" w:cs="Arial"/>
                <w:color w:val="000000"/>
                <w:sz w:val="14"/>
                <w:szCs w:val="16"/>
                <w:lang w:val="es-CO" w:eastAsia="es-CO"/>
              </w:rPr>
            </w:pPr>
          </w:p>
        </w:tc>
        <w:tc>
          <w:tcPr>
            <w:tcW w:w="450"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635" w:type="pct"/>
            <w:tcBorders>
              <w:top w:val="nil"/>
              <w:left w:val="nil"/>
              <w:bottom w:val="single" w:sz="4" w:space="0" w:color="auto"/>
              <w:right w:val="single" w:sz="8"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545"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1.577</w:t>
            </w:r>
          </w:p>
        </w:tc>
        <w:tc>
          <w:tcPr>
            <w:tcW w:w="545"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572</w:t>
            </w:r>
          </w:p>
        </w:tc>
        <w:tc>
          <w:tcPr>
            <w:tcW w:w="534" w:type="pct"/>
            <w:tcBorders>
              <w:top w:val="nil"/>
              <w:left w:val="nil"/>
              <w:bottom w:val="single" w:sz="4"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1.005</w:t>
            </w:r>
          </w:p>
        </w:tc>
      </w:tr>
      <w:tr w:rsidR="007B39D8" w:rsidTr="007B39D8">
        <w:trPr>
          <w:trHeight w:val="20"/>
          <w:jc w:val="center"/>
        </w:trPr>
        <w:tc>
          <w:tcPr>
            <w:tcW w:w="1804" w:type="pct"/>
            <w:tcBorders>
              <w:top w:val="nil"/>
              <w:left w:val="single" w:sz="8" w:space="0" w:color="auto"/>
              <w:bottom w:val="single" w:sz="4"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Cancelación de reservas</w:t>
            </w:r>
          </w:p>
        </w:tc>
        <w:tc>
          <w:tcPr>
            <w:tcW w:w="487" w:type="pct"/>
            <w:tcBorders>
              <w:top w:val="nil"/>
              <w:left w:val="nil"/>
              <w:bottom w:val="single" w:sz="4" w:space="0" w:color="auto"/>
              <w:right w:val="single" w:sz="4" w:space="0" w:color="auto"/>
            </w:tcBorders>
            <w:noWrap/>
            <w:vAlign w:val="center"/>
            <w:hideMark/>
          </w:tcPr>
          <w:p w:rsidR="007B39D8" w:rsidRDefault="007B39D8">
            <w:pPr>
              <w:rPr>
                <w:rFonts w:ascii="Arial" w:eastAsia="Times New Roman" w:hAnsi="Arial" w:cs="Arial"/>
                <w:color w:val="000000"/>
                <w:sz w:val="14"/>
                <w:szCs w:val="16"/>
                <w:lang w:val="es-CO" w:eastAsia="es-CO"/>
              </w:rPr>
            </w:pPr>
          </w:p>
        </w:tc>
        <w:tc>
          <w:tcPr>
            <w:tcW w:w="450"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635" w:type="pct"/>
            <w:tcBorders>
              <w:top w:val="nil"/>
              <w:left w:val="nil"/>
              <w:bottom w:val="single" w:sz="4" w:space="0" w:color="auto"/>
              <w:right w:val="single" w:sz="8"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545"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545"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534" w:type="pct"/>
            <w:tcBorders>
              <w:top w:val="nil"/>
              <w:left w:val="nil"/>
              <w:bottom w:val="single" w:sz="4" w:space="0" w:color="auto"/>
              <w:right w:val="single" w:sz="8"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r>
      <w:tr w:rsidR="007B39D8" w:rsidTr="007B39D8">
        <w:trPr>
          <w:trHeight w:val="20"/>
          <w:jc w:val="center"/>
        </w:trPr>
        <w:tc>
          <w:tcPr>
            <w:tcW w:w="1804" w:type="pct"/>
            <w:tcBorders>
              <w:top w:val="nil"/>
              <w:left w:val="single" w:sz="8" w:space="0" w:color="auto"/>
              <w:bottom w:val="single" w:sz="4"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Reintegros Calidad Matrícula</w:t>
            </w:r>
          </w:p>
        </w:tc>
        <w:tc>
          <w:tcPr>
            <w:tcW w:w="487" w:type="pct"/>
            <w:tcBorders>
              <w:top w:val="nil"/>
              <w:left w:val="nil"/>
              <w:bottom w:val="single" w:sz="4" w:space="0" w:color="auto"/>
              <w:right w:val="single" w:sz="4" w:space="0" w:color="auto"/>
            </w:tcBorders>
            <w:noWrap/>
            <w:vAlign w:val="center"/>
            <w:hideMark/>
          </w:tcPr>
          <w:p w:rsidR="007B39D8" w:rsidRDefault="007B39D8">
            <w:pPr>
              <w:rPr>
                <w:rFonts w:ascii="Arial" w:eastAsia="Times New Roman" w:hAnsi="Arial" w:cs="Arial"/>
                <w:color w:val="000000"/>
                <w:sz w:val="14"/>
                <w:szCs w:val="16"/>
                <w:lang w:val="es-CO" w:eastAsia="es-CO"/>
              </w:rPr>
            </w:pPr>
          </w:p>
        </w:tc>
        <w:tc>
          <w:tcPr>
            <w:tcW w:w="450"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635" w:type="pct"/>
            <w:tcBorders>
              <w:top w:val="nil"/>
              <w:left w:val="nil"/>
              <w:bottom w:val="single" w:sz="4"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w:t>
            </w:r>
          </w:p>
        </w:tc>
        <w:tc>
          <w:tcPr>
            <w:tcW w:w="545" w:type="pct"/>
            <w:tcBorders>
              <w:top w:val="nil"/>
              <w:left w:val="nil"/>
              <w:bottom w:val="single" w:sz="4" w:space="0" w:color="auto"/>
              <w:right w:val="single" w:sz="4" w:space="0" w:color="auto"/>
            </w:tcBorders>
            <w:noWrap/>
            <w:vAlign w:val="center"/>
            <w:hideMark/>
          </w:tcPr>
          <w:p w:rsidR="007B39D8" w:rsidRDefault="007B39D8">
            <w:pPr>
              <w:rPr>
                <w:rFonts w:ascii="Arial" w:eastAsia="Times New Roman" w:hAnsi="Arial" w:cs="Arial"/>
                <w:color w:val="000000"/>
                <w:sz w:val="14"/>
                <w:szCs w:val="16"/>
                <w:lang w:val="es-CO" w:eastAsia="es-CO"/>
              </w:rPr>
            </w:pPr>
          </w:p>
        </w:tc>
        <w:tc>
          <w:tcPr>
            <w:tcW w:w="545" w:type="pct"/>
            <w:tcBorders>
              <w:top w:val="nil"/>
              <w:left w:val="nil"/>
              <w:bottom w:val="single" w:sz="4" w:space="0" w:color="auto"/>
              <w:right w:val="single" w:sz="4"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c>
          <w:tcPr>
            <w:tcW w:w="534" w:type="pct"/>
            <w:tcBorders>
              <w:top w:val="nil"/>
              <w:left w:val="nil"/>
              <w:bottom w:val="single" w:sz="4" w:space="0" w:color="auto"/>
              <w:right w:val="single" w:sz="8" w:space="0" w:color="auto"/>
            </w:tcBorders>
            <w:noWrap/>
            <w:vAlign w:val="center"/>
            <w:hideMark/>
          </w:tcPr>
          <w:p w:rsidR="007B39D8" w:rsidRDefault="007B39D8">
            <w:pPr>
              <w:rPr>
                <w:rFonts w:asciiTheme="minorHAnsi" w:eastAsiaTheme="minorHAnsi" w:hAnsiTheme="minorHAnsi" w:cstheme="minorBidi"/>
                <w:sz w:val="20"/>
                <w:szCs w:val="20"/>
                <w:lang w:val="es-CO" w:eastAsia="es-CO"/>
              </w:rPr>
            </w:pPr>
          </w:p>
        </w:tc>
      </w:tr>
      <w:tr w:rsidR="007B39D8" w:rsidTr="007B39D8">
        <w:trPr>
          <w:trHeight w:val="20"/>
          <w:jc w:val="center"/>
        </w:trPr>
        <w:tc>
          <w:tcPr>
            <w:tcW w:w="1804" w:type="pct"/>
            <w:tcBorders>
              <w:top w:val="nil"/>
              <w:left w:val="single" w:sz="8" w:space="0" w:color="auto"/>
              <w:bottom w:val="single" w:sz="4"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Calidad Gratuidad SSF</w:t>
            </w:r>
          </w:p>
        </w:tc>
        <w:tc>
          <w:tcPr>
            <w:tcW w:w="487"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1.584</w:t>
            </w:r>
          </w:p>
        </w:tc>
        <w:tc>
          <w:tcPr>
            <w:tcW w:w="450"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1.584</w:t>
            </w:r>
          </w:p>
        </w:tc>
        <w:tc>
          <w:tcPr>
            <w:tcW w:w="635" w:type="pct"/>
            <w:tcBorders>
              <w:top w:val="nil"/>
              <w:left w:val="nil"/>
              <w:bottom w:val="single" w:sz="4"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w:t>
            </w:r>
          </w:p>
        </w:tc>
        <w:tc>
          <w:tcPr>
            <w:tcW w:w="545"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2.139</w:t>
            </w:r>
          </w:p>
        </w:tc>
        <w:tc>
          <w:tcPr>
            <w:tcW w:w="545"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2.139</w:t>
            </w:r>
          </w:p>
        </w:tc>
        <w:tc>
          <w:tcPr>
            <w:tcW w:w="534" w:type="pct"/>
            <w:tcBorders>
              <w:top w:val="nil"/>
              <w:left w:val="nil"/>
              <w:bottom w:val="single" w:sz="4"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4"/>
                <w:szCs w:val="16"/>
                <w:lang w:val="es-CO" w:eastAsia="es-CO"/>
              </w:rPr>
            </w:pPr>
            <w:r>
              <w:rPr>
                <w:rFonts w:ascii="Arial" w:eastAsia="Times New Roman" w:hAnsi="Arial" w:cs="Arial"/>
                <w:color w:val="000000"/>
                <w:sz w:val="14"/>
                <w:szCs w:val="16"/>
                <w:lang w:val="es-CO" w:eastAsia="es-CO"/>
              </w:rPr>
              <w:t>-</w:t>
            </w:r>
          </w:p>
        </w:tc>
      </w:tr>
      <w:tr w:rsidR="007B39D8" w:rsidTr="007B39D8">
        <w:trPr>
          <w:trHeight w:val="20"/>
          <w:jc w:val="center"/>
        </w:trPr>
        <w:tc>
          <w:tcPr>
            <w:tcW w:w="1804" w:type="pct"/>
            <w:tcBorders>
              <w:top w:val="nil"/>
              <w:left w:val="single" w:sz="8" w:space="0" w:color="auto"/>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TOTAL CALIDAD</w:t>
            </w:r>
          </w:p>
        </w:tc>
        <w:tc>
          <w:tcPr>
            <w:tcW w:w="487"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1.584</w:t>
            </w:r>
          </w:p>
        </w:tc>
        <w:tc>
          <w:tcPr>
            <w:tcW w:w="450"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1.584</w:t>
            </w:r>
          </w:p>
        </w:tc>
        <w:tc>
          <w:tcPr>
            <w:tcW w:w="635"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w:t>
            </w:r>
          </w:p>
        </w:tc>
        <w:tc>
          <w:tcPr>
            <w:tcW w:w="545"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4.461</w:t>
            </w:r>
          </w:p>
        </w:tc>
        <w:tc>
          <w:tcPr>
            <w:tcW w:w="545"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3.009</w:t>
            </w:r>
          </w:p>
        </w:tc>
        <w:tc>
          <w:tcPr>
            <w:tcW w:w="534"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1.452</w:t>
            </w:r>
          </w:p>
        </w:tc>
      </w:tr>
      <w:tr w:rsidR="007B39D8" w:rsidTr="007B39D8">
        <w:trPr>
          <w:trHeight w:val="20"/>
          <w:jc w:val="center"/>
        </w:trPr>
        <w:tc>
          <w:tcPr>
            <w:tcW w:w="1" w:type="pct"/>
            <w:gridSpan w:val="3"/>
            <w:tcBorders>
              <w:top w:val="nil"/>
              <w:left w:val="single" w:sz="8" w:space="0" w:color="auto"/>
              <w:bottom w:val="single" w:sz="8" w:space="0" w:color="auto"/>
              <w:right w:val="single" w:sz="8" w:space="0" w:color="000000"/>
            </w:tcBorders>
            <w:shd w:val="clear" w:color="auto" w:fill="95B3D7" w:themeFill="accent1" w:themeFillTint="99"/>
            <w:noWrap/>
            <w:vAlign w:val="center"/>
            <w:hideMark/>
          </w:tcPr>
          <w:p w:rsidR="007B39D8" w:rsidRDefault="007B39D8">
            <w:pPr>
              <w:spacing w:line="254" w:lineRule="auto"/>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TESORERÍA CALIDAD MATRÍCULA</w:t>
            </w:r>
          </w:p>
        </w:tc>
        <w:tc>
          <w:tcPr>
            <w:tcW w:w="635"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87</w:t>
            </w:r>
          </w:p>
        </w:tc>
        <w:tc>
          <w:tcPr>
            <w:tcW w:w="1624" w:type="pct"/>
            <w:gridSpan w:val="3"/>
            <w:tcBorders>
              <w:top w:val="single" w:sz="8" w:space="0" w:color="auto"/>
              <w:left w:val="nil"/>
              <w:bottom w:val="single" w:sz="8" w:space="0" w:color="auto"/>
              <w:right w:val="single" w:sz="8" w:space="0" w:color="000000"/>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1.185</w:t>
            </w:r>
          </w:p>
        </w:tc>
      </w:tr>
      <w:tr w:rsidR="007B39D8" w:rsidTr="007B39D8">
        <w:trPr>
          <w:trHeight w:val="20"/>
          <w:jc w:val="center"/>
        </w:trPr>
        <w:tc>
          <w:tcPr>
            <w:tcW w:w="1" w:type="pct"/>
            <w:gridSpan w:val="3"/>
            <w:tcBorders>
              <w:top w:val="nil"/>
              <w:left w:val="single" w:sz="8" w:space="0" w:color="auto"/>
              <w:bottom w:val="single" w:sz="8" w:space="0" w:color="auto"/>
              <w:right w:val="single" w:sz="8" w:space="0" w:color="000000"/>
            </w:tcBorders>
            <w:shd w:val="clear" w:color="auto" w:fill="95B3D7" w:themeFill="accent1" w:themeFillTint="99"/>
            <w:noWrap/>
            <w:vAlign w:val="center"/>
            <w:hideMark/>
          </w:tcPr>
          <w:p w:rsidR="007B39D8" w:rsidRDefault="007B39D8">
            <w:pPr>
              <w:spacing w:line="254" w:lineRule="auto"/>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lastRenderedPageBreak/>
              <w:t>DIFERENCIA CON TESORERÍA</w:t>
            </w:r>
          </w:p>
        </w:tc>
        <w:tc>
          <w:tcPr>
            <w:tcW w:w="642"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000000"/>
                <w:sz w:val="14"/>
                <w:szCs w:val="16"/>
                <w:lang w:val="es-CO" w:eastAsia="es-CO"/>
              </w:rPr>
              <w:t>- 87</w:t>
            </w:r>
          </w:p>
        </w:tc>
        <w:tc>
          <w:tcPr>
            <w:tcW w:w="1638" w:type="pct"/>
            <w:gridSpan w:val="3"/>
            <w:tcBorders>
              <w:top w:val="single" w:sz="8" w:space="0" w:color="auto"/>
              <w:left w:val="nil"/>
              <w:bottom w:val="single" w:sz="8" w:space="0" w:color="auto"/>
              <w:right w:val="single" w:sz="8" w:space="0" w:color="000000"/>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4"/>
                <w:szCs w:val="16"/>
                <w:lang w:val="es-CO" w:eastAsia="es-CO"/>
              </w:rPr>
            </w:pPr>
            <w:r>
              <w:rPr>
                <w:rFonts w:ascii="Arial" w:eastAsia="Times New Roman" w:hAnsi="Arial" w:cs="Arial"/>
                <w:b/>
                <w:bCs/>
                <w:color w:val="FF0000"/>
                <w:sz w:val="14"/>
                <w:szCs w:val="16"/>
                <w:lang w:val="es-CO" w:eastAsia="es-CO"/>
              </w:rPr>
              <w:t xml:space="preserve">(4) </w:t>
            </w:r>
            <w:r>
              <w:rPr>
                <w:rFonts w:ascii="Arial" w:eastAsia="Times New Roman" w:hAnsi="Arial" w:cs="Arial"/>
                <w:b/>
                <w:bCs/>
                <w:color w:val="000000"/>
                <w:sz w:val="14"/>
                <w:szCs w:val="16"/>
                <w:lang w:val="es-CO" w:eastAsia="es-CO"/>
              </w:rPr>
              <w:t>267</w:t>
            </w:r>
          </w:p>
        </w:tc>
      </w:tr>
    </w:tbl>
    <w:p w:rsidR="007B39D8" w:rsidRDefault="007B39D8" w:rsidP="007B39D8">
      <w:pPr>
        <w:jc w:val="both"/>
        <w:rPr>
          <w:rFonts w:ascii="Arial" w:hAnsi="Arial" w:cs="Arial"/>
          <w:sz w:val="22"/>
          <w:szCs w:val="22"/>
        </w:rPr>
      </w:pPr>
    </w:p>
    <w:p w:rsidR="007B39D8" w:rsidRDefault="007B39D8" w:rsidP="007B39D8">
      <w:pPr>
        <w:pStyle w:val="Prrafodelista"/>
        <w:numPr>
          <w:ilvl w:val="0"/>
          <w:numId w:val="14"/>
        </w:numPr>
        <w:ind w:left="426" w:hanging="426"/>
        <w:jc w:val="both"/>
        <w:rPr>
          <w:rFonts w:ascii="Arial" w:hAnsi="Arial" w:cs="Arial"/>
          <w:sz w:val="22"/>
          <w:szCs w:val="22"/>
        </w:rPr>
      </w:pPr>
      <w:r>
        <w:rPr>
          <w:rFonts w:ascii="Arial" w:hAnsi="Arial" w:cs="Arial"/>
          <w:sz w:val="22"/>
          <w:szCs w:val="22"/>
        </w:rPr>
        <w:t xml:space="preserve">Como se puede observar al cierre de la vigencia 2019 hay un déficit presupuestal de los recursos CSF el cual se generó porque se comprometieron más recursos de prestación de servicios CSF de lo recaudado por este concepto, no obstante, el resultado del cierre no reflejó dicho déficit. El Ministerio de Educación Nacional informó en el acta de cierre de la vigencia 2019, suscrita del 3 al 5 de febrero de 2020, que el Municipio ajustó los recursos con situación de fondos para que presupuestalmente se financiara la nómina faltante al cierre de la vigencia con los recursos no comprometidos de SSF, es decir hizo un movimiento presupuestal indebido dado que los recursos SSF no son girados directamente a la entidad. </w:t>
      </w:r>
    </w:p>
    <w:p w:rsidR="007B39D8" w:rsidRDefault="007B39D8" w:rsidP="007B39D8">
      <w:pPr>
        <w:pStyle w:val="Prrafodelista"/>
        <w:ind w:left="426" w:hanging="426"/>
        <w:jc w:val="both"/>
        <w:rPr>
          <w:rFonts w:ascii="Arial" w:hAnsi="Arial" w:cs="Arial"/>
          <w:sz w:val="22"/>
          <w:szCs w:val="22"/>
        </w:rPr>
      </w:pPr>
    </w:p>
    <w:p w:rsidR="007B39D8" w:rsidRDefault="007B39D8" w:rsidP="007B39D8">
      <w:pPr>
        <w:pStyle w:val="Prrafodelista"/>
        <w:numPr>
          <w:ilvl w:val="0"/>
          <w:numId w:val="14"/>
        </w:numPr>
        <w:ind w:left="426" w:hanging="426"/>
        <w:jc w:val="both"/>
        <w:rPr>
          <w:rFonts w:ascii="Arial" w:hAnsi="Arial" w:cs="Arial"/>
          <w:sz w:val="22"/>
          <w:szCs w:val="22"/>
        </w:rPr>
      </w:pPr>
      <w:r>
        <w:rPr>
          <w:rFonts w:ascii="Arial" w:hAnsi="Arial" w:cs="Arial"/>
          <w:sz w:val="22"/>
          <w:szCs w:val="22"/>
        </w:rPr>
        <w:t>Continuando con la vigencia 2019, si bien el superávit de Tesorería difiere del presupuestal, los recursos de Tesorería son suficientes para amparar el superávit presupuestal, así las cosas, teniendo en cuenta los saldos de los extractos $2.598 millones, se descuenta los valores certificados por tesorería de cuentas por pagar por $782 millones, de “cheques no cobrados” por $4 millones y recursos de terceros por $1.306 millones, al final el superávit de tesorería es de $504 millones, de los cuales de acuerdo con el resultado del análisis presupuestal $114 millones corresponden a rendimientos financieros, que se deben destinar a calidad.</w:t>
      </w:r>
    </w:p>
    <w:p w:rsidR="007B39D8" w:rsidRDefault="007B39D8" w:rsidP="007B39D8">
      <w:pPr>
        <w:pStyle w:val="Prrafodelista"/>
        <w:ind w:left="426" w:hanging="426"/>
        <w:rPr>
          <w:rFonts w:ascii="Arial" w:hAnsi="Arial" w:cs="Arial"/>
          <w:sz w:val="22"/>
          <w:szCs w:val="22"/>
        </w:rPr>
      </w:pPr>
    </w:p>
    <w:p w:rsidR="007B39D8" w:rsidRDefault="007B39D8" w:rsidP="007B39D8">
      <w:pPr>
        <w:pStyle w:val="Prrafodelista"/>
        <w:ind w:left="426"/>
        <w:jc w:val="both"/>
        <w:rPr>
          <w:rFonts w:ascii="Arial" w:hAnsi="Arial" w:cs="Arial"/>
          <w:sz w:val="22"/>
          <w:szCs w:val="22"/>
        </w:rPr>
      </w:pPr>
      <w:r>
        <w:rPr>
          <w:rFonts w:ascii="Arial" w:hAnsi="Arial" w:cs="Arial"/>
          <w:sz w:val="22"/>
          <w:szCs w:val="22"/>
        </w:rPr>
        <w:t>En el anterior seguimiento se identificaron $138 millones de otras exigibilidades que correspondían al pago retenido de una docente que presentó su estatus de amenazada y actualmente está laborando en el departamento de Cundinamarca, por lo que se recomendó liberar dichos recursos. En el acta del MEN del 17 al 19 de febrero de 2021 se mencionó que en la certificación de septiembre aún aparecían estos recursos como otras exigibilidades, y en la última certificación de tesorería dichos recursos se incluyeron en el superávit.</w:t>
      </w:r>
    </w:p>
    <w:p w:rsidR="007B39D8" w:rsidRDefault="007B39D8" w:rsidP="007B39D8">
      <w:pPr>
        <w:pStyle w:val="Prrafodelista"/>
        <w:ind w:left="426" w:hanging="426"/>
        <w:jc w:val="both"/>
        <w:rPr>
          <w:rFonts w:ascii="Arial" w:hAnsi="Arial" w:cs="Arial"/>
          <w:sz w:val="22"/>
          <w:szCs w:val="22"/>
        </w:rPr>
      </w:pPr>
    </w:p>
    <w:p w:rsidR="007B39D8" w:rsidRDefault="007B39D8" w:rsidP="007B39D8">
      <w:pPr>
        <w:pStyle w:val="Prrafodelista"/>
        <w:ind w:left="426"/>
        <w:jc w:val="both"/>
        <w:rPr>
          <w:rFonts w:ascii="Arial" w:hAnsi="Arial" w:cs="Arial"/>
          <w:sz w:val="22"/>
          <w:szCs w:val="22"/>
        </w:rPr>
      </w:pPr>
      <w:r>
        <w:rPr>
          <w:rFonts w:ascii="Arial" w:hAnsi="Arial" w:cs="Arial"/>
          <w:sz w:val="22"/>
          <w:szCs w:val="22"/>
        </w:rPr>
        <w:t>Por tanto, adicional a los $504 millones de superávit se debe incluir los recursos mencionados por el Ministerio de Educación Nacional en el acta de cierre que suscribió con la entidad del 3 al 5 de febrero de 2020, los cuales se deben financiar con recursos propios para apalancar conceptos de nómina por $90 millones, correspondientes a:</w:t>
      </w:r>
    </w:p>
    <w:p w:rsidR="007B39D8" w:rsidRDefault="007B39D8" w:rsidP="007B39D8">
      <w:pPr>
        <w:ind w:left="426" w:hanging="426"/>
        <w:jc w:val="both"/>
        <w:rPr>
          <w:rFonts w:ascii="Arial" w:hAnsi="Arial" w:cs="Arial"/>
          <w:sz w:val="22"/>
          <w:szCs w:val="22"/>
        </w:rPr>
      </w:pPr>
    </w:p>
    <w:p w:rsidR="007B39D8" w:rsidRDefault="007B39D8" w:rsidP="007B39D8">
      <w:pPr>
        <w:pStyle w:val="Prrafodelista"/>
        <w:numPr>
          <w:ilvl w:val="0"/>
          <w:numId w:val="16"/>
        </w:numPr>
        <w:ind w:left="426" w:hanging="426"/>
        <w:jc w:val="both"/>
        <w:rPr>
          <w:rFonts w:ascii="Arial" w:hAnsi="Arial" w:cs="Arial"/>
          <w:sz w:val="22"/>
          <w:szCs w:val="22"/>
        </w:rPr>
      </w:pPr>
      <w:r>
        <w:rPr>
          <w:rFonts w:ascii="Arial" w:hAnsi="Arial" w:cs="Arial"/>
          <w:sz w:val="22"/>
          <w:szCs w:val="22"/>
        </w:rPr>
        <w:t>$66 millones para pagar el déficit de los recursos CSF los cuales se deben cubrir con recursos propios.</w:t>
      </w:r>
    </w:p>
    <w:p w:rsidR="007B39D8" w:rsidRDefault="007B39D8" w:rsidP="007B39D8">
      <w:pPr>
        <w:pStyle w:val="Prrafodelista"/>
        <w:numPr>
          <w:ilvl w:val="0"/>
          <w:numId w:val="16"/>
        </w:numPr>
        <w:ind w:left="426" w:hanging="426"/>
        <w:jc w:val="both"/>
        <w:rPr>
          <w:rFonts w:ascii="Arial" w:hAnsi="Arial" w:cs="Arial"/>
          <w:sz w:val="22"/>
          <w:szCs w:val="22"/>
        </w:rPr>
      </w:pPr>
      <w:r>
        <w:rPr>
          <w:rFonts w:ascii="Arial" w:hAnsi="Arial" w:cs="Arial"/>
          <w:sz w:val="22"/>
          <w:szCs w:val="22"/>
        </w:rPr>
        <w:t>$24 millones de 2019 que el MEN identificó, adicionales a los valores determinados en la vigencia 2018 que un funcionario de la Secretaría de Educación desvío en la dispersión de los recursos de nómina.</w:t>
      </w:r>
    </w:p>
    <w:p w:rsidR="007B39D8" w:rsidRDefault="007B39D8" w:rsidP="007B39D8">
      <w:pPr>
        <w:pStyle w:val="Prrafodelista"/>
        <w:ind w:left="426" w:hanging="426"/>
        <w:jc w:val="both"/>
        <w:rPr>
          <w:rFonts w:ascii="Arial" w:hAnsi="Arial" w:cs="Arial"/>
          <w:sz w:val="22"/>
          <w:szCs w:val="22"/>
        </w:rPr>
      </w:pPr>
    </w:p>
    <w:p w:rsidR="007B39D8" w:rsidRDefault="007B39D8" w:rsidP="007B39D8">
      <w:pPr>
        <w:pStyle w:val="Prrafodelista"/>
        <w:ind w:left="426"/>
        <w:jc w:val="both"/>
        <w:rPr>
          <w:rFonts w:ascii="Arial" w:hAnsi="Arial" w:cs="Arial"/>
          <w:sz w:val="22"/>
          <w:szCs w:val="22"/>
        </w:rPr>
      </w:pPr>
      <w:r>
        <w:rPr>
          <w:rFonts w:ascii="Arial" w:hAnsi="Arial" w:cs="Arial"/>
          <w:sz w:val="22"/>
          <w:szCs w:val="22"/>
        </w:rPr>
        <w:t xml:space="preserve">De acuerdo con los registros presupuestales enviados por la entidad y lo mencionado por la </w:t>
      </w:r>
      <w:r>
        <w:rPr>
          <w:rFonts w:ascii="Arial" w:hAnsi="Arial" w:cs="Arial"/>
          <w:bCs/>
          <w:sz w:val="22"/>
          <w:szCs w:val="22"/>
        </w:rPr>
        <w:t>subsecretaría administrativa y financiera de la Secretaría de Educación</w:t>
      </w:r>
      <w:r>
        <w:rPr>
          <w:rFonts w:ascii="Arial" w:hAnsi="Arial" w:cs="Arial"/>
          <w:sz w:val="22"/>
          <w:szCs w:val="22"/>
        </w:rPr>
        <w:t xml:space="preserve"> </w:t>
      </w:r>
      <w:r>
        <w:rPr>
          <w:rFonts w:ascii="Arial" w:hAnsi="Arial" w:cs="Arial"/>
          <w:bCs/>
          <w:sz w:val="22"/>
          <w:szCs w:val="22"/>
        </w:rPr>
        <w:t>en reunión sostenida el 24 de agosto</w:t>
      </w:r>
      <w:r>
        <w:rPr>
          <w:rFonts w:ascii="Arial" w:hAnsi="Arial" w:cs="Arial"/>
          <w:sz w:val="22"/>
          <w:szCs w:val="22"/>
        </w:rPr>
        <w:t xml:space="preserve"> de 2021, dichos valores fueron restituidos por la entidad con recursos propios, ya que en la vigencia 2020 se financiaron con dichos recursos algunos conceptos de nómina de los administrativos de las instituciones educativas y de la Secretaría de Educación por $174 millones, de los cuales $48 </w:t>
      </w:r>
      <w:r>
        <w:rPr>
          <w:rFonts w:ascii="Arial" w:hAnsi="Arial" w:cs="Arial"/>
          <w:sz w:val="22"/>
          <w:szCs w:val="22"/>
        </w:rPr>
        <w:lastRenderedPageBreak/>
        <w:t xml:space="preserve">millones corresponden a la restitución por el exceso de gasto administrativo de 2018 y los $126 millones restantes para cubrir estos $90 millones descrito líneas arriba. </w:t>
      </w:r>
    </w:p>
    <w:p w:rsidR="007B39D8" w:rsidRDefault="007B39D8" w:rsidP="007B39D8">
      <w:pPr>
        <w:ind w:left="426" w:hanging="426"/>
        <w:jc w:val="both"/>
        <w:rPr>
          <w:rFonts w:ascii="Arial" w:hAnsi="Arial" w:cs="Arial"/>
          <w:sz w:val="22"/>
          <w:szCs w:val="22"/>
        </w:rPr>
      </w:pPr>
    </w:p>
    <w:p w:rsidR="007B39D8" w:rsidRDefault="007B39D8" w:rsidP="007B39D8">
      <w:pPr>
        <w:pStyle w:val="Prrafodelista"/>
        <w:ind w:left="426"/>
        <w:jc w:val="both"/>
        <w:rPr>
          <w:rFonts w:ascii="Arial" w:hAnsi="Arial" w:cs="Arial"/>
          <w:sz w:val="22"/>
          <w:szCs w:val="22"/>
        </w:rPr>
      </w:pPr>
      <w:r>
        <w:rPr>
          <w:rFonts w:ascii="Arial" w:hAnsi="Arial" w:cs="Arial"/>
          <w:sz w:val="22"/>
          <w:szCs w:val="22"/>
        </w:rPr>
        <w:t xml:space="preserve">Por otro lado, en el acta suscrita entre la entidad territorial y el Ministerio en febrero de 2020 se indicó que también faltaban $123 millones que se debían reintegrar, relacionados con los pagos dobles de la nómina que se hicieron en vigencias anteriores. No obstante, en la visita realizada por el Ministerio de Educación Nacional al cierre de la vigencia 2020 se encontró que la entidad había realizado la depuración de estos valores presentando una deuda de $90 millones, que se han ido recaudado con descuentos de nómina, consignaciones a la cuenta maestra y consignaciones a una cuenta que </w:t>
      </w:r>
      <w:proofErr w:type="spellStart"/>
      <w:r>
        <w:rPr>
          <w:rFonts w:ascii="Arial" w:hAnsi="Arial" w:cs="Arial"/>
          <w:sz w:val="22"/>
          <w:szCs w:val="22"/>
        </w:rPr>
        <w:t>aperturaron</w:t>
      </w:r>
      <w:proofErr w:type="spellEnd"/>
      <w:r>
        <w:rPr>
          <w:rFonts w:ascii="Arial" w:hAnsi="Arial" w:cs="Arial"/>
          <w:sz w:val="22"/>
          <w:szCs w:val="22"/>
        </w:rPr>
        <w:t xml:space="preserve"> para tal fin, por lo que a enero de 2021 el saldo por recaudar de estos recursos es de $37 millones.</w:t>
      </w:r>
    </w:p>
    <w:p w:rsidR="007B39D8" w:rsidRDefault="007B39D8" w:rsidP="007B39D8">
      <w:pPr>
        <w:pStyle w:val="Prrafodelista"/>
        <w:ind w:left="426" w:hanging="426"/>
        <w:jc w:val="both"/>
        <w:rPr>
          <w:rFonts w:ascii="Arial" w:hAnsi="Arial" w:cs="Arial"/>
          <w:sz w:val="22"/>
          <w:szCs w:val="22"/>
        </w:rPr>
      </w:pPr>
    </w:p>
    <w:p w:rsidR="007B39D8" w:rsidRDefault="007B39D8" w:rsidP="007B39D8">
      <w:pPr>
        <w:pStyle w:val="Prrafodelista"/>
        <w:ind w:left="426"/>
        <w:jc w:val="both"/>
        <w:rPr>
          <w:rFonts w:ascii="Arial" w:hAnsi="Arial" w:cs="Arial"/>
          <w:sz w:val="22"/>
          <w:szCs w:val="22"/>
        </w:rPr>
      </w:pPr>
      <w:r>
        <w:rPr>
          <w:rFonts w:ascii="Arial" w:hAnsi="Arial" w:cs="Arial"/>
          <w:sz w:val="22"/>
          <w:szCs w:val="22"/>
        </w:rPr>
        <w:t xml:space="preserve">Ahora bien, en esta misma acta del 17 al 19 de febrero de 2021 el Ministerio mencionó que en la vigencia 2020 la entidad reconoció a los </w:t>
      </w:r>
      <w:proofErr w:type="spellStart"/>
      <w:r>
        <w:rPr>
          <w:rFonts w:ascii="Arial" w:hAnsi="Arial" w:cs="Arial"/>
          <w:sz w:val="22"/>
          <w:szCs w:val="22"/>
        </w:rPr>
        <w:t>Etnoeducadores</w:t>
      </w:r>
      <w:proofErr w:type="spellEnd"/>
      <w:r>
        <w:rPr>
          <w:rFonts w:ascii="Arial" w:hAnsi="Arial" w:cs="Arial"/>
          <w:sz w:val="22"/>
          <w:szCs w:val="22"/>
        </w:rPr>
        <w:t xml:space="preserve"> un grado de escalafón más alto al que debía, por lo que se tenía un saldo a reintegrar de 2020 por $153 millones. No obstante, con las consignaciones que se efectuaron para la devolución de estos recursos y los descuentos de nómina, el saldo por recaudar es de $28 millones, tal y como se describe a continuación:</w:t>
      </w:r>
    </w:p>
    <w:p w:rsidR="007B39D8" w:rsidRDefault="007B39D8" w:rsidP="007B39D8">
      <w:pPr>
        <w:ind w:left="426" w:hanging="426"/>
        <w:jc w:val="both"/>
        <w:rPr>
          <w:rFonts w:ascii="Arial" w:hAnsi="Arial" w:cs="Arial"/>
          <w:sz w:val="22"/>
          <w:szCs w:val="22"/>
        </w:rPr>
      </w:pPr>
    </w:p>
    <w:tbl>
      <w:tblPr>
        <w:tblW w:w="6262" w:type="dxa"/>
        <w:jc w:val="center"/>
        <w:tblCellMar>
          <w:left w:w="70" w:type="dxa"/>
          <w:right w:w="70" w:type="dxa"/>
        </w:tblCellMar>
        <w:tblLook w:val="04A0" w:firstRow="1" w:lastRow="0" w:firstColumn="1" w:lastColumn="0" w:noHBand="0" w:noVBand="1"/>
      </w:tblPr>
      <w:tblGrid>
        <w:gridCol w:w="2790"/>
        <w:gridCol w:w="1736"/>
        <w:gridCol w:w="1736"/>
      </w:tblGrid>
      <w:tr w:rsidR="007B39D8" w:rsidTr="007B39D8">
        <w:trPr>
          <w:trHeight w:val="589"/>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Concepto</w:t>
            </w:r>
          </w:p>
        </w:tc>
        <w:tc>
          <w:tcPr>
            <w:tcW w:w="1736"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Pagos dobles vigencias anteriores</w:t>
            </w:r>
          </w:p>
        </w:tc>
        <w:tc>
          <w:tcPr>
            <w:tcW w:w="1736"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 xml:space="preserve">Pagos adicionales </w:t>
            </w:r>
            <w:proofErr w:type="spellStart"/>
            <w:r>
              <w:rPr>
                <w:rFonts w:ascii="Arial" w:eastAsia="Times New Roman" w:hAnsi="Arial" w:cs="Arial"/>
                <w:b/>
                <w:bCs/>
                <w:color w:val="FFFFFF" w:themeColor="background1"/>
                <w:sz w:val="16"/>
                <w:szCs w:val="16"/>
                <w:lang w:val="es-CO" w:eastAsia="es-CO"/>
              </w:rPr>
              <w:t>Etnoeducadores</w:t>
            </w:r>
            <w:proofErr w:type="spellEnd"/>
            <w:r>
              <w:rPr>
                <w:rFonts w:ascii="Arial" w:eastAsia="Times New Roman" w:hAnsi="Arial" w:cs="Arial"/>
                <w:b/>
                <w:bCs/>
                <w:color w:val="FFFFFF" w:themeColor="background1"/>
                <w:sz w:val="16"/>
                <w:szCs w:val="16"/>
                <w:lang w:val="es-CO" w:eastAsia="es-CO"/>
              </w:rPr>
              <w:t xml:space="preserve"> 2020</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DEUDA</w:t>
            </w:r>
          </w:p>
        </w:tc>
        <w:tc>
          <w:tcPr>
            <w:tcW w:w="1736" w:type="dxa"/>
            <w:tcBorders>
              <w:top w:val="nil"/>
              <w:left w:val="nil"/>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jc w:val="right"/>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 xml:space="preserve"> 89.563.073 </w:t>
            </w:r>
          </w:p>
        </w:tc>
        <w:tc>
          <w:tcPr>
            <w:tcW w:w="1736" w:type="dxa"/>
            <w:tcBorders>
              <w:top w:val="nil"/>
              <w:left w:val="nil"/>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jc w:val="right"/>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 xml:space="preserve"> 153.598.909 </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sz w:val="16"/>
                <w:szCs w:val="16"/>
                <w:lang w:val="es-CO" w:eastAsia="es-CO"/>
              </w:rPr>
            </w:pPr>
            <w:r>
              <w:rPr>
                <w:rFonts w:ascii="Arial" w:eastAsia="Times New Roman" w:hAnsi="Arial" w:cs="Arial"/>
                <w:sz w:val="16"/>
                <w:szCs w:val="16"/>
                <w:lang w:val="es-CO" w:eastAsia="es-CO"/>
              </w:rPr>
              <w:t>Consignaciones</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5.483.736 </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19.747.220 </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sz w:val="16"/>
                <w:szCs w:val="16"/>
                <w:lang w:val="es-CO" w:eastAsia="es-CO"/>
              </w:rPr>
            </w:pPr>
            <w:r>
              <w:rPr>
                <w:rFonts w:ascii="Arial" w:eastAsia="Times New Roman" w:hAnsi="Arial" w:cs="Arial"/>
                <w:sz w:val="16"/>
                <w:szCs w:val="16"/>
                <w:lang w:val="es-CO" w:eastAsia="es-CO"/>
              </w:rPr>
              <w:t>Consignaciones</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4.380.592 </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2.163.514 </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sz w:val="16"/>
                <w:szCs w:val="16"/>
                <w:lang w:val="es-CO" w:eastAsia="es-CO"/>
              </w:rPr>
            </w:pPr>
            <w:r>
              <w:rPr>
                <w:rFonts w:ascii="Arial" w:eastAsia="Times New Roman" w:hAnsi="Arial" w:cs="Arial"/>
                <w:sz w:val="16"/>
                <w:szCs w:val="16"/>
                <w:lang w:val="es-CO" w:eastAsia="es-CO"/>
              </w:rPr>
              <w:t>Consignaciones</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899.821 </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4.891.300 </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sz w:val="16"/>
                <w:szCs w:val="16"/>
                <w:lang w:val="es-CO" w:eastAsia="es-CO"/>
              </w:rPr>
            </w:pPr>
            <w:r>
              <w:rPr>
                <w:rFonts w:ascii="Arial" w:eastAsia="Times New Roman" w:hAnsi="Arial" w:cs="Arial"/>
                <w:sz w:val="16"/>
                <w:szCs w:val="16"/>
                <w:lang w:val="es-CO" w:eastAsia="es-CO"/>
              </w:rPr>
              <w:t>Consignaciones</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16.955.525 </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Total consignaciones</w:t>
            </w:r>
          </w:p>
        </w:tc>
        <w:tc>
          <w:tcPr>
            <w:tcW w:w="1736" w:type="dxa"/>
            <w:tcBorders>
              <w:top w:val="nil"/>
              <w:left w:val="nil"/>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jc w:val="right"/>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 xml:space="preserve"> 10.764.149 </w:t>
            </w:r>
          </w:p>
        </w:tc>
        <w:tc>
          <w:tcPr>
            <w:tcW w:w="1736" w:type="dxa"/>
            <w:tcBorders>
              <w:top w:val="nil"/>
              <w:left w:val="nil"/>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jc w:val="right"/>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 xml:space="preserve"> 43.757.559 </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sz w:val="16"/>
                <w:szCs w:val="16"/>
                <w:lang w:val="es-CO" w:eastAsia="es-CO"/>
              </w:rPr>
            </w:pPr>
            <w:r>
              <w:rPr>
                <w:rFonts w:ascii="Arial" w:eastAsia="Times New Roman" w:hAnsi="Arial" w:cs="Arial"/>
                <w:sz w:val="16"/>
                <w:szCs w:val="16"/>
                <w:lang w:val="es-CO" w:eastAsia="es-CO"/>
              </w:rPr>
              <w:t>Descuentos de nómina</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7.377.611 </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28.107.922 </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sz w:val="16"/>
                <w:szCs w:val="16"/>
                <w:lang w:val="es-CO" w:eastAsia="es-CO"/>
              </w:rPr>
            </w:pPr>
            <w:r>
              <w:rPr>
                <w:rFonts w:ascii="Arial" w:eastAsia="Times New Roman" w:hAnsi="Arial" w:cs="Arial"/>
                <w:sz w:val="16"/>
                <w:szCs w:val="16"/>
                <w:lang w:val="es-CO" w:eastAsia="es-CO"/>
              </w:rPr>
              <w:t>Descuentos de nómina</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8.845.106 </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18.485.162 </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sz w:val="16"/>
                <w:szCs w:val="16"/>
                <w:lang w:val="es-CO" w:eastAsia="es-CO"/>
              </w:rPr>
            </w:pPr>
            <w:r>
              <w:rPr>
                <w:rFonts w:ascii="Arial" w:eastAsia="Times New Roman" w:hAnsi="Arial" w:cs="Arial"/>
                <w:sz w:val="16"/>
                <w:szCs w:val="16"/>
                <w:lang w:val="es-CO" w:eastAsia="es-CO"/>
              </w:rPr>
              <w:t>Descuentos de nómina</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10.747.130 </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18.908.532 </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sz w:val="16"/>
                <w:szCs w:val="16"/>
                <w:lang w:val="es-CO" w:eastAsia="es-CO"/>
              </w:rPr>
            </w:pPr>
            <w:r>
              <w:rPr>
                <w:rFonts w:ascii="Arial" w:eastAsia="Times New Roman" w:hAnsi="Arial" w:cs="Arial"/>
                <w:sz w:val="16"/>
                <w:szCs w:val="16"/>
                <w:lang w:val="es-CO" w:eastAsia="es-CO"/>
              </w:rPr>
              <w:t>Descuentos de nómina</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11.315.084 </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7.807.972 </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sz w:val="16"/>
                <w:szCs w:val="16"/>
                <w:lang w:val="es-CO" w:eastAsia="es-CO"/>
              </w:rPr>
            </w:pPr>
            <w:r>
              <w:rPr>
                <w:rFonts w:ascii="Arial" w:eastAsia="Times New Roman" w:hAnsi="Arial" w:cs="Arial"/>
                <w:sz w:val="16"/>
                <w:szCs w:val="16"/>
                <w:lang w:val="es-CO" w:eastAsia="es-CO"/>
              </w:rPr>
              <w:t>Descuentos de nómina</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3.934.140 </w:t>
            </w:r>
          </w:p>
        </w:tc>
        <w:tc>
          <w:tcPr>
            <w:tcW w:w="1736" w:type="dxa"/>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9.025.115 </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Total Descuentos de nómina</w:t>
            </w:r>
          </w:p>
        </w:tc>
        <w:tc>
          <w:tcPr>
            <w:tcW w:w="1736" w:type="dxa"/>
            <w:tcBorders>
              <w:top w:val="nil"/>
              <w:left w:val="nil"/>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jc w:val="right"/>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 xml:space="preserve"> 42.219.071 </w:t>
            </w:r>
          </w:p>
        </w:tc>
        <w:tc>
          <w:tcPr>
            <w:tcW w:w="1736" w:type="dxa"/>
            <w:tcBorders>
              <w:top w:val="nil"/>
              <w:left w:val="nil"/>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jc w:val="right"/>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 xml:space="preserve"> 82.334.703 </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TOTAL REINTEGRADO</w:t>
            </w:r>
          </w:p>
        </w:tc>
        <w:tc>
          <w:tcPr>
            <w:tcW w:w="1736" w:type="dxa"/>
            <w:tcBorders>
              <w:top w:val="nil"/>
              <w:left w:val="nil"/>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jc w:val="right"/>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 xml:space="preserve"> 52.983.220 </w:t>
            </w:r>
          </w:p>
        </w:tc>
        <w:tc>
          <w:tcPr>
            <w:tcW w:w="1736" w:type="dxa"/>
            <w:tcBorders>
              <w:top w:val="nil"/>
              <w:left w:val="nil"/>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jc w:val="right"/>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 xml:space="preserve"> 126.092.262 </w:t>
            </w:r>
          </w:p>
        </w:tc>
      </w:tr>
      <w:tr w:rsidR="007B39D8" w:rsidTr="007B39D8">
        <w:trPr>
          <w:trHeight w:val="196"/>
          <w:jc w:val="center"/>
        </w:trPr>
        <w:tc>
          <w:tcPr>
            <w:tcW w:w="279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SALDO POR REINTEGRAR</w:t>
            </w:r>
          </w:p>
        </w:tc>
        <w:tc>
          <w:tcPr>
            <w:tcW w:w="1736" w:type="dxa"/>
            <w:tcBorders>
              <w:top w:val="nil"/>
              <w:left w:val="nil"/>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jc w:val="right"/>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 xml:space="preserve"> 36.579.853 </w:t>
            </w:r>
          </w:p>
        </w:tc>
        <w:tc>
          <w:tcPr>
            <w:tcW w:w="1736" w:type="dxa"/>
            <w:tcBorders>
              <w:top w:val="nil"/>
              <w:left w:val="nil"/>
              <w:bottom w:val="single" w:sz="4" w:space="0" w:color="auto"/>
              <w:right w:val="single" w:sz="4" w:space="0" w:color="auto"/>
            </w:tcBorders>
            <w:shd w:val="clear" w:color="auto" w:fill="95B3D7" w:themeFill="accent1" w:themeFillTint="99"/>
            <w:noWrap/>
            <w:vAlign w:val="bottom"/>
            <w:hideMark/>
          </w:tcPr>
          <w:p w:rsidR="007B39D8" w:rsidRDefault="007B39D8">
            <w:pPr>
              <w:spacing w:line="254" w:lineRule="auto"/>
              <w:jc w:val="right"/>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 xml:space="preserve"> 27.506.647 </w:t>
            </w:r>
          </w:p>
        </w:tc>
      </w:tr>
    </w:tbl>
    <w:p w:rsidR="007B39D8" w:rsidRDefault="007B39D8" w:rsidP="007B39D8">
      <w:pPr>
        <w:ind w:left="426" w:hanging="426"/>
        <w:jc w:val="both"/>
        <w:rPr>
          <w:rFonts w:ascii="Arial" w:hAnsi="Arial" w:cs="Arial"/>
          <w:sz w:val="22"/>
          <w:szCs w:val="22"/>
        </w:rPr>
      </w:pPr>
    </w:p>
    <w:p w:rsidR="007B39D8" w:rsidRDefault="007B39D8" w:rsidP="007B39D8">
      <w:pPr>
        <w:ind w:left="426"/>
        <w:jc w:val="both"/>
        <w:rPr>
          <w:rFonts w:ascii="Arial" w:hAnsi="Arial" w:cs="Arial"/>
          <w:sz w:val="22"/>
          <w:szCs w:val="22"/>
        </w:rPr>
      </w:pPr>
      <w:r>
        <w:rPr>
          <w:rFonts w:ascii="Arial" w:hAnsi="Arial" w:cs="Arial"/>
          <w:sz w:val="22"/>
          <w:szCs w:val="22"/>
        </w:rPr>
        <w:t xml:space="preserve">Lo anterior da cuenta que a enero de 2021 se consignaron $55 millones, por lo que se revisó el extracto bancario de la cuenta que </w:t>
      </w:r>
      <w:proofErr w:type="spellStart"/>
      <w:r>
        <w:rPr>
          <w:rFonts w:ascii="Arial" w:hAnsi="Arial" w:cs="Arial"/>
          <w:sz w:val="22"/>
          <w:szCs w:val="22"/>
        </w:rPr>
        <w:t>aperturaron</w:t>
      </w:r>
      <w:proofErr w:type="spellEnd"/>
      <w:r>
        <w:rPr>
          <w:rFonts w:ascii="Arial" w:hAnsi="Arial" w:cs="Arial"/>
          <w:sz w:val="22"/>
          <w:szCs w:val="22"/>
        </w:rPr>
        <w:t xml:space="preserve"> para recoger dichos recursos, No. 346000128733 de Davivienda, en la cual se evidenció que a 31 de diciembre de 2020 había un saldo de $55 millones y a marzo de 2021 se observa una transferencia de $54 millones a la cuenta No. 0445015993 del banco BBVA la cual corresponde a la cuenta maestra de nómina, por lo que en total quedarían pendiente por recuperar $64 millones.</w:t>
      </w:r>
    </w:p>
    <w:p w:rsidR="007B39D8" w:rsidRDefault="007B39D8" w:rsidP="007B39D8">
      <w:pPr>
        <w:pStyle w:val="Prrafodelista"/>
        <w:ind w:left="426" w:hanging="426"/>
        <w:jc w:val="both"/>
        <w:rPr>
          <w:rFonts w:ascii="Arial" w:hAnsi="Arial" w:cs="Arial"/>
          <w:sz w:val="22"/>
          <w:szCs w:val="22"/>
        </w:rPr>
      </w:pPr>
    </w:p>
    <w:p w:rsidR="007B39D8" w:rsidRDefault="007B39D8" w:rsidP="007B39D8">
      <w:pPr>
        <w:pStyle w:val="Default"/>
        <w:numPr>
          <w:ilvl w:val="0"/>
          <w:numId w:val="14"/>
        </w:numPr>
        <w:ind w:left="426" w:hanging="426"/>
        <w:jc w:val="both"/>
        <w:rPr>
          <w:color w:val="auto"/>
          <w:sz w:val="22"/>
          <w:szCs w:val="22"/>
        </w:rPr>
      </w:pPr>
      <w:r>
        <w:rPr>
          <w:color w:val="auto"/>
          <w:sz w:val="22"/>
          <w:szCs w:val="22"/>
        </w:rPr>
        <w:t xml:space="preserve">Con respecto al 2020 se observa que los valores de las reservas y cuentas por pagar que arroja el ejercicio de cierre presupuestal son consistentes con los valores que certifican en Tesorería, los valores de los extractos bancarios de las cuentas maestras difieren en $53 millones con respecto a lo certificado como saldo en bancos. No </w:t>
      </w:r>
      <w:r>
        <w:rPr>
          <w:color w:val="auto"/>
          <w:sz w:val="22"/>
          <w:szCs w:val="22"/>
        </w:rPr>
        <w:lastRenderedPageBreak/>
        <w:t xml:space="preserve">obstante, el Ministerio de Educación en su acta de cierre de 2020 informó que dichos recursos están en la cuenta que la entidad </w:t>
      </w:r>
      <w:proofErr w:type="spellStart"/>
      <w:r>
        <w:rPr>
          <w:color w:val="auto"/>
          <w:sz w:val="22"/>
          <w:szCs w:val="22"/>
        </w:rPr>
        <w:t>aperturó</w:t>
      </w:r>
      <w:proofErr w:type="spellEnd"/>
      <w:r>
        <w:rPr>
          <w:color w:val="auto"/>
          <w:sz w:val="22"/>
          <w:szCs w:val="22"/>
        </w:rPr>
        <w:t xml:space="preserve"> con Davivienda con el No. 346000128733 para el reintegro de los recursos antes mencionados de los pagos duplicados de nóminas que se realizaron a docentes en 2019 y 2020. Por lo tanto, se solicitó el extracto bancario y se corroboró la existencia de los $53 millones en mención.</w:t>
      </w:r>
    </w:p>
    <w:p w:rsidR="007B39D8" w:rsidRDefault="007B39D8" w:rsidP="007B39D8">
      <w:pPr>
        <w:pStyle w:val="Default"/>
        <w:ind w:left="426" w:hanging="426"/>
        <w:jc w:val="both"/>
        <w:rPr>
          <w:color w:val="auto"/>
          <w:sz w:val="22"/>
          <w:szCs w:val="22"/>
        </w:rPr>
      </w:pPr>
    </w:p>
    <w:p w:rsidR="007B39D8" w:rsidRDefault="007B39D8" w:rsidP="007B39D8">
      <w:pPr>
        <w:pStyle w:val="Default"/>
        <w:ind w:left="426"/>
        <w:jc w:val="both"/>
        <w:rPr>
          <w:sz w:val="22"/>
          <w:szCs w:val="22"/>
        </w:rPr>
      </w:pPr>
      <w:r>
        <w:rPr>
          <w:sz w:val="22"/>
          <w:szCs w:val="22"/>
        </w:rPr>
        <w:t xml:space="preserve">Como se observa en el cuadro la entidad certificó un déficit en tesorería de prestación de servicios de $568 millones, mientras que el ejercicio presupuestal arroja un superávit de $85 millones, ante lo cual el Ministerio de Educación Informó en el acta de cierre de 2020 que hubo registros de recursos SSF que apalancaban los pagos CSF de la nómina de diciembre, por lo que el MEN recomendó a la entidad lo siguiente: </w:t>
      </w:r>
    </w:p>
    <w:p w:rsidR="007B39D8" w:rsidRDefault="007B39D8" w:rsidP="007B39D8">
      <w:pPr>
        <w:pStyle w:val="Default"/>
        <w:ind w:left="426"/>
        <w:jc w:val="both"/>
        <w:rPr>
          <w:sz w:val="22"/>
          <w:szCs w:val="22"/>
        </w:rPr>
      </w:pPr>
    </w:p>
    <w:p w:rsidR="007B39D8" w:rsidRDefault="007B39D8" w:rsidP="007B39D8">
      <w:pPr>
        <w:pStyle w:val="Default"/>
        <w:ind w:left="851"/>
        <w:jc w:val="both"/>
        <w:rPr>
          <w:color w:val="auto"/>
          <w:sz w:val="18"/>
          <w:szCs w:val="22"/>
        </w:rPr>
      </w:pPr>
      <w:r>
        <w:rPr>
          <w:i/>
          <w:iCs/>
          <w:sz w:val="18"/>
          <w:szCs w:val="22"/>
        </w:rPr>
        <w:t>“determinar teniendo como base la nómina liquidada y reconocida del mes de diciembre, los recursos mediante el cual se pudieron ver finalmente desfinanciados estableciendo los cruces respectivos de la cadena presupuestal (CDP, RP) frente a los pagos de tesorería. Se recomienda que en los registros presupuestales se denote significativamente en la descripción la sigla SSF a fin de crear una alerta adicional sobre el manejo de estos recursos”.</w:t>
      </w:r>
    </w:p>
    <w:p w:rsidR="007B39D8" w:rsidRDefault="007B39D8" w:rsidP="007B39D8">
      <w:pPr>
        <w:pStyle w:val="Default"/>
        <w:ind w:left="426" w:hanging="426"/>
        <w:jc w:val="both"/>
        <w:rPr>
          <w:i/>
          <w:iCs/>
          <w:sz w:val="22"/>
          <w:szCs w:val="22"/>
        </w:rPr>
      </w:pPr>
    </w:p>
    <w:p w:rsidR="007B39D8" w:rsidRDefault="007B39D8" w:rsidP="007B39D8">
      <w:pPr>
        <w:pStyle w:val="Default"/>
        <w:ind w:left="426"/>
        <w:jc w:val="both"/>
        <w:rPr>
          <w:sz w:val="22"/>
          <w:szCs w:val="22"/>
        </w:rPr>
      </w:pPr>
      <w:r>
        <w:rPr>
          <w:sz w:val="22"/>
          <w:szCs w:val="22"/>
        </w:rPr>
        <w:t xml:space="preserve">Adicionalmente el Ministerio de Educación mencionó en el acta que la Entidad no debía presentar en la vigencia 2020 déficit CSF y que los compromisos adquiridos debían tener pleno respaldo con los recursos efectivamente girados en las cuentas bancarias del SGP Educación y si en la vigencia anterior o vigencias anteriores se comprometieron recursos por encima de la asignación del SGP educación, estas debían ser cubiertas con recursos propios. No </w:t>
      </w:r>
      <w:proofErr w:type="gramStart"/>
      <w:r>
        <w:rPr>
          <w:sz w:val="22"/>
          <w:szCs w:val="22"/>
        </w:rPr>
        <w:t>obstante</w:t>
      </w:r>
      <w:proofErr w:type="gramEnd"/>
      <w:r>
        <w:rPr>
          <w:sz w:val="22"/>
          <w:szCs w:val="22"/>
        </w:rPr>
        <w:t xml:space="preserve"> lo anterior, también hizo la siguiente precisión: </w:t>
      </w:r>
    </w:p>
    <w:p w:rsidR="007B39D8" w:rsidRDefault="007B39D8" w:rsidP="007B39D8">
      <w:pPr>
        <w:pStyle w:val="Default"/>
        <w:ind w:left="426"/>
        <w:jc w:val="both"/>
        <w:rPr>
          <w:sz w:val="22"/>
          <w:szCs w:val="22"/>
        </w:rPr>
      </w:pPr>
    </w:p>
    <w:p w:rsidR="007B39D8" w:rsidRDefault="007B39D8" w:rsidP="007B39D8">
      <w:pPr>
        <w:pStyle w:val="Default"/>
        <w:ind w:left="851"/>
        <w:jc w:val="both"/>
        <w:rPr>
          <w:i/>
          <w:iCs/>
          <w:sz w:val="18"/>
          <w:szCs w:val="22"/>
        </w:rPr>
      </w:pPr>
      <w:r>
        <w:rPr>
          <w:sz w:val="18"/>
          <w:szCs w:val="22"/>
        </w:rPr>
        <w:t>“</w:t>
      </w:r>
      <w:r>
        <w:rPr>
          <w:i/>
          <w:iCs/>
          <w:sz w:val="18"/>
          <w:szCs w:val="22"/>
        </w:rPr>
        <w:t xml:space="preserve">Si bien el déficit presentado en la vigencia anterior debía ser cubierto con recursos propios, se propiciaron unas reuniones virtuales con la Oficina de Planeación del Ministerio con el fin de determinar y costear el valor de la nómina reconocido en la vigencia 2020 y un posible reconocimiento inferior al que se necesitaba, como fruto de dichos encuentros la entidad envió un oficio a dicha Oficina, determinando los valores reconocidos en nómina, para que por su parte se revisara por este Ministerio los valores asignados por asignación complementaria así como el superávit final con que contó la entidad territorial en el año 2019, teniendo en cuenta que los resultados cambiaron a lo largo de la vigencia 2020 como se ve en este documento. </w:t>
      </w:r>
    </w:p>
    <w:p w:rsidR="007B39D8" w:rsidRDefault="007B39D8" w:rsidP="007B39D8">
      <w:pPr>
        <w:pStyle w:val="Default"/>
        <w:ind w:left="851" w:hanging="426"/>
        <w:jc w:val="both"/>
        <w:rPr>
          <w:i/>
          <w:iCs/>
          <w:sz w:val="18"/>
          <w:szCs w:val="22"/>
        </w:rPr>
      </w:pPr>
    </w:p>
    <w:p w:rsidR="007B39D8" w:rsidRDefault="007B39D8" w:rsidP="007B39D8">
      <w:pPr>
        <w:pStyle w:val="Default"/>
        <w:ind w:left="851"/>
        <w:jc w:val="both"/>
        <w:rPr>
          <w:i/>
          <w:iCs/>
          <w:sz w:val="18"/>
          <w:szCs w:val="22"/>
        </w:rPr>
      </w:pPr>
      <w:r>
        <w:rPr>
          <w:i/>
          <w:iCs/>
          <w:sz w:val="18"/>
          <w:szCs w:val="22"/>
        </w:rPr>
        <w:t xml:space="preserve">Una vez realizado este ejercicio, se reconocerían las diferencias resultantes encontradas en dicha vigencia, si el valor reconocido por el Ministerio no supera el déficit determinado por la entidad, dicha diferencia debe ser asumida con recursos propios de la entidad en esta misma vigencia”. </w:t>
      </w:r>
    </w:p>
    <w:p w:rsidR="007B39D8" w:rsidRDefault="007B39D8" w:rsidP="007B39D8">
      <w:pPr>
        <w:pStyle w:val="Default"/>
        <w:ind w:left="426" w:hanging="426"/>
        <w:jc w:val="both"/>
        <w:rPr>
          <w:i/>
          <w:iCs/>
          <w:sz w:val="22"/>
          <w:szCs w:val="22"/>
        </w:rPr>
      </w:pPr>
    </w:p>
    <w:p w:rsidR="007B39D8" w:rsidRDefault="007B39D8" w:rsidP="007B39D8">
      <w:pPr>
        <w:pStyle w:val="Default"/>
        <w:ind w:left="426"/>
        <w:jc w:val="both"/>
        <w:rPr>
          <w:i/>
          <w:iCs/>
          <w:sz w:val="22"/>
          <w:szCs w:val="22"/>
        </w:rPr>
      </w:pPr>
      <w:r>
        <w:rPr>
          <w:sz w:val="22"/>
          <w:szCs w:val="22"/>
        </w:rPr>
        <w:t>Con respecto a lo anterior, la entidad presentó un oficio con radicado No. 1050.13.01.OD.067 del 19 de marzo, dirigido a la Oficina Asesora De Planeación en el que le solicita realizar el ajuste al plan anual de caja de 2020 y el reconocimiento de recursos faltantes para el pago de nómina docente de la vigencia 2020, por $1.030 millones, tal y como se muestra a continuación:</w:t>
      </w:r>
    </w:p>
    <w:p w:rsidR="007B39D8" w:rsidRDefault="007B39D8" w:rsidP="007B39D8">
      <w:pPr>
        <w:ind w:left="426" w:hanging="426"/>
        <w:jc w:val="both"/>
        <w:rPr>
          <w:rFonts w:ascii="Arial" w:hAnsi="Arial" w:cs="Arial"/>
          <w:sz w:val="22"/>
          <w:szCs w:val="22"/>
        </w:rPr>
      </w:pPr>
    </w:p>
    <w:p w:rsidR="007B39D8" w:rsidRDefault="007B39D8" w:rsidP="007B39D8">
      <w:pPr>
        <w:ind w:left="426" w:hanging="426"/>
        <w:jc w:val="center"/>
        <w:rPr>
          <w:rFonts w:ascii="Arial" w:hAnsi="Arial" w:cs="Arial"/>
          <w:sz w:val="22"/>
          <w:szCs w:val="22"/>
        </w:rPr>
      </w:pPr>
      <w:r>
        <w:rPr>
          <w:rFonts w:ascii="Arial" w:hAnsi="Arial" w:cs="Arial"/>
          <w:noProof/>
          <w:sz w:val="22"/>
          <w:szCs w:val="22"/>
          <w:lang w:val="es-CO" w:eastAsia="es-CO"/>
        </w:rPr>
        <w:lastRenderedPageBreak/>
        <w:drawing>
          <wp:inline distT="0" distB="0" distL="0" distR="0">
            <wp:extent cx="3472180" cy="10299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3">
                      <a:extLst>
                        <a:ext uri="{28A0092B-C50C-407E-A947-70E740481C1C}">
                          <a14:useLocalDpi xmlns:a14="http://schemas.microsoft.com/office/drawing/2010/main" val="0"/>
                        </a:ext>
                      </a:extLst>
                    </a:blip>
                    <a:srcRect l="26140" t="48808" r="52769" b="40050"/>
                    <a:stretch>
                      <a:fillRect/>
                    </a:stretch>
                  </pic:blipFill>
                  <pic:spPr bwMode="auto">
                    <a:xfrm>
                      <a:off x="0" y="0"/>
                      <a:ext cx="3472180" cy="1029970"/>
                    </a:xfrm>
                    <a:prstGeom prst="rect">
                      <a:avLst/>
                    </a:prstGeom>
                    <a:noFill/>
                    <a:ln>
                      <a:noFill/>
                    </a:ln>
                  </pic:spPr>
                </pic:pic>
              </a:graphicData>
            </a:graphic>
          </wp:inline>
        </w:drawing>
      </w:r>
    </w:p>
    <w:p w:rsidR="007B39D8" w:rsidRDefault="007B39D8" w:rsidP="007B39D8">
      <w:pPr>
        <w:ind w:left="426" w:hanging="426"/>
        <w:jc w:val="both"/>
        <w:rPr>
          <w:rFonts w:ascii="Arial" w:eastAsiaTheme="minorHAnsi" w:hAnsi="Arial" w:cs="Arial"/>
          <w:color w:val="000000"/>
          <w:sz w:val="22"/>
          <w:szCs w:val="22"/>
          <w:lang w:val="es-CO" w:eastAsia="en-US"/>
        </w:rPr>
      </w:pPr>
    </w:p>
    <w:p w:rsidR="007B39D8" w:rsidRDefault="007B39D8" w:rsidP="007B39D8">
      <w:pPr>
        <w:ind w:left="426"/>
        <w:jc w:val="both"/>
        <w:rPr>
          <w:rFonts w:ascii="Arial" w:eastAsiaTheme="minorHAnsi" w:hAnsi="Arial" w:cs="Arial"/>
          <w:color w:val="000000"/>
          <w:sz w:val="22"/>
          <w:szCs w:val="22"/>
          <w:lang w:val="es-CO" w:eastAsia="en-US"/>
        </w:rPr>
      </w:pPr>
      <w:r>
        <w:rPr>
          <w:rFonts w:ascii="Arial" w:eastAsiaTheme="minorHAnsi" w:hAnsi="Arial" w:cs="Arial"/>
          <w:color w:val="000000"/>
          <w:sz w:val="22"/>
          <w:szCs w:val="22"/>
          <w:lang w:val="es-CO" w:eastAsia="en-US"/>
        </w:rPr>
        <w:t>Sin embargo, la entidad también informó en el mismo oficio que realizó traslados de recursos de la cuenta maestra diferente de nómina (Banco BBVA 445022452) a la cuenta maestra de nómina (Banco BBVA 445015993) por valor de $463 millones, con el objetivo de pagar deudas por concepto de nómina, quedando un déficit de Tesorería de $568 millones como se presenta a continuación:</w:t>
      </w:r>
    </w:p>
    <w:p w:rsidR="007B39D8" w:rsidRDefault="007B39D8" w:rsidP="007B39D8">
      <w:pPr>
        <w:ind w:left="426" w:hanging="426"/>
        <w:jc w:val="both"/>
        <w:rPr>
          <w:rFonts w:ascii="Arial" w:hAnsi="Arial" w:cs="Arial"/>
          <w:sz w:val="22"/>
          <w:szCs w:val="22"/>
        </w:rPr>
      </w:pPr>
    </w:p>
    <w:p w:rsidR="007B39D8" w:rsidRDefault="007B39D8" w:rsidP="007B39D8">
      <w:pPr>
        <w:ind w:left="426" w:hanging="426"/>
        <w:jc w:val="center"/>
        <w:rPr>
          <w:rFonts w:ascii="Arial" w:hAnsi="Arial" w:cs="Arial"/>
          <w:sz w:val="22"/>
          <w:szCs w:val="22"/>
        </w:rPr>
      </w:pPr>
      <w:r>
        <w:rPr>
          <w:rFonts w:ascii="Arial" w:hAnsi="Arial" w:cs="Arial"/>
          <w:sz w:val="22"/>
          <w:szCs w:val="22"/>
        </w:rPr>
        <w:t xml:space="preserve"> </w:t>
      </w:r>
      <w:r>
        <w:rPr>
          <w:rFonts w:ascii="Arial" w:hAnsi="Arial" w:cs="Arial"/>
          <w:noProof/>
          <w:sz w:val="22"/>
          <w:szCs w:val="22"/>
          <w:lang w:val="es-CO" w:eastAsia="es-CO"/>
        </w:rPr>
        <w:drawing>
          <wp:inline distT="0" distB="0" distL="0" distR="0">
            <wp:extent cx="5173980" cy="72898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4">
                      <a:extLst>
                        <a:ext uri="{28A0092B-C50C-407E-A947-70E740481C1C}">
                          <a14:useLocalDpi xmlns:a14="http://schemas.microsoft.com/office/drawing/2010/main" val="0"/>
                        </a:ext>
                      </a:extLst>
                    </a:blip>
                    <a:srcRect l="19693" t="46648" r="48332" b="45299"/>
                    <a:stretch>
                      <a:fillRect/>
                    </a:stretch>
                  </pic:blipFill>
                  <pic:spPr bwMode="auto">
                    <a:xfrm>
                      <a:off x="0" y="0"/>
                      <a:ext cx="5173980" cy="728980"/>
                    </a:xfrm>
                    <a:prstGeom prst="rect">
                      <a:avLst/>
                    </a:prstGeom>
                    <a:noFill/>
                    <a:ln>
                      <a:noFill/>
                    </a:ln>
                  </pic:spPr>
                </pic:pic>
              </a:graphicData>
            </a:graphic>
          </wp:inline>
        </w:drawing>
      </w:r>
    </w:p>
    <w:p w:rsidR="007B39D8" w:rsidRDefault="007B39D8" w:rsidP="007B39D8">
      <w:pPr>
        <w:ind w:left="426" w:hanging="426"/>
        <w:jc w:val="both"/>
        <w:rPr>
          <w:rFonts w:ascii="Arial" w:hAnsi="Arial" w:cs="Arial"/>
          <w:bCs/>
          <w:sz w:val="22"/>
          <w:szCs w:val="22"/>
        </w:rPr>
      </w:pPr>
    </w:p>
    <w:p w:rsidR="007B39D8" w:rsidRDefault="007B39D8" w:rsidP="007B39D8">
      <w:pPr>
        <w:ind w:left="426"/>
        <w:jc w:val="both"/>
        <w:rPr>
          <w:rFonts w:ascii="Arial" w:hAnsi="Arial" w:cs="Arial"/>
          <w:bCs/>
          <w:sz w:val="22"/>
          <w:szCs w:val="22"/>
        </w:rPr>
      </w:pPr>
      <w:r>
        <w:rPr>
          <w:rFonts w:ascii="Arial" w:hAnsi="Arial" w:cs="Arial"/>
          <w:bCs/>
          <w:sz w:val="22"/>
          <w:szCs w:val="22"/>
        </w:rPr>
        <w:t xml:space="preserve">Ahora bien, el MEN indicó en su acta que no es posible financiar todo el déficit, pues se deben descontar los valores excedidos en gasto administrativo, los pagos superiores a los </w:t>
      </w:r>
      <w:proofErr w:type="spellStart"/>
      <w:r>
        <w:rPr>
          <w:rFonts w:ascii="Arial" w:hAnsi="Arial" w:cs="Arial"/>
          <w:bCs/>
          <w:sz w:val="22"/>
          <w:szCs w:val="22"/>
        </w:rPr>
        <w:t>Etnoeducadores</w:t>
      </w:r>
      <w:proofErr w:type="spellEnd"/>
      <w:r>
        <w:rPr>
          <w:rFonts w:ascii="Arial" w:hAnsi="Arial" w:cs="Arial"/>
          <w:bCs/>
          <w:sz w:val="22"/>
          <w:szCs w:val="22"/>
        </w:rPr>
        <w:t xml:space="preserve"> en 2020, así como costos de nómina de la vigencia 2019 financiados con cargo a la vigencia 2020. En este sentido, se deberá descontar a los $567 millones de déficit los valores que transfiera el MEN y la diferencia deberá ser cubierta por la entidad con sus recursos propios. </w:t>
      </w:r>
    </w:p>
    <w:p w:rsidR="007B39D8" w:rsidRDefault="007B39D8" w:rsidP="007B39D8">
      <w:pPr>
        <w:ind w:left="426" w:hanging="426"/>
        <w:jc w:val="both"/>
        <w:rPr>
          <w:rFonts w:ascii="Arial" w:hAnsi="Arial" w:cs="Arial"/>
          <w:bCs/>
          <w:sz w:val="22"/>
          <w:szCs w:val="22"/>
        </w:rPr>
      </w:pPr>
    </w:p>
    <w:p w:rsidR="007B39D8" w:rsidRDefault="007B39D8" w:rsidP="007B39D8">
      <w:pPr>
        <w:ind w:left="426"/>
        <w:jc w:val="both"/>
        <w:rPr>
          <w:rFonts w:ascii="Arial" w:hAnsi="Arial" w:cs="Arial"/>
          <w:bCs/>
          <w:sz w:val="22"/>
          <w:szCs w:val="22"/>
        </w:rPr>
      </w:pPr>
      <w:r>
        <w:rPr>
          <w:rFonts w:ascii="Arial" w:hAnsi="Arial" w:cs="Arial"/>
          <w:bCs/>
          <w:sz w:val="22"/>
          <w:szCs w:val="22"/>
        </w:rPr>
        <w:t>Por lo anterior, mediante oficio No, 2021-EE-273699 el Ministerio de educación Nacional le informó a la entidad lo siguiente:</w:t>
      </w:r>
    </w:p>
    <w:p w:rsidR="007B39D8" w:rsidRDefault="007B39D8" w:rsidP="007B39D8">
      <w:pPr>
        <w:ind w:left="426" w:hanging="426"/>
        <w:jc w:val="both"/>
        <w:rPr>
          <w:rFonts w:ascii="Arial" w:hAnsi="Arial" w:cs="Arial"/>
          <w:bCs/>
          <w:sz w:val="22"/>
          <w:szCs w:val="22"/>
        </w:rPr>
      </w:pPr>
    </w:p>
    <w:p w:rsidR="007B39D8" w:rsidRDefault="007B39D8" w:rsidP="007B39D8">
      <w:pPr>
        <w:autoSpaceDE w:val="0"/>
        <w:autoSpaceDN w:val="0"/>
        <w:adjustRightInd w:val="0"/>
        <w:ind w:left="851" w:right="49"/>
        <w:jc w:val="both"/>
        <w:rPr>
          <w:rFonts w:ascii="Arial" w:eastAsiaTheme="minorHAnsi" w:hAnsi="Arial" w:cs="Arial"/>
          <w:i/>
          <w:iCs/>
          <w:sz w:val="18"/>
          <w:szCs w:val="22"/>
          <w:lang w:val="es-CO" w:eastAsia="en-US"/>
        </w:rPr>
      </w:pPr>
      <w:r>
        <w:rPr>
          <w:rFonts w:ascii="Arial" w:eastAsiaTheme="minorHAnsi" w:hAnsi="Arial" w:cs="Arial"/>
          <w:i/>
          <w:iCs/>
          <w:sz w:val="18"/>
          <w:szCs w:val="22"/>
          <w:lang w:val="es-CO" w:eastAsia="en-US"/>
        </w:rPr>
        <w:t>“Para concluir, teniendo en cuenta el faltante certificado por la Tesorera General del Municipio de Ipiales, señora Victoria Lorena Fuertes Obando, para atender el pago educación por la suma de $567.965.307 y frente a la diferencia preliminar establecida en la CMN de $1.029.506.934, se presenta una diferencia de $461.541.627 la cual se infiere que la entidad territorial pago con recursos propios.</w:t>
      </w:r>
    </w:p>
    <w:p w:rsidR="007B39D8" w:rsidRDefault="007B39D8" w:rsidP="007B39D8">
      <w:pPr>
        <w:autoSpaceDE w:val="0"/>
        <w:autoSpaceDN w:val="0"/>
        <w:adjustRightInd w:val="0"/>
        <w:ind w:left="851" w:right="49"/>
        <w:jc w:val="both"/>
        <w:rPr>
          <w:rFonts w:ascii="Arial" w:eastAsiaTheme="minorHAnsi" w:hAnsi="Arial" w:cs="Arial"/>
          <w:i/>
          <w:iCs/>
          <w:sz w:val="18"/>
          <w:szCs w:val="22"/>
          <w:lang w:val="es-CO" w:eastAsia="en-US"/>
        </w:rPr>
      </w:pPr>
    </w:p>
    <w:p w:rsidR="007B39D8" w:rsidRDefault="007B39D8" w:rsidP="007B39D8">
      <w:pPr>
        <w:autoSpaceDE w:val="0"/>
        <w:autoSpaceDN w:val="0"/>
        <w:adjustRightInd w:val="0"/>
        <w:ind w:left="851" w:right="49"/>
        <w:jc w:val="both"/>
        <w:rPr>
          <w:rFonts w:ascii="Arial" w:eastAsiaTheme="minorHAnsi" w:hAnsi="Arial" w:cs="Arial"/>
          <w:sz w:val="18"/>
          <w:szCs w:val="22"/>
          <w:lang w:val="es-CO" w:eastAsia="en-US"/>
        </w:rPr>
      </w:pPr>
      <w:r>
        <w:rPr>
          <w:rFonts w:ascii="Arial" w:eastAsiaTheme="minorHAnsi" w:hAnsi="Arial" w:cs="Arial"/>
          <w:i/>
          <w:iCs/>
          <w:sz w:val="18"/>
          <w:szCs w:val="22"/>
          <w:lang w:val="es-CO" w:eastAsia="en-US"/>
        </w:rPr>
        <w:t>Sin embargo, de los $567.965.307 se cubren con recursos del SGP los $386.415.514 definidos en la tabla 2 a reconocer y girar CSF (del complemento inicial aplazado en 2020 $175.682.109 y el mayor valor de la nómina por $210.733405), quedando una diferencia de $181.549.793 a cargo de la entidad”.</w:t>
      </w:r>
    </w:p>
    <w:p w:rsidR="007B39D8" w:rsidRDefault="007B39D8" w:rsidP="007B39D8">
      <w:pPr>
        <w:ind w:left="426" w:hanging="426"/>
        <w:jc w:val="both"/>
        <w:rPr>
          <w:rFonts w:ascii="Arial" w:hAnsi="Arial" w:cs="Arial"/>
          <w:bCs/>
          <w:sz w:val="22"/>
          <w:szCs w:val="22"/>
        </w:rPr>
      </w:pPr>
    </w:p>
    <w:p w:rsidR="007B39D8" w:rsidRDefault="007B39D8" w:rsidP="007B39D8">
      <w:pPr>
        <w:ind w:left="426"/>
        <w:jc w:val="both"/>
        <w:rPr>
          <w:rFonts w:ascii="Arial" w:hAnsi="Arial" w:cs="Arial"/>
          <w:bCs/>
          <w:sz w:val="22"/>
          <w:szCs w:val="22"/>
        </w:rPr>
      </w:pPr>
      <w:r>
        <w:rPr>
          <w:rFonts w:ascii="Arial" w:hAnsi="Arial" w:cs="Arial"/>
          <w:bCs/>
          <w:sz w:val="22"/>
          <w:szCs w:val="22"/>
        </w:rPr>
        <w:t xml:space="preserve">Por lo anterior, se infiere que de los $568 millones del déficit </w:t>
      </w:r>
      <w:proofErr w:type="spellStart"/>
      <w:r>
        <w:rPr>
          <w:rFonts w:ascii="Arial" w:hAnsi="Arial" w:cs="Arial"/>
          <w:bCs/>
          <w:sz w:val="22"/>
          <w:szCs w:val="22"/>
        </w:rPr>
        <w:t>tesoral</w:t>
      </w:r>
      <w:proofErr w:type="spellEnd"/>
      <w:r>
        <w:rPr>
          <w:rFonts w:ascii="Arial" w:hAnsi="Arial" w:cs="Arial"/>
          <w:bCs/>
          <w:sz w:val="22"/>
          <w:szCs w:val="22"/>
        </w:rPr>
        <w:t xml:space="preserve">, el Ministerio de Educación Nacional reconoció $386 millones y la entidad deberá reponer con sus recursos propios los $182 millones restantes. </w:t>
      </w:r>
    </w:p>
    <w:p w:rsidR="007B39D8" w:rsidRDefault="007B39D8" w:rsidP="007B39D8">
      <w:pPr>
        <w:ind w:left="426" w:hanging="426"/>
        <w:jc w:val="both"/>
        <w:rPr>
          <w:rFonts w:ascii="Arial" w:hAnsi="Arial" w:cs="Arial"/>
          <w:bCs/>
          <w:sz w:val="22"/>
          <w:szCs w:val="22"/>
        </w:rPr>
      </w:pPr>
    </w:p>
    <w:p w:rsidR="007B39D8" w:rsidRDefault="007B39D8" w:rsidP="007B39D8">
      <w:pPr>
        <w:ind w:left="426"/>
        <w:jc w:val="both"/>
        <w:rPr>
          <w:rFonts w:ascii="Arial" w:hAnsi="Arial" w:cs="Arial"/>
          <w:bCs/>
          <w:sz w:val="22"/>
          <w:szCs w:val="22"/>
        </w:rPr>
      </w:pPr>
      <w:r>
        <w:rPr>
          <w:rFonts w:ascii="Arial" w:hAnsi="Arial" w:cs="Arial"/>
          <w:bCs/>
          <w:sz w:val="22"/>
          <w:szCs w:val="22"/>
        </w:rPr>
        <w:t xml:space="preserve">En este sentido, </w:t>
      </w:r>
      <w:r>
        <w:rPr>
          <w:rFonts w:ascii="Arial" w:hAnsi="Arial" w:cs="Arial"/>
          <w:sz w:val="22"/>
          <w:szCs w:val="22"/>
        </w:rPr>
        <w:t>la entidad presentó el 2 de septiembre de 2021 ante el concejo municipal el proyecto de acuerdo “</w:t>
      </w:r>
      <w:r>
        <w:rPr>
          <w:rFonts w:ascii="Arial" w:hAnsi="Arial" w:cs="Arial"/>
          <w:i/>
          <w:iCs/>
          <w:sz w:val="22"/>
          <w:szCs w:val="22"/>
        </w:rPr>
        <w:t xml:space="preserve">por el cual se constituye el déficit de tesorería y se realizan traslados en el presupuesto de rentas e ingresos, gastos de funcionamiento, inversión y servicio de la deuda del municipio de Ipiales para la vigencia comprometida </w:t>
      </w:r>
      <w:r>
        <w:rPr>
          <w:rFonts w:ascii="Arial" w:hAnsi="Arial" w:cs="Arial"/>
          <w:i/>
          <w:iCs/>
          <w:sz w:val="22"/>
          <w:szCs w:val="22"/>
        </w:rPr>
        <w:lastRenderedPageBreak/>
        <w:t>entre el 01 de enero y el 31 de diciembre de 2021 de la Secretaría de Educación</w:t>
      </w:r>
      <w:r>
        <w:rPr>
          <w:rFonts w:ascii="Arial" w:hAnsi="Arial" w:cs="Arial"/>
          <w:sz w:val="22"/>
          <w:szCs w:val="22"/>
        </w:rPr>
        <w:t>”. En éste se constituye el déficit por $182 millones y se hacen contra créditos del nivel central y créditos a la Secretaría de Educación por el mismo valor del déficit. Sin embargo, a la fecha la Entidad no ha presentado evidencias que demuestren que este proyecto de acuerdo fue aprobado.</w:t>
      </w:r>
    </w:p>
    <w:p w:rsidR="007B39D8" w:rsidRDefault="007B39D8" w:rsidP="007B39D8">
      <w:pPr>
        <w:ind w:left="426" w:hanging="426"/>
        <w:jc w:val="both"/>
        <w:rPr>
          <w:rFonts w:ascii="Arial" w:hAnsi="Arial" w:cs="Arial"/>
          <w:b/>
          <w:sz w:val="22"/>
          <w:szCs w:val="22"/>
        </w:rPr>
      </w:pPr>
    </w:p>
    <w:p w:rsidR="007B39D8" w:rsidRDefault="007B39D8" w:rsidP="007B39D8">
      <w:pPr>
        <w:pStyle w:val="Prrafodelista"/>
        <w:numPr>
          <w:ilvl w:val="0"/>
          <w:numId w:val="14"/>
        </w:numPr>
        <w:ind w:left="426" w:hanging="426"/>
        <w:jc w:val="both"/>
        <w:rPr>
          <w:rFonts w:ascii="Arial" w:hAnsi="Arial" w:cs="Arial"/>
          <w:bCs/>
          <w:sz w:val="22"/>
          <w:szCs w:val="22"/>
          <w:lang w:val="es-ES_tradnl"/>
        </w:rPr>
      </w:pPr>
      <w:r>
        <w:rPr>
          <w:rFonts w:ascii="Arial" w:hAnsi="Arial" w:cs="Arial"/>
          <w:bCs/>
          <w:sz w:val="22"/>
          <w:szCs w:val="22"/>
        </w:rPr>
        <w:t>Con respecto al superávit de los recursos de calidad existe una diferencia entre el resultado presupuestal y el valor certificado por Tesorería de $267 millones, siendo este último inferior, de los cuales $233 millones corresponden a los recursos asignados de calidad para alimentación escolar mediante el Decreto 470 de 2020 que no se comprometieron, y los $34 millones faltantes no se tiene claridad a qué corresponden. No obstante, se solicitó a la Entidad soportes de estas diferencias y envió extractos bancarios de las cuentas de alimentación escolar a donde fueron transferidos.</w:t>
      </w:r>
    </w:p>
    <w:p w:rsidR="007B39D8" w:rsidRDefault="007B39D8" w:rsidP="007B39D8">
      <w:pPr>
        <w:jc w:val="both"/>
        <w:rPr>
          <w:rFonts w:ascii="Arial" w:hAnsi="Arial" w:cs="Arial"/>
          <w:sz w:val="22"/>
          <w:szCs w:val="22"/>
        </w:rPr>
      </w:pPr>
    </w:p>
    <w:p w:rsidR="007B39D8" w:rsidRDefault="007B39D8" w:rsidP="007B39D8">
      <w:pPr>
        <w:pStyle w:val="Prrafodelista"/>
        <w:widowControl w:val="0"/>
        <w:numPr>
          <w:ilvl w:val="0"/>
          <w:numId w:val="8"/>
        </w:numPr>
        <w:ind w:left="426" w:right="-20" w:hanging="426"/>
        <w:jc w:val="both"/>
        <w:outlineLvl w:val="0"/>
        <w:rPr>
          <w:rFonts w:ascii="Arial" w:eastAsia="Arial" w:hAnsi="Arial" w:cs="Arial"/>
          <w:b/>
          <w:bCs/>
          <w:position w:val="-1"/>
          <w:sz w:val="22"/>
          <w:szCs w:val="22"/>
        </w:rPr>
      </w:pPr>
      <w:r>
        <w:rPr>
          <w:rFonts w:ascii="Arial" w:eastAsia="Arial" w:hAnsi="Arial" w:cs="Arial"/>
          <w:b/>
          <w:bCs/>
          <w:position w:val="-1"/>
          <w:sz w:val="22"/>
          <w:szCs w:val="22"/>
        </w:rPr>
        <w:t>EVALUACIÓN DE LA MEDIDA CORRECTIVA</w:t>
      </w:r>
    </w:p>
    <w:p w:rsidR="007B39D8" w:rsidRDefault="007B39D8" w:rsidP="007B39D8">
      <w:pPr>
        <w:jc w:val="both"/>
        <w:rPr>
          <w:rFonts w:ascii="Arial" w:hAnsi="Arial" w:cs="Arial"/>
          <w:sz w:val="22"/>
          <w:szCs w:val="22"/>
          <w:lang w:val="es-ES_tradnl"/>
        </w:rPr>
      </w:pPr>
    </w:p>
    <w:p w:rsidR="007B39D8" w:rsidRDefault="007B39D8" w:rsidP="007B39D8">
      <w:pPr>
        <w:jc w:val="both"/>
        <w:rPr>
          <w:rFonts w:ascii="Arial" w:hAnsi="Arial" w:cs="Arial"/>
          <w:sz w:val="22"/>
          <w:szCs w:val="22"/>
          <w:lang w:val="es-ES_tradnl"/>
        </w:rPr>
      </w:pPr>
      <w:r>
        <w:rPr>
          <w:rFonts w:ascii="Arial" w:hAnsi="Arial" w:cs="Arial"/>
          <w:sz w:val="22"/>
          <w:szCs w:val="22"/>
          <w:lang w:val="es-ES_tradnl"/>
        </w:rPr>
        <w:t>En ejercicio de las funciones de coordinación de la Estrategia de Monitoreo, Seguimiento y Control al uso de los recursos del Sistema General de Participaciones, la Dirección General de Apoyo Fiscal realizó la evaluación a la medida correctiva ordenada en el sector educativo del Municipio de Ipiales - Nariño con base en la información enviada por la entidad territorial.</w:t>
      </w:r>
    </w:p>
    <w:p w:rsidR="007B39D8" w:rsidRDefault="007B39D8" w:rsidP="007B39D8">
      <w:pPr>
        <w:jc w:val="both"/>
        <w:rPr>
          <w:rFonts w:ascii="Arial" w:hAnsi="Arial" w:cs="Arial"/>
          <w:sz w:val="22"/>
          <w:szCs w:val="22"/>
          <w:lang w:val="es-ES_tradnl"/>
        </w:rPr>
      </w:pPr>
    </w:p>
    <w:p w:rsidR="007B39D8" w:rsidRDefault="007B39D8" w:rsidP="007B39D8">
      <w:pPr>
        <w:pStyle w:val="Ttulo2"/>
        <w:numPr>
          <w:ilvl w:val="0"/>
          <w:numId w:val="18"/>
        </w:numPr>
        <w:spacing w:before="0"/>
        <w:ind w:left="426" w:hanging="426"/>
        <w:rPr>
          <w:rFonts w:ascii="Arial" w:hAnsi="Arial" w:cs="Arial"/>
          <w:b/>
          <w:color w:val="auto"/>
          <w:sz w:val="22"/>
          <w:szCs w:val="22"/>
        </w:rPr>
      </w:pPr>
      <w:r>
        <w:rPr>
          <w:rFonts w:ascii="Arial" w:hAnsi="Arial" w:cs="Arial"/>
          <w:b/>
          <w:color w:val="auto"/>
          <w:sz w:val="22"/>
          <w:szCs w:val="22"/>
        </w:rPr>
        <w:t xml:space="preserve">Avances: </w:t>
      </w:r>
    </w:p>
    <w:p w:rsidR="007B39D8" w:rsidRDefault="007B39D8" w:rsidP="007B39D8">
      <w:pPr>
        <w:jc w:val="both"/>
        <w:rPr>
          <w:rFonts w:ascii="Arial" w:hAnsi="Arial" w:cs="Arial"/>
          <w:b/>
          <w:sz w:val="22"/>
          <w:szCs w:val="22"/>
        </w:rPr>
      </w:pPr>
    </w:p>
    <w:p w:rsidR="007B39D8" w:rsidRDefault="007B39D8" w:rsidP="007B39D8">
      <w:pPr>
        <w:jc w:val="both"/>
        <w:rPr>
          <w:rFonts w:ascii="Arial" w:hAnsi="Arial" w:cs="Arial"/>
          <w:b/>
          <w:sz w:val="22"/>
          <w:szCs w:val="22"/>
        </w:rPr>
      </w:pPr>
      <w:bookmarkStart w:id="5" w:name="INCUMPLIMIENTO"/>
      <w:bookmarkStart w:id="6" w:name="AVANCES"/>
      <w:bookmarkStart w:id="7" w:name="_Hlk15207303"/>
      <w:bookmarkEnd w:id="5"/>
      <w:bookmarkEnd w:id="6"/>
      <w:r>
        <w:rPr>
          <w:rFonts w:ascii="Arial" w:hAnsi="Arial" w:cs="Arial"/>
          <w:b/>
          <w:sz w:val="22"/>
          <w:szCs w:val="22"/>
        </w:rPr>
        <w:t>Actividad 1. Reportar la información financiera de ingresos, gastos y cierre fiscal del sector, en el Formulario único territorial -FUT, con criterios de consistencia, calidad, oportunidad, formalidad y suficiencia, de conformidad con lo establecido en la normatividad vigente.</w:t>
      </w:r>
    </w:p>
    <w:p w:rsidR="007B39D8" w:rsidRDefault="007B39D8" w:rsidP="007B39D8">
      <w:pPr>
        <w:jc w:val="both"/>
        <w:rPr>
          <w:rFonts w:ascii="Arial" w:hAnsi="Arial" w:cs="Arial"/>
          <w:b/>
          <w:sz w:val="22"/>
          <w:szCs w:val="22"/>
        </w:rPr>
      </w:pPr>
    </w:p>
    <w:p w:rsidR="007B39D8" w:rsidRDefault="007B39D8" w:rsidP="007B39D8">
      <w:pPr>
        <w:jc w:val="both"/>
        <w:rPr>
          <w:rFonts w:ascii="Arial" w:hAnsi="Arial" w:cs="Arial"/>
          <w:sz w:val="22"/>
          <w:szCs w:val="22"/>
        </w:rPr>
      </w:pPr>
      <w:r>
        <w:rPr>
          <w:rFonts w:ascii="Arial" w:hAnsi="Arial" w:cs="Arial"/>
          <w:bCs/>
          <w:sz w:val="22"/>
          <w:szCs w:val="22"/>
          <w:lang w:val="es-ES_tradnl"/>
        </w:rPr>
        <w:t xml:space="preserve">En cuanto a la consistencia de la información de la ejecución de ingresos de 2020 reportada en el FUT, se identificó que los conceptos de prestación de servicios, calidad gratuidad y recursos de capital reportados fueron consistentes con la ejecución presupuestal. Asimismo, en el reporte al FUT del concepto de prestación de servicios se desagregaron los valores sin situación de fondos, no </w:t>
      </w:r>
      <w:proofErr w:type="gramStart"/>
      <w:r>
        <w:rPr>
          <w:rFonts w:ascii="Arial" w:hAnsi="Arial" w:cs="Arial"/>
          <w:bCs/>
          <w:sz w:val="22"/>
          <w:szCs w:val="22"/>
          <w:lang w:val="es-ES_tradnl"/>
        </w:rPr>
        <w:t>obstante</w:t>
      </w:r>
      <w:proofErr w:type="gramEnd"/>
      <w:r>
        <w:rPr>
          <w:rFonts w:ascii="Arial" w:hAnsi="Arial" w:cs="Arial"/>
          <w:bCs/>
          <w:sz w:val="22"/>
          <w:szCs w:val="22"/>
          <w:lang w:val="es-ES_tradnl"/>
        </w:rPr>
        <w:t xml:space="preserve"> se pudo evidenciar que en el reporte de ingresos del FUT no se incluyeron los $233 millones de calidad – matrícula asignados para alimentación escolar.</w:t>
      </w:r>
    </w:p>
    <w:p w:rsidR="007B39D8" w:rsidRDefault="007B39D8" w:rsidP="007B39D8">
      <w:pPr>
        <w:jc w:val="both"/>
        <w:rPr>
          <w:rFonts w:ascii="Arial" w:hAnsi="Arial" w:cs="Arial"/>
          <w:b/>
          <w:sz w:val="22"/>
          <w:szCs w:val="22"/>
        </w:rPr>
      </w:pPr>
    </w:p>
    <w:p w:rsidR="007B39D8" w:rsidRDefault="007B39D8" w:rsidP="007B39D8">
      <w:pPr>
        <w:jc w:val="both"/>
        <w:rPr>
          <w:rFonts w:ascii="Arial" w:hAnsi="Arial" w:cs="Arial"/>
          <w:sz w:val="22"/>
          <w:szCs w:val="22"/>
        </w:rPr>
      </w:pPr>
      <w:r>
        <w:rPr>
          <w:rFonts w:ascii="Arial" w:hAnsi="Arial" w:cs="Arial"/>
          <w:sz w:val="22"/>
          <w:szCs w:val="22"/>
        </w:rPr>
        <w:t>En 2020 se puedo evidenciar el reporte adecuado de cada uno de los conceptos en el Formulario Único Territorial (FUT) tanto de la categoría de gastos de inversión, como en la categoría de gastos de funcionamiento.</w:t>
      </w:r>
    </w:p>
    <w:bookmarkEnd w:id="7"/>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No obstante, si bien la categoría de cierre fiscal también es coherente con la certificación de tesorería a diciembre de 2020 dicha información difiere en la columna de saldo en bancos y caja con el valor real de los extractos bancarios, pues en el FUT se reportaron $2.926 millones y los extractos arrojan $53 millones menos, es decir $2.872 millones tal y como se evidencia en el siguiente cuadro: </w:t>
      </w:r>
    </w:p>
    <w:p w:rsidR="007B39D8" w:rsidRDefault="007B39D8" w:rsidP="007B39D8">
      <w:pPr>
        <w:ind w:left="360"/>
        <w:jc w:val="both"/>
        <w:rPr>
          <w:rFonts w:ascii="Arial"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2661"/>
        <w:gridCol w:w="4054"/>
        <w:gridCol w:w="2113"/>
      </w:tblGrid>
      <w:tr w:rsidR="007B39D8" w:rsidTr="007B39D8">
        <w:trPr>
          <w:trHeight w:val="20"/>
          <w:jc w:val="center"/>
        </w:trPr>
        <w:tc>
          <w:tcPr>
            <w:tcW w:w="1507"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ind w:left="360"/>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No. de la cuenta bancaria</w:t>
            </w:r>
          </w:p>
        </w:tc>
        <w:tc>
          <w:tcPr>
            <w:tcW w:w="2296"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ind w:left="360"/>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Nombre de la cuenta</w:t>
            </w:r>
          </w:p>
        </w:tc>
        <w:tc>
          <w:tcPr>
            <w:tcW w:w="1198"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ind w:left="360"/>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Saldo de la Cuenta</w:t>
            </w:r>
          </w:p>
        </w:tc>
      </w:tr>
      <w:tr w:rsidR="007B39D8" w:rsidTr="007B39D8">
        <w:trPr>
          <w:trHeight w:val="20"/>
          <w:jc w:val="center"/>
        </w:trPr>
        <w:tc>
          <w:tcPr>
            <w:tcW w:w="1507" w:type="pct"/>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ind w:left="360"/>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lastRenderedPageBreak/>
              <w:t>445015985</w:t>
            </w:r>
          </w:p>
        </w:tc>
        <w:tc>
          <w:tcPr>
            <w:tcW w:w="2296" w:type="pct"/>
            <w:tcBorders>
              <w:top w:val="nil"/>
              <w:left w:val="nil"/>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Calidad</w:t>
            </w:r>
          </w:p>
        </w:tc>
        <w:tc>
          <w:tcPr>
            <w:tcW w:w="1198" w:type="pct"/>
            <w:tcBorders>
              <w:top w:val="nil"/>
              <w:left w:val="nil"/>
              <w:bottom w:val="single" w:sz="4" w:space="0" w:color="auto"/>
              <w:right w:val="single" w:sz="4" w:space="0" w:color="auto"/>
            </w:tcBorders>
            <w:noWrap/>
            <w:vAlign w:val="bottom"/>
            <w:hideMark/>
          </w:tcPr>
          <w:p w:rsidR="007B39D8" w:rsidRDefault="007B39D8">
            <w:pPr>
              <w:spacing w:line="254" w:lineRule="auto"/>
              <w:ind w:left="36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1.226.520.845 </w:t>
            </w:r>
          </w:p>
        </w:tc>
      </w:tr>
      <w:tr w:rsidR="007B39D8" w:rsidTr="007B39D8">
        <w:trPr>
          <w:trHeight w:val="20"/>
          <w:jc w:val="center"/>
        </w:trPr>
        <w:tc>
          <w:tcPr>
            <w:tcW w:w="1507" w:type="pct"/>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ind w:left="360"/>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445015993</w:t>
            </w:r>
          </w:p>
        </w:tc>
        <w:tc>
          <w:tcPr>
            <w:tcW w:w="2296" w:type="pct"/>
            <w:tcBorders>
              <w:top w:val="nil"/>
              <w:left w:val="nil"/>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Nómina</w:t>
            </w:r>
          </w:p>
        </w:tc>
        <w:tc>
          <w:tcPr>
            <w:tcW w:w="1198" w:type="pct"/>
            <w:tcBorders>
              <w:top w:val="nil"/>
              <w:left w:val="nil"/>
              <w:bottom w:val="single" w:sz="4" w:space="0" w:color="auto"/>
              <w:right w:val="single" w:sz="4" w:space="0" w:color="auto"/>
            </w:tcBorders>
            <w:noWrap/>
            <w:vAlign w:val="bottom"/>
            <w:hideMark/>
          </w:tcPr>
          <w:p w:rsidR="007B39D8" w:rsidRDefault="007B39D8">
            <w:pPr>
              <w:spacing w:line="254" w:lineRule="auto"/>
              <w:ind w:left="36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1.170.308.430</w:t>
            </w:r>
          </w:p>
        </w:tc>
      </w:tr>
      <w:tr w:rsidR="007B39D8" w:rsidTr="007B39D8">
        <w:trPr>
          <w:trHeight w:val="20"/>
          <w:jc w:val="center"/>
        </w:trPr>
        <w:tc>
          <w:tcPr>
            <w:tcW w:w="1507" w:type="pct"/>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ind w:left="360"/>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445022452</w:t>
            </w:r>
          </w:p>
        </w:tc>
        <w:tc>
          <w:tcPr>
            <w:tcW w:w="2296" w:type="pct"/>
            <w:tcBorders>
              <w:top w:val="nil"/>
              <w:left w:val="nil"/>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Diferente a nómina</w:t>
            </w:r>
          </w:p>
        </w:tc>
        <w:tc>
          <w:tcPr>
            <w:tcW w:w="1198" w:type="pct"/>
            <w:tcBorders>
              <w:top w:val="nil"/>
              <w:left w:val="nil"/>
              <w:bottom w:val="single" w:sz="4" w:space="0" w:color="auto"/>
              <w:right w:val="single" w:sz="4" w:space="0" w:color="auto"/>
            </w:tcBorders>
            <w:noWrap/>
            <w:vAlign w:val="bottom"/>
            <w:hideMark/>
          </w:tcPr>
          <w:p w:rsidR="007B39D8" w:rsidRDefault="007B39D8">
            <w:pPr>
              <w:spacing w:line="254" w:lineRule="auto"/>
              <w:ind w:left="36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470.808.518</w:t>
            </w:r>
          </w:p>
        </w:tc>
      </w:tr>
      <w:tr w:rsidR="007B39D8" w:rsidTr="007B39D8">
        <w:trPr>
          <w:trHeight w:val="20"/>
          <w:jc w:val="center"/>
        </w:trPr>
        <w:tc>
          <w:tcPr>
            <w:tcW w:w="1507" w:type="pct"/>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ind w:left="360"/>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286040</w:t>
            </w:r>
          </w:p>
        </w:tc>
        <w:tc>
          <w:tcPr>
            <w:tcW w:w="2296" w:type="pct"/>
            <w:tcBorders>
              <w:top w:val="nil"/>
              <w:left w:val="nil"/>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Pagadora de la cuenta de diferente a nómina</w:t>
            </w:r>
          </w:p>
        </w:tc>
        <w:tc>
          <w:tcPr>
            <w:tcW w:w="1198" w:type="pct"/>
            <w:tcBorders>
              <w:top w:val="nil"/>
              <w:left w:val="nil"/>
              <w:bottom w:val="single" w:sz="4" w:space="0" w:color="auto"/>
              <w:right w:val="single" w:sz="4" w:space="0" w:color="auto"/>
            </w:tcBorders>
            <w:noWrap/>
            <w:vAlign w:val="bottom"/>
            <w:hideMark/>
          </w:tcPr>
          <w:p w:rsidR="007B39D8" w:rsidRDefault="007B39D8">
            <w:pPr>
              <w:spacing w:line="254" w:lineRule="auto"/>
              <w:ind w:left="36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770 </w:t>
            </w:r>
          </w:p>
        </w:tc>
      </w:tr>
      <w:tr w:rsidR="007B39D8" w:rsidTr="007B39D8">
        <w:trPr>
          <w:trHeight w:val="20"/>
          <w:jc w:val="center"/>
        </w:trPr>
        <w:tc>
          <w:tcPr>
            <w:tcW w:w="1507" w:type="pct"/>
            <w:tcBorders>
              <w:top w:val="nil"/>
              <w:left w:val="single" w:sz="4" w:space="0" w:color="auto"/>
              <w:bottom w:val="single" w:sz="4" w:space="0" w:color="auto"/>
              <w:right w:val="single" w:sz="4" w:space="0" w:color="auto"/>
            </w:tcBorders>
            <w:noWrap/>
            <w:vAlign w:val="bottom"/>
            <w:hideMark/>
          </w:tcPr>
          <w:p w:rsidR="007B39D8" w:rsidRDefault="007B39D8">
            <w:pPr>
              <w:spacing w:line="254" w:lineRule="auto"/>
              <w:ind w:left="360"/>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286032</w:t>
            </w:r>
          </w:p>
        </w:tc>
        <w:tc>
          <w:tcPr>
            <w:tcW w:w="2296" w:type="pct"/>
            <w:tcBorders>
              <w:top w:val="nil"/>
              <w:left w:val="nil"/>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Pagadora de la cuenta de nómina</w:t>
            </w:r>
          </w:p>
        </w:tc>
        <w:tc>
          <w:tcPr>
            <w:tcW w:w="1198" w:type="pct"/>
            <w:tcBorders>
              <w:top w:val="nil"/>
              <w:left w:val="nil"/>
              <w:bottom w:val="single" w:sz="4" w:space="0" w:color="auto"/>
              <w:right w:val="single" w:sz="4" w:space="0" w:color="auto"/>
            </w:tcBorders>
            <w:noWrap/>
            <w:vAlign w:val="bottom"/>
            <w:hideMark/>
          </w:tcPr>
          <w:p w:rsidR="007B39D8" w:rsidRDefault="007B39D8">
            <w:pPr>
              <w:spacing w:line="254" w:lineRule="auto"/>
              <w:ind w:left="36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4.389.662 </w:t>
            </w:r>
          </w:p>
        </w:tc>
      </w:tr>
      <w:tr w:rsidR="007B39D8" w:rsidTr="007B39D8">
        <w:trPr>
          <w:trHeight w:val="20"/>
          <w:jc w:val="center"/>
        </w:trPr>
        <w:tc>
          <w:tcPr>
            <w:tcW w:w="1507" w:type="pct"/>
            <w:tcBorders>
              <w:top w:val="nil"/>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ind w:left="360"/>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Total en cuentas</w:t>
            </w:r>
          </w:p>
        </w:tc>
        <w:tc>
          <w:tcPr>
            <w:tcW w:w="2296" w:type="pct"/>
            <w:tcBorders>
              <w:top w:val="nil"/>
              <w:left w:val="nil"/>
              <w:bottom w:val="single" w:sz="4" w:space="0" w:color="auto"/>
              <w:right w:val="single" w:sz="4" w:space="0" w:color="auto"/>
            </w:tcBorders>
            <w:shd w:val="clear" w:color="auto" w:fill="244061" w:themeFill="accent1" w:themeFillShade="80"/>
            <w:vAlign w:val="center"/>
            <w:hideMark/>
          </w:tcPr>
          <w:p w:rsidR="007B39D8" w:rsidRDefault="007B39D8">
            <w:pPr>
              <w:rPr>
                <w:rFonts w:ascii="Arial" w:eastAsia="Times New Roman" w:hAnsi="Arial" w:cs="Arial"/>
                <w:b/>
                <w:bCs/>
                <w:color w:val="FFFFFF"/>
                <w:sz w:val="16"/>
                <w:szCs w:val="16"/>
                <w:lang w:val="es-CO" w:eastAsia="es-CO"/>
              </w:rPr>
            </w:pPr>
          </w:p>
        </w:tc>
        <w:tc>
          <w:tcPr>
            <w:tcW w:w="1198" w:type="pct"/>
            <w:tcBorders>
              <w:top w:val="nil"/>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ind w:left="360"/>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2.872.028.225 </w:t>
            </w:r>
          </w:p>
        </w:tc>
      </w:tr>
    </w:tbl>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Ahora bien, el Ministerio de Educación en su acta de cierre de 2020 identificó dichos recursos en una cuenta que la entidad </w:t>
      </w:r>
      <w:proofErr w:type="spellStart"/>
      <w:r>
        <w:rPr>
          <w:rFonts w:ascii="Arial" w:hAnsi="Arial" w:cs="Arial"/>
          <w:sz w:val="22"/>
          <w:szCs w:val="22"/>
        </w:rPr>
        <w:t>aperturó</w:t>
      </w:r>
      <w:proofErr w:type="spellEnd"/>
      <w:r>
        <w:rPr>
          <w:rFonts w:ascii="Arial" w:hAnsi="Arial" w:cs="Arial"/>
          <w:sz w:val="22"/>
          <w:szCs w:val="22"/>
        </w:rPr>
        <w:t xml:space="preserve"> con Davivienda con el No. 346000128733, la cual se creó para que se pudieran reintegrar los recursos de los pagos duplicados de nóminas que se realizaron a docentes en 2019 y 2020, por lo que la entidad posteriormente envió los extractos bancarios de esta cuenta para soportar la existencia de los $53 millones en caja.</w:t>
      </w:r>
    </w:p>
    <w:p w:rsidR="007B39D8" w:rsidRDefault="007B39D8" w:rsidP="007B39D8">
      <w:pPr>
        <w:ind w:left="360"/>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A 30 de junio de 2021, se evidencia un reporte adecuado en la categoría de ingreso acorde con la ejecución presupuestal: $33.937 millones de prestación de servicios especificando el recaudo de los $6.477 millones de los recursos sin situación de fondos y de los $27.461 millones restantes con situación de fondos, asimismo se reportaron los $1.636 millones de gratuidad y los $1.427 millones de ingresos de capital.</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Con respecto al gasto también se evidenció un reporte adecuado de las categorías de gastos de inversión y gastos de funcionamiento con compromisos por $36.350 millones, que coinciden con la ejecución presupuestal, entre los cuales se resalta el reporte de los contratos para la prestación de servicios por $1.212 millones, $1.655 millones de gratuidad, $612 millones de conectividad, $166 millones de necesidades educativas especiales, $5.394 millones de los aportes sin situación de fondos y $2.045 millones de aportes con situación de fondos, entre otros.</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Teniendo en cuenta el reporte adecuado a 30 de junio de 2021 la presente actividad se considera cumplida.</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b/>
          <w:bCs/>
          <w:sz w:val="22"/>
          <w:szCs w:val="22"/>
        </w:rPr>
        <w:t>Evaluación: Cumple</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b/>
          <w:sz w:val="22"/>
          <w:szCs w:val="22"/>
        </w:rPr>
      </w:pPr>
      <w:bookmarkStart w:id="8" w:name="_Hlk15207275"/>
      <w:r>
        <w:rPr>
          <w:rFonts w:ascii="Arial" w:hAnsi="Arial" w:cs="Arial"/>
          <w:b/>
          <w:sz w:val="22"/>
          <w:szCs w:val="22"/>
        </w:rPr>
        <w:t>Actividad 2. Actualizar con oportunidad la información necesaria de tal forma que se pueda evidenciar que los reportes efectuados en el FUC guarden coherencia con la información reportada en el SIMAT, la ejecución presupuestal, el FUT y los expedientes contractuales.</w:t>
      </w:r>
    </w:p>
    <w:bookmarkEnd w:id="8"/>
    <w:p w:rsidR="007B39D8" w:rsidRDefault="007B39D8" w:rsidP="007B39D8">
      <w:pPr>
        <w:ind w:left="360"/>
        <w:jc w:val="both"/>
        <w:rPr>
          <w:rFonts w:ascii="Arial" w:hAnsi="Arial" w:cs="Arial"/>
          <w:b/>
          <w:sz w:val="22"/>
          <w:szCs w:val="22"/>
        </w:rPr>
      </w:pPr>
    </w:p>
    <w:p w:rsidR="007B39D8" w:rsidRDefault="007B39D8" w:rsidP="007B39D8">
      <w:pPr>
        <w:jc w:val="both"/>
        <w:rPr>
          <w:rFonts w:ascii="Arial" w:hAnsi="Arial" w:cs="Arial"/>
          <w:sz w:val="22"/>
          <w:szCs w:val="22"/>
        </w:rPr>
      </w:pPr>
      <w:r>
        <w:rPr>
          <w:rFonts w:ascii="Arial" w:hAnsi="Arial" w:cs="Arial"/>
          <w:sz w:val="22"/>
          <w:szCs w:val="22"/>
        </w:rPr>
        <w:t>Respecto al valor de los contratos, la ejecución presupuestal a 30 de junio de 2021 y el reporte al FUT, se identificó que el reporte es adecuado. Asimismo, mediante radicado No. 1-2021-076814 del 01 de septiembre de 2021 la entidad remitió el reporte SIMAT y el reporte FUC de la vigencia 2021, de los cuales se encontró lo siguiente:</w:t>
      </w:r>
    </w:p>
    <w:p w:rsidR="007B39D8" w:rsidRDefault="007B39D8" w:rsidP="007B39D8">
      <w:pPr>
        <w:ind w:left="360"/>
        <w:jc w:val="both"/>
        <w:rPr>
          <w:rFonts w:ascii="Arial"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1715"/>
        <w:gridCol w:w="2561"/>
        <w:gridCol w:w="1093"/>
        <w:gridCol w:w="1892"/>
        <w:gridCol w:w="1557"/>
      </w:tblGrid>
      <w:tr w:rsidR="007B39D8" w:rsidTr="00F3444F">
        <w:trPr>
          <w:trHeight w:val="20"/>
          <w:tblHeader/>
          <w:jc w:val="center"/>
        </w:trPr>
        <w:tc>
          <w:tcPr>
            <w:tcW w:w="972" w:type="pct"/>
            <w:tcBorders>
              <w:top w:val="single" w:sz="8" w:space="0" w:color="auto"/>
              <w:left w:val="single" w:sz="8" w:space="0" w:color="auto"/>
              <w:bottom w:val="single" w:sz="8" w:space="0" w:color="auto"/>
              <w:right w:val="single" w:sz="8"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No de contrato</w:t>
            </w:r>
          </w:p>
        </w:tc>
        <w:tc>
          <w:tcPr>
            <w:tcW w:w="1452" w:type="pct"/>
            <w:tcBorders>
              <w:top w:val="single" w:sz="8" w:space="0" w:color="auto"/>
              <w:left w:val="nil"/>
              <w:bottom w:val="single" w:sz="8" w:space="0" w:color="auto"/>
              <w:right w:val="single" w:sz="8"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Contratista</w:t>
            </w:r>
          </w:p>
        </w:tc>
        <w:tc>
          <w:tcPr>
            <w:tcW w:w="620" w:type="pct"/>
            <w:tcBorders>
              <w:top w:val="single" w:sz="8" w:space="0" w:color="auto"/>
              <w:left w:val="nil"/>
              <w:bottom w:val="single" w:sz="8" w:space="0" w:color="auto"/>
              <w:right w:val="single" w:sz="8"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Matrícula contratada SIMAT</w:t>
            </w:r>
          </w:p>
        </w:tc>
        <w:tc>
          <w:tcPr>
            <w:tcW w:w="1073" w:type="pct"/>
            <w:tcBorders>
              <w:top w:val="single" w:sz="8" w:space="0" w:color="auto"/>
              <w:left w:val="nil"/>
              <w:bottom w:val="single" w:sz="8" w:space="0" w:color="auto"/>
              <w:right w:val="single" w:sz="8"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No. estudiantes atendidos por docentes vinculados por el contratista en la sede FUC</w:t>
            </w:r>
          </w:p>
        </w:tc>
        <w:tc>
          <w:tcPr>
            <w:tcW w:w="883" w:type="pct"/>
            <w:tcBorders>
              <w:top w:val="single" w:sz="8" w:space="0" w:color="auto"/>
              <w:left w:val="nil"/>
              <w:bottom w:val="single" w:sz="8" w:space="0" w:color="auto"/>
              <w:right w:val="single" w:sz="8"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Diferencia FUC Vs SIMAT</w:t>
            </w:r>
          </w:p>
        </w:tc>
      </w:tr>
      <w:tr w:rsidR="007B39D8" w:rsidTr="007B39D8">
        <w:trPr>
          <w:trHeight w:val="20"/>
          <w:jc w:val="center"/>
        </w:trPr>
        <w:tc>
          <w:tcPr>
            <w:tcW w:w="972" w:type="pct"/>
            <w:tcBorders>
              <w:top w:val="nil"/>
              <w:left w:val="single" w:sz="8" w:space="0" w:color="auto"/>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(003 2021)</w:t>
            </w:r>
          </w:p>
        </w:tc>
        <w:tc>
          <w:tcPr>
            <w:tcW w:w="1452"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Corporación proyecto ser humano</w:t>
            </w:r>
          </w:p>
        </w:tc>
        <w:tc>
          <w:tcPr>
            <w:tcW w:w="620"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1073"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293</w:t>
            </w:r>
          </w:p>
        </w:tc>
        <w:tc>
          <w:tcPr>
            <w:tcW w:w="883"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293</w:t>
            </w:r>
          </w:p>
        </w:tc>
      </w:tr>
      <w:tr w:rsidR="007B39D8" w:rsidTr="007B39D8">
        <w:trPr>
          <w:trHeight w:val="20"/>
          <w:jc w:val="center"/>
        </w:trPr>
        <w:tc>
          <w:tcPr>
            <w:tcW w:w="972" w:type="pct"/>
            <w:tcBorders>
              <w:top w:val="nil"/>
              <w:left w:val="single" w:sz="8" w:space="0" w:color="auto"/>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lastRenderedPageBreak/>
              <w:t>(005 2021)</w:t>
            </w:r>
          </w:p>
        </w:tc>
        <w:tc>
          <w:tcPr>
            <w:tcW w:w="1452"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Asociación de autoridades tradicionales mesa permanente de trabajo por el pueblo Cofán y cabildos indígenas del valle del Guamuez y San Miguel</w:t>
            </w:r>
          </w:p>
        </w:tc>
        <w:tc>
          <w:tcPr>
            <w:tcW w:w="620"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15</w:t>
            </w:r>
          </w:p>
        </w:tc>
        <w:tc>
          <w:tcPr>
            <w:tcW w:w="1073"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15</w:t>
            </w:r>
          </w:p>
        </w:tc>
        <w:tc>
          <w:tcPr>
            <w:tcW w:w="883"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r>
      <w:tr w:rsidR="007B39D8" w:rsidTr="007B39D8">
        <w:trPr>
          <w:trHeight w:val="20"/>
          <w:jc w:val="center"/>
        </w:trPr>
        <w:tc>
          <w:tcPr>
            <w:tcW w:w="972" w:type="pct"/>
            <w:tcBorders>
              <w:top w:val="nil"/>
              <w:left w:val="single" w:sz="8" w:space="0" w:color="auto"/>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(005 2021)</w:t>
            </w:r>
          </w:p>
        </w:tc>
        <w:tc>
          <w:tcPr>
            <w:tcW w:w="1452"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Asociación de autoridades tradicionales mesa permanente de trabajo por el pueblo Cofán y cabildos indígenas del valle del Guamuez y san miguel</w:t>
            </w:r>
          </w:p>
        </w:tc>
        <w:tc>
          <w:tcPr>
            <w:tcW w:w="620"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37</w:t>
            </w:r>
          </w:p>
        </w:tc>
        <w:tc>
          <w:tcPr>
            <w:tcW w:w="1073"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37</w:t>
            </w:r>
          </w:p>
        </w:tc>
        <w:tc>
          <w:tcPr>
            <w:tcW w:w="883"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r>
      <w:tr w:rsidR="007B39D8" w:rsidTr="007B39D8">
        <w:trPr>
          <w:trHeight w:val="20"/>
          <w:jc w:val="center"/>
        </w:trPr>
        <w:tc>
          <w:tcPr>
            <w:tcW w:w="972" w:type="pct"/>
            <w:tcBorders>
              <w:top w:val="nil"/>
              <w:left w:val="single" w:sz="8" w:space="0" w:color="auto"/>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(005 2021)</w:t>
            </w:r>
          </w:p>
        </w:tc>
        <w:tc>
          <w:tcPr>
            <w:tcW w:w="1452"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Asociación de autoridades tradicionales mesa permanente de trabajo por el pueblo Cofán y cabildos indígenas del valle del Guamuez y san miguel</w:t>
            </w:r>
          </w:p>
        </w:tc>
        <w:tc>
          <w:tcPr>
            <w:tcW w:w="620"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106</w:t>
            </w:r>
          </w:p>
        </w:tc>
        <w:tc>
          <w:tcPr>
            <w:tcW w:w="1073"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106</w:t>
            </w:r>
          </w:p>
        </w:tc>
        <w:tc>
          <w:tcPr>
            <w:tcW w:w="883"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r>
      <w:tr w:rsidR="007B39D8" w:rsidTr="007B39D8">
        <w:trPr>
          <w:trHeight w:val="20"/>
          <w:jc w:val="center"/>
        </w:trPr>
        <w:tc>
          <w:tcPr>
            <w:tcW w:w="972" w:type="pct"/>
            <w:tcBorders>
              <w:top w:val="nil"/>
              <w:left w:val="single" w:sz="8" w:space="0" w:color="auto"/>
              <w:bottom w:val="single" w:sz="8" w:space="0" w:color="auto"/>
              <w:right w:val="single" w:sz="8" w:space="0" w:color="auto"/>
            </w:tcBorders>
            <w:noWrap/>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(004 2021)</w:t>
            </w:r>
          </w:p>
        </w:tc>
        <w:tc>
          <w:tcPr>
            <w:tcW w:w="1452"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Institución Educativa Nuestra Señora De Las Lajas</w:t>
            </w:r>
          </w:p>
        </w:tc>
        <w:tc>
          <w:tcPr>
            <w:tcW w:w="620"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245</w:t>
            </w:r>
          </w:p>
        </w:tc>
        <w:tc>
          <w:tcPr>
            <w:tcW w:w="1073"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245</w:t>
            </w:r>
          </w:p>
        </w:tc>
        <w:tc>
          <w:tcPr>
            <w:tcW w:w="883" w:type="pct"/>
            <w:tcBorders>
              <w:top w:val="nil"/>
              <w:left w:val="nil"/>
              <w:bottom w:val="single" w:sz="8" w:space="0" w:color="auto"/>
              <w:right w:val="single" w:sz="8"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r>
    </w:tbl>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Como se observa en el anterior cuadro la única diferencia se presenta en el Contrato 003 con la Corporación Proyecto Ser Humano, el cual de acuerdo con el FUC es un contrato de población adulta. No obstante, dicha población no se encuentra reportada en el SIMAT como contratada, ya que en la sede de este contrato se reportó en el SIMAT la atención de 1.589 estudiantes caracterizados como no contratados, de los cuales 299 estudiantes cursan ciclos lectivos de adultos. </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Al respecto mediante radicado 1-2021-076814 del 1 de septiembre de 2021 la entidad informó a la DAF que solicitó al Ministerio de Educación Nacional el reconocimiento de la población adulta focalizada a fin de darles continuidad en el Sistema, lo cual lo requirió mediante radicado No. 2021-ER-061365 del 26 de febrero de 2021. Sin embargo, mencionó que a la fecha no les habían habilitado la posibilidad para el cargue de matrícula de esta población en SIMAT en la modalidad de contratada y están a la espera de la respuesta de dicho Ministerio.</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Por lo anterior, la presente actividad se encuentra cumplida.</w:t>
      </w:r>
    </w:p>
    <w:p w:rsidR="007B39D8" w:rsidRDefault="007B39D8" w:rsidP="007B39D8">
      <w:pPr>
        <w:ind w:left="360"/>
        <w:jc w:val="both"/>
        <w:rPr>
          <w:rFonts w:ascii="Arial" w:hAnsi="Arial" w:cs="Arial"/>
          <w:sz w:val="22"/>
          <w:szCs w:val="22"/>
        </w:rPr>
      </w:pPr>
    </w:p>
    <w:p w:rsidR="007B39D8" w:rsidRDefault="007B39D8" w:rsidP="007B39D8">
      <w:pPr>
        <w:jc w:val="both"/>
        <w:rPr>
          <w:rFonts w:ascii="Arial" w:hAnsi="Arial" w:cs="Arial"/>
          <w:b/>
          <w:bCs/>
          <w:sz w:val="22"/>
          <w:szCs w:val="22"/>
        </w:rPr>
      </w:pPr>
      <w:r>
        <w:rPr>
          <w:rFonts w:ascii="Arial" w:hAnsi="Arial" w:cs="Arial"/>
          <w:b/>
          <w:bCs/>
          <w:sz w:val="22"/>
          <w:szCs w:val="22"/>
        </w:rPr>
        <w:t>Evaluación: Cumple</w:t>
      </w:r>
    </w:p>
    <w:p w:rsidR="007B39D8" w:rsidRDefault="007B39D8" w:rsidP="007B39D8">
      <w:pPr>
        <w:jc w:val="both"/>
        <w:rPr>
          <w:rFonts w:ascii="Arial" w:hAnsi="Arial" w:cs="Arial"/>
          <w:b/>
          <w:bCs/>
          <w:sz w:val="22"/>
          <w:szCs w:val="22"/>
        </w:rPr>
      </w:pPr>
    </w:p>
    <w:p w:rsidR="007B39D8" w:rsidRDefault="007B39D8" w:rsidP="007B39D8">
      <w:pPr>
        <w:jc w:val="both"/>
        <w:rPr>
          <w:rFonts w:ascii="Arial" w:hAnsi="Arial" w:cs="Arial"/>
          <w:b/>
          <w:sz w:val="22"/>
          <w:szCs w:val="22"/>
        </w:rPr>
      </w:pPr>
      <w:bookmarkStart w:id="9" w:name="_Hlk15207947"/>
      <w:bookmarkStart w:id="10" w:name="_Hlk15208033"/>
      <w:r>
        <w:rPr>
          <w:rFonts w:ascii="Arial" w:hAnsi="Arial" w:cs="Arial"/>
          <w:b/>
          <w:sz w:val="22"/>
          <w:szCs w:val="22"/>
        </w:rPr>
        <w:t>Actividad 3. Articular y documentar los procesos de gestión y reporte de información financiera del Sector Educación entre la Secretaría de Hacienda y la Secretaría de Educación, de forma tal que permita a la Secretaría de Educación realizar el seguimiento total a la información presupuestal y de tesorería del Sector.</w:t>
      </w:r>
    </w:p>
    <w:bookmarkEnd w:id="9"/>
    <w:p w:rsidR="007B39D8" w:rsidRDefault="007B39D8" w:rsidP="007B39D8">
      <w:pPr>
        <w:jc w:val="both"/>
        <w:rPr>
          <w:rFonts w:ascii="Arial" w:hAnsi="Arial" w:cs="Arial"/>
          <w:b/>
          <w:sz w:val="22"/>
          <w:szCs w:val="22"/>
        </w:rPr>
      </w:pPr>
    </w:p>
    <w:bookmarkEnd w:id="10"/>
    <w:p w:rsidR="007B39D8" w:rsidRDefault="007B39D8" w:rsidP="007B39D8">
      <w:pPr>
        <w:jc w:val="both"/>
        <w:rPr>
          <w:rFonts w:ascii="Arial" w:hAnsi="Arial" w:cs="Arial"/>
          <w:sz w:val="22"/>
          <w:szCs w:val="22"/>
        </w:rPr>
      </w:pPr>
      <w:r>
        <w:rPr>
          <w:rFonts w:ascii="Arial" w:hAnsi="Arial" w:cs="Arial"/>
          <w:sz w:val="22"/>
          <w:szCs w:val="22"/>
        </w:rPr>
        <w:t>Con respecto a esta actividad</w:t>
      </w:r>
      <w:r w:rsidR="003B5207">
        <w:rPr>
          <w:rFonts w:ascii="Arial" w:hAnsi="Arial" w:cs="Arial"/>
          <w:sz w:val="22"/>
          <w:szCs w:val="22"/>
        </w:rPr>
        <w:t xml:space="preserve">, se había </w:t>
      </w:r>
      <w:r>
        <w:rPr>
          <w:rFonts w:ascii="Arial" w:hAnsi="Arial" w:cs="Arial"/>
          <w:sz w:val="22"/>
          <w:szCs w:val="22"/>
        </w:rPr>
        <w:t>declar</w:t>
      </w:r>
      <w:r w:rsidR="003B5207">
        <w:rPr>
          <w:rFonts w:ascii="Arial" w:hAnsi="Arial" w:cs="Arial"/>
          <w:sz w:val="22"/>
          <w:szCs w:val="22"/>
        </w:rPr>
        <w:t xml:space="preserve">ado </w:t>
      </w:r>
      <w:r>
        <w:rPr>
          <w:rFonts w:ascii="Arial" w:hAnsi="Arial" w:cs="Arial"/>
          <w:sz w:val="22"/>
          <w:szCs w:val="22"/>
        </w:rPr>
        <w:t>incumplida por las inconsistencias presentadas al cierre de la vigencia entre la información de presupuesto y tesorería y el déficit presentado al final de la vigencia</w:t>
      </w:r>
      <w:r w:rsidR="003B5207">
        <w:rPr>
          <w:rFonts w:ascii="Arial" w:hAnsi="Arial" w:cs="Arial"/>
          <w:sz w:val="22"/>
          <w:szCs w:val="22"/>
        </w:rPr>
        <w:t>. Por lo anterior,</w:t>
      </w:r>
      <w:r>
        <w:rPr>
          <w:rFonts w:ascii="Arial" w:hAnsi="Arial" w:cs="Arial"/>
          <w:sz w:val="22"/>
          <w:szCs w:val="22"/>
        </w:rPr>
        <w:t xml:space="preserve"> se recomendó a la entidad financiar el déficit con </w:t>
      </w:r>
      <w:r w:rsidR="003B5207">
        <w:rPr>
          <w:rFonts w:ascii="Arial" w:hAnsi="Arial" w:cs="Arial"/>
          <w:sz w:val="22"/>
          <w:szCs w:val="22"/>
        </w:rPr>
        <w:t xml:space="preserve">sus </w:t>
      </w:r>
      <w:r>
        <w:rPr>
          <w:rFonts w:ascii="Arial" w:hAnsi="Arial" w:cs="Arial"/>
          <w:sz w:val="22"/>
          <w:szCs w:val="22"/>
        </w:rPr>
        <w:t>recursos propios y contin</w:t>
      </w:r>
      <w:r w:rsidR="003B5207">
        <w:rPr>
          <w:rFonts w:ascii="Arial" w:hAnsi="Arial" w:cs="Arial"/>
          <w:sz w:val="22"/>
          <w:szCs w:val="22"/>
        </w:rPr>
        <w:t xml:space="preserve">uar </w:t>
      </w:r>
      <w:r>
        <w:rPr>
          <w:rFonts w:ascii="Arial" w:hAnsi="Arial" w:cs="Arial"/>
          <w:sz w:val="22"/>
          <w:szCs w:val="22"/>
        </w:rPr>
        <w:t xml:space="preserve">con las reuniones de cruce de información </w:t>
      </w:r>
      <w:r>
        <w:rPr>
          <w:rFonts w:ascii="Arial" w:hAnsi="Arial" w:cs="Arial"/>
          <w:sz w:val="22"/>
          <w:szCs w:val="22"/>
        </w:rPr>
        <w:lastRenderedPageBreak/>
        <w:t>que se vienen desarrollando</w:t>
      </w:r>
      <w:r w:rsidR="003B5207">
        <w:rPr>
          <w:rFonts w:ascii="Arial" w:hAnsi="Arial" w:cs="Arial"/>
          <w:sz w:val="22"/>
          <w:szCs w:val="22"/>
        </w:rPr>
        <w:t>,</w:t>
      </w:r>
      <w:r>
        <w:rPr>
          <w:rFonts w:ascii="Arial" w:hAnsi="Arial" w:cs="Arial"/>
          <w:sz w:val="22"/>
          <w:szCs w:val="22"/>
        </w:rPr>
        <w:t xml:space="preserve"> de manera que se evidencie una mayor articulación entre el área de tesorería y el área financiera de la Secretaría de Educación.</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En cumplimiento de lo anterior, y paralelo a la consulta que se realizó al Ministerio de Educación sobre la continuidad de la medida, la entidad presentó</w:t>
      </w:r>
      <w:r w:rsidR="003B5207">
        <w:rPr>
          <w:rFonts w:ascii="Arial" w:hAnsi="Arial" w:cs="Arial"/>
          <w:sz w:val="22"/>
          <w:szCs w:val="22"/>
        </w:rPr>
        <w:t xml:space="preserve"> </w:t>
      </w:r>
      <w:r>
        <w:rPr>
          <w:rFonts w:ascii="Arial" w:hAnsi="Arial" w:cs="Arial"/>
          <w:sz w:val="22"/>
          <w:szCs w:val="22"/>
        </w:rPr>
        <w:t xml:space="preserve">mediante radicado No. </w:t>
      </w:r>
      <w:r>
        <w:rPr>
          <w:rFonts w:ascii="Arial" w:hAnsi="Arial" w:cs="Arial"/>
          <w:sz w:val="22"/>
          <w:szCs w:val="22"/>
          <w:lang w:val="es-CO" w:eastAsia="en-US"/>
        </w:rPr>
        <w:t>1-2021-086820 del 1 de octubre de 2021 el</w:t>
      </w:r>
      <w:r w:rsidR="003B5207">
        <w:rPr>
          <w:rFonts w:ascii="Arial" w:hAnsi="Arial" w:cs="Arial"/>
          <w:sz w:val="22"/>
          <w:szCs w:val="22"/>
          <w:lang w:val="es-CO" w:eastAsia="en-US"/>
        </w:rPr>
        <w:t xml:space="preserve"> </w:t>
      </w:r>
      <w:r>
        <w:rPr>
          <w:rFonts w:ascii="Arial" w:hAnsi="Arial" w:cs="Arial"/>
          <w:sz w:val="22"/>
          <w:szCs w:val="22"/>
          <w:lang w:val="es-CO" w:eastAsia="en-US"/>
        </w:rPr>
        <w:t xml:space="preserve">Acuerdo Municipal No. 14 del 10 de septiembre de 2021, </w:t>
      </w:r>
      <w:r>
        <w:rPr>
          <w:rFonts w:ascii="Arial" w:hAnsi="Arial" w:cs="Arial"/>
          <w:i/>
          <w:iCs/>
          <w:sz w:val="22"/>
          <w:szCs w:val="22"/>
        </w:rPr>
        <w:t>por el cual se constituye el déficit de tesorería y se realizan traslados en el presupuesto de rentas e ingresos, gastos de funcionamiento, inversión y servicio de la deuda del municipio de Ipiales para la vigencia comprometida entre el 01 de enero y el 31 de diciembre de 2021 de la Secretaría de Educación</w:t>
      </w:r>
      <w:r>
        <w:rPr>
          <w:rFonts w:ascii="Arial" w:hAnsi="Arial" w:cs="Arial"/>
          <w:sz w:val="22"/>
          <w:szCs w:val="22"/>
        </w:rPr>
        <w:t>”.</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Por lo anterior teniendo en cuenta que se trasladaron los recursos para financiar el déficit la presente actividad se da por cumplida.</w:t>
      </w:r>
      <w:r w:rsidR="003B5207">
        <w:rPr>
          <w:rFonts w:ascii="Arial" w:hAnsi="Arial" w:cs="Arial"/>
          <w:sz w:val="22"/>
          <w:szCs w:val="22"/>
        </w:rPr>
        <w:t xml:space="preserve"> </w:t>
      </w:r>
    </w:p>
    <w:p w:rsidR="007B39D8" w:rsidRDefault="007B39D8" w:rsidP="007B39D8">
      <w:pPr>
        <w:jc w:val="both"/>
        <w:rPr>
          <w:rFonts w:ascii="Arial" w:hAnsi="Arial" w:cs="Arial"/>
          <w:b/>
          <w:bCs/>
          <w:sz w:val="22"/>
          <w:szCs w:val="22"/>
        </w:rPr>
      </w:pPr>
    </w:p>
    <w:p w:rsidR="007B39D8" w:rsidRDefault="007B39D8" w:rsidP="007B39D8">
      <w:pPr>
        <w:jc w:val="both"/>
        <w:rPr>
          <w:rFonts w:ascii="Arial" w:hAnsi="Arial" w:cs="Arial"/>
          <w:b/>
          <w:bCs/>
          <w:sz w:val="22"/>
          <w:szCs w:val="22"/>
        </w:rPr>
      </w:pPr>
      <w:r>
        <w:rPr>
          <w:rFonts w:ascii="Arial" w:hAnsi="Arial" w:cs="Arial"/>
          <w:b/>
          <w:bCs/>
          <w:sz w:val="22"/>
          <w:szCs w:val="22"/>
        </w:rPr>
        <w:t>Evaluación: Cumple</w:t>
      </w:r>
    </w:p>
    <w:p w:rsidR="007B39D8" w:rsidRDefault="007B39D8" w:rsidP="007B39D8">
      <w:pPr>
        <w:jc w:val="both"/>
        <w:rPr>
          <w:rFonts w:ascii="Arial" w:hAnsi="Arial" w:cs="Arial"/>
          <w:b/>
          <w:bCs/>
          <w:sz w:val="22"/>
          <w:szCs w:val="22"/>
        </w:rPr>
      </w:pPr>
    </w:p>
    <w:p w:rsidR="007B39D8" w:rsidRDefault="007B39D8" w:rsidP="007B39D8">
      <w:pPr>
        <w:jc w:val="both"/>
        <w:rPr>
          <w:rFonts w:ascii="Arial" w:hAnsi="Arial" w:cs="Arial"/>
          <w:b/>
          <w:sz w:val="22"/>
          <w:szCs w:val="22"/>
        </w:rPr>
      </w:pPr>
      <w:r>
        <w:rPr>
          <w:rFonts w:ascii="Arial" w:hAnsi="Arial" w:cs="Arial"/>
          <w:b/>
          <w:sz w:val="22"/>
          <w:szCs w:val="22"/>
        </w:rPr>
        <w:t>Actividad 4. Incorporar en el ingreso y ejecutar en el gasto, los recursos del SGP en Educación SSF - Aportes del Patrono y Aportes del Docente - (Realizando toda la cadena presupuestal, contable y de Tesorería)</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De acuerdo con la ejecución presupuestal de ingresos y gastos a diciembre de 2020 se concluye que la entidad incorporó en el ingreso los recursos Sin Situación de Fondos tal y como le fueron girados por la Nación. No obstante, en la ejecución de gastos se comprometieron menos recursos de los recaudados generando un superávit con esta fuente, con el cual se cubrió el déficit de los recursos con situación de fondos, tal y como se presenta en el siguiente cuadro:</w:t>
      </w:r>
    </w:p>
    <w:p w:rsidR="007B39D8" w:rsidRDefault="007B39D8" w:rsidP="007B39D8">
      <w:pPr>
        <w:jc w:val="both"/>
        <w:rPr>
          <w:rFonts w:ascii="Arial"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3728"/>
        <w:gridCol w:w="1709"/>
        <w:gridCol w:w="1718"/>
        <w:gridCol w:w="1663"/>
      </w:tblGrid>
      <w:tr w:rsidR="007B39D8" w:rsidTr="007B39D8">
        <w:trPr>
          <w:trHeight w:val="20"/>
          <w:jc w:val="center"/>
        </w:trPr>
        <w:tc>
          <w:tcPr>
            <w:tcW w:w="2114" w:type="pct"/>
            <w:vMerge w:val="restart"/>
            <w:tcBorders>
              <w:top w:val="single" w:sz="8" w:space="0" w:color="auto"/>
              <w:left w:val="single" w:sz="8" w:space="0" w:color="auto"/>
              <w:bottom w:val="single" w:sz="8" w:space="0" w:color="000000"/>
              <w:right w:val="single" w:sz="8"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CONCEPTO</w:t>
            </w:r>
          </w:p>
        </w:tc>
        <w:tc>
          <w:tcPr>
            <w:tcW w:w="2886" w:type="pct"/>
            <w:gridSpan w:val="3"/>
            <w:tcBorders>
              <w:top w:val="single" w:sz="8" w:space="0" w:color="auto"/>
              <w:left w:val="nil"/>
              <w:bottom w:val="single" w:sz="8" w:space="0" w:color="auto"/>
              <w:right w:val="single" w:sz="8" w:space="0" w:color="000000"/>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PRESUPUESTO</w:t>
            </w:r>
          </w:p>
        </w:tc>
      </w:tr>
      <w:tr w:rsidR="007B39D8" w:rsidTr="007B39D8">
        <w:trPr>
          <w:trHeight w:val="2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B39D8" w:rsidRDefault="007B39D8">
            <w:pPr>
              <w:rPr>
                <w:rFonts w:ascii="Arial" w:eastAsia="Times New Roman" w:hAnsi="Arial" w:cs="Arial"/>
                <w:b/>
                <w:bCs/>
                <w:color w:val="FFFFFF"/>
                <w:sz w:val="16"/>
                <w:szCs w:val="16"/>
                <w:lang w:val="es-CO" w:eastAsia="es-CO"/>
              </w:rPr>
            </w:pPr>
          </w:p>
        </w:tc>
        <w:tc>
          <w:tcPr>
            <w:tcW w:w="969" w:type="pct"/>
            <w:tcBorders>
              <w:top w:val="nil"/>
              <w:left w:val="nil"/>
              <w:bottom w:val="single" w:sz="8" w:space="0" w:color="auto"/>
              <w:right w:val="single" w:sz="8"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INGRESO </w:t>
            </w:r>
          </w:p>
        </w:tc>
        <w:tc>
          <w:tcPr>
            <w:tcW w:w="974" w:type="pct"/>
            <w:tcBorders>
              <w:top w:val="nil"/>
              <w:left w:val="nil"/>
              <w:bottom w:val="single" w:sz="8" w:space="0" w:color="auto"/>
              <w:right w:val="single" w:sz="8"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GASTOS </w:t>
            </w:r>
          </w:p>
        </w:tc>
        <w:tc>
          <w:tcPr>
            <w:tcW w:w="942" w:type="pct"/>
            <w:tcBorders>
              <w:top w:val="nil"/>
              <w:left w:val="nil"/>
              <w:bottom w:val="single" w:sz="8" w:space="0" w:color="auto"/>
              <w:right w:val="single" w:sz="8"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RECURSOS DEL BALANCE </w:t>
            </w:r>
          </w:p>
        </w:tc>
      </w:tr>
      <w:tr w:rsidR="007B39D8" w:rsidTr="007B39D8">
        <w:trPr>
          <w:trHeight w:val="20"/>
          <w:jc w:val="center"/>
        </w:trPr>
        <w:tc>
          <w:tcPr>
            <w:tcW w:w="2114" w:type="pct"/>
            <w:tcBorders>
              <w:top w:val="nil"/>
              <w:left w:val="single" w:sz="8" w:space="0" w:color="auto"/>
              <w:bottom w:val="single" w:sz="8"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 CSF</w:t>
            </w:r>
          </w:p>
        </w:tc>
        <w:tc>
          <w:tcPr>
            <w:tcW w:w="969"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55.727.569.899 </w:t>
            </w:r>
          </w:p>
        </w:tc>
        <w:tc>
          <w:tcPr>
            <w:tcW w:w="974"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55.793.723.632 </w:t>
            </w:r>
          </w:p>
        </w:tc>
        <w:tc>
          <w:tcPr>
            <w:tcW w:w="942"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- 66.153.733 </w:t>
            </w:r>
          </w:p>
        </w:tc>
      </w:tr>
      <w:tr w:rsidR="007B39D8" w:rsidTr="007B39D8">
        <w:trPr>
          <w:trHeight w:val="20"/>
          <w:jc w:val="center"/>
        </w:trPr>
        <w:tc>
          <w:tcPr>
            <w:tcW w:w="2114" w:type="pct"/>
            <w:tcBorders>
              <w:top w:val="nil"/>
              <w:left w:val="single" w:sz="8" w:space="0" w:color="auto"/>
              <w:bottom w:val="single" w:sz="8"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Recursos del balance</w:t>
            </w:r>
          </w:p>
        </w:tc>
        <w:tc>
          <w:tcPr>
            <w:tcW w:w="969"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532.927.910 </w:t>
            </w:r>
          </w:p>
        </w:tc>
        <w:tc>
          <w:tcPr>
            <w:tcW w:w="974"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532.927.910 </w:t>
            </w:r>
          </w:p>
        </w:tc>
        <w:tc>
          <w:tcPr>
            <w:tcW w:w="942"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w:t>
            </w:r>
          </w:p>
        </w:tc>
      </w:tr>
      <w:tr w:rsidR="007B39D8" w:rsidTr="007B39D8">
        <w:trPr>
          <w:trHeight w:val="20"/>
          <w:jc w:val="center"/>
        </w:trPr>
        <w:tc>
          <w:tcPr>
            <w:tcW w:w="2114" w:type="pct"/>
            <w:tcBorders>
              <w:top w:val="nil"/>
              <w:left w:val="single" w:sz="8" w:space="0" w:color="auto"/>
              <w:bottom w:val="single" w:sz="8"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Rendimientos financieros prestación</w:t>
            </w:r>
          </w:p>
        </w:tc>
        <w:tc>
          <w:tcPr>
            <w:tcW w:w="969"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60.712.432 </w:t>
            </w:r>
          </w:p>
        </w:tc>
        <w:tc>
          <w:tcPr>
            <w:tcW w:w="974"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w:t>
            </w:r>
          </w:p>
        </w:tc>
        <w:tc>
          <w:tcPr>
            <w:tcW w:w="942"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60.712.432 </w:t>
            </w:r>
          </w:p>
        </w:tc>
      </w:tr>
      <w:tr w:rsidR="007B39D8" w:rsidTr="007B39D8">
        <w:trPr>
          <w:trHeight w:val="20"/>
          <w:jc w:val="center"/>
        </w:trPr>
        <w:tc>
          <w:tcPr>
            <w:tcW w:w="2114" w:type="pct"/>
            <w:tcBorders>
              <w:top w:val="nil"/>
              <w:left w:val="single" w:sz="8" w:space="0" w:color="auto"/>
              <w:bottom w:val="single" w:sz="8"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Rendimientos financieros calidad</w:t>
            </w:r>
          </w:p>
        </w:tc>
        <w:tc>
          <w:tcPr>
            <w:tcW w:w="969"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53.552.599 </w:t>
            </w:r>
          </w:p>
        </w:tc>
        <w:tc>
          <w:tcPr>
            <w:tcW w:w="974"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w:t>
            </w:r>
          </w:p>
        </w:tc>
        <w:tc>
          <w:tcPr>
            <w:tcW w:w="942"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53.552.599 </w:t>
            </w:r>
          </w:p>
        </w:tc>
      </w:tr>
      <w:tr w:rsidR="007B39D8" w:rsidTr="007B39D8">
        <w:trPr>
          <w:trHeight w:val="20"/>
          <w:jc w:val="center"/>
        </w:trPr>
        <w:tc>
          <w:tcPr>
            <w:tcW w:w="2114" w:type="pct"/>
            <w:tcBorders>
              <w:top w:val="nil"/>
              <w:left w:val="single" w:sz="8" w:space="0" w:color="auto"/>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both"/>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TOTAL, RECURSOS CSF</w:t>
            </w:r>
          </w:p>
        </w:tc>
        <w:tc>
          <w:tcPr>
            <w:tcW w:w="969"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56.374.762.840</w:t>
            </w:r>
          </w:p>
        </w:tc>
        <w:tc>
          <w:tcPr>
            <w:tcW w:w="974"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56.326.651.542</w:t>
            </w:r>
          </w:p>
        </w:tc>
        <w:tc>
          <w:tcPr>
            <w:tcW w:w="942"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48.111.298</w:t>
            </w:r>
          </w:p>
        </w:tc>
      </w:tr>
      <w:tr w:rsidR="007B39D8" w:rsidTr="007B39D8">
        <w:trPr>
          <w:trHeight w:val="20"/>
          <w:jc w:val="center"/>
        </w:trPr>
        <w:tc>
          <w:tcPr>
            <w:tcW w:w="2114" w:type="pct"/>
            <w:tcBorders>
              <w:top w:val="nil"/>
              <w:left w:val="single" w:sz="8" w:space="0" w:color="auto"/>
              <w:bottom w:val="single" w:sz="8"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 SSF</w:t>
            </w:r>
          </w:p>
        </w:tc>
        <w:tc>
          <w:tcPr>
            <w:tcW w:w="969"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10.260.750.251 </w:t>
            </w:r>
          </w:p>
        </w:tc>
        <w:tc>
          <w:tcPr>
            <w:tcW w:w="974"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10.194.596.518 </w:t>
            </w:r>
          </w:p>
        </w:tc>
        <w:tc>
          <w:tcPr>
            <w:tcW w:w="942"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66.153.733 </w:t>
            </w:r>
          </w:p>
        </w:tc>
      </w:tr>
      <w:tr w:rsidR="007B39D8" w:rsidTr="007B39D8">
        <w:trPr>
          <w:trHeight w:val="20"/>
          <w:jc w:val="center"/>
        </w:trPr>
        <w:tc>
          <w:tcPr>
            <w:tcW w:w="2114" w:type="pct"/>
            <w:tcBorders>
              <w:top w:val="nil"/>
              <w:left w:val="single" w:sz="8" w:space="0" w:color="auto"/>
              <w:bottom w:val="single" w:sz="8"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Calidad Gratuidad SSF</w:t>
            </w:r>
          </w:p>
        </w:tc>
        <w:tc>
          <w:tcPr>
            <w:tcW w:w="969"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1.583.842.742 </w:t>
            </w:r>
          </w:p>
        </w:tc>
        <w:tc>
          <w:tcPr>
            <w:tcW w:w="974"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1.583.842.742 </w:t>
            </w:r>
          </w:p>
        </w:tc>
        <w:tc>
          <w:tcPr>
            <w:tcW w:w="942" w:type="pct"/>
            <w:tcBorders>
              <w:top w:val="nil"/>
              <w:left w:val="nil"/>
              <w:bottom w:val="single" w:sz="8" w:space="0" w:color="auto"/>
              <w:right w:val="single" w:sz="8"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w:t>
            </w:r>
          </w:p>
        </w:tc>
      </w:tr>
      <w:tr w:rsidR="007B39D8" w:rsidTr="007B39D8">
        <w:trPr>
          <w:trHeight w:val="20"/>
          <w:jc w:val="center"/>
        </w:trPr>
        <w:tc>
          <w:tcPr>
            <w:tcW w:w="2114" w:type="pct"/>
            <w:tcBorders>
              <w:top w:val="nil"/>
              <w:left w:val="single" w:sz="8" w:space="0" w:color="auto"/>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both"/>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TOTAL, RECURSOS SSF</w:t>
            </w:r>
          </w:p>
        </w:tc>
        <w:tc>
          <w:tcPr>
            <w:tcW w:w="969"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11.844.592.993</w:t>
            </w:r>
          </w:p>
        </w:tc>
        <w:tc>
          <w:tcPr>
            <w:tcW w:w="974"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11.778.439.260</w:t>
            </w:r>
          </w:p>
        </w:tc>
        <w:tc>
          <w:tcPr>
            <w:tcW w:w="942"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66.153.733</w:t>
            </w:r>
          </w:p>
        </w:tc>
      </w:tr>
      <w:tr w:rsidR="007B39D8" w:rsidTr="007B39D8">
        <w:trPr>
          <w:trHeight w:val="20"/>
          <w:jc w:val="center"/>
        </w:trPr>
        <w:tc>
          <w:tcPr>
            <w:tcW w:w="2114" w:type="pct"/>
            <w:tcBorders>
              <w:top w:val="nil"/>
              <w:left w:val="single" w:sz="8" w:space="0" w:color="auto"/>
              <w:bottom w:val="single" w:sz="8" w:space="0" w:color="auto"/>
              <w:right w:val="single" w:sz="8" w:space="0" w:color="auto"/>
            </w:tcBorders>
            <w:shd w:val="clear" w:color="auto" w:fill="244061" w:themeFill="accent1" w:themeFillShade="80"/>
            <w:noWrap/>
            <w:vAlign w:val="center"/>
            <w:hideMark/>
          </w:tcPr>
          <w:p w:rsidR="007B39D8" w:rsidRDefault="007B39D8">
            <w:pPr>
              <w:spacing w:line="254" w:lineRule="auto"/>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TOTAL</w:t>
            </w:r>
          </w:p>
        </w:tc>
        <w:tc>
          <w:tcPr>
            <w:tcW w:w="969" w:type="pct"/>
            <w:tcBorders>
              <w:top w:val="nil"/>
              <w:left w:val="nil"/>
              <w:bottom w:val="single" w:sz="8" w:space="0" w:color="auto"/>
              <w:right w:val="single" w:sz="8" w:space="0" w:color="auto"/>
            </w:tcBorders>
            <w:shd w:val="clear" w:color="auto" w:fill="244061" w:themeFill="accent1" w:themeFillShade="80"/>
            <w:noWrap/>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68.219.355.833</w:t>
            </w:r>
          </w:p>
        </w:tc>
        <w:tc>
          <w:tcPr>
            <w:tcW w:w="974" w:type="pct"/>
            <w:tcBorders>
              <w:top w:val="nil"/>
              <w:left w:val="nil"/>
              <w:bottom w:val="single" w:sz="8" w:space="0" w:color="auto"/>
              <w:right w:val="single" w:sz="8" w:space="0" w:color="auto"/>
            </w:tcBorders>
            <w:shd w:val="clear" w:color="auto" w:fill="244061" w:themeFill="accent1" w:themeFillShade="80"/>
            <w:noWrap/>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68.105.090.802</w:t>
            </w:r>
          </w:p>
        </w:tc>
        <w:tc>
          <w:tcPr>
            <w:tcW w:w="942" w:type="pct"/>
            <w:tcBorders>
              <w:top w:val="nil"/>
              <w:left w:val="nil"/>
              <w:bottom w:val="single" w:sz="8" w:space="0" w:color="auto"/>
              <w:right w:val="single" w:sz="8" w:space="0" w:color="auto"/>
            </w:tcBorders>
            <w:shd w:val="clear" w:color="auto" w:fill="244061" w:themeFill="accent1" w:themeFillShade="80"/>
            <w:noWrap/>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114.265.031</w:t>
            </w:r>
          </w:p>
        </w:tc>
      </w:tr>
    </w:tbl>
    <w:p w:rsidR="007B39D8" w:rsidRDefault="007B39D8" w:rsidP="007B39D8">
      <w:pPr>
        <w:jc w:val="both"/>
        <w:rPr>
          <w:rFonts w:ascii="Arial" w:hAnsi="Arial" w:cs="Arial"/>
          <w:sz w:val="22"/>
          <w:szCs w:val="22"/>
        </w:rPr>
      </w:pPr>
    </w:p>
    <w:p w:rsidR="007B39D8" w:rsidRDefault="007B39D8" w:rsidP="007B39D8">
      <w:pPr>
        <w:autoSpaceDE w:val="0"/>
        <w:autoSpaceDN w:val="0"/>
        <w:adjustRightInd w:val="0"/>
        <w:jc w:val="both"/>
        <w:rPr>
          <w:rFonts w:ascii="Arial" w:hAnsi="Arial" w:cs="Arial"/>
          <w:sz w:val="22"/>
          <w:szCs w:val="22"/>
        </w:rPr>
      </w:pPr>
      <w:r>
        <w:rPr>
          <w:rFonts w:ascii="Arial" w:hAnsi="Arial" w:cs="Arial"/>
          <w:sz w:val="22"/>
          <w:szCs w:val="22"/>
        </w:rPr>
        <w:t xml:space="preserve">Por lo anterior, en reunión efectuada con la entidad el 27 de julio de 2021, informaron que las </w:t>
      </w:r>
      <w:proofErr w:type="gramStart"/>
      <w:r>
        <w:rPr>
          <w:rFonts w:ascii="Arial" w:hAnsi="Arial" w:cs="Arial"/>
          <w:sz w:val="22"/>
          <w:szCs w:val="22"/>
        </w:rPr>
        <w:t>áreas financiera</w:t>
      </w:r>
      <w:proofErr w:type="gramEnd"/>
      <w:r>
        <w:rPr>
          <w:rFonts w:ascii="Arial" w:hAnsi="Arial" w:cs="Arial"/>
          <w:sz w:val="22"/>
          <w:szCs w:val="22"/>
        </w:rPr>
        <w:t xml:space="preserve"> de la Secretaría de Educación y Tesorería General del Municipio se están reuniendo mes a mes para llevar el control de lo que se está pagando y verificar que las erogaciones tengan el respectivo registro. Asimismo, en relación con la nómina verifican que coincida con lo efectivamente liquidado por el Sistema Humano, por lo que mediante radicado 1-2021-070601 del 12 de agosto de 2021 la entidad remitió las actas de dichas reuniones de enero a julio de la misma anualidad, en las que se revisa el giro del Ministerio de Educación Nacional del mes, la liquidación de la nómina, los reportes de nómina del </w:t>
      </w:r>
      <w:r>
        <w:rPr>
          <w:rFonts w:ascii="Arial" w:hAnsi="Arial" w:cs="Arial"/>
          <w:sz w:val="22"/>
          <w:szCs w:val="22"/>
        </w:rPr>
        <w:lastRenderedPageBreak/>
        <w:t>mes, los certificados de disponibilidad presupuestal, los registros presupuestales y los comprobantes de egreso de la Nómina.</w:t>
      </w:r>
    </w:p>
    <w:p w:rsidR="007B39D8" w:rsidRDefault="007B39D8" w:rsidP="007B39D8">
      <w:pPr>
        <w:jc w:val="both"/>
        <w:rPr>
          <w:rFonts w:ascii="Arial" w:hAnsi="Arial" w:cs="Arial"/>
          <w:sz w:val="22"/>
          <w:szCs w:val="22"/>
        </w:rPr>
      </w:pPr>
    </w:p>
    <w:p w:rsidR="007B39D8" w:rsidRDefault="007B39D8" w:rsidP="007B39D8">
      <w:pPr>
        <w:jc w:val="both"/>
        <w:rPr>
          <w:rFonts w:ascii="Arial" w:eastAsia="Times New Roman" w:hAnsi="Arial" w:cs="Arial"/>
          <w:sz w:val="22"/>
          <w:szCs w:val="22"/>
          <w:lang w:val="es-CO" w:eastAsia="es-CO"/>
        </w:rPr>
      </w:pPr>
      <w:r>
        <w:rPr>
          <w:rFonts w:ascii="Arial" w:hAnsi="Arial" w:cs="Arial"/>
          <w:sz w:val="22"/>
          <w:szCs w:val="22"/>
        </w:rPr>
        <w:t xml:space="preserve">Adicionalmente, se revisó la ejecución presupuestal para verificar la adecuada incorporación de los recursos SSF y se evidenció que a marzo de 2021 se habían girado y recaudado recursos SSF por $3.902 millones, de los cuales se habían comprometido a dicho corte $2.656 millones. A 30 de junio de 2021 el Ministerio Sectorial había girado </w:t>
      </w:r>
      <w:r>
        <w:rPr>
          <w:rFonts w:ascii="Arial" w:eastAsia="Times New Roman" w:hAnsi="Arial" w:cs="Arial"/>
          <w:sz w:val="22"/>
          <w:szCs w:val="22"/>
          <w:lang w:val="es-CO" w:eastAsia="es-CO"/>
        </w:rPr>
        <w:t>$6.477 millones de recursos SSF, valor que también fue recaudado e incorporado adecuadamente en la ejecución presupuestal de ingreso como recaudo SSF, de los cuales en la ejecución de gastos se comprometieron $5.394 millones.</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Por lo tanto, sin perjuicio de lo ocurrido al cierre de la vigencia 2020 los avances evidenciados en la vigencia 2021 permiten concluir el cumplimiento de la presente actividad.</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b/>
          <w:bCs/>
          <w:sz w:val="22"/>
          <w:szCs w:val="22"/>
        </w:rPr>
      </w:pPr>
      <w:r>
        <w:rPr>
          <w:rFonts w:ascii="Arial" w:hAnsi="Arial" w:cs="Arial"/>
          <w:b/>
          <w:bCs/>
          <w:sz w:val="22"/>
          <w:szCs w:val="22"/>
        </w:rPr>
        <w:t>Evaluación: Cumple</w:t>
      </w:r>
    </w:p>
    <w:p w:rsidR="007B39D8" w:rsidRDefault="007B39D8" w:rsidP="007B39D8">
      <w:pPr>
        <w:jc w:val="both"/>
        <w:rPr>
          <w:rFonts w:ascii="Arial" w:hAnsi="Arial" w:cs="Arial"/>
          <w:b/>
          <w:bCs/>
          <w:sz w:val="22"/>
          <w:szCs w:val="22"/>
        </w:rPr>
      </w:pPr>
    </w:p>
    <w:p w:rsidR="007B39D8" w:rsidRDefault="007B39D8" w:rsidP="007B39D8">
      <w:pPr>
        <w:jc w:val="both"/>
        <w:rPr>
          <w:rFonts w:ascii="Arial" w:hAnsi="Arial" w:cs="Arial"/>
          <w:b/>
          <w:sz w:val="22"/>
          <w:szCs w:val="22"/>
        </w:rPr>
      </w:pPr>
      <w:r>
        <w:rPr>
          <w:rFonts w:ascii="Arial" w:hAnsi="Arial" w:cs="Arial"/>
          <w:b/>
          <w:sz w:val="22"/>
          <w:szCs w:val="22"/>
        </w:rPr>
        <w:t>Actividad 5. Actualizar la reglamentación de los Fondos de Servicios Educativos, en la cual se deben definir los mecanismos necesarios para efectuar el seguimiento a los recursos asignados, tanto los de gratuidad como los que recauden los establecimientos educativos.</w:t>
      </w:r>
    </w:p>
    <w:p w:rsidR="007B39D8" w:rsidRDefault="007B39D8" w:rsidP="007B39D8">
      <w:pPr>
        <w:jc w:val="both"/>
        <w:rPr>
          <w:rFonts w:ascii="Arial" w:hAnsi="Arial" w:cs="Arial"/>
          <w:b/>
          <w:sz w:val="22"/>
          <w:szCs w:val="22"/>
        </w:rPr>
      </w:pPr>
    </w:p>
    <w:p w:rsidR="007B39D8" w:rsidRDefault="007B39D8" w:rsidP="007B39D8">
      <w:pPr>
        <w:jc w:val="both"/>
        <w:rPr>
          <w:rFonts w:ascii="Arial" w:hAnsi="Arial" w:cs="Arial"/>
          <w:sz w:val="22"/>
          <w:szCs w:val="22"/>
        </w:rPr>
      </w:pPr>
      <w:r>
        <w:rPr>
          <w:rFonts w:ascii="Arial" w:hAnsi="Arial" w:cs="Arial"/>
          <w:sz w:val="22"/>
          <w:szCs w:val="22"/>
        </w:rPr>
        <w:t>Mediante Oficio de radicado No. 1-2018-076235 del 16 de agosto de 2018 la entidad envió la resolución No. 01571 del 04 de diciembre de 2017 por la cual se expide el reglamento de Fondos de Servicios Educativos – FSE de las instituciones educativas del municipio de Ipiales, en el cual se autoriza el funcionamiento de los Fondos de Servicios Educativos y se dan orientaciones sobre su administración y la obligación de llevar la contabilidad conforme lo establecido para las entidades públicas.</w:t>
      </w:r>
    </w:p>
    <w:p w:rsidR="007B39D8" w:rsidRDefault="007B39D8" w:rsidP="007B39D8">
      <w:pPr>
        <w:pStyle w:val="Textoindependiente"/>
        <w:spacing w:before="0" w:after="0"/>
        <w:jc w:val="both"/>
        <w:rPr>
          <w:rFonts w:ascii="Arial" w:eastAsia="MS Mincho" w:hAnsi="Arial" w:cs="Arial"/>
          <w:sz w:val="22"/>
          <w:szCs w:val="22"/>
          <w:lang w:val="es-ES" w:eastAsia="es-ES"/>
        </w:rPr>
      </w:pPr>
    </w:p>
    <w:p w:rsidR="007B39D8" w:rsidRDefault="007B39D8" w:rsidP="007B39D8">
      <w:pPr>
        <w:pStyle w:val="Textoindependiente"/>
        <w:spacing w:before="0" w:after="0"/>
        <w:jc w:val="both"/>
        <w:rPr>
          <w:rFonts w:ascii="Arial" w:eastAsia="MS Mincho" w:hAnsi="Arial" w:cs="Arial"/>
          <w:sz w:val="22"/>
          <w:szCs w:val="22"/>
          <w:lang w:val="es-ES" w:eastAsia="es-ES"/>
        </w:rPr>
      </w:pPr>
      <w:r>
        <w:rPr>
          <w:rFonts w:ascii="Arial" w:eastAsia="MS Mincho" w:hAnsi="Arial" w:cs="Arial"/>
          <w:sz w:val="22"/>
          <w:szCs w:val="22"/>
          <w:lang w:val="es-ES" w:eastAsia="es-ES"/>
        </w:rPr>
        <w:t>Asimismo, se establece que los fondos de servicios educativos serán administrados por el ordenador del gasto quien es el rector de la institución educativa; se encarga a la oficina administrativa y financiera de la secretaría de educación de ejercer el seguimiento en la administración y ejecución de los recursos provenientes del fondo de servicio educativo, para lo cual el ordenador del gasto deberá entregar semestralmente informes presupuestales y contables con sus respectivos soportes, también menciona que se hará seguimiento a la gestión financiera de los fondos a través del Sistema de Información de los Fondos de Servicios Educativos – SIFSE.</w:t>
      </w:r>
    </w:p>
    <w:p w:rsidR="007B39D8" w:rsidRDefault="007B39D8" w:rsidP="007B39D8">
      <w:pPr>
        <w:pStyle w:val="Textoindependiente"/>
        <w:spacing w:before="0" w:after="0"/>
        <w:jc w:val="both"/>
        <w:rPr>
          <w:rFonts w:ascii="Arial" w:eastAsia="MS Mincho" w:hAnsi="Arial" w:cs="Arial"/>
          <w:sz w:val="22"/>
          <w:szCs w:val="22"/>
          <w:lang w:val="es-ES" w:eastAsia="es-ES"/>
        </w:rPr>
      </w:pPr>
    </w:p>
    <w:p w:rsidR="007B39D8" w:rsidRDefault="007B39D8" w:rsidP="007B39D8">
      <w:pPr>
        <w:pStyle w:val="Textoindependiente"/>
        <w:spacing w:before="0" w:after="0"/>
        <w:jc w:val="both"/>
        <w:rPr>
          <w:rFonts w:ascii="Arial" w:eastAsia="MS Mincho" w:hAnsi="Arial" w:cs="Arial"/>
          <w:sz w:val="22"/>
          <w:szCs w:val="22"/>
          <w:lang w:val="es-ES" w:eastAsia="es-ES"/>
        </w:rPr>
      </w:pPr>
      <w:r>
        <w:rPr>
          <w:rFonts w:ascii="Arial" w:eastAsia="MS Mincho" w:hAnsi="Arial" w:cs="Arial"/>
          <w:sz w:val="22"/>
          <w:szCs w:val="22"/>
          <w:lang w:val="es-ES" w:eastAsia="es-ES"/>
        </w:rPr>
        <w:t>Adicionalmente, este reglamento tiene en cuenta la Resolución No. 12829 del 30 de junio de 2017 por medio de la cual se reglamentan las cuentas maestras para administrar los recursos del sistema general de participaciones de educación, lo establecido en el Decreto 4807 de 2011 sobre la administración de los recursos de gratuidad, y el decreto 4791 de 2008 sobre la reglamentación de los fondos de servicios educativos.</w:t>
      </w:r>
    </w:p>
    <w:p w:rsidR="007B39D8" w:rsidRDefault="007B39D8" w:rsidP="007B39D8">
      <w:pPr>
        <w:pStyle w:val="Textoindependiente"/>
        <w:spacing w:before="0" w:after="0"/>
        <w:jc w:val="both"/>
        <w:rPr>
          <w:rFonts w:ascii="Arial" w:eastAsia="MS Mincho" w:hAnsi="Arial" w:cs="Arial"/>
          <w:sz w:val="22"/>
          <w:szCs w:val="22"/>
          <w:lang w:val="es-ES" w:eastAsia="es-ES"/>
        </w:rPr>
      </w:pPr>
    </w:p>
    <w:p w:rsidR="007B39D8" w:rsidRDefault="007B39D8" w:rsidP="007B39D8">
      <w:pPr>
        <w:jc w:val="both"/>
        <w:rPr>
          <w:rFonts w:ascii="Arial" w:hAnsi="Arial" w:cs="Arial"/>
          <w:sz w:val="22"/>
          <w:szCs w:val="22"/>
        </w:rPr>
      </w:pPr>
      <w:r>
        <w:rPr>
          <w:rFonts w:ascii="Arial" w:hAnsi="Arial" w:cs="Arial"/>
          <w:sz w:val="22"/>
          <w:szCs w:val="22"/>
        </w:rPr>
        <w:t>Por lo anterior, la presente actividad se encuentra cumplida.</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b/>
          <w:bCs/>
          <w:sz w:val="22"/>
          <w:szCs w:val="22"/>
        </w:rPr>
      </w:pPr>
      <w:r>
        <w:rPr>
          <w:rFonts w:ascii="Arial" w:hAnsi="Arial" w:cs="Arial"/>
          <w:b/>
          <w:bCs/>
          <w:sz w:val="22"/>
          <w:szCs w:val="22"/>
        </w:rPr>
        <w:t>Evaluación: Cumple</w:t>
      </w:r>
    </w:p>
    <w:p w:rsidR="007B39D8" w:rsidRDefault="007B39D8" w:rsidP="007B39D8">
      <w:pPr>
        <w:jc w:val="both"/>
        <w:rPr>
          <w:rFonts w:ascii="Arial" w:hAnsi="Arial" w:cs="Arial"/>
          <w:b/>
          <w:sz w:val="22"/>
          <w:szCs w:val="22"/>
        </w:rPr>
      </w:pPr>
    </w:p>
    <w:p w:rsidR="007B39D8" w:rsidRDefault="007B39D8" w:rsidP="007B39D8">
      <w:pPr>
        <w:jc w:val="both"/>
        <w:rPr>
          <w:rFonts w:ascii="Arial" w:hAnsi="Arial" w:cs="Arial"/>
          <w:b/>
          <w:sz w:val="22"/>
          <w:szCs w:val="22"/>
        </w:rPr>
      </w:pPr>
      <w:r>
        <w:rPr>
          <w:rFonts w:ascii="Arial" w:hAnsi="Arial" w:cs="Arial"/>
          <w:b/>
          <w:sz w:val="22"/>
          <w:szCs w:val="22"/>
        </w:rPr>
        <w:t>Actividad 6. Normalizar la entrega de la dotación de personal del sector educativo conforme la normatividad.</w:t>
      </w:r>
    </w:p>
    <w:p w:rsidR="007B39D8" w:rsidRDefault="007B39D8" w:rsidP="007B39D8">
      <w:pPr>
        <w:jc w:val="both"/>
        <w:rPr>
          <w:rFonts w:ascii="Arial" w:hAnsi="Arial" w:cs="Arial"/>
          <w:sz w:val="22"/>
          <w:szCs w:val="22"/>
        </w:rPr>
      </w:pPr>
    </w:p>
    <w:p w:rsidR="007B39D8" w:rsidRDefault="007B39D8" w:rsidP="007B39D8">
      <w:pPr>
        <w:pStyle w:val="paragraph"/>
        <w:spacing w:before="0" w:beforeAutospacing="0" w:after="0" w:afterAutospacing="0"/>
        <w:jc w:val="both"/>
        <w:textAlignment w:val="baseline"/>
        <w:rPr>
          <w:rFonts w:ascii="Arial" w:hAnsi="Arial" w:cs="Arial"/>
          <w:sz w:val="22"/>
          <w:szCs w:val="22"/>
        </w:rPr>
      </w:pPr>
      <w:bookmarkStart w:id="11" w:name="_Hlk15210418"/>
      <w:r>
        <w:rPr>
          <w:rStyle w:val="normaltextrun"/>
          <w:rFonts w:ascii="Arial" w:eastAsia="MS Mincho" w:hAnsi="Arial" w:cs="Arial"/>
          <w:sz w:val="22"/>
          <w:szCs w:val="22"/>
        </w:rPr>
        <w:t>El 4 de noviembre de 2020 la entidad suscribió el contrato No. 625 para la adquisición de la dotación de calzado y vestido de labor, para el personal docente y administrativo que labora en las instituciones educativas oficiales del municipio de Ipiales, correspondiente a los 3 cuatrimestres del año 2020, por lo cual se concluyó que la primera y segunda entrega se hicieron de forma extemporánea. Adicionalmente, la entidad envió el acta Aclaratoria y de Prorroga No. 1 en la cual se estableció el aumento del plazo de entrega de la dotación hasta el 29 de enero del 2021, esto indica que la tercera entrega, igualmente fue entregada extemporáneamente.</w:t>
      </w:r>
      <w:r>
        <w:rPr>
          <w:rStyle w:val="eop"/>
          <w:rFonts w:ascii="Arial" w:eastAsiaTheme="majorEastAsia" w:hAnsi="Arial" w:cs="Arial"/>
          <w:sz w:val="22"/>
          <w:szCs w:val="22"/>
        </w:rPr>
        <w:t xml:space="preserve"> </w:t>
      </w:r>
    </w:p>
    <w:p w:rsidR="007B39D8" w:rsidRDefault="007B39D8" w:rsidP="007B39D8">
      <w:pPr>
        <w:pStyle w:val="paragraph"/>
        <w:spacing w:before="0" w:beforeAutospacing="0" w:after="0" w:afterAutospacing="0"/>
        <w:jc w:val="both"/>
        <w:textAlignment w:val="baseline"/>
        <w:rPr>
          <w:rFonts w:ascii="Arial" w:hAnsi="Arial" w:cs="Arial"/>
          <w:sz w:val="22"/>
          <w:szCs w:val="22"/>
        </w:rPr>
      </w:pPr>
      <w:r>
        <w:rPr>
          <w:rStyle w:val="eop"/>
          <w:rFonts w:ascii="Arial" w:eastAsiaTheme="majorEastAsia" w:hAnsi="Arial" w:cs="Arial"/>
          <w:sz w:val="22"/>
          <w:szCs w:val="22"/>
        </w:rPr>
        <w:t xml:space="preserve"> </w:t>
      </w:r>
    </w:p>
    <w:p w:rsidR="007B39D8" w:rsidRDefault="007B39D8" w:rsidP="007B39D8">
      <w:pPr>
        <w:pStyle w:val="paragraph"/>
        <w:spacing w:before="0" w:beforeAutospacing="0" w:after="0" w:afterAutospacing="0"/>
        <w:jc w:val="both"/>
        <w:textAlignment w:val="baseline"/>
        <w:rPr>
          <w:rStyle w:val="normaltextrun"/>
          <w:rFonts w:eastAsia="MS Mincho"/>
          <w:lang w:val="es-ES"/>
        </w:rPr>
      </w:pPr>
      <w:r>
        <w:rPr>
          <w:rStyle w:val="normaltextrun"/>
          <w:rFonts w:ascii="Arial" w:eastAsia="MS Mincho" w:hAnsi="Arial" w:cs="Arial"/>
          <w:sz w:val="22"/>
          <w:szCs w:val="22"/>
        </w:rPr>
        <w:t>Respecto a la contratación de la vigencia del 2021, se realizó una verificación en el SECOP I y se encontró publicado el contrato No. 291 de 2021 del 16 de abril del 2021, suscrito de manera oportuna. Sin embargo, en éste (al igual que en los estudios previos) se establece que la primera entrega de la dotación se realizará en mayo, la segunda entrega en septiembre y la tercera entrega en diciembre, lo que significa que la primera y segunda entrega van a ser entregadas de manera extemporánea.</w:t>
      </w:r>
    </w:p>
    <w:p w:rsidR="007B39D8" w:rsidRDefault="007B39D8" w:rsidP="007B39D8">
      <w:pPr>
        <w:pStyle w:val="paragraph"/>
        <w:spacing w:before="0" w:beforeAutospacing="0" w:after="0" w:afterAutospacing="0"/>
        <w:jc w:val="both"/>
        <w:textAlignment w:val="baseline"/>
        <w:rPr>
          <w:rStyle w:val="normaltextrun"/>
          <w:rFonts w:ascii="Arial" w:eastAsia="MS Mincho" w:hAnsi="Arial" w:cs="Arial"/>
          <w:sz w:val="22"/>
          <w:szCs w:val="22"/>
        </w:rPr>
      </w:pPr>
    </w:p>
    <w:p w:rsidR="007B39D8" w:rsidRDefault="007B39D8" w:rsidP="007B39D8">
      <w:pPr>
        <w:pStyle w:val="Default"/>
        <w:jc w:val="both"/>
        <w:rPr>
          <w:rStyle w:val="normaltextrun"/>
          <w:rFonts w:eastAsia="Times New Roman"/>
          <w:color w:val="auto"/>
          <w:sz w:val="22"/>
          <w:szCs w:val="22"/>
          <w:lang w:eastAsia="es-CO"/>
        </w:rPr>
      </w:pPr>
      <w:r>
        <w:rPr>
          <w:rStyle w:val="normaltextrun"/>
          <w:sz w:val="22"/>
          <w:szCs w:val="22"/>
        </w:rPr>
        <w:t xml:space="preserve">Por lo anterior, en reunión efectuada con la entidad el 27 de julio de 2021 informaron que la dotación se entregó oportunamente, por lo que se solicitó </w:t>
      </w:r>
      <w:r>
        <w:rPr>
          <w:sz w:val="22"/>
          <w:szCs w:val="22"/>
        </w:rPr>
        <w:t xml:space="preserve">publicar en el SECOP todo el expediente contractual </w:t>
      </w:r>
      <w:r>
        <w:rPr>
          <w:rStyle w:val="normaltextrun"/>
          <w:rFonts w:eastAsia="Times New Roman"/>
          <w:color w:val="auto"/>
          <w:sz w:val="22"/>
          <w:szCs w:val="22"/>
          <w:lang w:eastAsia="es-CO"/>
        </w:rPr>
        <w:t>incluido las actas de la primera entrega.</w:t>
      </w:r>
    </w:p>
    <w:p w:rsidR="007B39D8" w:rsidRDefault="007B39D8" w:rsidP="007B39D8">
      <w:pPr>
        <w:pStyle w:val="Default"/>
        <w:jc w:val="both"/>
        <w:rPr>
          <w:rStyle w:val="normaltextrun"/>
          <w:rFonts w:eastAsia="Times New Roman"/>
          <w:color w:val="auto"/>
          <w:sz w:val="22"/>
          <w:szCs w:val="22"/>
          <w:lang w:eastAsia="es-CO"/>
        </w:rPr>
      </w:pPr>
    </w:p>
    <w:p w:rsidR="007B39D8" w:rsidRDefault="007B39D8" w:rsidP="007B39D8">
      <w:pPr>
        <w:pStyle w:val="Default"/>
        <w:jc w:val="both"/>
        <w:rPr>
          <w:rStyle w:val="normaltextrun"/>
          <w:rFonts w:eastAsia="Times New Roman"/>
          <w:color w:val="auto"/>
          <w:sz w:val="22"/>
          <w:szCs w:val="22"/>
          <w:lang w:eastAsia="es-CO"/>
        </w:rPr>
      </w:pPr>
      <w:r>
        <w:rPr>
          <w:rStyle w:val="normaltextrun"/>
          <w:rFonts w:eastAsia="Times New Roman"/>
          <w:color w:val="auto"/>
          <w:sz w:val="22"/>
          <w:szCs w:val="22"/>
          <w:lang w:eastAsia="es-CO"/>
        </w:rPr>
        <w:t>Mediante radicado 1-2021-070601 del 12 de agosto de 2021, la entidad envió el enlace donde se evidencia la publicación de las actas de entrega en el SECOP I e informó que la entrega se realizó de manera individual al personal docente y administrativo, para lo cual se diligenció acta de entrega con la descripción, firma de recibido y huella dactilar.</w:t>
      </w:r>
    </w:p>
    <w:p w:rsidR="007B39D8" w:rsidRDefault="007B39D8" w:rsidP="007B39D8">
      <w:pPr>
        <w:pStyle w:val="Default"/>
        <w:jc w:val="both"/>
        <w:rPr>
          <w:rStyle w:val="normaltextrun"/>
          <w:rFonts w:eastAsia="Times New Roman"/>
          <w:color w:val="auto"/>
          <w:sz w:val="22"/>
          <w:szCs w:val="22"/>
          <w:lang w:eastAsia="es-CO"/>
        </w:rPr>
      </w:pPr>
    </w:p>
    <w:p w:rsidR="007B39D8" w:rsidRDefault="007B39D8" w:rsidP="007B39D8">
      <w:pPr>
        <w:pStyle w:val="Default"/>
        <w:jc w:val="both"/>
        <w:rPr>
          <w:rStyle w:val="normaltextrun"/>
          <w:rFonts w:eastAsia="Times New Roman"/>
          <w:color w:val="auto"/>
          <w:sz w:val="22"/>
          <w:szCs w:val="22"/>
          <w:lang w:eastAsia="es-CO"/>
        </w:rPr>
      </w:pPr>
      <w:r>
        <w:rPr>
          <w:rStyle w:val="normaltextrun"/>
          <w:rFonts w:eastAsia="Times New Roman"/>
          <w:color w:val="auto"/>
          <w:sz w:val="22"/>
          <w:szCs w:val="22"/>
          <w:lang w:eastAsia="es-CO"/>
        </w:rPr>
        <w:t>En la revisión del contrato en el SECOP I se evidenció que el 11 de agosto de 2021 se publicaron las actas de la primera entrega, lo cual consta de un archivo en PDF con 102 actas de entrega suscritas por el secretario de Educación y el funcionario que recibe la dotación, dichas actas también incluyen la descripción de las prendas entregadas la huella dactilar y la fecha de entrega, todas del 30 de abril de 2021.</w:t>
      </w:r>
    </w:p>
    <w:p w:rsidR="007B39D8" w:rsidRDefault="007B39D8" w:rsidP="007B39D8">
      <w:pPr>
        <w:pStyle w:val="Default"/>
        <w:jc w:val="both"/>
        <w:rPr>
          <w:rStyle w:val="normaltextrun"/>
          <w:rFonts w:eastAsia="Times New Roman"/>
          <w:color w:val="auto"/>
          <w:sz w:val="22"/>
          <w:szCs w:val="22"/>
          <w:lang w:eastAsia="es-CO"/>
        </w:rPr>
      </w:pPr>
    </w:p>
    <w:p w:rsidR="007B39D8" w:rsidRDefault="007B39D8" w:rsidP="007B39D8">
      <w:pPr>
        <w:pStyle w:val="Default"/>
        <w:jc w:val="both"/>
        <w:rPr>
          <w:rStyle w:val="normaltextrun"/>
          <w:rFonts w:eastAsia="Times New Roman"/>
          <w:color w:val="auto"/>
          <w:sz w:val="22"/>
          <w:szCs w:val="22"/>
          <w:lang w:eastAsia="es-CO"/>
        </w:rPr>
      </w:pPr>
      <w:r>
        <w:rPr>
          <w:rStyle w:val="normaltextrun"/>
          <w:rFonts w:eastAsia="Times New Roman"/>
          <w:color w:val="auto"/>
          <w:sz w:val="22"/>
          <w:szCs w:val="22"/>
          <w:lang w:eastAsia="es-CO"/>
        </w:rPr>
        <w:t>Asimismo, en lo referente a la segunda entrega, se evidenció en el SECOP I que el 9 de septiembre de 2021 se publicaron las actas de dicha entrega en un archivo en PDF con 93 actas suscritas por el secretario de Educación y el funcionario que recibe la dotación, incluyendo la descripción de las prendas entregadas la huella dactilar y la fecha de entrega, todas del 30 de agosto de 2021.</w:t>
      </w:r>
    </w:p>
    <w:p w:rsidR="007B39D8" w:rsidRDefault="007B39D8" w:rsidP="007B39D8">
      <w:pPr>
        <w:pStyle w:val="paragraph"/>
        <w:spacing w:before="0" w:beforeAutospacing="0" w:after="0" w:afterAutospacing="0"/>
        <w:jc w:val="both"/>
        <w:textAlignment w:val="baseline"/>
        <w:rPr>
          <w:rStyle w:val="normaltextrun"/>
          <w:rFonts w:ascii="Arial" w:hAnsi="Arial" w:cs="Arial"/>
          <w:sz w:val="22"/>
          <w:szCs w:val="22"/>
        </w:rPr>
      </w:pPr>
    </w:p>
    <w:p w:rsidR="007B39D8" w:rsidRDefault="007B39D8" w:rsidP="007B39D8">
      <w:pPr>
        <w:pStyle w:val="paragraph"/>
        <w:spacing w:before="0" w:beforeAutospacing="0" w:after="0" w:afterAutospacing="0"/>
        <w:jc w:val="both"/>
        <w:textAlignment w:val="baseline"/>
        <w:rPr>
          <w:rStyle w:val="normaltextrun"/>
          <w:rFonts w:ascii="Arial" w:eastAsia="MS Mincho" w:hAnsi="Arial" w:cs="Arial"/>
          <w:sz w:val="22"/>
          <w:szCs w:val="22"/>
        </w:rPr>
      </w:pPr>
      <w:r>
        <w:rPr>
          <w:rStyle w:val="normaltextrun"/>
          <w:rFonts w:ascii="Arial" w:eastAsia="MS Mincho" w:hAnsi="Arial" w:cs="Arial"/>
          <w:sz w:val="22"/>
          <w:szCs w:val="22"/>
        </w:rPr>
        <w:t xml:space="preserve">Por lo anterior, se concluye que la entidad cumplió con lo estipulado en el oficio No. 1050.13.01-OJ-273 del 22 de mayo de 2019, mediante el cual estableció el compromiso de entregar la dotación en los tiempos establecidos en la normatividad vigente, mediante dicho oficio informó también el procedimiento interno determinado para tal fin, desde la planeación hasta la liquidación del contrato y asignó responsables y fechas de cumplimiento. </w:t>
      </w:r>
      <w:bookmarkEnd w:id="11"/>
    </w:p>
    <w:p w:rsidR="007B39D8" w:rsidRDefault="007B39D8" w:rsidP="007B39D8">
      <w:pPr>
        <w:jc w:val="both"/>
        <w:rPr>
          <w:b/>
          <w:bCs/>
        </w:rPr>
      </w:pPr>
    </w:p>
    <w:p w:rsidR="007B39D8" w:rsidRDefault="007B39D8" w:rsidP="007B39D8">
      <w:pPr>
        <w:jc w:val="both"/>
        <w:rPr>
          <w:rFonts w:ascii="Arial" w:hAnsi="Arial" w:cs="Arial"/>
          <w:b/>
          <w:bCs/>
          <w:sz w:val="22"/>
          <w:szCs w:val="22"/>
        </w:rPr>
      </w:pPr>
      <w:r>
        <w:rPr>
          <w:rFonts w:ascii="Arial" w:hAnsi="Arial" w:cs="Arial"/>
          <w:b/>
          <w:bCs/>
          <w:sz w:val="22"/>
          <w:szCs w:val="22"/>
        </w:rPr>
        <w:t>Evaluación: Cumple</w:t>
      </w:r>
    </w:p>
    <w:p w:rsidR="007B39D8" w:rsidRDefault="007B39D8" w:rsidP="007B39D8">
      <w:pPr>
        <w:pStyle w:val="paragraph"/>
        <w:spacing w:before="0" w:beforeAutospacing="0" w:after="0" w:afterAutospacing="0"/>
        <w:jc w:val="both"/>
        <w:textAlignment w:val="baseline"/>
        <w:rPr>
          <w:rFonts w:ascii="Arial" w:hAnsi="Arial" w:cs="Arial"/>
          <w:sz w:val="22"/>
          <w:szCs w:val="22"/>
        </w:rPr>
      </w:pPr>
    </w:p>
    <w:p w:rsidR="007B39D8" w:rsidRDefault="007B39D8" w:rsidP="007B39D8">
      <w:pPr>
        <w:jc w:val="both"/>
        <w:rPr>
          <w:rFonts w:ascii="Arial" w:hAnsi="Arial" w:cs="Arial"/>
          <w:b/>
          <w:sz w:val="22"/>
          <w:szCs w:val="22"/>
        </w:rPr>
      </w:pPr>
      <w:r>
        <w:rPr>
          <w:rFonts w:ascii="Arial" w:hAnsi="Arial" w:cs="Arial"/>
          <w:b/>
          <w:sz w:val="22"/>
          <w:szCs w:val="22"/>
        </w:rPr>
        <w:t xml:space="preserve">Actividad 7. Suscribir los contratos del servicio educativo que requiera, en cumplimiento de los tiempos del año lectivo y de la normatividad vigente. </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Para la vigencia 2021, la entidad atendió las recomendaciones dadas por la Dirección General de Apoyo Fiscal, cumplió con la contratación del servicio educativo en los tiempos del calendario académico el cual fue modificado mediante la Resolución 00023 del 14 de enero de 2021 estableciendo el inicio de los periodos académicos el 01 de febrero de 2021, por lo que en atención al calendario los contratos No. 003, 004 y 005 de 2021 iniciaron el 29 de enero de 2021. </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En lo atinente al valor de las tipologías para la vigencia 2021, se encontró que al dividir el valor del contrato No. 004 de 2021 entre el número de estudiantes contratados, cada estudiante tendría un costo de $2.322.221, por lo que los niños reportados en el FUC y en el SIMAT en el nivel de primaria de la zona urbana superan el valor de la tipología.</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Si bien el valor de los otros niveles está por debajo de la tipología establecida para cada uno, al final, cuando se compara el precio total del contrato con el valor máximo que debería costar teniendo en cuenta los niveles y los grados reportados, se evidencia que el contrato se pasó en $658.923 es decir se pactó por $568.944.053 y el precio máximo para este contrato debió ser de $568.285.130, tal y como se presenta en el siguiente detalle: </w:t>
      </w:r>
    </w:p>
    <w:p w:rsidR="007B39D8" w:rsidRDefault="007B39D8" w:rsidP="007B39D8">
      <w:pPr>
        <w:jc w:val="both"/>
        <w:rPr>
          <w:rFonts w:ascii="Arial"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1593"/>
        <w:gridCol w:w="874"/>
        <w:gridCol w:w="1248"/>
        <w:gridCol w:w="1511"/>
        <w:gridCol w:w="1794"/>
        <w:gridCol w:w="1808"/>
      </w:tblGrid>
      <w:tr w:rsidR="007B39D8" w:rsidTr="007B39D8">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Contrato No.004 de 2021</w:t>
            </w:r>
          </w:p>
        </w:tc>
      </w:tr>
      <w:tr w:rsidR="007B39D8" w:rsidTr="007B39D8">
        <w:trPr>
          <w:trHeight w:val="20"/>
          <w:jc w:val="center"/>
        </w:trPr>
        <w:tc>
          <w:tcPr>
            <w:tcW w:w="902" w:type="pct"/>
            <w:vMerge w:val="restart"/>
            <w:tcBorders>
              <w:top w:val="nil"/>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Nivel</w:t>
            </w:r>
          </w:p>
        </w:tc>
        <w:tc>
          <w:tcPr>
            <w:tcW w:w="495" w:type="pct"/>
            <w:vMerge w:val="restart"/>
            <w:tcBorders>
              <w:top w:val="nil"/>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No. de Niños Urbana</w:t>
            </w:r>
          </w:p>
        </w:tc>
        <w:tc>
          <w:tcPr>
            <w:tcW w:w="1563" w:type="pct"/>
            <w:gridSpan w:val="2"/>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Valor contrato</w:t>
            </w:r>
          </w:p>
        </w:tc>
        <w:tc>
          <w:tcPr>
            <w:tcW w:w="2041" w:type="pct"/>
            <w:gridSpan w:val="2"/>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Valor tipología Urbana</w:t>
            </w:r>
          </w:p>
        </w:tc>
      </w:tr>
      <w:tr w:rsidR="007B39D8" w:rsidTr="007B39D8">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B39D8" w:rsidRDefault="007B39D8">
            <w:pPr>
              <w:rPr>
                <w:rFonts w:ascii="Arial" w:eastAsia="Times New Roman" w:hAnsi="Arial" w:cs="Arial"/>
                <w:color w:val="FFFFFF" w:themeColor="background1"/>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rsidR="007B39D8" w:rsidRDefault="007B39D8">
            <w:pPr>
              <w:rPr>
                <w:rFonts w:ascii="Arial" w:eastAsia="Times New Roman" w:hAnsi="Arial" w:cs="Arial"/>
                <w:color w:val="FFFFFF" w:themeColor="background1"/>
                <w:sz w:val="16"/>
                <w:szCs w:val="16"/>
                <w:lang w:val="es-CO" w:eastAsia="es-CO"/>
              </w:rPr>
            </w:pPr>
          </w:p>
        </w:tc>
        <w:tc>
          <w:tcPr>
            <w:tcW w:w="707" w:type="pct"/>
            <w:tcBorders>
              <w:top w:val="nil"/>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Valor por Niño</w:t>
            </w:r>
          </w:p>
        </w:tc>
        <w:tc>
          <w:tcPr>
            <w:tcW w:w="856" w:type="pct"/>
            <w:tcBorders>
              <w:top w:val="nil"/>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Total, por grado</w:t>
            </w:r>
          </w:p>
        </w:tc>
        <w:tc>
          <w:tcPr>
            <w:tcW w:w="1016" w:type="pct"/>
            <w:tcBorders>
              <w:top w:val="nil"/>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Valor por Niño</w:t>
            </w:r>
          </w:p>
        </w:tc>
        <w:tc>
          <w:tcPr>
            <w:tcW w:w="1025" w:type="pct"/>
            <w:tcBorders>
              <w:top w:val="nil"/>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Total por grado</w:t>
            </w:r>
          </w:p>
        </w:tc>
      </w:tr>
      <w:tr w:rsidR="007B39D8" w:rsidTr="007B39D8">
        <w:trPr>
          <w:trHeight w:val="20"/>
          <w:jc w:val="center"/>
        </w:trPr>
        <w:tc>
          <w:tcPr>
            <w:tcW w:w="90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Primaria</w:t>
            </w:r>
          </w:p>
        </w:tc>
        <w:tc>
          <w:tcPr>
            <w:tcW w:w="495"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70</w:t>
            </w:r>
          </w:p>
        </w:tc>
        <w:tc>
          <w:tcPr>
            <w:tcW w:w="707" w:type="pct"/>
            <w:tcBorders>
              <w:top w:val="nil"/>
              <w:left w:val="nil"/>
              <w:bottom w:val="single" w:sz="4" w:space="0" w:color="auto"/>
              <w:right w:val="single" w:sz="4" w:space="0" w:color="auto"/>
            </w:tcBorders>
            <w:vAlign w:val="bottom"/>
            <w:hideMark/>
          </w:tcPr>
          <w:p w:rsidR="007B39D8" w:rsidRDefault="007B39D8">
            <w:pPr>
              <w:spacing w:line="254" w:lineRule="auto"/>
              <w:jc w:val="center"/>
              <w:rPr>
                <w:rFonts w:ascii="Arial" w:eastAsia="Times New Roman" w:hAnsi="Arial" w:cs="Arial"/>
                <w:color w:val="FF0000"/>
                <w:sz w:val="16"/>
                <w:szCs w:val="16"/>
                <w:lang w:val="es-CO" w:eastAsia="es-CO"/>
              </w:rPr>
            </w:pPr>
            <w:r>
              <w:rPr>
                <w:rFonts w:ascii="Arial" w:eastAsia="Times New Roman" w:hAnsi="Arial" w:cs="Arial"/>
                <w:color w:val="FF0000"/>
                <w:sz w:val="16"/>
                <w:szCs w:val="16"/>
                <w:lang w:val="es-CO" w:eastAsia="es-CO"/>
              </w:rPr>
              <w:t xml:space="preserve"> 2.322.221 </w:t>
            </w:r>
          </w:p>
        </w:tc>
        <w:tc>
          <w:tcPr>
            <w:tcW w:w="856"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162.555.444</w:t>
            </w:r>
          </w:p>
        </w:tc>
        <w:tc>
          <w:tcPr>
            <w:tcW w:w="1016"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FF0000"/>
                <w:sz w:val="16"/>
                <w:szCs w:val="16"/>
                <w:lang w:val="es-CO" w:eastAsia="es-CO"/>
              </w:rPr>
            </w:pPr>
            <w:r>
              <w:rPr>
                <w:rFonts w:ascii="Arial" w:eastAsia="Times New Roman" w:hAnsi="Arial" w:cs="Arial"/>
                <w:color w:val="FF0000"/>
                <w:sz w:val="16"/>
                <w:szCs w:val="16"/>
                <w:lang w:val="es-CO" w:eastAsia="es-CO"/>
              </w:rPr>
              <w:t xml:space="preserve"> 2.108.665 </w:t>
            </w:r>
          </w:p>
        </w:tc>
        <w:tc>
          <w:tcPr>
            <w:tcW w:w="1025"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147.606.550</w:t>
            </w:r>
          </w:p>
        </w:tc>
      </w:tr>
      <w:tr w:rsidR="007B39D8" w:rsidTr="007B39D8">
        <w:trPr>
          <w:trHeight w:val="20"/>
          <w:jc w:val="center"/>
        </w:trPr>
        <w:tc>
          <w:tcPr>
            <w:tcW w:w="90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Secundaria</w:t>
            </w:r>
          </w:p>
        </w:tc>
        <w:tc>
          <w:tcPr>
            <w:tcW w:w="495"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133</w:t>
            </w:r>
          </w:p>
        </w:tc>
        <w:tc>
          <w:tcPr>
            <w:tcW w:w="707" w:type="pct"/>
            <w:tcBorders>
              <w:top w:val="nil"/>
              <w:left w:val="nil"/>
              <w:bottom w:val="single" w:sz="4" w:space="0" w:color="auto"/>
              <w:right w:val="single" w:sz="4" w:space="0" w:color="auto"/>
            </w:tcBorders>
            <w:vAlign w:val="bottom"/>
            <w:hideMark/>
          </w:tcPr>
          <w:p w:rsidR="007B39D8" w:rsidRDefault="007B39D8">
            <w:pPr>
              <w:spacing w:line="254" w:lineRule="auto"/>
              <w:jc w:val="center"/>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2.322.221 </w:t>
            </w:r>
          </w:p>
        </w:tc>
        <w:tc>
          <w:tcPr>
            <w:tcW w:w="856"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308.855.343</w:t>
            </w:r>
          </w:p>
        </w:tc>
        <w:tc>
          <w:tcPr>
            <w:tcW w:w="1016"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2.372.248 </w:t>
            </w:r>
          </w:p>
        </w:tc>
        <w:tc>
          <w:tcPr>
            <w:tcW w:w="1025"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315.508.984</w:t>
            </w:r>
          </w:p>
        </w:tc>
      </w:tr>
      <w:tr w:rsidR="007B39D8" w:rsidTr="007B39D8">
        <w:trPr>
          <w:trHeight w:val="20"/>
          <w:jc w:val="center"/>
        </w:trPr>
        <w:tc>
          <w:tcPr>
            <w:tcW w:w="902"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Media</w:t>
            </w:r>
          </w:p>
        </w:tc>
        <w:tc>
          <w:tcPr>
            <w:tcW w:w="495"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42</w:t>
            </w:r>
          </w:p>
        </w:tc>
        <w:tc>
          <w:tcPr>
            <w:tcW w:w="707" w:type="pct"/>
            <w:tcBorders>
              <w:top w:val="nil"/>
              <w:left w:val="nil"/>
              <w:bottom w:val="single" w:sz="4" w:space="0" w:color="auto"/>
              <w:right w:val="single" w:sz="4" w:space="0" w:color="auto"/>
            </w:tcBorders>
            <w:vAlign w:val="bottom"/>
            <w:hideMark/>
          </w:tcPr>
          <w:p w:rsidR="007B39D8" w:rsidRDefault="007B39D8">
            <w:pPr>
              <w:spacing w:line="254" w:lineRule="auto"/>
              <w:jc w:val="center"/>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2.322.221 </w:t>
            </w:r>
          </w:p>
        </w:tc>
        <w:tc>
          <w:tcPr>
            <w:tcW w:w="856"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97.533.266</w:t>
            </w:r>
          </w:p>
        </w:tc>
        <w:tc>
          <w:tcPr>
            <w:tcW w:w="1016"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2.504.038 </w:t>
            </w:r>
          </w:p>
        </w:tc>
        <w:tc>
          <w:tcPr>
            <w:tcW w:w="1025"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105.169.596</w:t>
            </w:r>
          </w:p>
        </w:tc>
      </w:tr>
      <w:tr w:rsidR="007B39D8" w:rsidTr="007B39D8">
        <w:trPr>
          <w:trHeight w:val="20"/>
          <w:jc w:val="center"/>
        </w:trPr>
        <w:tc>
          <w:tcPr>
            <w:tcW w:w="902"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Total:</w:t>
            </w:r>
          </w:p>
        </w:tc>
        <w:tc>
          <w:tcPr>
            <w:tcW w:w="495"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245</w:t>
            </w:r>
          </w:p>
        </w:tc>
        <w:tc>
          <w:tcPr>
            <w:tcW w:w="707"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w:t>
            </w:r>
          </w:p>
        </w:tc>
        <w:tc>
          <w:tcPr>
            <w:tcW w:w="856"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568.944.053 </w:t>
            </w:r>
          </w:p>
        </w:tc>
        <w:tc>
          <w:tcPr>
            <w:tcW w:w="1016"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w:t>
            </w:r>
          </w:p>
        </w:tc>
        <w:tc>
          <w:tcPr>
            <w:tcW w:w="1025"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568.285.130 </w:t>
            </w:r>
          </w:p>
        </w:tc>
      </w:tr>
    </w:tbl>
    <w:p w:rsidR="007B39D8" w:rsidRDefault="007B39D8" w:rsidP="007B39D8">
      <w:pPr>
        <w:jc w:val="both"/>
        <w:rPr>
          <w:rFonts w:ascii="Arial" w:hAnsi="Arial" w:cs="Arial"/>
          <w:sz w:val="22"/>
          <w:szCs w:val="22"/>
        </w:rPr>
      </w:pPr>
      <w:r>
        <w:rPr>
          <w:noProof/>
          <w:lang w:val="es-CO" w:eastAsia="es-CO"/>
        </w:rPr>
        <w:lastRenderedPageBreak/>
        <w:drawing>
          <wp:anchor distT="0" distB="0" distL="114300" distR="114300" simplePos="0" relativeHeight="251659264" behindDoc="0" locked="0" layoutInCell="1" allowOverlap="1">
            <wp:simplePos x="0" y="0"/>
            <wp:positionH relativeFrom="margin">
              <wp:posOffset>501015</wp:posOffset>
            </wp:positionH>
            <wp:positionV relativeFrom="paragraph">
              <wp:posOffset>415925</wp:posOffset>
            </wp:positionV>
            <wp:extent cx="4606925" cy="2821305"/>
            <wp:effectExtent l="0" t="0" r="3175" b="0"/>
            <wp:wrapTopAndBottom/>
            <wp:docPr id="6" name="Imagen 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Texto&#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l="27176" t="43452" r="32909" b="13084"/>
                    <a:stretch>
                      <a:fillRect/>
                    </a:stretch>
                  </pic:blipFill>
                  <pic:spPr bwMode="auto">
                    <a:xfrm>
                      <a:off x="0" y="0"/>
                      <a:ext cx="4606925" cy="2821305"/>
                    </a:xfrm>
                    <a:prstGeom prst="rect">
                      <a:avLst/>
                    </a:prstGeom>
                    <a:noFill/>
                  </pic:spPr>
                </pic:pic>
              </a:graphicData>
            </a:graphic>
          </wp:anchor>
        </w:drawing>
      </w:r>
      <w:r>
        <w:rPr>
          <w:rFonts w:ascii="Arial" w:hAnsi="Arial" w:cs="Arial"/>
          <w:sz w:val="22"/>
          <w:szCs w:val="22"/>
        </w:rPr>
        <w:t>No obstante, en el análisis de la minuta del contrato se encontró el mismo número de niños, pero en diferentes grados así:</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Lo anterior permite concluir que al momento de suscribir el contrato eran 69 niños en primaria, 131 en secundaria y 45 en media, lo cual hace que en dicho momento no se superara la tipología, sin embargo, teniendo en cuenta que en la actualidad el número de niños por grado es diferente al inicialmente pactado se recuerda que estos cambios deben hacerse mediante una modificación formal del contrato, en virtud de lo establecido en el Decreto 1851 de 2015.</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Ahora bien, el contrato No. 005 no especifica el valor por estudiante, pero al calcularlo con la misma metodología descrita para el contrato anterior se puede observar que el monto por cada estudiante es de $2.936.449, también superior en el nivel de primaria. No obstante, para los otros niveles dicho valor está por debajo de la tipología establecida, y en el neto, el valor del contrato es inferior a lo que constaría el contrato si se hubiese pactado cada nivel al valor tope de la tipología, tal y como se presenta en el siguiente detalle:</w:t>
      </w:r>
    </w:p>
    <w:p w:rsidR="007B39D8" w:rsidRDefault="007B39D8" w:rsidP="007B39D8">
      <w:pPr>
        <w:jc w:val="both"/>
        <w:rPr>
          <w:rFonts w:ascii="Arial" w:hAnsi="Arial" w:cs="Arial"/>
          <w:sz w:val="22"/>
          <w:szCs w:val="22"/>
        </w:rPr>
      </w:pPr>
    </w:p>
    <w:tbl>
      <w:tblPr>
        <w:tblW w:w="5000" w:type="pct"/>
        <w:tblCellMar>
          <w:left w:w="70" w:type="dxa"/>
          <w:right w:w="70" w:type="dxa"/>
        </w:tblCellMar>
        <w:tblLook w:val="04A0" w:firstRow="1" w:lastRow="0" w:firstColumn="1" w:lastColumn="0" w:noHBand="0" w:noVBand="1"/>
      </w:tblPr>
      <w:tblGrid>
        <w:gridCol w:w="1602"/>
        <w:gridCol w:w="812"/>
        <w:gridCol w:w="1186"/>
        <w:gridCol w:w="1589"/>
        <w:gridCol w:w="1817"/>
        <w:gridCol w:w="1822"/>
      </w:tblGrid>
      <w:tr w:rsidR="007B39D8" w:rsidTr="007B39D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Contrato No.005 de 2021</w:t>
            </w:r>
          </w:p>
        </w:tc>
      </w:tr>
      <w:tr w:rsidR="007B39D8" w:rsidTr="007B39D8">
        <w:trPr>
          <w:trHeight w:val="20"/>
        </w:trPr>
        <w:tc>
          <w:tcPr>
            <w:tcW w:w="907" w:type="pct"/>
            <w:vMerge w:val="restart"/>
            <w:tcBorders>
              <w:top w:val="nil"/>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Nivel</w:t>
            </w:r>
          </w:p>
        </w:tc>
        <w:tc>
          <w:tcPr>
            <w:tcW w:w="460" w:type="pct"/>
            <w:vMerge w:val="restart"/>
            <w:tcBorders>
              <w:top w:val="nil"/>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No. de Niños</w:t>
            </w:r>
          </w:p>
        </w:tc>
        <w:tc>
          <w:tcPr>
            <w:tcW w:w="1571" w:type="pct"/>
            <w:gridSpan w:val="2"/>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Valor contrato</w:t>
            </w:r>
          </w:p>
        </w:tc>
        <w:tc>
          <w:tcPr>
            <w:tcW w:w="2061" w:type="pct"/>
            <w:gridSpan w:val="2"/>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 xml:space="preserve">Valor tipología Rural </w:t>
            </w:r>
          </w:p>
        </w:tc>
      </w:tr>
      <w:tr w:rsidR="007B39D8" w:rsidTr="007B39D8">
        <w:trPr>
          <w:trHeight w:val="20"/>
        </w:trPr>
        <w:tc>
          <w:tcPr>
            <w:tcW w:w="0" w:type="auto"/>
            <w:vMerge/>
            <w:tcBorders>
              <w:top w:val="nil"/>
              <w:left w:val="single" w:sz="4" w:space="0" w:color="auto"/>
              <w:bottom w:val="single" w:sz="4" w:space="0" w:color="auto"/>
              <w:right w:val="single" w:sz="4" w:space="0" w:color="auto"/>
            </w:tcBorders>
            <w:vAlign w:val="center"/>
            <w:hideMark/>
          </w:tcPr>
          <w:p w:rsidR="007B39D8" w:rsidRDefault="007B39D8">
            <w:pPr>
              <w:rPr>
                <w:rFonts w:ascii="Arial" w:eastAsia="Times New Roman" w:hAnsi="Arial" w:cs="Arial"/>
                <w:color w:val="FFFFFF" w:themeColor="background1"/>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rsidR="007B39D8" w:rsidRDefault="007B39D8">
            <w:pPr>
              <w:rPr>
                <w:rFonts w:ascii="Arial" w:eastAsia="Times New Roman" w:hAnsi="Arial" w:cs="Arial"/>
                <w:color w:val="FFFFFF" w:themeColor="background1"/>
                <w:sz w:val="16"/>
                <w:szCs w:val="16"/>
                <w:lang w:val="es-CO" w:eastAsia="es-CO"/>
              </w:rPr>
            </w:pPr>
          </w:p>
        </w:tc>
        <w:tc>
          <w:tcPr>
            <w:tcW w:w="672" w:type="pct"/>
            <w:tcBorders>
              <w:top w:val="nil"/>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Valor por Niño</w:t>
            </w:r>
          </w:p>
        </w:tc>
        <w:tc>
          <w:tcPr>
            <w:tcW w:w="900" w:type="pct"/>
            <w:tcBorders>
              <w:top w:val="nil"/>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Total, por grado</w:t>
            </w:r>
          </w:p>
        </w:tc>
        <w:tc>
          <w:tcPr>
            <w:tcW w:w="1029" w:type="pct"/>
            <w:tcBorders>
              <w:top w:val="nil"/>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Valor por Niño</w:t>
            </w:r>
          </w:p>
        </w:tc>
        <w:tc>
          <w:tcPr>
            <w:tcW w:w="1032" w:type="pct"/>
            <w:tcBorders>
              <w:top w:val="nil"/>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color w:val="FFFFFF" w:themeColor="background1"/>
                <w:sz w:val="16"/>
                <w:szCs w:val="16"/>
                <w:lang w:val="es-CO" w:eastAsia="es-CO"/>
              </w:rPr>
            </w:pPr>
            <w:r>
              <w:rPr>
                <w:rFonts w:ascii="Arial" w:eastAsia="Times New Roman" w:hAnsi="Arial" w:cs="Arial"/>
                <w:color w:val="FFFFFF" w:themeColor="background1"/>
                <w:sz w:val="16"/>
                <w:szCs w:val="16"/>
                <w:lang w:val="es-CO" w:eastAsia="es-CO"/>
              </w:rPr>
              <w:t>Total por grado</w:t>
            </w:r>
          </w:p>
        </w:tc>
      </w:tr>
      <w:tr w:rsidR="007B39D8" w:rsidTr="007B39D8">
        <w:trPr>
          <w:trHeight w:val="20"/>
        </w:trPr>
        <w:tc>
          <w:tcPr>
            <w:tcW w:w="907"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Preescolar (Jardín y Transición)</w:t>
            </w:r>
          </w:p>
        </w:tc>
        <w:tc>
          <w:tcPr>
            <w:tcW w:w="460" w:type="pct"/>
            <w:tcBorders>
              <w:top w:val="nil"/>
              <w:left w:val="nil"/>
              <w:bottom w:val="single" w:sz="4" w:space="0" w:color="auto"/>
              <w:right w:val="single" w:sz="4"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13</w:t>
            </w:r>
          </w:p>
        </w:tc>
        <w:tc>
          <w:tcPr>
            <w:tcW w:w="672" w:type="pct"/>
            <w:tcBorders>
              <w:top w:val="nil"/>
              <w:left w:val="nil"/>
              <w:bottom w:val="single" w:sz="4" w:space="0" w:color="auto"/>
              <w:right w:val="single" w:sz="4" w:space="0" w:color="auto"/>
            </w:tcBorders>
            <w:vAlign w:val="center"/>
            <w:hideMark/>
          </w:tcPr>
          <w:p w:rsidR="007B39D8" w:rsidRDefault="007B39D8">
            <w:pPr>
              <w:spacing w:line="254" w:lineRule="auto"/>
              <w:jc w:val="center"/>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2.936.449 </w:t>
            </w:r>
          </w:p>
        </w:tc>
        <w:tc>
          <w:tcPr>
            <w:tcW w:w="900"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38.173.834</w:t>
            </w:r>
          </w:p>
        </w:tc>
        <w:tc>
          <w:tcPr>
            <w:tcW w:w="1029"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3.426.579 </w:t>
            </w:r>
          </w:p>
        </w:tc>
        <w:tc>
          <w:tcPr>
            <w:tcW w:w="1032"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44.545.527</w:t>
            </w:r>
          </w:p>
        </w:tc>
      </w:tr>
      <w:tr w:rsidR="007B39D8" w:rsidTr="007B39D8">
        <w:trPr>
          <w:trHeight w:val="20"/>
        </w:trPr>
        <w:tc>
          <w:tcPr>
            <w:tcW w:w="907"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Primaria</w:t>
            </w:r>
          </w:p>
        </w:tc>
        <w:tc>
          <w:tcPr>
            <w:tcW w:w="460" w:type="pct"/>
            <w:tcBorders>
              <w:top w:val="nil"/>
              <w:left w:val="nil"/>
              <w:bottom w:val="single" w:sz="4" w:space="0" w:color="auto"/>
              <w:right w:val="single" w:sz="4"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89</w:t>
            </w:r>
          </w:p>
        </w:tc>
        <w:tc>
          <w:tcPr>
            <w:tcW w:w="672" w:type="pct"/>
            <w:tcBorders>
              <w:top w:val="nil"/>
              <w:left w:val="nil"/>
              <w:bottom w:val="single" w:sz="4" w:space="0" w:color="auto"/>
              <w:right w:val="single" w:sz="4" w:space="0" w:color="auto"/>
            </w:tcBorders>
            <w:vAlign w:val="center"/>
            <w:hideMark/>
          </w:tcPr>
          <w:p w:rsidR="007B39D8" w:rsidRDefault="007B39D8">
            <w:pPr>
              <w:spacing w:line="254" w:lineRule="auto"/>
              <w:jc w:val="center"/>
              <w:rPr>
                <w:rFonts w:ascii="Arial" w:eastAsia="Times New Roman" w:hAnsi="Arial" w:cs="Arial"/>
                <w:color w:val="FF0000"/>
                <w:sz w:val="16"/>
                <w:szCs w:val="16"/>
                <w:lang w:val="es-CO" w:eastAsia="es-CO"/>
              </w:rPr>
            </w:pPr>
            <w:r>
              <w:rPr>
                <w:rFonts w:ascii="Arial" w:eastAsia="Times New Roman" w:hAnsi="Arial" w:cs="Arial"/>
                <w:color w:val="FF0000"/>
                <w:sz w:val="16"/>
                <w:szCs w:val="16"/>
                <w:lang w:val="es-CO" w:eastAsia="es-CO"/>
              </w:rPr>
              <w:t xml:space="preserve"> 2.936.449 </w:t>
            </w:r>
          </w:p>
        </w:tc>
        <w:tc>
          <w:tcPr>
            <w:tcW w:w="900"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261.343.939</w:t>
            </w:r>
          </w:p>
        </w:tc>
        <w:tc>
          <w:tcPr>
            <w:tcW w:w="1029"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FF0000"/>
                <w:sz w:val="16"/>
                <w:szCs w:val="16"/>
                <w:lang w:val="es-CO" w:eastAsia="es-CO"/>
              </w:rPr>
            </w:pPr>
            <w:r>
              <w:rPr>
                <w:rFonts w:ascii="Arial" w:eastAsia="Times New Roman" w:hAnsi="Arial" w:cs="Arial"/>
                <w:color w:val="FF0000"/>
                <w:sz w:val="16"/>
                <w:szCs w:val="16"/>
                <w:lang w:val="es-CO" w:eastAsia="es-CO"/>
              </w:rPr>
              <w:t xml:space="preserve"> 2.741.264 </w:t>
            </w:r>
          </w:p>
        </w:tc>
        <w:tc>
          <w:tcPr>
            <w:tcW w:w="1032"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243.972.496</w:t>
            </w:r>
          </w:p>
        </w:tc>
      </w:tr>
      <w:tr w:rsidR="007B39D8" w:rsidTr="007B39D8">
        <w:trPr>
          <w:trHeight w:val="20"/>
        </w:trPr>
        <w:tc>
          <w:tcPr>
            <w:tcW w:w="907"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Secundaria</w:t>
            </w:r>
          </w:p>
        </w:tc>
        <w:tc>
          <w:tcPr>
            <w:tcW w:w="460" w:type="pct"/>
            <w:tcBorders>
              <w:top w:val="nil"/>
              <w:left w:val="nil"/>
              <w:bottom w:val="single" w:sz="4" w:space="0" w:color="auto"/>
              <w:right w:val="single" w:sz="4"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39</w:t>
            </w:r>
          </w:p>
        </w:tc>
        <w:tc>
          <w:tcPr>
            <w:tcW w:w="672" w:type="pct"/>
            <w:tcBorders>
              <w:top w:val="nil"/>
              <w:left w:val="nil"/>
              <w:bottom w:val="single" w:sz="4" w:space="0" w:color="auto"/>
              <w:right w:val="single" w:sz="4" w:space="0" w:color="auto"/>
            </w:tcBorders>
            <w:vAlign w:val="center"/>
            <w:hideMark/>
          </w:tcPr>
          <w:p w:rsidR="007B39D8" w:rsidRDefault="007B39D8">
            <w:pPr>
              <w:spacing w:line="254" w:lineRule="auto"/>
              <w:jc w:val="center"/>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2.936.449 </w:t>
            </w:r>
          </w:p>
        </w:tc>
        <w:tc>
          <w:tcPr>
            <w:tcW w:w="900"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114.521.501</w:t>
            </w:r>
          </w:p>
        </w:tc>
        <w:tc>
          <w:tcPr>
            <w:tcW w:w="1029"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3.083.922 </w:t>
            </w:r>
          </w:p>
        </w:tc>
        <w:tc>
          <w:tcPr>
            <w:tcW w:w="1032"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120.272.958</w:t>
            </w:r>
          </w:p>
        </w:tc>
      </w:tr>
      <w:tr w:rsidR="007B39D8" w:rsidTr="007B39D8">
        <w:trPr>
          <w:trHeight w:val="20"/>
        </w:trPr>
        <w:tc>
          <w:tcPr>
            <w:tcW w:w="907" w:type="pct"/>
            <w:tcBorders>
              <w:top w:val="nil"/>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Media</w:t>
            </w:r>
          </w:p>
        </w:tc>
        <w:tc>
          <w:tcPr>
            <w:tcW w:w="460" w:type="pct"/>
            <w:tcBorders>
              <w:top w:val="nil"/>
              <w:left w:val="nil"/>
              <w:bottom w:val="single" w:sz="4" w:space="0" w:color="auto"/>
              <w:right w:val="single" w:sz="4" w:space="0" w:color="auto"/>
            </w:tcBorders>
            <w:vAlign w:val="center"/>
            <w:hideMark/>
          </w:tcPr>
          <w:p w:rsidR="007B39D8" w:rsidRDefault="007B39D8">
            <w:pPr>
              <w:spacing w:line="254"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17</w:t>
            </w:r>
          </w:p>
        </w:tc>
        <w:tc>
          <w:tcPr>
            <w:tcW w:w="672" w:type="pct"/>
            <w:tcBorders>
              <w:top w:val="nil"/>
              <w:left w:val="nil"/>
              <w:bottom w:val="single" w:sz="4" w:space="0" w:color="auto"/>
              <w:right w:val="single" w:sz="4" w:space="0" w:color="auto"/>
            </w:tcBorders>
            <w:vAlign w:val="center"/>
            <w:hideMark/>
          </w:tcPr>
          <w:p w:rsidR="007B39D8" w:rsidRDefault="007B39D8">
            <w:pPr>
              <w:spacing w:line="254" w:lineRule="auto"/>
              <w:jc w:val="center"/>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2.936.449 </w:t>
            </w:r>
          </w:p>
        </w:tc>
        <w:tc>
          <w:tcPr>
            <w:tcW w:w="900"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49.919.629</w:t>
            </w:r>
          </w:p>
        </w:tc>
        <w:tc>
          <w:tcPr>
            <w:tcW w:w="1029"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 xml:space="preserve"> 3.255.250 </w:t>
            </w:r>
          </w:p>
        </w:tc>
        <w:tc>
          <w:tcPr>
            <w:tcW w:w="1032"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55.339.250</w:t>
            </w:r>
          </w:p>
        </w:tc>
      </w:tr>
      <w:tr w:rsidR="007B39D8" w:rsidTr="007B39D8">
        <w:trPr>
          <w:trHeight w:val="20"/>
        </w:trPr>
        <w:tc>
          <w:tcPr>
            <w:tcW w:w="907"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Total:</w:t>
            </w:r>
          </w:p>
        </w:tc>
        <w:tc>
          <w:tcPr>
            <w:tcW w:w="460"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158</w:t>
            </w:r>
          </w:p>
        </w:tc>
        <w:tc>
          <w:tcPr>
            <w:tcW w:w="672" w:type="pct"/>
            <w:tcBorders>
              <w:top w:val="nil"/>
              <w:left w:val="nil"/>
              <w:bottom w:val="single" w:sz="4" w:space="0" w:color="auto"/>
              <w:right w:val="single" w:sz="4" w:space="0" w:color="auto"/>
            </w:tcBorders>
            <w:noWrap/>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w:t>
            </w:r>
          </w:p>
        </w:tc>
        <w:tc>
          <w:tcPr>
            <w:tcW w:w="900"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463.958.903 </w:t>
            </w:r>
          </w:p>
        </w:tc>
        <w:tc>
          <w:tcPr>
            <w:tcW w:w="1029"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w:t>
            </w:r>
          </w:p>
        </w:tc>
        <w:tc>
          <w:tcPr>
            <w:tcW w:w="1032" w:type="pct"/>
            <w:tcBorders>
              <w:top w:val="nil"/>
              <w:left w:val="nil"/>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464.130.231 </w:t>
            </w:r>
          </w:p>
        </w:tc>
      </w:tr>
    </w:tbl>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Por lo anterior, se concluye que la entidad ha avanzado en el cumplimiento de los tiempos establecidos por el calendario académico para la prestación del servicio educativo y en el </w:t>
      </w:r>
      <w:r>
        <w:rPr>
          <w:rFonts w:ascii="Arial" w:hAnsi="Arial" w:cs="Arial"/>
          <w:sz w:val="22"/>
          <w:szCs w:val="22"/>
        </w:rPr>
        <w:lastRenderedPageBreak/>
        <w:t xml:space="preserve">ajuste de los contratos de acuerdo con el valor de las tipologías establecidas por la Nación, por lo que la presente actividad está cumplida. </w:t>
      </w:r>
    </w:p>
    <w:p w:rsidR="007B39D8" w:rsidRDefault="007B39D8" w:rsidP="007B39D8">
      <w:pPr>
        <w:jc w:val="both"/>
        <w:rPr>
          <w:rFonts w:ascii="Arial" w:hAnsi="Arial" w:cs="Arial"/>
          <w:b/>
          <w:bCs/>
          <w:sz w:val="22"/>
          <w:szCs w:val="22"/>
        </w:rPr>
      </w:pPr>
    </w:p>
    <w:p w:rsidR="007B39D8" w:rsidRDefault="007B39D8" w:rsidP="007B39D8">
      <w:pPr>
        <w:jc w:val="both"/>
        <w:rPr>
          <w:rFonts w:ascii="Arial" w:hAnsi="Arial" w:cs="Arial"/>
          <w:b/>
          <w:bCs/>
          <w:sz w:val="22"/>
          <w:szCs w:val="22"/>
        </w:rPr>
      </w:pPr>
      <w:r>
        <w:rPr>
          <w:rFonts w:ascii="Arial" w:hAnsi="Arial" w:cs="Arial"/>
          <w:b/>
          <w:bCs/>
          <w:sz w:val="22"/>
          <w:szCs w:val="22"/>
        </w:rPr>
        <w:t>Evaluación: Cumple</w:t>
      </w:r>
    </w:p>
    <w:p w:rsidR="007B39D8" w:rsidRDefault="007B39D8" w:rsidP="007B39D8">
      <w:pPr>
        <w:jc w:val="both"/>
        <w:rPr>
          <w:rFonts w:ascii="Arial" w:hAnsi="Arial" w:cs="Arial"/>
          <w:b/>
          <w:bCs/>
          <w:sz w:val="22"/>
          <w:szCs w:val="22"/>
        </w:rPr>
      </w:pPr>
    </w:p>
    <w:p w:rsidR="007B39D8" w:rsidRDefault="007B39D8" w:rsidP="007B39D8">
      <w:pPr>
        <w:jc w:val="both"/>
        <w:rPr>
          <w:rFonts w:ascii="Arial" w:hAnsi="Arial" w:cs="Arial"/>
          <w:b/>
          <w:sz w:val="22"/>
          <w:szCs w:val="22"/>
        </w:rPr>
      </w:pPr>
      <w:r>
        <w:rPr>
          <w:rFonts w:ascii="Arial" w:hAnsi="Arial" w:cs="Arial"/>
          <w:b/>
          <w:sz w:val="22"/>
          <w:szCs w:val="22"/>
        </w:rPr>
        <w:t xml:space="preserve">Actividad 8. Ejercer los procesos de supervisión o interventoría a la contratación del servicio educativo, de manera que den cuenta del cumplimiento de las obligaciones contractuales, número de alumnos atendidos entrega de la canasta pactada, así como los requisitos mínimos en la prestación del servicio educativo como lo exige la normatividad vigente. </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Esta actividad se dio por incumplida por las inconsistencias encontrada</w:t>
      </w:r>
      <w:r w:rsidR="003B5207">
        <w:rPr>
          <w:rFonts w:ascii="Arial" w:hAnsi="Arial" w:cs="Arial"/>
          <w:bCs/>
          <w:sz w:val="22"/>
          <w:szCs w:val="22"/>
        </w:rPr>
        <w:t>s</w:t>
      </w:r>
      <w:r>
        <w:rPr>
          <w:rFonts w:ascii="Arial" w:hAnsi="Arial" w:cs="Arial"/>
          <w:bCs/>
          <w:sz w:val="22"/>
          <w:szCs w:val="22"/>
        </w:rPr>
        <w:t xml:space="preserve"> en </w:t>
      </w:r>
      <w:r w:rsidR="003B5207">
        <w:rPr>
          <w:rFonts w:ascii="Arial" w:hAnsi="Arial" w:cs="Arial"/>
          <w:bCs/>
          <w:sz w:val="22"/>
          <w:szCs w:val="22"/>
        </w:rPr>
        <w:t xml:space="preserve">los informes de </w:t>
      </w:r>
      <w:r>
        <w:rPr>
          <w:rFonts w:ascii="Arial" w:hAnsi="Arial" w:cs="Arial"/>
          <w:bCs/>
          <w:sz w:val="22"/>
          <w:szCs w:val="22"/>
        </w:rPr>
        <w:t>supervisión</w:t>
      </w:r>
      <w:r w:rsidR="003B5207">
        <w:rPr>
          <w:rFonts w:ascii="Arial" w:hAnsi="Arial" w:cs="Arial"/>
          <w:bCs/>
          <w:sz w:val="22"/>
          <w:szCs w:val="22"/>
        </w:rPr>
        <w:t>. S</w:t>
      </w:r>
      <w:r>
        <w:rPr>
          <w:rFonts w:ascii="Arial" w:hAnsi="Arial" w:cs="Arial"/>
          <w:bCs/>
          <w:sz w:val="22"/>
          <w:szCs w:val="22"/>
        </w:rPr>
        <w:t xml:space="preserve">in embargo, paralelo a la consulta que se realizó al Ministerio de Educación </w:t>
      </w:r>
      <w:r>
        <w:rPr>
          <w:rFonts w:ascii="Arial" w:hAnsi="Arial" w:cs="Arial"/>
          <w:sz w:val="22"/>
          <w:szCs w:val="22"/>
        </w:rPr>
        <w:t>sobre la continuidad de la medida,</w:t>
      </w:r>
      <w:r>
        <w:rPr>
          <w:rFonts w:ascii="Arial" w:hAnsi="Arial" w:cs="Arial"/>
          <w:bCs/>
          <w:sz w:val="22"/>
          <w:szCs w:val="22"/>
        </w:rPr>
        <w:t xml:space="preserve"> la entidad presentó mediante </w:t>
      </w:r>
      <w:r w:rsidR="003B5207">
        <w:rPr>
          <w:rFonts w:ascii="Arial" w:hAnsi="Arial" w:cs="Arial"/>
          <w:bCs/>
          <w:sz w:val="22"/>
          <w:szCs w:val="22"/>
        </w:rPr>
        <w:t xml:space="preserve">radicado No. 1-2021-086820 del </w:t>
      </w:r>
      <w:r>
        <w:rPr>
          <w:rFonts w:ascii="Arial" w:hAnsi="Arial" w:cs="Arial"/>
          <w:bCs/>
          <w:sz w:val="22"/>
          <w:szCs w:val="22"/>
        </w:rPr>
        <w:t>1 de octubre de 2021 el manual de contratación</w:t>
      </w:r>
      <w:r w:rsidR="003B5207">
        <w:rPr>
          <w:rFonts w:ascii="Arial" w:hAnsi="Arial" w:cs="Arial"/>
          <w:bCs/>
          <w:sz w:val="22"/>
          <w:szCs w:val="22"/>
        </w:rPr>
        <w:t>,</w:t>
      </w:r>
      <w:r>
        <w:rPr>
          <w:rFonts w:ascii="Arial" w:hAnsi="Arial" w:cs="Arial"/>
          <w:bCs/>
          <w:sz w:val="22"/>
          <w:szCs w:val="22"/>
        </w:rPr>
        <w:t xml:space="preserve"> el cual incluy</w:t>
      </w:r>
      <w:r w:rsidR="003B5207">
        <w:rPr>
          <w:rFonts w:ascii="Arial" w:hAnsi="Arial" w:cs="Arial"/>
          <w:bCs/>
          <w:sz w:val="22"/>
          <w:szCs w:val="22"/>
        </w:rPr>
        <w:t>e</w:t>
      </w:r>
      <w:r>
        <w:rPr>
          <w:rFonts w:ascii="Arial" w:hAnsi="Arial" w:cs="Arial"/>
          <w:bCs/>
          <w:sz w:val="22"/>
          <w:szCs w:val="22"/>
        </w:rPr>
        <w:t xml:space="preserve"> un apartado sobre la supervisión y seguimiento de los contratos de prestación de servicio educativo y presentó nuevos informes de supervisión de los cuales se encontró los siguiente: </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
          <w:sz w:val="22"/>
          <w:szCs w:val="22"/>
        </w:rPr>
        <w:t xml:space="preserve">Contrato de prestación de servicios educativos No. 003: </w:t>
      </w:r>
      <w:r w:rsidR="003B5207">
        <w:rPr>
          <w:rFonts w:ascii="Arial" w:hAnsi="Arial" w:cs="Arial"/>
          <w:bCs/>
          <w:sz w:val="22"/>
          <w:szCs w:val="22"/>
        </w:rPr>
        <w:t>L</w:t>
      </w:r>
      <w:r>
        <w:rPr>
          <w:rFonts w:ascii="Arial" w:hAnsi="Arial" w:cs="Arial"/>
          <w:bCs/>
          <w:sz w:val="22"/>
          <w:szCs w:val="22"/>
        </w:rPr>
        <w:t xml:space="preserve">a entidad envío un nuevo informe de supervisión el cual </w:t>
      </w:r>
      <w:r w:rsidR="003B5207">
        <w:rPr>
          <w:rFonts w:ascii="Arial" w:hAnsi="Arial" w:cs="Arial"/>
          <w:bCs/>
          <w:sz w:val="22"/>
          <w:szCs w:val="22"/>
        </w:rPr>
        <w:t>contiene una presentación d</w:t>
      </w:r>
      <w:r>
        <w:rPr>
          <w:rFonts w:ascii="Arial" w:hAnsi="Arial" w:cs="Arial"/>
          <w:bCs/>
          <w:sz w:val="22"/>
          <w:szCs w:val="22"/>
        </w:rPr>
        <w:t xml:space="preserve">el modelo pedagógico, </w:t>
      </w:r>
      <w:r w:rsidR="003B5207">
        <w:rPr>
          <w:rFonts w:ascii="Arial" w:hAnsi="Arial" w:cs="Arial"/>
          <w:bCs/>
          <w:sz w:val="22"/>
          <w:szCs w:val="22"/>
        </w:rPr>
        <w:t xml:space="preserve">indica </w:t>
      </w:r>
      <w:r>
        <w:rPr>
          <w:rFonts w:ascii="Arial" w:hAnsi="Arial" w:cs="Arial"/>
          <w:bCs/>
          <w:sz w:val="22"/>
          <w:szCs w:val="22"/>
        </w:rPr>
        <w:t>que se ha</w:t>
      </w:r>
      <w:r w:rsidR="003B5207">
        <w:rPr>
          <w:rFonts w:ascii="Arial" w:hAnsi="Arial" w:cs="Arial"/>
          <w:bCs/>
          <w:sz w:val="22"/>
          <w:szCs w:val="22"/>
        </w:rPr>
        <w:t>n</w:t>
      </w:r>
      <w:r>
        <w:rPr>
          <w:rFonts w:ascii="Arial" w:hAnsi="Arial" w:cs="Arial"/>
          <w:bCs/>
          <w:sz w:val="22"/>
          <w:szCs w:val="22"/>
        </w:rPr>
        <w:t xml:space="preserve"> atendido 293 jóvenes y adultos </w:t>
      </w:r>
      <w:r w:rsidR="003B5207">
        <w:rPr>
          <w:rFonts w:ascii="Arial" w:hAnsi="Arial" w:cs="Arial"/>
          <w:bCs/>
          <w:sz w:val="22"/>
          <w:szCs w:val="22"/>
        </w:rPr>
        <w:t xml:space="preserve">detallados </w:t>
      </w:r>
      <w:r>
        <w:rPr>
          <w:rFonts w:ascii="Arial" w:hAnsi="Arial" w:cs="Arial"/>
          <w:bCs/>
          <w:sz w:val="22"/>
          <w:szCs w:val="22"/>
        </w:rPr>
        <w:t xml:space="preserve">por ciclos, presenta el listado de beneficiarios, el listado del personal contratado para la ejecución del proyecto, asimismo menciona las visitas realizadas en cada informe de supervisión y detalla de la canasta educativa, se discrimina el valor a pagar con dicho informe y el valor pendiente. </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
          <w:sz w:val="22"/>
          <w:szCs w:val="22"/>
        </w:rPr>
        <w:t>Contrato de prestación de servicios educativos No. 004:</w:t>
      </w:r>
      <w:r w:rsidR="00B55C53">
        <w:rPr>
          <w:rFonts w:ascii="Arial" w:hAnsi="Arial" w:cs="Arial"/>
          <w:bCs/>
          <w:sz w:val="22"/>
          <w:szCs w:val="22"/>
        </w:rPr>
        <w:t xml:space="preserve"> L</w:t>
      </w:r>
      <w:r>
        <w:rPr>
          <w:rFonts w:ascii="Arial" w:hAnsi="Arial" w:cs="Arial"/>
          <w:bCs/>
          <w:sz w:val="22"/>
          <w:szCs w:val="22"/>
        </w:rPr>
        <w:t xml:space="preserve">a entidad presentó un nuevo informe de supervisión </w:t>
      </w:r>
      <w:r w:rsidR="003B5207">
        <w:rPr>
          <w:rFonts w:ascii="Arial" w:hAnsi="Arial" w:cs="Arial"/>
          <w:bCs/>
          <w:sz w:val="22"/>
          <w:szCs w:val="22"/>
        </w:rPr>
        <w:t xml:space="preserve">en </w:t>
      </w:r>
      <w:r>
        <w:rPr>
          <w:rFonts w:ascii="Arial" w:hAnsi="Arial" w:cs="Arial"/>
          <w:bCs/>
          <w:sz w:val="22"/>
          <w:szCs w:val="22"/>
        </w:rPr>
        <w:t xml:space="preserve">el cual </w:t>
      </w:r>
      <w:r>
        <w:rPr>
          <w:rFonts w:ascii="Arial" w:hAnsi="Arial" w:cs="Arial"/>
          <w:color w:val="000000"/>
          <w:sz w:val="22"/>
          <w:szCs w:val="22"/>
          <w:lang w:val="es-CO" w:eastAsia="es-CO"/>
        </w:rPr>
        <w:t xml:space="preserve">se menciona que durante la vigencia del contrato la supervisión </w:t>
      </w:r>
      <w:r w:rsidR="003B5207">
        <w:rPr>
          <w:rFonts w:ascii="Arial" w:hAnsi="Arial" w:cs="Arial"/>
          <w:color w:val="000000"/>
          <w:sz w:val="22"/>
          <w:szCs w:val="22"/>
          <w:lang w:val="es-CO" w:eastAsia="es-CO"/>
        </w:rPr>
        <w:t xml:space="preserve">ha realizado </w:t>
      </w:r>
      <w:r>
        <w:rPr>
          <w:rFonts w:ascii="Arial" w:hAnsi="Arial" w:cs="Arial"/>
          <w:color w:val="000000"/>
          <w:sz w:val="22"/>
          <w:szCs w:val="22"/>
          <w:lang w:val="es-CO" w:eastAsia="es-CO"/>
        </w:rPr>
        <w:t>7 visitas, con el fin de verificar el cumplimiento de las obligaciones contractuales establecidas</w:t>
      </w:r>
      <w:r w:rsidR="00B55C53">
        <w:rPr>
          <w:rFonts w:ascii="Arial" w:hAnsi="Arial" w:cs="Arial"/>
          <w:color w:val="000000"/>
          <w:sz w:val="22"/>
          <w:szCs w:val="22"/>
          <w:lang w:val="es-CO" w:eastAsia="es-CO"/>
        </w:rPr>
        <w:t xml:space="preserve">. Así mismo, en el informe </w:t>
      </w:r>
      <w:r>
        <w:rPr>
          <w:rFonts w:ascii="Arial" w:hAnsi="Arial" w:cs="Arial"/>
          <w:color w:val="000000"/>
          <w:sz w:val="22"/>
          <w:szCs w:val="22"/>
          <w:lang w:val="es-CO" w:eastAsia="es-CO"/>
        </w:rPr>
        <w:t xml:space="preserve">se describe el personal contratado para la ejecución del contrato y la canasta educativa, </w:t>
      </w:r>
      <w:r w:rsidR="00B55C53">
        <w:rPr>
          <w:rFonts w:ascii="Arial" w:hAnsi="Arial" w:cs="Arial"/>
          <w:color w:val="000000"/>
          <w:sz w:val="22"/>
          <w:szCs w:val="22"/>
          <w:lang w:val="es-CO" w:eastAsia="es-CO"/>
        </w:rPr>
        <w:t xml:space="preserve">indica que </w:t>
      </w:r>
      <w:r>
        <w:rPr>
          <w:rFonts w:ascii="Arial" w:hAnsi="Arial" w:cs="Arial"/>
          <w:color w:val="000000"/>
          <w:sz w:val="22"/>
          <w:szCs w:val="22"/>
          <w:lang w:val="es-CO" w:eastAsia="es-CO"/>
        </w:rPr>
        <w:t>se verificó la atención de 245 estudiantes y se especifican los grados y el listado de asistencia por grado</w:t>
      </w:r>
      <w:r w:rsidR="00B55C53">
        <w:rPr>
          <w:rFonts w:ascii="Arial" w:hAnsi="Arial" w:cs="Arial"/>
          <w:color w:val="000000"/>
          <w:sz w:val="22"/>
          <w:szCs w:val="22"/>
          <w:lang w:val="es-CO" w:eastAsia="es-CO"/>
        </w:rPr>
        <w:t>. Igualmente</w:t>
      </w:r>
      <w:r>
        <w:rPr>
          <w:rFonts w:ascii="Arial" w:hAnsi="Arial" w:cs="Arial"/>
          <w:color w:val="000000"/>
          <w:sz w:val="22"/>
          <w:szCs w:val="22"/>
          <w:lang w:val="es-CO" w:eastAsia="es-CO"/>
        </w:rPr>
        <w:t>, en el informe de supervisión se incluy</w:t>
      </w:r>
      <w:r w:rsidR="00B55C53">
        <w:rPr>
          <w:rFonts w:ascii="Arial" w:hAnsi="Arial" w:cs="Arial"/>
          <w:color w:val="000000"/>
          <w:sz w:val="22"/>
          <w:szCs w:val="22"/>
          <w:lang w:val="es-CO" w:eastAsia="es-CO"/>
        </w:rPr>
        <w:t>e</w:t>
      </w:r>
      <w:r>
        <w:rPr>
          <w:rFonts w:ascii="Arial" w:hAnsi="Arial" w:cs="Arial"/>
          <w:color w:val="000000"/>
          <w:sz w:val="22"/>
          <w:szCs w:val="22"/>
          <w:lang w:val="es-CO" w:eastAsia="es-CO"/>
        </w:rPr>
        <w:t xml:space="preserve"> un apartado denominado análisis de informe No. 01 presentado por la </w:t>
      </w:r>
      <w:r w:rsidR="00B55C53">
        <w:rPr>
          <w:rFonts w:ascii="Arial" w:hAnsi="Arial" w:cs="Arial"/>
          <w:color w:val="000000"/>
          <w:sz w:val="22"/>
          <w:szCs w:val="22"/>
          <w:lang w:val="es-CO" w:eastAsia="es-CO"/>
        </w:rPr>
        <w:t>I</w:t>
      </w:r>
      <w:r>
        <w:rPr>
          <w:rFonts w:ascii="Arial" w:hAnsi="Arial" w:cs="Arial"/>
          <w:color w:val="000000"/>
          <w:sz w:val="22"/>
          <w:szCs w:val="22"/>
          <w:lang w:val="es-CO" w:eastAsia="es-CO"/>
        </w:rPr>
        <w:t xml:space="preserve">nstitución </w:t>
      </w:r>
      <w:r w:rsidR="00B55C53">
        <w:rPr>
          <w:rFonts w:ascii="Arial" w:hAnsi="Arial" w:cs="Arial"/>
          <w:color w:val="000000"/>
          <w:sz w:val="22"/>
          <w:szCs w:val="22"/>
          <w:lang w:val="es-CO" w:eastAsia="es-CO"/>
        </w:rPr>
        <w:t>E</w:t>
      </w:r>
      <w:r>
        <w:rPr>
          <w:rFonts w:ascii="Arial" w:hAnsi="Arial" w:cs="Arial"/>
          <w:color w:val="000000"/>
          <w:sz w:val="22"/>
          <w:szCs w:val="22"/>
          <w:lang w:val="es-CO" w:eastAsia="es-CO"/>
        </w:rPr>
        <w:t xml:space="preserve">ducativa </w:t>
      </w:r>
      <w:r w:rsidR="00B55C53">
        <w:rPr>
          <w:rFonts w:ascii="Arial" w:hAnsi="Arial" w:cs="Arial"/>
          <w:color w:val="000000"/>
          <w:sz w:val="22"/>
          <w:szCs w:val="22"/>
          <w:lang w:val="es-CO" w:eastAsia="es-CO"/>
        </w:rPr>
        <w:t>N</w:t>
      </w:r>
      <w:r>
        <w:rPr>
          <w:rFonts w:ascii="Arial" w:hAnsi="Arial" w:cs="Arial"/>
          <w:color w:val="000000"/>
          <w:sz w:val="22"/>
          <w:szCs w:val="22"/>
          <w:lang w:val="es-CO" w:eastAsia="es-CO"/>
        </w:rPr>
        <w:t xml:space="preserve">uestra </w:t>
      </w:r>
      <w:r w:rsidR="00B55C53">
        <w:rPr>
          <w:rFonts w:ascii="Arial" w:hAnsi="Arial" w:cs="Arial"/>
          <w:color w:val="000000"/>
          <w:sz w:val="22"/>
          <w:szCs w:val="22"/>
          <w:lang w:val="es-CO" w:eastAsia="es-CO"/>
        </w:rPr>
        <w:t>S</w:t>
      </w:r>
      <w:r>
        <w:rPr>
          <w:rFonts w:ascii="Arial" w:hAnsi="Arial" w:cs="Arial"/>
          <w:color w:val="000000"/>
          <w:sz w:val="22"/>
          <w:szCs w:val="22"/>
          <w:lang w:val="es-CO" w:eastAsia="es-CO"/>
        </w:rPr>
        <w:t xml:space="preserve">eñora de las </w:t>
      </w:r>
      <w:r w:rsidR="00B55C53">
        <w:rPr>
          <w:rFonts w:ascii="Arial" w:hAnsi="Arial" w:cs="Arial"/>
          <w:color w:val="000000"/>
          <w:sz w:val="22"/>
          <w:szCs w:val="22"/>
          <w:lang w:val="es-CO" w:eastAsia="es-CO"/>
        </w:rPr>
        <w:t>L</w:t>
      </w:r>
      <w:r>
        <w:rPr>
          <w:rFonts w:ascii="Arial" w:hAnsi="Arial" w:cs="Arial"/>
          <w:color w:val="000000"/>
          <w:sz w:val="22"/>
          <w:szCs w:val="22"/>
          <w:lang w:val="es-CO" w:eastAsia="es-CO"/>
        </w:rPr>
        <w:t>ajas y su respectiva publicación al SECOP.</w:t>
      </w:r>
    </w:p>
    <w:p w:rsidR="007B39D8" w:rsidRDefault="007B39D8" w:rsidP="007B39D8">
      <w:pPr>
        <w:jc w:val="both"/>
        <w:rPr>
          <w:rFonts w:ascii="Arial" w:hAnsi="Arial" w:cs="Arial"/>
          <w:bCs/>
          <w:sz w:val="22"/>
          <w:szCs w:val="22"/>
        </w:rPr>
      </w:pPr>
    </w:p>
    <w:p w:rsidR="007B39D8" w:rsidRDefault="007B39D8" w:rsidP="007B39D8">
      <w:pPr>
        <w:autoSpaceDE w:val="0"/>
        <w:autoSpaceDN w:val="0"/>
        <w:adjustRightInd w:val="0"/>
        <w:jc w:val="both"/>
        <w:rPr>
          <w:rFonts w:ascii="Arial" w:hAnsi="Arial" w:cs="Arial"/>
          <w:bCs/>
          <w:sz w:val="22"/>
          <w:szCs w:val="22"/>
          <w:lang w:val="es-CO" w:eastAsia="en-US"/>
        </w:rPr>
      </w:pPr>
      <w:r>
        <w:rPr>
          <w:rFonts w:ascii="Arial" w:hAnsi="Arial" w:cs="Arial"/>
          <w:b/>
          <w:color w:val="000000"/>
          <w:sz w:val="22"/>
          <w:szCs w:val="22"/>
          <w:lang w:val="es-CO" w:eastAsia="en-US"/>
        </w:rPr>
        <w:t>Contrato de prestación de servicios educativos No 005</w:t>
      </w:r>
      <w:r>
        <w:rPr>
          <w:rFonts w:ascii="Arial" w:hAnsi="Arial" w:cs="Arial"/>
          <w:bCs/>
          <w:color w:val="000000"/>
          <w:sz w:val="22"/>
          <w:szCs w:val="22"/>
          <w:lang w:val="es-CO" w:eastAsia="en-US"/>
        </w:rPr>
        <w:t xml:space="preserve">: </w:t>
      </w:r>
      <w:r w:rsidR="00B55C53">
        <w:rPr>
          <w:rFonts w:ascii="Arial" w:hAnsi="Arial" w:cs="Arial"/>
          <w:bCs/>
          <w:sz w:val="22"/>
          <w:szCs w:val="22"/>
        </w:rPr>
        <w:t>L</w:t>
      </w:r>
      <w:r>
        <w:rPr>
          <w:rFonts w:ascii="Arial" w:hAnsi="Arial" w:cs="Arial"/>
          <w:bCs/>
          <w:sz w:val="22"/>
          <w:szCs w:val="22"/>
        </w:rPr>
        <w:t xml:space="preserve">a entidad presentó </w:t>
      </w:r>
      <w:r w:rsidR="00B55C53">
        <w:rPr>
          <w:rFonts w:ascii="Arial" w:hAnsi="Arial" w:cs="Arial"/>
          <w:bCs/>
          <w:sz w:val="22"/>
          <w:szCs w:val="22"/>
        </w:rPr>
        <w:t xml:space="preserve">un </w:t>
      </w:r>
      <w:r>
        <w:rPr>
          <w:rFonts w:ascii="Arial" w:hAnsi="Arial" w:cs="Arial"/>
          <w:bCs/>
          <w:sz w:val="22"/>
          <w:szCs w:val="22"/>
        </w:rPr>
        <w:t>informe de supervisión en el que especifica las actividades realizadas por el contratista, el cronograma de visitas realizadas, el modelo educativo implementado, se detalla</w:t>
      </w:r>
      <w:r w:rsidR="00B55C53">
        <w:rPr>
          <w:rFonts w:ascii="Arial" w:hAnsi="Arial" w:cs="Arial"/>
          <w:bCs/>
          <w:sz w:val="22"/>
          <w:szCs w:val="22"/>
        </w:rPr>
        <w:t>n</w:t>
      </w:r>
      <w:r>
        <w:rPr>
          <w:rFonts w:ascii="Arial" w:hAnsi="Arial" w:cs="Arial"/>
          <w:bCs/>
          <w:sz w:val="22"/>
          <w:szCs w:val="22"/>
        </w:rPr>
        <w:t xml:space="preserve"> las actividades del contratista y</w:t>
      </w:r>
      <w:r w:rsidR="003B5207">
        <w:rPr>
          <w:rFonts w:ascii="Arial" w:hAnsi="Arial" w:cs="Arial"/>
          <w:bCs/>
          <w:sz w:val="22"/>
          <w:szCs w:val="22"/>
        </w:rPr>
        <w:t xml:space="preserve"> </w:t>
      </w:r>
      <w:r>
        <w:rPr>
          <w:rFonts w:ascii="Arial" w:hAnsi="Arial" w:cs="Arial"/>
          <w:bCs/>
          <w:sz w:val="22"/>
          <w:szCs w:val="22"/>
        </w:rPr>
        <w:t xml:space="preserve">el </w:t>
      </w:r>
      <w:r>
        <w:rPr>
          <w:rFonts w:ascii="Arial" w:hAnsi="Arial" w:cs="Arial"/>
          <w:bCs/>
          <w:sz w:val="22"/>
          <w:szCs w:val="22"/>
          <w:lang w:val="es-CO" w:eastAsia="en-US"/>
        </w:rPr>
        <w:t>personal vinculado al contrato para la atención de la administración educativa, el cumplimiento d</w:t>
      </w:r>
      <w:r w:rsidR="00B55C53">
        <w:rPr>
          <w:rFonts w:ascii="Arial" w:hAnsi="Arial" w:cs="Arial"/>
          <w:bCs/>
          <w:sz w:val="22"/>
          <w:szCs w:val="22"/>
          <w:lang w:val="es-CO" w:eastAsia="en-US"/>
        </w:rPr>
        <w:t>e l</w:t>
      </w:r>
      <w:r>
        <w:rPr>
          <w:rFonts w:ascii="Arial" w:hAnsi="Arial" w:cs="Arial"/>
          <w:bCs/>
          <w:sz w:val="22"/>
          <w:szCs w:val="22"/>
          <w:lang w:val="es-CO" w:eastAsia="en-US"/>
        </w:rPr>
        <w:t>a canasta educativa acordada en el contrato, el valor</w:t>
      </w:r>
      <w:r w:rsidR="003B5207">
        <w:rPr>
          <w:rFonts w:ascii="Arial" w:hAnsi="Arial" w:cs="Arial"/>
          <w:bCs/>
          <w:sz w:val="22"/>
          <w:szCs w:val="22"/>
          <w:lang w:val="es-CO" w:eastAsia="en-US"/>
        </w:rPr>
        <w:t xml:space="preserve"> </w:t>
      </w:r>
      <w:r>
        <w:rPr>
          <w:rFonts w:ascii="Arial" w:hAnsi="Arial" w:cs="Arial"/>
          <w:bCs/>
          <w:sz w:val="22"/>
          <w:szCs w:val="22"/>
          <w:lang w:val="es-CO" w:eastAsia="en-US"/>
        </w:rPr>
        <w:t>de la canasta ejecutado y el saldo por ejecutar,</w:t>
      </w:r>
      <w:r w:rsidR="003B5207">
        <w:rPr>
          <w:rFonts w:ascii="Arial" w:hAnsi="Arial" w:cs="Arial"/>
          <w:bCs/>
          <w:sz w:val="22"/>
          <w:szCs w:val="22"/>
          <w:lang w:val="es-CO" w:eastAsia="en-US"/>
        </w:rPr>
        <w:t xml:space="preserve"> </w:t>
      </w:r>
      <w:r>
        <w:rPr>
          <w:rFonts w:ascii="Arial" w:hAnsi="Arial" w:cs="Arial"/>
          <w:bCs/>
          <w:sz w:val="22"/>
          <w:szCs w:val="22"/>
          <w:lang w:val="es-CO" w:eastAsia="en-US"/>
        </w:rPr>
        <w:t xml:space="preserve">una certificación con el registro de SIMAT y se evidenció </w:t>
      </w:r>
      <w:r w:rsidR="00B55C53">
        <w:rPr>
          <w:rFonts w:ascii="Arial" w:hAnsi="Arial" w:cs="Arial"/>
          <w:bCs/>
          <w:sz w:val="22"/>
          <w:szCs w:val="22"/>
          <w:lang w:val="es-CO" w:eastAsia="en-US"/>
        </w:rPr>
        <w:t xml:space="preserve">su </w:t>
      </w:r>
      <w:r>
        <w:rPr>
          <w:rFonts w:ascii="Arial" w:hAnsi="Arial" w:cs="Arial"/>
          <w:bCs/>
          <w:sz w:val="22"/>
          <w:szCs w:val="22"/>
          <w:lang w:val="es-CO" w:eastAsia="en-US"/>
        </w:rPr>
        <w:t xml:space="preserve">publicación </w:t>
      </w:r>
      <w:r w:rsidR="00B55C53">
        <w:rPr>
          <w:rFonts w:ascii="Arial" w:hAnsi="Arial" w:cs="Arial"/>
          <w:bCs/>
          <w:sz w:val="22"/>
          <w:szCs w:val="22"/>
          <w:lang w:val="es-CO" w:eastAsia="en-US"/>
        </w:rPr>
        <w:t xml:space="preserve">en </w:t>
      </w:r>
      <w:r>
        <w:rPr>
          <w:rFonts w:ascii="Arial" w:hAnsi="Arial" w:cs="Arial"/>
          <w:bCs/>
          <w:sz w:val="22"/>
          <w:szCs w:val="22"/>
          <w:lang w:val="es-CO" w:eastAsia="en-US"/>
        </w:rPr>
        <w:t>SECOP.</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Teniendo en cuenta que </w:t>
      </w:r>
      <w:r w:rsidR="00B55C53">
        <w:rPr>
          <w:rFonts w:ascii="Arial" w:hAnsi="Arial" w:cs="Arial"/>
          <w:sz w:val="22"/>
          <w:szCs w:val="22"/>
        </w:rPr>
        <w:t xml:space="preserve">el Municipio ha formalizado los procesos de supervisión para la contratación del servicio y que </w:t>
      </w:r>
      <w:r>
        <w:rPr>
          <w:rFonts w:ascii="Arial" w:hAnsi="Arial" w:cs="Arial"/>
          <w:sz w:val="22"/>
          <w:szCs w:val="22"/>
        </w:rPr>
        <w:t xml:space="preserve">los últimos informes de supervención entregados por la </w:t>
      </w:r>
      <w:r>
        <w:rPr>
          <w:rFonts w:ascii="Arial" w:hAnsi="Arial" w:cs="Arial"/>
          <w:sz w:val="22"/>
          <w:szCs w:val="22"/>
        </w:rPr>
        <w:lastRenderedPageBreak/>
        <w:t>entidad cumplen con los requerimientos establecidos en la normatividad vigente</w:t>
      </w:r>
      <w:r w:rsidR="00B55C53">
        <w:rPr>
          <w:rFonts w:ascii="Arial" w:hAnsi="Arial" w:cs="Arial"/>
          <w:sz w:val="22"/>
          <w:szCs w:val="22"/>
        </w:rPr>
        <w:t>,</w:t>
      </w:r>
      <w:r>
        <w:rPr>
          <w:rFonts w:ascii="Arial" w:hAnsi="Arial" w:cs="Arial"/>
          <w:sz w:val="22"/>
          <w:szCs w:val="22"/>
        </w:rPr>
        <w:t xml:space="preserve"> la presente actividad se da por cumplida.</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b/>
          <w:bCs/>
          <w:sz w:val="22"/>
          <w:szCs w:val="22"/>
        </w:rPr>
      </w:pPr>
      <w:r>
        <w:rPr>
          <w:rFonts w:ascii="Arial" w:hAnsi="Arial" w:cs="Arial"/>
          <w:b/>
          <w:bCs/>
          <w:sz w:val="22"/>
          <w:szCs w:val="22"/>
        </w:rPr>
        <w:t>Evaluación: Cumple</w:t>
      </w:r>
    </w:p>
    <w:p w:rsidR="007B39D8" w:rsidRDefault="007B39D8" w:rsidP="007B39D8">
      <w:pPr>
        <w:jc w:val="both"/>
        <w:rPr>
          <w:rFonts w:ascii="Arial" w:hAnsi="Arial" w:cs="Arial"/>
          <w:b/>
          <w:bCs/>
          <w:sz w:val="22"/>
          <w:szCs w:val="22"/>
        </w:rPr>
      </w:pPr>
    </w:p>
    <w:p w:rsidR="007B39D8" w:rsidRDefault="007B39D8" w:rsidP="007B39D8">
      <w:pPr>
        <w:jc w:val="both"/>
        <w:rPr>
          <w:rFonts w:ascii="Arial" w:hAnsi="Arial" w:cs="Arial"/>
          <w:b/>
          <w:sz w:val="22"/>
          <w:szCs w:val="22"/>
        </w:rPr>
      </w:pPr>
      <w:r>
        <w:rPr>
          <w:rFonts w:ascii="Arial" w:hAnsi="Arial" w:cs="Arial"/>
          <w:b/>
          <w:sz w:val="22"/>
          <w:szCs w:val="22"/>
        </w:rPr>
        <w:t xml:space="preserve">Actividad 9. Publicar oportunamente en el SECOP la totalidad de los documentos y actos relacionados con el proceso de contratación </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
          <w:sz w:val="22"/>
          <w:szCs w:val="22"/>
        </w:rPr>
      </w:pPr>
      <w:r>
        <w:rPr>
          <w:rFonts w:ascii="Arial" w:hAnsi="Arial" w:cs="Arial"/>
          <w:bCs/>
          <w:sz w:val="22"/>
          <w:szCs w:val="22"/>
        </w:rPr>
        <w:t>Respecto a la vigencia 2021, la entidad envió una relación contractual de la cual se revisaron aleatoriamente 15 contratos y se verificó la publicación del expediente concluyéndose la publicación de los estudios previos, contratos, actas de inicio, informes de supervisión, registros presupuestales, certificados de disponibilidad presupuestal, entre otros tal y como se especifica en el siguiente detalle:</w:t>
      </w:r>
    </w:p>
    <w:p w:rsidR="007B39D8" w:rsidRDefault="007B39D8" w:rsidP="007B39D8">
      <w:pPr>
        <w:jc w:val="both"/>
        <w:rPr>
          <w:rFonts w:ascii="Arial" w:hAnsi="Arial" w:cs="Arial"/>
          <w:b/>
          <w:sz w:val="22"/>
          <w:szCs w:val="22"/>
        </w:rPr>
      </w:pPr>
    </w:p>
    <w:tbl>
      <w:tblPr>
        <w:tblW w:w="5000" w:type="pct"/>
        <w:jc w:val="center"/>
        <w:tblLayout w:type="fixed"/>
        <w:tblCellMar>
          <w:left w:w="70" w:type="dxa"/>
          <w:right w:w="70" w:type="dxa"/>
        </w:tblCellMar>
        <w:tblLook w:val="04A0" w:firstRow="1" w:lastRow="0" w:firstColumn="1" w:lastColumn="0" w:noHBand="0" w:noVBand="1"/>
      </w:tblPr>
      <w:tblGrid>
        <w:gridCol w:w="989"/>
        <w:gridCol w:w="2975"/>
        <w:gridCol w:w="2410"/>
        <w:gridCol w:w="2454"/>
      </w:tblGrid>
      <w:tr w:rsidR="007B39D8" w:rsidTr="00B55C53">
        <w:trPr>
          <w:trHeight w:val="20"/>
          <w:tblHeader/>
          <w:jc w:val="center"/>
        </w:trPr>
        <w:tc>
          <w:tcPr>
            <w:tcW w:w="560"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Número de contrato</w:t>
            </w:r>
          </w:p>
        </w:tc>
        <w:tc>
          <w:tcPr>
            <w:tcW w:w="1685"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Objeto Contractual</w:t>
            </w:r>
          </w:p>
        </w:tc>
        <w:tc>
          <w:tcPr>
            <w:tcW w:w="1365"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Enlace SECOP</w:t>
            </w:r>
          </w:p>
        </w:tc>
        <w:tc>
          <w:tcPr>
            <w:tcW w:w="1390"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Observación</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185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servicios profesionales en la implementación de la estrategia territorial para la educación inclusiva en los establecimientos educativos adscritos a la secretaría de educación municipal de Ipiales</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16" w:history="1">
              <w:r w:rsidR="007B39D8">
                <w:rPr>
                  <w:rStyle w:val="Hipervnculo"/>
                  <w:rFonts w:ascii="Arial" w:eastAsia="Times New Roman" w:hAnsi="Arial" w:cs="Arial"/>
                  <w:color w:val="0563C1"/>
                  <w:sz w:val="16"/>
                  <w:szCs w:val="16"/>
                  <w:lang w:val="es-CO" w:eastAsia="es-CO"/>
                </w:rPr>
                <w:t>Detalle del proceso: CD 185 DE 2021 (contratos.gov.co)</w:t>
              </w:r>
            </w:hyperlink>
          </w:p>
        </w:tc>
        <w:tc>
          <w:tcPr>
            <w:tcW w:w="1390"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241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servicios profesionales para el acompañamiento a la formación de niños, niñas y adolescentes con talento deportivo en las diferentes disciplinas de las diferentes instituciones educativas del municipio.</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17" w:history="1">
              <w:r w:rsidR="007B39D8">
                <w:rPr>
                  <w:rStyle w:val="Hipervnculo"/>
                  <w:rFonts w:ascii="Arial" w:eastAsia="Times New Roman" w:hAnsi="Arial" w:cs="Arial"/>
                  <w:color w:val="0563C1"/>
                  <w:sz w:val="16"/>
                  <w:szCs w:val="16"/>
                  <w:lang w:val="es-CO" w:eastAsia="es-CO"/>
                </w:rPr>
                <w:t>Detalle del proceso: CD 241 de 2021 (contratos.gov.co)</w:t>
              </w:r>
            </w:hyperlink>
          </w:p>
        </w:tc>
        <w:tc>
          <w:tcPr>
            <w:tcW w:w="1390"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r>
              <w:rPr>
                <w:rFonts w:ascii="Arial" w:eastAsia="Times New Roman" w:hAnsi="Arial" w:cs="Arial"/>
                <w:color w:val="000000"/>
                <w:sz w:val="16"/>
                <w:szCs w:val="16"/>
                <w:lang w:val="es-CO" w:eastAsia="es-CO"/>
              </w:rPr>
              <w:br/>
              <w:t>Presenta un error en el archivo de supervisión 03</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217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servicios profesionales para la promoción de la convivencia escolar y la inclusión educativa en los establecimientos educativos del municipio de Ipiales.</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18" w:history="1">
              <w:r w:rsidR="007B39D8">
                <w:rPr>
                  <w:rStyle w:val="Hipervnculo"/>
                  <w:rFonts w:ascii="Arial" w:eastAsia="Times New Roman" w:hAnsi="Arial" w:cs="Arial"/>
                  <w:color w:val="0563C1"/>
                  <w:sz w:val="16"/>
                  <w:szCs w:val="16"/>
                  <w:lang w:val="es-CO" w:eastAsia="es-CO"/>
                </w:rPr>
                <w:t>Detalle del proceso: CD 217 de 2021 (contratos.gov.co)</w:t>
              </w:r>
            </w:hyperlink>
          </w:p>
        </w:tc>
        <w:tc>
          <w:tcPr>
            <w:tcW w:w="1390"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r>
              <w:rPr>
                <w:rFonts w:ascii="Arial" w:eastAsia="Times New Roman" w:hAnsi="Arial" w:cs="Arial"/>
                <w:color w:val="000000"/>
                <w:sz w:val="16"/>
                <w:szCs w:val="16"/>
                <w:lang w:val="es-CO" w:eastAsia="es-CO"/>
              </w:rPr>
              <w:br/>
              <w:t>Presenta un error en el archivo de supervisión 01. Una copia de disponibilidad presupuestal está borrosa.</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184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servicios de apoyo a la gestión en la implementación de la catedra de carnaval mediante la escuela de valores, expresiones artísticas y culturales en articulación con la institución educativa Alfonso López y la Secretaría de educación municipal, como proyecto piloto y estrategia de fortalecimiento de nuestra identidad cultural en apoyo de la plataforma juvenil, a través de las expresiones artísticas como la danza, el teatro y artes plásticas.</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19" w:history="1">
              <w:r w:rsidR="007B39D8">
                <w:rPr>
                  <w:rStyle w:val="Hipervnculo"/>
                  <w:rFonts w:ascii="Arial" w:eastAsia="Times New Roman" w:hAnsi="Arial" w:cs="Arial"/>
                  <w:color w:val="0563C1"/>
                  <w:sz w:val="16"/>
                  <w:szCs w:val="16"/>
                  <w:lang w:val="es-CO" w:eastAsia="es-CO"/>
                </w:rPr>
                <w:t>Detalle del proceso: CD 184 DE 2021 (contratos.gov.co)</w:t>
              </w:r>
            </w:hyperlink>
          </w:p>
        </w:tc>
        <w:tc>
          <w:tcPr>
            <w:tcW w:w="1390"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188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Prestación de servicios de apoyo a la gestión en la implementación del aula bilingüe bicultural para estudiantes sordos ,como intérprete de lengua de </w:t>
            </w:r>
            <w:r>
              <w:rPr>
                <w:rFonts w:ascii="Arial" w:eastAsia="Times New Roman" w:hAnsi="Arial" w:cs="Arial"/>
                <w:color w:val="000000"/>
                <w:sz w:val="16"/>
                <w:szCs w:val="16"/>
                <w:lang w:val="es-CO" w:eastAsia="es-CO"/>
              </w:rPr>
              <w:lastRenderedPageBreak/>
              <w:t>señas colombiana en la IE politécnico Marcelo Miranda</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20" w:history="1">
              <w:r w:rsidR="007B39D8">
                <w:rPr>
                  <w:rFonts w:ascii="Arial" w:eastAsia="Times New Roman" w:hAnsi="Arial" w:cs="Arial"/>
                  <w:color w:val="0563C1"/>
                  <w:sz w:val="16"/>
                  <w:szCs w:val="16"/>
                  <w:u w:val="single"/>
                  <w:lang w:val="es-CO" w:eastAsia="es-CO"/>
                </w:rPr>
                <w:br/>
              </w:r>
              <w:r w:rsidR="007B39D8">
                <w:rPr>
                  <w:rStyle w:val="Hipervnculo"/>
                  <w:rFonts w:ascii="Arial" w:eastAsia="Times New Roman" w:hAnsi="Arial" w:cs="Arial"/>
                  <w:color w:val="0563C1"/>
                  <w:sz w:val="16"/>
                  <w:szCs w:val="16"/>
                  <w:lang w:val="es-CO" w:eastAsia="es-CO"/>
                </w:rPr>
                <w:t>Detalle del Proceso Número: CD 188 DE 2021</w:t>
              </w:r>
            </w:hyperlink>
          </w:p>
        </w:tc>
        <w:tc>
          <w:tcPr>
            <w:tcW w:w="1390"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187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servicios como docente de apoyo en la implementación de la estrategia territorial para la educación inclusiva en los establecimientos educativos de la Secretaría de educación municipal de Ipiales</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21" w:history="1">
              <w:r w:rsidR="007B39D8">
                <w:rPr>
                  <w:rStyle w:val="Hipervnculo"/>
                  <w:rFonts w:ascii="Arial" w:eastAsia="Times New Roman" w:hAnsi="Arial" w:cs="Arial"/>
                  <w:color w:val="0563C1"/>
                  <w:sz w:val="16"/>
                  <w:szCs w:val="16"/>
                  <w:lang w:val="es-CO" w:eastAsia="es-CO"/>
                </w:rPr>
                <w:t>Detalle del proceso: CD 187 DE 2021 (contratos.gov.co)</w:t>
              </w:r>
            </w:hyperlink>
          </w:p>
        </w:tc>
        <w:tc>
          <w:tcPr>
            <w:tcW w:w="1390" w:type="pct"/>
            <w:tcBorders>
              <w:top w:val="nil"/>
              <w:left w:val="nil"/>
              <w:bottom w:val="single" w:sz="4" w:space="0" w:color="auto"/>
              <w:right w:val="single" w:sz="4" w:space="0" w:color="auto"/>
            </w:tcBorders>
            <w:noWrap/>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204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servicios profesionales en la implementación del aula bilingüe bicultural para estudiantes so s como modelo lingüístico en '1nstitución educativa politécnico Marcelo Miranda</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22" w:history="1">
              <w:r w:rsidR="007B39D8">
                <w:rPr>
                  <w:rStyle w:val="Hipervnculo"/>
                  <w:rFonts w:ascii="Arial" w:eastAsia="Times New Roman" w:hAnsi="Arial" w:cs="Arial"/>
                  <w:color w:val="0563C1"/>
                  <w:sz w:val="16"/>
                  <w:szCs w:val="16"/>
                  <w:lang w:val="es-CO" w:eastAsia="es-CO"/>
                </w:rPr>
                <w:t>Detalle del proceso: CD 204 DE 2021 (contratos.gov.co)</w:t>
              </w:r>
            </w:hyperlink>
          </w:p>
        </w:tc>
        <w:tc>
          <w:tcPr>
            <w:tcW w:w="1390" w:type="pct"/>
            <w:tcBorders>
              <w:top w:val="nil"/>
              <w:left w:val="nil"/>
              <w:bottom w:val="single" w:sz="4" w:space="0" w:color="auto"/>
              <w:right w:val="single" w:sz="4" w:space="0" w:color="auto"/>
            </w:tcBorders>
            <w:noWrap/>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214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servicios profesionales para la implementación de la estrategia territorial para la educación inclusiva en los establecimientos educativos de la Secretaría de educación municipal de Ipiales.</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23" w:history="1">
              <w:r w:rsidR="007B39D8">
                <w:rPr>
                  <w:rStyle w:val="Hipervnculo"/>
                  <w:rFonts w:ascii="Arial" w:eastAsia="Times New Roman" w:hAnsi="Arial" w:cs="Arial"/>
                  <w:color w:val="0563C1"/>
                  <w:sz w:val="16"/>
                  <w:szCs w:val="16"/>
                  <w:lang w:val="es-CO" w:eastAsia="es-CO"/>
                </w:rPr>
                <w:t>Detalle del proceso: CD 214 de 2021 (contratos.gov.co)</w:t>
              </w:r>
            </w:hyperlink>
          </w:p>
        </w:tc>
        <w:tc>
          <w:tcPr>
            <w:tcW w:w="1390"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315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servicios profesionales en la implementación del aula bilingüe bicultural para estudiantes sordos en la institución educativa politécnico Marcelo miranda.</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24" w:history="1">
              <w:r w:rsidR="007B39D8">
                <w:rPr>
                  <w:rStyle w:val="Hipervnculo"/>
                  <w:rFonts w:ascii="Arial" w:eastAsia="Times New Roman" w:hAnsi="Arial" w:cs="Arial"/>
                  <w:color w:val="0563C1"/>
                  <w:sz w:val="16"/>
                  <w:szCs w:val="16"/>
                  <w:lang w:val="es-CO" w:eastAsia="es-CO"/>
                </w:rPr>
                <w:t>Detalle del proceso: CD 315 de 2021 (contratos.gov.co)</w:t>
              </w:r>
            </w:hyperlink>
          </w:p>
        </w:tc>
        <w:tc>
          <w:tcPr>
            <w:tcW w:w="1390"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r>
              <w:rPr>
                <w:rFonts w:ascii="Arial" w:eastAsia="Times New Roman" w:hAnsi="Arial" w:cs="Arial"/>
                <w:color w:val="000000"/>
                <w:sz w:val="16"/>
                <w:szCs w:val="16"/>
                <w:lang w:val="es-CO" w:eastAsia="es-CO"/>
              </w:rPr>
              <w:br/>
              <w:t>Solo se presentan 2 informes de supervisión</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189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servicios profesionales para realizar el seguimiento en la implementación de proyectos pedagógicos transversales ambientales escolares, con referentes de calidad como estrategia de acceso al conocimiento, para el desarrollo de competencias y emprendimiento, que se adelantan en los establecimientos educativos del municipio priorizando las instituciones educativas rurales en el marco de los proyectos educativos comunitarios, proyectos educativos territoriales y proyectos educativos institucionales</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25" w:history="1">
              <w:r w:rsidR="007B39D8">
                <w:rPr>
                  <w:rStyle w:val="Hipervnculo"/>
                  <w:rFonts w:ascii="Arial" w:eastAsia="Times New Roman" w:hAnsi="Arial" w:cs="Arial"/>
                  <w:color w:val="0563C1"/>
                  <w:sz w:val="16"/>
                  <w:szCs w:val="16"/>
                  <w:lang w:val="es-CO" w:eastAsia="es-CO"/>
                </w:rPr>
                <w:t>Detalle del proceso: CD 189 DE 2021 (contratos.gov.co)</w:t>
              </w:r>
            </w:hyperlink>
          </w:p>
        </w:tc>
        <w:tc>
          <w:tcPr>
            <w:tcW w:w="1390"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295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servicios profesionales en la implementación de la estrategia territorial para la educación inclusiva en los establecimientos educativos adscritos a la Secretaría de educación municipal de Ipiales</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26" w:history="1">
              <w:r w:rsidR="007B39D8">
                <w:rPr>
                  <w:rStyle w:val="Hipervnculo"/>
                  <w:rFonts w:ascii="Arial" w:eastAsia="Times New Roman" w:hAnsi="Arial" w:cs="Arial"/>
                  <w:color w:val="0563C1"/>
                  <w:sz w:val="16"/>
                  <w:szCs w:val="16"/>
                  <w:lang w:val="es-CO" w:eastAsia="es-CO"/>
                </w:rPr>
                <w:t>Detalle del proceso: CD-295-2021 (contratos.gov.co)</w:t>
              </w:r>
            </w:hyperlink>
          </w:p>
        </w:tc>
        <w:tc>
          <w:tcPr>
            <w:tcW w:w="1390"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240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servicios profesionales de apoyo a la gestión en el acompañamiento a la formación de los niños, niñas y adolescentes con talento deportivo en las diferentes disciplinas de las diferentes instituciones educativas.</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27" w:history="1">
              <w:r w:rsidR="007B39D8">
                <w:rPr>
                  <w:rStyle w:val="Hipervnculo"/>
                  <w:rFonts w:ascii="Arial" w:eastAsia="Times New Roman" w:hAnsi="Arial" w:cs="Arial"/>
                  <w:color w:val="0563C1"/>
                  <w:sz w:val="16"/>
                  <w:szCs w:val="16"/>
                  <w:lang w:val="es-CO" w:eastAsia="es-CO"/>
                </w:rPr>
                <w:t>Detalle del proceso: CD 240 de 2021 (contratos.gov.co)</w:t>
              </w:r>
            </w:hyperlink>
          </w:p>
        </w:tc>
        <w:tc>
          <w:tcPr>
            <w:tcW w:w="1390"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193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Prestación de servicios como profesional en el acompañamiento y verificación del desarrollo de proyectos educativos institucionales, la implementación de programas como </w:t>
            </w:r>
            <w:r>
              <w:rPr>
                <w:rFonts w:ascii="Arial" w:eastAsia="Times New Roman" w:hAnsi="Arial" w:cs="Arial"/>
                <w:color w:val="000000"/>
                <w:sz w:val="16"/>
                <w:szCs w:val="16"/>
                <w:lang w:val="es-CO" w:eastAsia="es-CO"/>
              </w:rPr>
              <w:lastRenderedPageBreak/>
              <w:t xml:space="preserve">plan de lectura y escritura, programa todos aprender, catedra de paz, acompañamiento a la formación y jornada única de la subsecretaria de calidad educativa de la secretaría de educación municipal de Ipiales </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28" w:history="1">
              <w:r w:rsidR="007B39D8">
                <w:rPr>
                  <w:rStyle w:val="Hipervnculo"/>
                  <w:rFonts w:ascii="Arial" w:eastAsia="Times New Roman" w:hAnsi="Arial" w:cs="Arial"/>
                  <w:color w:val="0563C1"/>
                  <w:sz w:val="16"/>
                  <w:szCs w:val="16"/>
                  <w:lang w:val="es-CO" w:eastAsia="es-CO"/>
                </w:rPr>
                <w:t>Detalle del proceso: CD 193 DE 2021 (contratos.gov.co)</w:t>
              </w:r>
            </w:hyperlink>
          </w:p>
        </w:tc>
        <w:tc>
          <w:tcPr>
            <w:tcW w:w="1390"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r>
              <w:rPr>
                <w:rFonts w:ascii="Arial" w:eastAsia="Times New Roman" w:hAnsi="Arial" w:cs="Arial"/>
                <w:color w:val="000000"/>
                <w:sz w:val="16"/>
                <w:szCs w:val="16"/>
                <w:lang w:val="es-CO" w:eastAsia="es-CO"/>
              </w:rPr>
              <w:br/>
            </w:r>
            <w:r>
              <w:rPr>
                <w:rFonts w:ascii="Arial" w:eastAsia="Times New Roman" w:hAnsi="Arial" w:cs="Arial"/>
                <w:color w:val="000000"/>
                <w:sz w:val="16"/>
                <w:szCs w:val="16"/>
                <w:lang w:val="es-CO" w:eastAsia="es-CO"/>
              </w:rPr>
              <w:lastRenderedPageBreak/>
              <w:t>Algunas copias impiden la visibilidad completa del certificado y estudios previos</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lastRenderedPageBreak/>
              <w:t>CD 004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Prestar servicio educativo a población en edad escolar, brindando atención a 245 estudiantes identificados y que se encuentran por fuera del sistema educativo en lo relacionado a su canasta básica y adicional dando estricto cumplimiento a las normas que regulan la educación y la prestación del servicio educativo en Colombia</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29" w:history="1">
              <w:r w:rsidR="007B39D8">
                <w:rPr>
                  <w:rStyle w:val="Hipervnculo"/>
                  <w:rFonts w:ascii="Arial" w:eastAsia="Times New Roman" w:hAnsi="Arial" w:cs="Arial"/>
                  <w:color w:val="0563C1"/>
                  <w:sz w:val="16"/>
                  <w:szCs w:val="16"/>
                  <w:lang w:val="es-CO" w:eastAsia="es-CO"/>
                </w:rPr>
                <w:t>Detalle del proceso: PRESTACION DE SERVICIO EDUCATIVO 004 DE 2021 (contratos.gov.co)</w:t>
              </w:r>
            </w:hyperlink>
          </w:p>
        </w:tc>
        <w:tc>
          <w:tcPr>
            <w:tcW w:w="1390"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r>
              <w:rPr>
                <w:rFonts w:ascii="Arial" w:eastAsia="Times New Roman" w:hAnsi="Arial" w:cs="Arial"/>
                <w:color w:val="000000"/>
                <w:sz w:val="16"/>
                <w:szCs w:val="16"/>
                <w:lang w:val="es-CO" w:eastAsia="es-CO"/>
              </w:rPr>
              <w:br/>
              <w:t>No se encuentra el registro presupuestal claro</w:t>
            </w:r>
          </w:p>
        </w:tc>
      </w:tr>
      <w:tr w:rsidR="007B39D8" w:rsidTr="00B55C53">
        <w:trPr>
          <w:trHeight w:val="20"/>
          <w:jc w:val="center"/>
        </w:trPr>
        <w:tc>
          <w:tcPr>
            <w:tcW w:w="560" w:type="pct"/>
            <w:tcBorders>
              <w:top w:val="nil"/>
              <w:left w:val="single" w:sz="4" w:space="0" w:color="auto"/>
              <w:bottom w:val="single" w:sz="4" w:space="0" w:color="auto"/>
              <w:right w:val="single" w:sz="4"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005 DE 2021</w:t>
            </w:r>
          </w:p>
        </w:tc>
        <w:tc>
          <w:tcPr>
            <w:tcW w:w="1685"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Administración de la atención educativa en el establecimiento educativo oficial centro</w:t>
            </w:r>
            <w:r>
              <w:rPr>
                <w:rFonts w:ascii="Arial" w:eastAsia="Times New Roman" w:hAnsi="Arial" w:cs="Arial"/>
                <w:color w:val="000000"/>
                <w:sz w:val="16"/>
                <w:szCs w:val="16"/>
                <w:lang w:val="es-CO" w:eastAsia="es-CO"/>
              </w:rPr>
              <w:br/>
            </w:r>
            <w:proofErr w:type="spellStart"/>
            <w:r>
              <w:rPr>
                <w:rFonts w:ascii="Arial" w:eastAsia="Times New Roman" w:hAnsi="Arial" w:cs="Arial"/>
                <w:color w:val="000000"/>
                <w:sz w:val="16"/>
                <w:szCs w:val="16"/>
                <w:lang w:val="es-CO" w:eastAsia="es-CO"/>
              </w:rPr>
              <w:t>etnoeducativo</w:t>
            </w:r>
            <w:proofErr w:type="spellEnd"/>
            <w:r>
              <w:rPr>
                <w:rFonts w:ascii="Arial" w:eastAsia="Times New Roman" w:hAnsi="Arial" w:cs="Arial"/>
                <w:color w:val="000000"/>
                <w:sz w:val="16"/>
                <w:szCs w:val="16"/>
                <w:lang w:val="es-CO" w:eastAsia="es-CO"/>
              </w:rPr>
              <w:t xml:space="preserve"> intercultural 8/bilingüe taita Querubín Queta Alvarado, con</w:t>
            </w:r>
            <w:r>
              <w:rPr>
                <w:rFonts w:ascii="Arial" w:eastAsia="Times New Roman" w:hAnsi="Arial" w:cs="Arial"/>
                <w:color w:val="000000"/>
                <w:sz w:val="16"/>
                <w:szCs w:val="16"/>
                <w:lang w:val="es-CO" w:eastAsia="es-CO"/>
              </w:rPr>
              <w:br/>
              <w:t xml:space="preserve">código DANE 286320002401 (esc. rural mixta </w:t>
            </w:r>
            <w:proofErr w:type="spellStart"/>
            <w:r>
              <w:rPr>
                <w:rFonts w:ascii="Arial" w:eastAsia="Times New Roman" w:hAnsi="Arial" w:cs="Arial"/>
                <w:color w:val="000000"/>
                <w:sz w:val="16"/>
                <w:szCs w:val="16"/>
                <w:lang w:val="es-CO" w:eastAsia="es-CO"/>
              </w:rPr>
              <w:t>Ukumari</w:t>
            </w:r>
            <w:proofErr w:type="spellEnd"/>
            <w:r>
              <w:rPr>
                <w:rFonts w:ascii="Arial" w:eastAsia="Times New Roman" w:hAnsi="Arial" w:cs="Arial"/>
                <w:color w:val="000000"/>
                <w:sz w:val="16"/>
                <w:szCs w:val="16"/>
                <w:lang w:val="es-CO" w:eastAsia="es-CO"/>
              </w:rPr>
              <w:t xml:space="preserve"> </w:t>
            </w:r>
            <w:proofErr w:type="spellStart"/>
            <w:r>
              <w:rPr>
                <w:rFonts w:ascii="Arial" w:eastAsia="Times New Roman" w:hAnsi="Arial" w:cs="Arial"/>
                <w:color w:val="000000"/>
                <w:sz w:val="16"/>
                <w:szCs w:val="16"/>
                <w:lang w:val="es-CO" w:eastAsia="es-CO"/>
              </w:rPr>
              <w:t>kankhe</w:t>
            </w:r>
            <w:proofErr w:type="spellEnd"/>
            <w:r>
              <w:rPr>
                <w:rFonts w:ascii="Arial" w:eastAsia="Times New Roman" w:hAnsi="Arial" w:cs="Arial"/>
                <w:color w:val="000000"/>
                <w:sz w:val="16"/>
                <w:szCs w:val="16"/>
                <w:lang w:val="es-CO" w:eastAsia="es-CO"/>
              </w:rPr>
              <w:t>), para garantizar el derecho</w:t>
            </w:r>
            <w:r>
              <w:rPr>
                <w:rFonts w:ascii="Arial" w:eastAsia="Times New Roman" w:hAnsi="Arial" w:cs="Arial"/>
                <w:color w:val="000000"/>
                <w:sz w:val="16"/>
                <w:szCs w:val="16"/>
                <w:lang w:val="es-CO" w:eastAsia="es-CO"/>
              </w:rPr>
              <w:br/>
              <w:t>a la edueaci6n propia de ciento cuarenta y cinco (145) estudiantes del territorio indígena del</w:t>
            </w:r>
            <w:r>
              <w:rPr>
                <w:rFonts w:ascii="Arial" w:eastAsia="Times New Roman" w:hAnsi="Arial" w:cs="Arial"/>
                <w:color w:val="000000"/>
                <w:sz w:val="16"/>
                <w:szCs w:val="16"/>
                <w:lang w:val="es-CO" w:eastAsia="es-CO"/>
              </w:rPr>
              <w:br/>
              <w:t xml:space="preserve">Corregimiento </w:t>
            </w:r>
            <w:proofErr w:type="spellStart"/>
            <w:r>
              <w:rPr>
                <w:rFonts w:ascii="Arial" w:eastAsia="Times New Roman" w:hAnsi="Arial" w:cs="Arial"/>
                <w:color w:val="000000"/>
                <w:sz w:val="16"/>
                <w:szCs w:val="16"/>
                <w:lang w:val="es-CO" w:eastAsia="es-CO"/>
              </w:rPr>
              <w:t>Cofanía</w:t>
            </w:r>
            <w:proofErr w:type="spellEnd"/>
            <w:r>
              <w:rPr>
                <w:rFonts w:ascii="Arial" w:eastAsia="Times New Roman" w:hAnsi="Arial" w:cs="Arial"/>
                <w:color w:val="000000"/>
                <w:sz w:val="16"/>
                <w:szCs w:val="16"/>
                <w:lang w:val="es-CO" w:eastAsia="es-CO"/>
              </w:rPr>
              <w:t xml:space="preserve"> Jardines de Sucumbíos, en el marco del proceso de construcción e</w:t>
            </w:r>
            <w:r>
              <w:rPr>
                <w:rFonts w:ascii="Arial" w:eastAsia="Times New Roman" w:hAnsi="Arial" w:cs="Arial"/>
                <w:color w:val="000000"/>
                <w:sz w:val="16"/>
                <w:szCs w:val="16"/>
                <w:lang w:val="es-CO" w:eastAsia="es-CO"/>
              </w:rPr>
              <w:br/>
              <w:t>implementación del sistema educativo indígena propio SEIP</w:t>
            </w:r>
          </w:p>
        </w:tc>
        <w:tc>
          <w:tcPr>
            <w:tcW w:w="1365" w:type="pct"/>
            <w:tcBorders>
              <w:top w:val="nil"/>
              <w:left w:val="nil"/>
              <w:bottom w:val="single" w:sz="4" w:space="0" w:color="auto"/>
              <w:right w:val="single" w:sz="4" w:space="0" w:color="auto"/>
            </w:tcBorders>
            <w:vAlign w:val="center"/>
            <w:hideMark/>
          </w:tcPr>
          <w:p w:rsidR="007B39D8" w:rsidRDefault="00513960">
            <w:pPr>
              <w:spacing w:line="254" w:lineRule="auto"/>
              <w:jc w:val="both"/>
              <w:rPr>
                <w:rFonts w:ascii="Arial" w:eastAsia="Times New Roman" w:hAnsi="Arial" w:cs="Arial"/>
                <w:color w:val="0563C1"/>
                <w:sz w:val="16"/>
                <w:szCs w:val="16"/>
                <w:u w:val="single"/>
                <w:lang w:val="es-CO" w:eastAsia="es-CO"/>
              </w:rPr>
            </w:pPr>
            <w:hyperlink r:id="rId30" w:history="1">
              <w:r w:rsidR="007B39D8">
                <w:rPr>
                  <w:rFonts w:ascii="Arial" w:eastAsia="Times New Roman" w:hAnsi="Arial" w:cs="Arial"/>
                  <w:color w:val="0563C1"/>
                  <w:sz w:val="16"/>
                  <w:szCs w:val="16"/>
                  <w:u w:val="single"/>
                  <w:lang w:val="es-CO" w:eastAsia="es-CO"/>
                </w:rPr>
                <w:br/>
              </w:r>
              <w:r w:rsidR="007B39D8">
                <w:rPr>
                  <w:rStyle w:val="Hipervnculo"/>
                  <w:rFonts w:ascii="Arial" w:eastAsia="Times New Roman" w:hAnsi="Arial" w:cs="Arial"/>
                  <w:color w:val="0563C1"/>
                  <w:sz w:val="16"/>
                  <w:szCs w:val="16"/>
                  <w:lang w:val="es-CO" w:eastAsia="es-CO"/>
                </w:rPr>
                <w:t>Detalle del Proceso Número: PRESTACION DE SERVICIO EDUCATIVO 005 DE 2021</w:t>
              </w:r>
            </w:hyperlink>
          </w:p>
        </w:tc>
        <w:tc>
          <w:tcPr>
            <w:tcW w:w="1390" w:type="pct"/>
            <w:tcBorders>
              <w:top w:val="nil"/>
              <w:left w:val="nil"/>
              <w:bottom w:val="single" w:sz="4" w:space="0" w:color="auto"/>
              <w:right w:val="single" w:sz="4" w:space="0" w:color="auto"/>
            </w:tcBorders>
            <w:vAlign w:val="center"/>
            <w:hideMark/>
          </w:tcPr>
          <w:p w:rsidR="007B39D8" w:rsidRDefault="007B39D8">
            <w:pPr>
              <w:spacing w:line="254" w:lineRule="auto"/>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publicó: estudios previos, contrato, acta de inicio, informes de supervisión, registros presupuestales y Certificados de disponibilidad presupuestal.</w:t>
            </w:r>
            <w:r>
              <w:rPr>
                <w:rFonts w:ascii="Arial" w:eastAsia="Times New Roman" w:hAnsi="Arial" w:cs="Arial"/>
                <w:color w:val="000000"/>
                <w:sz w:val="16"/>
                <w:szCs w:val="16"/>
                <w:lang w:val="es-CO" w:eastAsia="es-CO"/>
              </w:rPr>
              <w:br/>
              <w:t>No se encuentra el registro presupuestal.</w:t>
            </w:r>
            <w:r>
              <w:rPr>
                <w:rFonts w:ascii="Arial" w:eastAsia="Times New Roman" w:hAnsi="Arial" w:cs="Arial"/>
                <w:color w:val="000000"/>
                <w:sz w:val="16"/>
                <w:szCs w:val="16"/>
                <w:lang w:val="es-CO" w:eastAsia="es-CO"/>
              </w:rPr>
              <w:br/>
              <w:t>Algunas copias impiden la visibilidad completa del certificado y estudios previos</w:t>
            </w:r>
          </w:p>
        </w:tc>
      </w:tr>
    </w:tbl>
    <w:p w:rsidR="007B39D8" w:rsidRDefault="007B39D8" w:rsidP="007B39D8">
      <w:pPr>
        <w:jc w:val="both"/>
        <w:rPr>
          <w:rFonts w:ascii="Arial" w:hAnsi="Arial" w:cs="Arial"/>
          <w:b/>
          <w:sz w:val="22"/>
          <w:szCs w:val="22"/>
        </w:rPr>
      </w:pPr>
    </w:p>
    <w:p w:rsidR="007B39D8" w:rsidRDefault="007B39D8" w:rsidP="007B39D8">
      <w:pPr>
        <w:jc w:val="both"/>
        <w:rPr>
          <w:rFonts w:ascii="Arial" w:hAnsi="Arial" w:cs="Arial"/>
          <w:sz w:val="22"/>
          <w:szCs w:val="22"/>
        </w:rPr>
      </w:pPr>
      <w:r>
        <w:rPr>
          <w:rFonts w:ascii="Arial" w:hAnsi="Arial" w:cs="Arial"/>
          <w:sz w:val="22"/>
          <w:szCs w:val="22"/>
        </w:rPr>
        <w:t>Por lo anterior se concluye que la entidad está publicando el SECOP I los documentos de los contratos suscritos. Sin embargo, se recomienda que haya más oportunidad en el reporte de la información ya que esta actividad se revisó en varias ocasiones e inicialmente había documentos que no estaban publicados, finalmente, después en revisiones posteriores se pudo constatar la publicación de los documentos faltantes en la revisión inicial.</w:t>
      </w:r>
      <w:r w:rsidR="00B55C53">
        <w:rPr>
          <w:rFonts w:ascii="Arial" w:hAnsi="Arial" w:cs="Arial"/>
          <w:sz w:val="22"/>
          <w:szCs w:val="22"/>
        </w:rPr>
        <w:t xml:space="preserve"> En consecuencia, </w:t>
      </w:r>
      <w:r>
        <w:rPr>
          <w:rFonts w:ascii="Arial" w:hAnsi="Arial" w:cs="Arial"/>
          <w:sz w:val="22"/>
          <w:szCs w:val="22"/>
        </w:rPr>
        <w:t>la presente actividad se encuentra cumplida.</w:t>
      </w:r>
    </w:p>
    <w:p w:rsidR="007B39D8" w:rsidRDefault="007B39D8" w:rsidP="007B39D8">
      <w:pPr>
        <w:jc w:val="both"/>
        <w:rPr>
          <w:rFonts w:ascii="Arial" w:hAnsi="Arial" w:cs="Arial"/>
          <w:b/>
          <w:bCs/>
          <w:sz w:val="22"/>
          <w:szCs w:val="22"/>
        </w:rPr>
      </w:pPr>
    </w:p>
    <w:p w:rsidR="007B39D8" w:rsidRDefault="007B39D8" w:rsidP="007B39D8">
      <w:pPr>
        <w:jc w:val="both"/>
        <w:rPr>
          <w:rFonts w:ascii="Arial" w:hAnsi="Arial" w:cs="Arial"/>
          <w:b/>
          <w:bCs/>
          <w:sz w:val="22"/>
          <w:szCs w:val="22"/>
        </w:rPr>
      </w:pPr>
      <w:r>
        <w:rPr>
          <w:rFonts w:ascii="Arial" w:hAnsi="Arial" w:cs="Arial"/>
          <w:b/>
          <w:bCs/>
          <w:sz w:val="22"/>
          <w:szCs w:val="22"/>
        </w:rPr>
        <w:t>Evaluación: Cumple</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b/>
          <w:sz w:val="22"/>
          <w:szCs w:val="22"/>
        </w:rPr>
      </w:pPr>
      <w:r>
        <w:rPr>
          <w:rFonts w:ascii="Arial" w:hAnsi="Arial" w:cs="Arial"/>
          <w:b/>
          <w:sz w:val="22"/>
          <w:szCs w:val="22"/>
        </w:rPr>
        <w:t>Actividad 14. Restituir al Sector Educativo los recursos excedidos en gastos administrativos durante la vigencia 2018.</w:t>
      </w:r>
    </w:p>
    <w:p w:rsidR="007B39D8" w:rsidRDefault="007B39D8" w:rsidP="007B39D8">
      <w:pPr>
        <w:jc w:val="both"/>
        <w:rPr>
          <w:rFonts w:ascii="Arial" w:hAnsi="Arial" w:cs="Arial"/>
          <w:b/>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 xml:space="preserve">Respecto a esta actividad, mediante la Resolución 4584 del 05 de diciembre de 2019 se identificó que en la vigencia 2018 la Entidad excedió el límite autorizado para gastos administrativos en $222 millones, los cuales deben ser restituidos con recursos propios en el sector, por lo que para el anterior seguimiento la Entidad remitió un oficio el 15 de abril de 2020 mediante el cual informó que el Municipio restituyó el exceso de gastos administrativos de la vigencia 2018 con recursos propios, asumiendo compromisos a partir del 5 de diciembre de 2019, que a junio de 2020 sumaban 369 millones. </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lastRenderedPageBreak/>
        <w:t>Así mismo, en su momento envió varios archivos de Excel con una relación de registros presupuestales que coincidían con tal monto, de los cuales $174 millones correspondían a la vigencia 2019 y $195 millones a 2020.</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Ahora bien, para el presente seguimiento se revisó en su totalidad la ejecución presupuestal de la vigencia 2020, encontrando inversiones con ingresos corrientes de libre destinación por $1.217 millones, de los cuales $286 millones corresponden a pasivos exigibles, $423 millones para universidades y en educación básica y media se comprometieron $525 millones para financiar gastos de nómina de la Secretaría de Educación. No obstante, en este valor está incluida la nómina de los 7 directivos que habitualmente se vienen pagando desde la aprobación de la estructura por parte del Proyecto de Modernización orientado por el Ministerio de Educación Nacional, lo cual no sería una restitución de recursos, es decir no es un esfuerzo adicional por parte de la Entidad Territorial, sino que corresponde al cumplimiento de lo establecido en el artículo 31 de la Ley 1176 de 2007.</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Por lo anterior, en reunión sostenida el día 24 de agosto de 2021 la subsecretaría administrativa y financiera de la Secretaría de Educación informó que como inversión adicional al pago que se viene haciendo de manera recurrente de los directivos de la Secretaría de Educación con recursos propios, dentro de los $525 millones $174 millones fueron comprometidos en gastos de personal administrativo de las instituciones educativas y funcionarios de la Secretaría de Educación diferentes a directivos, discriminados en la ejecución en $76 millones de sueldos (rubro 2211131 ) y $98 millones de sueldo de personal de nómina (rubro 21111) soportados en el registro presupuestal No. 2020.ISE.01.000593 del 29 de diciembre de 2020.</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Asimismo, mediante radicado 1-2021-082997 del 21 de septiembre de 2021</w:t>
      </w:r>
      <w:r>
        <w:rPr>
          <w:color w:val="1F497D"/>
        </w:rPr>
        <w:t xml:space="preserve"> </w:t>
      </w:r>
      <w:r>
        <w:rPr>
          <w:rFonts w:ascii="Arial" w:hAnsi="Arial" w:cs="Arial"/>
          <w:bCs/>
          <w:sz w:val="22"/>
          <w:szCs w:val="22"/>
        </w:rPr>
        <w:t>remitieron otro archivo sobre contratos con recursos propios en el sector educación, que según la información suministrada por la subsecretaría administrativa en la reunión referida no se ven incorporados en la ejecución presupuestal de la Secretaría educación porque se incorporaron en la ejecución que maneja el nivel central, como evidencia de esto también presentaron las minutas de dichos contratos, que suman $132 millones.</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 xml:space="preserve"> Así las cosas, las inversiones para restituir los gastos administrativos excedidos en la vigencia 2018 son las siguientes:</w:t>
      </w:r>
    </w:p>
    <w:p w:rsidR="007B39D8" w:rsidRDefault="007B39D8" w:rsidP="007B39D8">
      <w:pPr>
        <w:rPr>
          <w:rFonts w:ascii="Arial" w:hAnsi="Arial" w:cs="Arial"/>
          <w:b/>
          <w:sz w:val="22"/>
          <w:szCs w:val="22"/>
        </w:rPr>
      </w:pPr>
    </w:p>
    <w:tbl>
      <w:tblPr>
        <w:tblW w:w="8343" w:type="dxa"/>
        <w:jc w:val="center"/>
        <w:tblCellMar>
          <w:left w:w="70" w:type="dxa"/>
          <w:right w:w="70" w:type="dxa"/>
        </w:tblCellMar>
        <w:tblLook w:val="04A0" w:firstRow="1" w:lastRow="0" w:firstColumn="1" w:lastColumn="0" w:noHBand="0" w:noVBand="1"/>
      </w:tblPr>
      <w:tblGrid>
        <w:gridCol w:w="6227"/>
        <w:gridCol w:w="2116"/>
      </w:tblGrid>
      <w:tr w:rsidR="007B39D8" w:rsidTr="007B39D8">
        <w:trPr>
          <w:trHeight w:val="20"/>
          <w:tblHeader/>
          <w:jc w:val="center"/>
        </w:trPr>
        <w:tc>
          <w:tcPr>
            <w:tcW w:w="6227" w:type="dxa"/>
            <w:tcBorders>
              <w:top w:val="single" w:sz="8" w:space="0" w:color="auto"/>
              <w:left w:val="single" w:sz="8" w:space="0" w:color="auto"/>
              <w:bottom w:val="single" w:sz="8" w:space="0" w:color="auto"/>
              <w:right w:val="single" w:sz="8"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Conceptos</w:t>
            </w:r>
          </w:p>
        </w:tc>
        <w:tc>
          <w:tcPr>
            <w:tcW w:w="2116" w:type="dxa"/>
            <w:tcBorders>
              <w:top w:val="single" w:sz="8" w:space="0" w:color="auto"/>
              <w:left w:val="nil"/>
              <w:bottom w:val="single" w:sz="8" w:space="0" w:color="auto"/>
              <w:right w:val="single" w:sz="8"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Valor</w:t>
            </w:r>
          </w:p>
        </w:tc>
      </w:tr>
      <w:tr w:rsidR="007B39D8" w:rsidTr="007B39D8">
        <w:trPr>
          <w:trHeight w:val="20"/>
          <w:jc w:val="center"/>
        </w:trPr>
        <w:tc>
          <w:tcPr>
            <w:tcW w:w="6227" w:type="dxa"/>
            <w:tcBorders>
              <w:top w:val="nil"/>
              <w:left w:val="single" w:sz="8" w:space="0" w:color="auto"/>
              <w:bottom w:val="single" w:sz="8"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Honorarios y servicios personales indirectos diciembre de 2019</w:t>
            </w:r>
          </w:p>
        </w:tc>
        <w:tc>
          <w:tcPr>
            <w:tcW w:w="2116" w:type="dxa"/>
            <w:tcBorders>
              <w:top w:val="nil"/>
              <w:left w:val="nil"/>
              <w:bottom w:val="single" w:sz="8" w:space="0" w:color="auto"/>
              <w:right w:val="single" w:sz="8" w:space="0" w:color="auto"/>
            </w:tcBorders>
            <w:noWrap/>
            <w:vAlign w:val="center"/>
            <w:hideMark/>
          </w:tcPr>
          <w:p w:rsidR="007B39D8" w:rsidRDefault="007B39D8">
            <w:pPr>
              <w:spacing w:line="254" w:lineRule="auto"/>
              <w:ind w:firstLineChars="200" w:firstLine="320"/>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4.894.020</w:t>
            </w:r>
          </w:p>
        </w:tc>
      </w:tr>
      <w:tr w:rsidR="007B39D8" w:rsidTr="007B39D8">
        <w:trPr>
          <w:trHeight w:val="20"/>
          <w:jc w:val="center"/>
        </w:trPr>
        <w:tc>
          <w:tcPr>
            <w:tcW w:w="6227" w:type="dxa"/>
            <w:tcBorders>
              <w:top w:val="nil"/>
              <w:left w:val="single" w:sz="8" w:space="0" w:color="auto"/>
              <w:bottom w:val="single" w:sz="8"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Nómina de la Secretaría de Educación diciembre de 2019</w:t>
            </w:r>
          </w:p>
        </w:tc>
        <w:tc>
          <w:tcPr>
            <w:tcW w:w="2116" w:type="dxa"/>
            <w:tcBorders>
              <w:top w:val="nil"/>
              <w:left w:val="nil"/>
              <w:bottom w:val="single" w:sz="8" w:space="0" w:color="auto"/>
              <w:right w:val="single" w:sz="8" w:space="0" w:color="auto"/>
            </w:tcBorders>
            <w:noWrap/>
            <w:vAlign w:val="center"/>
            <w:hideMark/>
          </w:tcPr>
          <w:p w:rsidR="007B39D8" w:rsidRDefault="007B39D8">
            <w:pPr>
              <w:spacing w:line="254" w:lineRule="auto"/>
              <w:ind w:firstLineChars="200" w:firstLine="320"/>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169.400.180</w:t>
            </w:r>
          </w:p>
        </w:tc>
      </w:tr>
      <w:tr w:rsidR="007B39D8" w:rsidTr="007B39D8">
        <w:trPr>
          <w:trHeight w:val="20"/>
          <w:jc w:val="center"/>
        </w:trPr>
        <w:tc>
          <w:tcPr>
            <w:tcW w:w="6227" w:type="dxa"/>
            <w:tcBorders>
              <w:top w:val="nil"/>
              <w:left w:val="single" w:sz="8" w:space="0" w:color="auto"/>
              <w:bottom w:val="single" w:sz="8"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Nómina de la Secretaría de Educación 2020</w:t>
            </w:r>
          </w:p>
        </w:tc>
        <w:tc>
          <w:tcPr>
            <w:tcW w:w="2116" w:type="dxa"/>
            <w:tcBorders>
              <w:top w:val="nil"/>
              <w:left w:val="nil"/>
              <w:bottom w:val="single" w:sz="8" w:space="0" w:color="auto"/>
              <w:right w:val="single" w:sz="8" w:space="0" w:color="auto"/>
            </w:tcBorders>
            <w:noWrap/>
            <w:vAlign w:val="center"/>
            <w:hideMark/>
          </w:tcPr>
          <w:p w:rsidR="007B39D8" w:rsidRDefault="007B39D8">
            <w:pPr>
              <w:spacing w:line="254" w:lineRule="auto"/>
              <w:ind w:firstLineChars="200" w:firstLine="320"/>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174.944.720</w:t>
            </w:r>
          </w:p>
        </w:tc>
      </w:tr>
      <w:tr w:rsidR="007B39D8" w:rsidTr="007B39D8">
        <w:trPr>
          <w:trHeight w:val="20"/>
          <w:jc w:val="center"/>
        </w:trPr>
        <w:tc>
          <w:tcPr>
            <w:tcW w:w="6227" w:type="dxa"/>
            <w:tcBorders>
              <w:top w:val="nil"/>
              <w:left w:val="single" w:sz="8" w:space="0" w:color="auto"/>
              <w:bottom w:val="single" w:sz="8" w:space="0" w:color="auto"/>
              <w:right w:val="single" w:sz="8" w:space="0" w:color="auto"/>
            </w:tcBorders>
            <w:noWrap/>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Contratos de prestación de servicios para apoyar la Secretaría de Educación 2020</w:t>
            </w:r>
          </w:p>
        </w:tc>
        <w:tc>
          <w:tcPr>
            <w:tcW w:w="2116" w:type="dxa"/>
            <w:tcBorders>
              <w:top w:val="nil"/>
              <w:left w:val="nil"/>
              <w:bottom w:val="single" w:sz="8" w:space="0" w:color="auto"/>
              <w:right w:val="single" w:sz="8" w:space="0" w:color="auto"/>
            </w:tcBorders>
            <w:noWrap/>
            <w:vAlign w:val="center"/>
            <w:hideMark/>
          </w:tcPr>
          <w:p w:rsidR="007B39D8" w:rsidRDefault="007B39D8">
            <w:pPr>
              <w:spacing w:line="254" w:lineRule="auto"/>
              <w:ind w:firstLineChars="200" w:firstLine="320"/>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131.908.927</w:t>
            </w:r>
          </w:p>
        </w:tc>
      </w:tr>
      <w:tr w:rsidR="007B39D8" w:rsidTr="007B39D8">
        <w:trPr>
          <w:trHeight w:val="20"/>
          <w:jc w:val="center"/>
        </w:trPr>
        <w:tc>
          <w:tcPr>
            <w:tcW w:w="6227" w:type="dxa"/>
            <w:tcBorders>
              <w:top w:val="nil"/>
              <w:left w:val="single" w:sz="8" w:space="0" w:color="auto"/>
              <w:bottom w:val="single" w:sz="8" w:space="0" w:color="auto"/>
              <w:right w:val="single" w:sz="8"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Total </w:t>
            </w:r>
          </w:p>
        </w:tc>
        <w:tc>
          <w:tcPr>
            <w:tcW w:w="2116" w:type="dxa"/>
            <w:tcBorders>
              <w:top w:val="nil"/>
              <w:left w:val="nil"/>
              <w:bottom w:val="single" w:sz="8" w:space="0" w:color="auto"/>
              <w:right w:val="single" w:sz="8" w:space="0" w:color="auto"/>
            </w:tcBorders>
            <w:shd w:val="clear" w:color="auto" w:fill="244061" w:themeFill="accent1" w:themeFillShade="80"/>
            <w:noWrap/>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481.147.847</w:t>
            </w:r>
          </w:p>
        </w:tc>
      </w:tr>
    </w:tbl>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sz w:val="22"/>
          <w:szCs w:val="22"/>
        </w:rPr>
      </w:pPr>
      <w:r>
        <w:rPr>
          <w:rFonts w:ascii="Arial" w:hAnsi="Arial" w:cs="Arial"/>
          <w:bCs/>
          <w:sz w:val="22"/>
          <w:szCs w:val="22"/>
        </w:rPr>
        <w:t xml:space="preserve">Así las cosas, la restitución de los $222 millones excedidos de gasto administrativo durante la vigencia 2018 se entiende completada con $174 millones aportados en 2019 y $48 millones de los $174 millones comprometidos en nómina durante 2020. El saldo restante de $126 millones comprometidos en nómina es suficiente para soportar la restitución con recursos propios en conceptos de nómina de los 90 millones adicionales a lo del gasto </w:t>
      </w:r>
      <w:r>
        <w:rPr>
          <w:rFonts w:ascii="Arial" w:hAnsi="Arial" w:cs="Arial"/>
          <w:bCs/>
          <w:sz w:val="22"/>
          <w:szCs w:val="22"/>
        </w:rPr>
        <w:lastRenderedPageBreak/>
        <w:t>administrativo que debía reponer la entidad, descritos en el apartado financiero de este documento (página 7)</w:t>
      </w:r>
      <w:r>
        <w:rPr>
          <w:rFonts w:ascii="Arial" w:hAnsi="Arial" w:cs="Arial"/>
          <w:sz w:val="22"/>
          <w:szCs w:val="22"/>
        </w:rPr>
        <w:t>.</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Por lo anterior, la presente actividad se considera cumplida.</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b/>
          <w:bCs/>
          <w:sz w:val="22"/>
          <w:szCs w:val="22"/>
        </w:rPr>
      </w:pPr>
      <w:r>
        <w:rPr>
          <w:rFonts w:ascii="Arial" w:hAnsi="Arial" w:cs="Arial"/>
          <w:b/>
          <w:bCs/>
          <w:sz w:val="22"/>
          <w:szCs w:val="22"/>
        </w:rPr>
        <w:t>Evaluación: Cumple</w:t>
      </w:r>
    </w:p>
    <w:p w:rsidR="007B39D8" w:rsidRDefault="007B39D8" w:rsidP="007B39D8">
      <w:pPr>
        <w:jc w:val="both"/>
        <w:rPr>
          <w:rFonts w:ascii="Arial" w:hAnsi="Arial" w:cs="Arial"/>
          <w:b/>
          <w:bCs/>
          <w:sz w:val="22"/>
          <w:szCs w:val="22"/>
        </w:rPr>
      </w:pPr>
    </w:p>
    <w:p w:rsidR="007B39D8" w:rsidRDefault="007B39D8" w:rsidP="007B39D8">
      <w:pPr>
        <w:jc w:val="both"/>
        <w:rPr>
          <w:rFonts w:ascii="Arial" w:hAnsi="Arial" w:cs="Arial"/>
          <w:b/>
          <w:sz w:val="22"/>
          <w:szCs w:val="22"/>
        </w:rPr>
      </w:pPr>
      <w:r>
        <w:rPr>
          <w:rFonts w:ascii="Arial" w:hAnsi="Arial" w:cs="Arial"/>
          <w:b/>
          <w:sz w:val="22"/>
          <w:szCs w:val="22"/>
        </w:rPr>
        <w:t xml:space="preserve">Actividad 15. Adelantar acciones judiciales disciplinarias y fiscales ante los organismos de control del estado que permitan la defensa y el buen uso de los recursos públicos. </w:t>
      </w:r>
    </w:p>
    <w:p w:rsidR="007B39D8" w:rsidRDefault="007B39D8" w:rsidP="007B39D8">
      <w:pPr>
        <w:jc w:val="both"/>
        <w:rPr>
          <w:rFonts w:ascii="Arial" w:hAnsi="Arial" w:cs="Arial"/>
          <w:b/>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En el seguimiento anterior se pudo evidenciar que el municipio de Ipiales adelantó acciones ante la Contraloría General de la República. Dicha entidad mediante oficio No. 2020EE0012567 del 04 de febrero solicitó información al Secretario de Educación para adelantar seguimiento a la denuncia No. 2019-170484-80524-D relacionada con pagos realizados en 2018 a funcionarios y ex funcionarios de la Secretaría de Educación de Ipiales. Asimismo, el Ministerio de Educación recomendó que se hiciera un continuo seguimiento a estos procesos y se gestionara ante los organismos de control para que se agilicen las investigaciones pertinentes, en aras de salvaguardar los recursos públicos de la entidad. </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Con respecto a la Contraloría se evidencia el oficio del 02 de marzo mediante el cual se comunica a la entidad lo decidido en el Auto 088 del 14 de febrero de 2020: “Gerencia Departamental Colegiada de Nariño auto que ordena la práctica de pruebas procesos de responsabilidad fiscal 2019-00263 municipio de Ipiales”.</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En cuanto a la Procuraduría y la Fiscalía general de la Nación, en el seguimiento pasado se evidenciaron las denuncias correspondientes ante dichos organismos, ahora bien, en la información que enviaron para el presente seguimiento no se encuentran nuevos oficios remitidos a estos entes de control sobre el avance de los procesos.</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En cuanto a las acciones desde la oficina de control interno disciplinario que garanticen la institucionalización de procesos de prevención de futuras conductas en contra de los principios y deberes de la función pública y administrativa, si bien se observan oficios remitidos por la Secretaría de educación consultando información sobre los procesos a la oficina de control interno, en los oficios de respuesta de la oficina de control interno No10-12-13-01- OCID -0153, se menciona la existencia de congestión en dicha Oficina y suministran únicamente información de un proceso indicando que a dicho proceso en la administración anterior se le asignó número de expediente y se mantuvo en estado activo sin realizar actuación alguna, por lo que dicho despacho se dispondría a continuar con las acciones pertinentes del caso.</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Adicionalmente en la información remitida se mencionó la existencia de otro oficio del 16 de marzo de 2021, No.1012-13-01 OCID 315, remitido por la oficina de Control interno disciplinario el cual no fue allegado por el Municipio de Ipiales. Sin embargo, la Secretaría de Educación informó que la oficina de control interno relacionó los siguientes procesos:</w:t>
      </w:r>
    </w:p>
    <w:p w:rsidR="007B39D8" w:rsidRDefault="007B39D8" w:rsidP="007B39D8">
      <w:pPr>
        <w:jc w:val="both"/>
        <w:rPr>
          <w:rFonts w:ascii="Arial" w:hAnsi="Arial" w:cs="Arial"/>
          <w:sz w:val="22"/>
          <w:szCs w:val="22"/>
        </w:rPr>
      </w:pPr>
      <w:r>
        <w:rPr>
          <w:rFonts w:ascii="Arial" w:hAnsi="Arial" w:cs="Arial"/>
          <w:sz w:val="22"/>
          <w:szCs w:val="22"/>
        </w:rPr>
        <w:lastRenderedPageBreak/>
        <w:t xml:space="preserve"> </w:t>
      </w:r>
    </w:p>
    <w:p w:rsidR="007B39D8" w:rsidRDefault="007B39D8" w:rsidP="007B39D8">
      <w:pPr>
        <w:pStyle w:val="Prrafodelista"/>
        <w:numPr>
          <w:ilvl w:val="0"/>
          <w:numId w:val="20"/>
        </w:numPr>
        <w:ind w:left="426" w:hanging="426"/>
        <w:rPr>
          <w:rFonts w:ascii="Arial" w:hAnsi="Arial" w:cs="Arial"/>
          <w:b/>
          <w:bCs/>
          <w:sz w:val="22"/>
          <w:szCs w:val="22"/>
        </w:rPr>
      </w:pPr>
      <w:r>
        <w:rPr>
          <w:rFonts w:ascii="Arial" w:hAnsi="Arial" w:cs="Arial"/>
          <w:b/>
          <w:bCs/>
          <w:sz w:val="22"/>
          <w:szCs w:val="22"/>
        </w:rPr>
        <w:t>Proceso: 2019-134</w:t>
      </w:r>
    </w:p>
    <w:p w:rsidR="007B39D8" w:rsidRDefault="007B39D8" w:rsidP="007B39D8">
      <w:pPr>
        <w:pStyle w:val="Prrafodelista"/>
        <w:ind w:left="426"/>
        <w:rPr>
          <w:rFonts w:ascii="Arial" w:hAnsi="Arial" w:cs="Arial"/>
          <w:sz w:val="22"/>
          <w:szCs w:val="22"/>
        </w:rPr>
      </w:pPr>
      <w:r>
        <w:rPr>
          <w:rFonts w:ascii="Arial" w:hAnsi="Arial" w:cs="Arial"/>
          <w:sz w:val="22"/>
          <w:szCs w:val="22"/>
        </w:rPr>
        <w:t>Quejoso Oscar Javier Enrique Ladino Implicado Robert Andrés Paz Solarte y otros Estado: Investigación Disciplinaria Abierta</w:t>
      </w:r>
    </w:p>
    <w:p w:rsidR="007B39D8" w:rsidRDefault="007B39D8" w:rsidP="007B39D8">
      <w:pPr>
        <w:pStyle w:val="Prrafodelista"/>
        <w:numPr>
          <w:ilvl w:val="0"/>
          <w:numId w:val="20"/>
        </w:numPr>
        <w:ind w:left="426" w:hanging="426"/>
        <w:rPr>
          <w:rFonts w:ascii="Arial" w:hAnsi="Arial" w:cs="Arial"/>
          <w:b/>
          <w:bCs/>
          <w:sz w:val="22"/>
          <w:szCs w:val="22"/>
        </w:rPr>
      </w:pPr>
      <w:r>
        <w:rPr>
          <w:rFonts w:ascii="Arial" w:hAnsi="Arial" w:cs="Arial"/>
          <w:b/>
          <w:bCs/>
          <w:sz w:val="22"/>
          <w:szCs w:val="22"/>
        </w:rPr>
        <w:t>Proceso 2020-0056</w:t>
      </w:r>
    </w:p>
    <w:p w:rsidR="007B39D8" w:rsidRDefault="007B39D8" w:rsidP="007B39D8">
      <w:pPr>
        <w:pStyle w:val="Prrafodelista"/>
        <w:ind w:left="426"/>
        <w:rPr>
          <w:rFonts w:ascii="Arial" w:hAnsi="Arial" w:cs="Arial"/>
          <w:b/>
          <w:bCs/>
          <w:sz w:val="22"/>
          <w:szCs w:val="22"/>
        </w:rPr>
      </w:pPr>
      <w:r>
        <w:rPr>
          <w:rFonts w:ascii="Arial" w:hAnsi="Arial" w:cs="Arial"/>
          <w:sz w:val="22"/>
          <w:szCs w:val="22"/>
        </w:rPr>
        <w:t>Quejoso: Alex Iván Arteaga Dorado Implicado: Zaida Julia Córdoba Estupiñán Estado: Investigación Disciplinaria Abierta</w:t>
      </w:r>
    </w:p>
    <w:p w:rsidR="007B39D8" w:rsidRDefault="007B39D8" w:rsidP="007B39D8">
      <w:pPr>
        <w:pStyle w:val="Prrafodelista"/>
        <w:numPr>
          <w:ilvl w:val="0"/>
          <w:numId w:val="20"/>
        </w:numPr>
        <w:ind w:left="426" w:hanging="426"/>
        <w:rPr>
          <w:rFonts w:ascii="Arial" w:hAnsi="Arial" w:cs="Arial"/>
          <w:b/>
          <w:bCs/>
          <w:sz w:val="22"/>
          <w:szCs w:val="22"/>
        </w:rPr>
      </w:pPr>
      <w:r>
        <w:rPr>
          <w:rFonts w:ascii="Arial" w:hAnsi="Arial" w:cs="Arial"/>
          <w:b/>
          <w:bCs/>
          <w:sz w:val="22"/>
          <w:szCs w:val="22"/>
        </w:rPr>
        <w:t>Proceso 2020- 0090</w:t>
      </w:r>
    </w:p>
    <w:p w:rsidR="007B39D8" w:rsidRDefault="007B39D8" w:rsidP="007B39D8">
      <w:pPr>
        <w:pStyle w:val="Prrafodelista"/>
        <w:ind w:left="426"/>
        <w:rPr>
          <w:rFonts w:ascii="Arial" w:hAnsi="Arial" w:cs="Arial"/>
          <w:b/>
          <w:bCs/>
          <w:sz w:val="22"/>
          <w:szCs w:val="22"/>
        </w:rPr>
      </w:pPr>
      <w:r>
        <w:rPr>
          <w:rFonts w:ascii="Arial" w:hAnsi="Arial" w:cs="Arial"/>
          <w:sz w:val="22"/>
          <w:szCs w:val="22"/>
        </w:rPr>
        <w:t xml:space="preserve">Quejoso: Alex Iván Arteaga Dorado Implicado: Zaida Julia Córdoba Estupiñán Estado: Acumulado al expediente 2020-0056 </w:t>
      </w:r>
    </w:p>
    <w:p w:rsidR="007B39D8" w:rsidRDefault="007B39D8" w:rsidP="007B39D8">
      <w:pPr>
        <w:pStyle w:val="Prrafodelista"/>
        <w:numPr>
          <w:ilvl w:val="0"/>
          <w:numId w:val="20"/>
        </w:numPr>
        <w:ind w:left="426" w:hanging="426"/>
        <w:rPr>
          <w:rFonts w:ascii="Arial" w:hAnsi="Arial" w:cs="Arial"/>
          <w:b/>
          <w:bCs/>
          <w:sz w:val="22"/>
          <w:szCs w:val="22"/>
        </w:rPr>
      </w:pPr>
      <w:r>
        <w:rPr>
          <w:rFonts w:ascii="Arial" w:hAnsi="Arial" w:cs="Arial"/>
          <w:b/>
          <w:bCs/>
          <w:sz w:val="22"/>
          <w:szCs w:val="22"/>
        </w:rPr>
        <w:t>Proceso: 2020-0147</w:t>
      </w:r>
    </w:p>
    <w:p w:rsidR="007B39D8" w:rsidRDefault="007B39D8" w:rsidP="007B39D8">
      <w:pPr>
        <w:pStyle w:val="Prrafodelista"/>
        <w:ind w:left="426"/>
        <w:rPr>
          <w:rFonts w:ascii="Arial" w:hAnsi="Arial" w:cs="Arial"/>
          <w:sz w:val="22"/>
          <w:szCs w:val="22"/>
        </w:rPr>
      </w:pPr>
      <w:r>
        <w:rPr>
          <w:rFonts w:ascii="Arial" w:hAnsi="Arial" w:cs="Arial"/>
          <w:sz w:val="22"/>
          <w:szCs w:val="22"/>
        </w:rPr>
        <w:t>Quejoso: Alex Iván Arteaga Dorado Implicado: Zaida Julia Córdoba Estupiñán Estado: Acumulado al expediente 2020-0056</w:t>
      </w:r>
    </w:p>
    <w:p w:rsidR="007B39D8" w:rsidRDefault="007B39D8" w:rsidP="007B39D8">
      <w:pPr>
        <w:ind w:left="426" w:hanging="426"/>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Con respecto a lo anterior, se observa que, si bien no se muestra adelanto en los procesos, la Secretaría de educación además de interponer las denuncias en los diferentes entes de control ha estado consultando sobre el avance de estos procesos en aras de cumplir con el seguimiento. Sin embargo, el avance en estos procesos depende no solo de la oficina de control interno sino también de organismos externos a la entidad territorial, por lo que se concluye que, con las evidencias presentadas por la entidad, la presente actividad está cumplida.</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Sin perjuicio de lo anterior, es necesario que como se recomendó en el informe anterior la oficina de Control Interno disciplinario implemente acciones al interior de la entidad para la prevención de futuras conductas en contra de los principios y deberes de la función pública y administrativa.</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b/>
          <w:bCs/>
          <w:sz w:val="22"/>
          <w:szCs w:val="22"/>
        </w:rPr>
      </w:pPr>
      <w:r>
        <w:rPr>
          <w:rFonts w:ascii="Arial" w:hAnsi="Arial" w:cs="Arial"/>
          <w:b/>
          <w:bCs/>
          <w:sz w:val="22"/>
          <w:szCs w:val="22"/>
        </w:rPr>
        <w:t>Evaluación: Cumple</w:t>
      </w:r>
    </w:p>
    <w:p w:rsidR="007B39D8" w:rsidRDefault="007B39D8" w:rsidP="007B39D8">
      <w:pPr>
        <w:jc w:val="both"/>
        <w:rPr>
          <w:rFonts w:ascii="Arial" w:hAnsi="Arial" w:cs="Arial"/>
          <w:b/>
          <w:bCs/>
          <w:sz w:val="22"/>
          <w:szCs w:val="22"/>
        </w:rPr>
      </w:pPr>
    </w:p>
    <w:p w:rsidR="007B39D8" w:rsidRDefault="007B39D8" w:rsidP="007B39D8">
      <w:pPr>
        <w:jc w:val="both"/>
        <w:rPr>
          <w:rFonts w:ascii="Arial" w:hAnsi="Arial" w:cs="Arial"/>
          <w:b/>
          <w:sz w:val="22"/>
          <w:szCs w:val="22"/>
        </w:rPr>
      </w:pPr>
      <w:r>
        <w:rPr>
          <w:rFonts w:ascii="Arial" w:hAnsi="Arial" w:cs="Arial"/>
          <w:b/>
          <w:sz w:val="22"/>
          <w:szCs w:val="22"/>
        </w:rPr>
        <w:t xml:space="preserve">Actividad 16. Implementar un procedimiento interno de control de pagos previo a la dispersión electrónica. </w:t>
      </w:r>
    </w:p>
    <w:p w:rsidR="007B39D8" w:rsidRDefault="007B39D8" w:rsidP="007B39D8">
      <w:pPr>
        <w:jc w:val="both"/>
        <w:rPr>
          <w:rFonts w:ascii="Arial" w:hAnsi="Arial" w:cs="Arial"/>
          <w:b/>
          <w:sz w:val="22"/>
          <w:szCs w:val="22"/>
        </w:rPr>
      </w:pPr>
    </w:p>
    <w:p w:rsidR="007B39D8" w:rsidRDefault="007B39D8" w:rsidP="007B39D8">
      <w:pPr>
        <w:autoSpaceDE w:val="0"/>
        <w:autoSpaceDN w:val="0"/>
        <w:adjustRightInd w:val="0"/>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En relación con este punto, la entidad remitió el procedimiento denominado “pago varias nóminas” del 20 de marzo de 2020, perteneciente al subproceso gestión de tesorería y cobro coactivo y al proceso Gestión de Hacienda. El procedimiento tiene como objetivo realizar el pago de las nóminas de los empleados de nivel central, Secretaría de salud, pensionados, Secretaría de movilidad y Secretaría de Educación, con la finalidad de llevar control y generación de la liquidación del pago de nómina.</w:t>
      </w:r>
    </w:p>
    <w:p w:rsidR="007B39D8" w:rsidRDefault="007B39D8" w:rsidP="007B39D8">
      <w:pPr>
        <w:autoSpaceDE w:val="0"/>
        <w:autoSpaceDN w:val="0"/>
        <w:adjustRightInd w:val="0"/>
        <w:jc w:val="both"/>
        <w:rPr>
          <w:rFonts w:ascii="Arial" w:eastAsiaTheme="minorHAnsi" w:hAnsi="Arial" w:cs="Arial"/>
          <w:sz w:val="22"/>
          <w:szCs w:val="22"/>
          <w:lang w:val="es-CO" w:eastAsia="en-US"/>
        </w:rPr>
      </w:pPr>
    </w:p>
    <w:p w:rsidR="007B39D8" w:rsidRDefault="007B39D8" w:rsidP="007B39D8">
      <w:pPr>
        <w:autoSpaceDE w:val="0"/>
        <w:autoSpaceDN w:val="0"/>
        <w:adjustRightInd w:val="0"/>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El procedimiento empieza cada vez que inicia un periodo de pago y termina con el pago del salario al empleado y los pagos a terceros con base en las deducciones autorizadas. Se resalta que una de las actividades del proceso, es la entrega a tesorería por parte de la Secretaría de Educación de la nómina en físico generada por el Sistema Humano, así como el archivo plano en medio magnético y oficio de radicado, para pago de docentes y administrativos.</w:t>
      </w:r>
    </w:p>
    <w:p w:rsidR="007B39D8" w:rsidRDefault="007B39D8" w:rsidP="007B39D8">
      <w:pPr>
        <w:autoSpaceDE w:val="0"/>
        <w:autoSpaceDN w:val="0"/>
        <w:adjustRightInd w:val="0"/>
        <w:jc w:val="both"/>
        <w:rPr>
          <w:rFonts w:ascii="Arial" w:eastAsiaTheme="minorHAnsi" w:hAnsi="Arial" w:cs="Arial"/>
          <w:sz w:val="22"/>
          <w:szCs w:val="22"/>
          <w:lang w:val="es-CO" w:eastAsia="en-US"/>
        </w:rPr>
      </w:pPr>
    </w:p>
    <w:p w:rsidR="007B39D8" w:rsidRDefault="007B39D8" w:rsidP="007B39D8">
      <w:pPr>
        <w:autoSpaceDE w:val="0"/>
        <w:autoSpaceDN w:val="0"/>
        <w:adjustRightInd w:val="0"/>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lastRenderedPageBreak/>
        <w:t>Adicionalmente, entre otras actividades el tesorero tiene la responsabilidad de descargar la nómina de Secretaría de Educación de docentes y administrativos del Sistema Humano para proceder a hacer cruces respectivos y validar con la nómina radicada en físico, también debe descargar el archivo plano de nómina de Secretaría de Educación de docentes y administrativos del Sistema Humano para proceder a hacer los cruces respectivos y validar con el archivo plano entregado por educación, antes de proceder a la dispersión.</w:t>
      </w:r>
    </w:p>
    <w:p w:rsidR="007B39D8" w:rsidRDefault="007B39D8" w:rsidP="007B39D8">
      <w:pPr>
        <w:autoSpaceDE w:val="0"/>
        <w:autoSpaceDN w:val="0"/>
        <w:adjustRightInd w:val="0"/>
        <w:jc w:val="both"/>
        <w:rPr>
          <w:rFonts w:ascii="Arial" w:eastAsiaTheme="minorHAnsi" w:hAnsi="Arial" w:cs="Arial"/>
          <w:sz w:val="22"/>
          <w:szCs w:val="22"/>
          <w:lang w:val="es-CO" w:eastAsia="en-US"/>
        </w:rPr>
      </w:pPr>
    </w:p>
    <w:p w:rsidR="007B39D8" w:rsidRDefault="007B39D8" w:rsidP="007B39D8">
      <w:pPr>
        <w:autoSpaceDE w:val="0"/>
        <w:autoSpaceDN w:val="0"/>
        <w:adjustRightInd w:val="0"/>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Por lo anterior teniendo en cuenta el procedimiento establecido se considera que la actividad queda cumplida.</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b/>
          <w:bCs/>
          <w:sz w:val="22"/>
          <w:szCs w:val="22"/>
        </w:rPr>
      </w:pPr>
      <w:r>
        <w:rPr>
          <w:rFonts w:ascii="Arial" w:hAnsi="Arial" w:cs="Arial"/>
          <w:b/>
          <w:bCs/>
          <w:sz w:val="22"/>
          <w:szCs w:val="22"/>
        </w:rPr>
        <w:t>Evaluación: Cumple</w:t>
      </w:r>
    </w:p>
    <w:bookmarkEnd w:id="4"/>
    <w:p w:rsidR="007B39D8" w:rsidRDefault="007B39D8" w:rsidP="007B39D8">
      <w:pPr>
        <w:jc w:val="both"/>
        <w:rPr>
          <w:rFonts w:ascii="Arial" w:hAnsi="Arial" w:cs="Arial"/>
          <w:sz w:val="22"/>
          <w:szCs w:val="22"/>
        </w:rPr>
      </w:pPr>
    </w:p>
    <w:p w:rsidR="007B39D8" w:rsidRDefault="007B39D8" w:rsidP="007B39D8">
      <w:pPr>
        <w:pStyle w:val="Ttulo2"/>
        <w:numPr>
          <w:ilvl w:val="0"/>
          <w:numId w:val="18"/>
        </w:numPr>
        <w:spacing w:before="0"/>
        <w:ind w:left="426" w:hanging="426"/>
        <w:rPr>
          <w:rFonts w:ascii="Arial" w:hAnsi="Arial" w:cs="Arial"/>
          <w:b/>
          <w:color w:val="auto"/>
          <w:sz w:val="22"/>
          <w:szCs w:val="22"/>
        </w:rPr>
      </w:pPr>
      <w:r>
        <w:rPr>
          <w:rFonts w:ascii="Arial" w:hAnsi="Arial" w:cs="Arial"/>
          <w:b/>
          <w:color w:val="auto"/>
          <w:sz w:val="22"/>
          <w:szCs w:val="22"/>
        </w:rPr>
        <w:t>Nuevas situaciones identificadas:</w:t>
      </w:r>
    </w:p>
    <w:p w:rsidR="007B39D8" w:rsidRDefault="007B39D8" w:rsidP="007B39D8">
      <w:pPr>
        <w:jc w:val="both"/>
        <w:rPr>
          <w:rFonts w:ascii="Arial" w:hAnsi="Arial" w:cs="Arial"/>
          <w:sz w:val="22"/>
          <w:szCs w:val="22"/>
          <w:lang w:val="es-ES_tradnl" w:eastAsia="en-US"/>
        </w:rPr>
      </w:pPr>
    </w:p>
    <w:p w:rsidR="007B39D8" w:rsidRDefault="007B39D8" w:rsidP="007B39D8">
      <w:pPr>
        <w:pStyle w:val="Ttulo2"/>
        <w:spacing w:before="0"/>
        <w:jc w:val="both"/>
        <w:rPr>
          <w:rFonts w:ascii="Arial" w:hAnsi="Arial" w:cs="Arial"/>
          <w:b/>
          <w:bCs/>
          <w:i/>
          <w:color w:val="auto"/>
          <w:sz w:val="22"/>
          <w:szCs w:val="22"/>
          <w:lang w:val="es-ES_tradnl"/>
        </w:rPr>
      </w:pPr>
      <w:r>
        <w:rPr>
          <w:rFonts w:ascii="Arial" w:hAnsi="Arial" w:cs="Arial"/>
          <w:b/>
          <w:bCs/>
          <w:i/>
          <w:color w:val="auto"/>
          <w:sz w:val="22"/>
          <w:szCs w:val="22"/>
          <w:lang w:val="es-ES_tradnl"/>
        </w:rPr>
        <w:t xml:space="preserve">EVENTO DE RIESGO 9.18. </w:t>
      </w:r>
      <w:r>
        <w:rPr>
          <w:rFonts w:ascii="Arial" w:hAnsi="Arial" w:cs="Arial"/>
          <w:bCs/>
          <w:i/>
          <w:color w:val="auto"/>
          <w:sz w:val="22"/>
          <w:szCs w:val="22"/>
          <w:lang w:val="es-ES_tradnl"/>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p>
    <w:p w:rsidR="007B39D8" w:rsidRDefault="007B39D8" w:rsidP="007B39D8">
      <w:pPr>
        <w:tabs>
          <w:tab w:val="num" w:pos="567"/>
        </w:tabs>
        <w:jc w:val="both"/>
        <w:rPr>
          <w:rFonts w:ascii="Arial" w:hAnsi="Arial" w:cs="Arial"/>
          <w:sz w:val="22"/>
          <w:szCs w:val="22"/>
          <w:lang w:val="es-ES_tradnl"/>
        </w:rPr>
      </w:pPr>
    </w:p>
    <w:p w:rsidR="007B39D8" w:rsidRDefault="007B39D8" w:rsidP="007B39D8">
      <w:pPr>
        <w:pStyle w:val="Ttulo3"/>
        <w:numPr>
          <w:ilvl w:val="0"/>
          <w:numId w:val="22"/>
        </w:numPr>
        <w:spacing w:before="0"/>
        <w:ind w:left="426" w:hanging="426"/>
        <w:jc w:val="both"/>
        <w:rPr>
          <w:rFonts w:ascii="Arial" w:eastAsia="Calibri" w:hAnsi="Arial" w:cs="Arial"/>
          <w:b/>
          <w:color w:val="auto"/>
          <w:sz w:val="22"/>
          <w:szCs w:val="22"/>
          <w:lang w:val="es-ES_tradnl" w:eastAsia="en-US"/>
        </w:rPr>
      </w:pPr>
      <w:r>
        <w:rPr>
          <w:rFonts w:ascii="Arial" w:eastAsia="Calibri" w:hAnsi="Arial" w:cs="Arial"/>
          <w:b/>
          <w:color w:val="auto"/>
          <w:sz w:val="22"/>
          <w:szCs w:val="22"/>
          <w:lang w:val="es-ES_tradnl" w:eastAsia="en-US"/>
        </w:rPr>
        <w:t>Gastos administrativos por encima del porcentaje autorizado</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 xml:space="preserve">De acuerdo con lo ordenado por el artículo 31 de la Ley 1176 de 2007, la Nación determinará el monto máximo que pueden destinar las entidades territoriales certificadas en educación para gastos administrativos y lo que supere dicho porcentaje debe ser asumido por la entidad territorial con sus recursos propios. </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Por su parte, el Documento de Distribución del Sistema General de Participaciones – SGP No. 50 de 2020 estableció el monto máximo autorizado para gastos administrativos que pueden sufragarse con la asignación de Educación, y en el cual se indica claramente que los gastos administrativos autorizados para el municipio de Ipiales - Nariño son del 7,9% equivalente a $5.511 millones.</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Al respecto, esta Dirección aclara que el monto límite para gastos administrativos, determinado cada año por la Nación y comunicado mediante los Documentos de Distribución del SGP, se calcula como un porcentaje sobre la asignación anual de prestación de servicios, pero representa el monto máximo a ejecutar por estos conceptos con cargo a la Participación de Educación por parte de las Entidades Territoriales, independientemente de que se cubran con recursos corrientes o de vigencias anteriores de la Participación.</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Teniendo en cuenta lo anterior, se revisó el gasto administrativo de la vigencia 2020 y nuevamente la entidad volvió a superar el porcentaje de gasto administrativo en $206 millones, ya que comprometió $5.717 millones y tenía autorizado gastos por $5.511 millones, por lo tanto, esto configura un hecho sobreviniente. Tal y como se detalla a continuación:</w:t>
      </w:r>
    </w:p>
    <w:p w:rsidR="007B39D8" w:rsidRDefault="007B39D8" w:rsidP="007B39D8">
      <w:pPr>
        <w:jc w:val="both"/>
        <w:rPr>
          <w:rFonts w:ascii="Arial" w:hAnsi="Arial" w:cs="Arial"/>
          <w:bCs/>
          <w:sz w:val="22"/>
          <w:szCs w:val="22"/>
        </w:rPr>
      </w:pPr>
    </w:p>
    <w:tbl>
      <w:tblPr>
        <w:tblW w:w="6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2"/>
        <w:gridCol w:w="1469"/>
      </w:tblGrid>
      <w:tr w:rsidR="007B39D8" w:rsidTr="007B39D8">
        <w:trPr>
          <w:trHeight w:val="20"/>
          <w:jc w:val="center"/>
        </w:trPr>
        <w:tc>
          <w:tcPr>
            <w:tcW w:w="5142"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RUBRO</w:t>
            </w:r>
            <w:r>
              <w:rPr>
                <w:rFonts w:ascii="Arial" w:eastAsia="Times New Roman" w:hAnsi="Arial" w:cs="Arial"/>
                <w:color w:val="000000"/>
                <w:sz w:val="16"/>
                <w:szCs w:val="16"/>
                <w:lang w:val="es-CO" w:eastAsia="es-CO"/>
              </w:rPr>
              <w:t xml:space="preserve"> </w:t>
            </w:r>
          </w:p>
        </w:tc>
        <w:tc>
          <w:tcPr>
            <w:tcW w:w="1469"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7B39D8" w:rsidRDefault="007B39D8">
            <w:pPr>
              <w:spacing w:line="254"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2020</w:t>
            </w:r>
          </w:p>
        </w:tc>
      </w:tr>
      <w:tr w:rsidR="007B39D8" w:rsidTr="007B39D8">
        <w:trPr>
          <w:trHeight w:val="20"/>
          <w:jc w:val="center"/>
        </w:trPr>
        <w:tc>
          <w:tcPr>
            <w:tcW w:w="5142" w:type="dxa"/>
            <w:tcBorders>
              <w:top w:val="single" w:sz="4" w:space="0" w:color="auto"/>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Personal Administrativo de Instituciones Educativas</w:t>
            </w:r>
          </w:p>
        </w:tc>
        <w:tc>
          <w:tcPr>
            <w:tcW w:w="1469" w:type="dxa"/>
            <w:tcBorders>
              <w:top w:val="single" w:sz="4" w:space="0" w:color="auto"/>
              <w:left w:val="single" w:sz="4" w:space="0" w:color="auto"/>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3.360</w:t>
            </w:r>
          </w:p>
        </w:tc>
      </w:tr>
      <w:tr w:rsidR="007B39D8" w:rsidTr="007B39D8">
        <w:trPr>
          <w:trHeight w:val="20"/>
          <w:jc w:val="center"/>
        </w:trPr>
        <w:tc>
          <w:tcPr>
            <w:tcW w:w="5142" w:type="dxa"/>
            <w:tcBorders>
              <w:top w:val="single" w:sz="4" w:space="0" w:color="auto"/>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Personal Administrativo Secretaría de Educación</w:t>
            </w:r>
          </w:p>
        </w:tc>
        <w:tc>
          <w:tcPr>
            <w:tcW w:w="1469" w:type="dxa"/>
            <w:tcBorders>
              <w:top w:val="single" w:sz="4" w:space="0" w:color="auto"/>
              <w:left w:val="single" w:sz="4" w:space="0" w:color="auto"/>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584</w:t>
            </w:r>
          </w:p>
        </w:tc>
      </w:tr>
      <w:tr w:rsidR="007B39D8" w:rsidTr="007B39D8">
        <w:trPr>
          <w:trHeight w:val="20"/>
          <w:jc w:val="center"/>
        </w:trPr>
        <w:tc>
          <w:tcPr>
            <w:tcW w:w="5142" w:type="dxa"/>
            <w:tcBorders>
              <w:top w:val="single" w:sz="4" w:space="0" w:color="auto"/>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Aportes Personal Administrativo de Instituciones Educativas</w:t>
            </w:r>
          </w:p>
        </w:tc>
        <w:tc>
          <w:tcPr>
            <w:tcW w:w="1469" w:type="dxa"/>
            <w:tcBorders>
              <w:top w:val="single" w:sz="4" w:space="0" w:color="auto"/>
              <w:left w:val="single" w:sz="4" w:space="0" w:color="auto"/>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1.187</w:t>
            </w:r>
          </w:p>
        </w:tc>
      </w:tr>
      <w:tr w:rsidR="007B39D8" w:rsidTr="007B39D8">
        <w:trPr>
          <w:trHeight w:val="20"/>
          <w:jc w:val="center"/>
        </w:trPr>
        <w:tc>
          <w:tcPr>
            <w:tcW w:w="5142" w:type="dxa"/>
            <w:tcBorders>
              <w:top w:val="single" w:sz="4" w:space="0" w:color="auto"/>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Aportes Personal Administrativo de Secretaría de Educación</w:t>
            </w:r>
          </w:p>
        </w:tc>
        <w:tc>
          <w:tcPr>
            <w:tcW w:w="1469" w:type="dxa"/>
            <w:tcBorders>
              <w:top w:val="single" w:sz="4" w:space="0" w:color="auto"/>
              <w:left w:val="single" w:sz="4" w:space="0" w:color="auto"/>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186</w:t>
            </w:r>
          </w:p>
        </w:tc>
      </w:tr>
      <w:tr w:rsidR="007B39D8" w:rsidTr="007B39D8">
        <w:trPr>
          <w:trHeight w:val="20"/>
          <w:jc w:val="center"/>
        </w:trPr>
        <w:tc>
          <w:tcPr>
            <w:tcW w:w="5142" w:type="dxa"/>
            <w:tcBorders>
              <w:top w:val="single" w:sz="4" w:space="0" w:color="auto"/>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Gastos Generales</w:t>
            </w:r>
          </w:p>
        </w:tc>
        <w:tc>
          <w:tcPr>
            <w:tcW w:w="1469" w:type="dxa"/>
            <w:tcBorders>
              <w:top w:val="single" w:sz="4" w:space="0" w:color="auto"/>
              <w:left w:val="single" w:sz="4" w:space="0" w:color="auto"/>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91</w:t>
            </w:r>
          </w:p>
        </w:tc>
      </w:tr>
      <w:tr w:rsidR="007B39D8" w:rsidTr="007B39D8">
        <w:trPr>
          <w:trHeight w:val="20"/>
          <w:jc w:val="center"/>
        </w:trPr>
        <w:tc>
          <w:tcPr>
            <w:tcW w:w="5142" w:type="dxa"/>
            <w:tcBorders>
              <w:top w:val="single" w:sz="4" w:space="0" w:color="auto"/>
              <w:left w:val="single" w:sz="4" w:space="0" w:color="auto"/>
              <w:bottom w:val="single" w:sz="4" w:space="0" w:color="auto"/>
              <w:right w:val="single" w:sz="4" w:space="0" w:color="auto"/>
            </w:tcBorders>
            <w:vAlign w:val="center"/>
            <w:hideMark/>
          </w:tcPr>
          <w:p w:rsidR="007B39D8" w:rsidRDefault="007B39D8">
            <w:pPr>
              <w:spacing w:line="254"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Contratos Aseo y Vigilancia</w:t>
            </w:r>
          </w:p>
        </w:tc>
        <w:tc>
          <w:tcPr>
            <w:tcW w:w="1469" w:type="dxa"/>
            <w:tcBorders>
              <w:top w:val="single" w:sz="4" w:space="0" w:color="auto"/>
              <w:left w:val="single" w:sz="4" w:space="0" w:color="auto"/>
              <w:bottom w:val="single" w:sz="4" w:space="0" w:color="auto"/>
              <w:right w:val="single" w:sz="4" w:space="0" w:color="auto"/>
            </w:tcBorders>
            <w:noWrap/>
            <w:vAlign w:val="center"/>
            <w:hideMark/>
          </w:tcPr>
          <w:p w:rsidR="007B39D8" w:rsidRDefault="007B39D8">
            <w:pPr>
              <w:spacing w:line="254"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309</w:t>
            </w:r>
          </w:p>
        </w:tc>
      </w:tr>
      <w:tr w:rsidR="007B39D8" w:rsidTr="007B39D8">
        <w:trPr>
          <w:trHeight w:val="20"/>
          <w:jc w:val="center"/>
        </w:trPr>
        <w:tc>
          <w:tcPr>
            <w:tcW w:w="5142"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TOTAL</w:t>
            </w:r>
          </w:p>
        </w:tc>
        <w:tc>
          <w:tcPr>
            <w:tcW w:w="1469"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5.717 </w:t>
            </w:r>
          </w:p>
        </w:tc>
      </w:tr>
      <w:tr w:rsidR="007B39D8" w:rsidTr="007B39D8">
        <w:trPr>
          <w:trHeight w:val="20"/>
          <w:jc w:val="center"/>
        </w:trPr>
        <w:tc>
          <w:tcPr>
            <w:tcW w:w="5142"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AUTORIZADO POR DOCUMENTO DE DISTRIBUCIÓN</w:t>
            </w:r>
          </w:p>
        </w:tc>
        <w:tc>
          <w:tcPr>
            <w:tcW w:w="1469"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5.511 </w:t>
            </w:r>
          </w:p>
        </w:tc>
      </w:tr>
      <w:tr w:rsidR="007B39D8" w:rsidTr="007B39D8">
        <w:trPr>
          <w:trHeight w:val="20"/>
          <w:jc w:val="center"/>
        </w:trPr>
        <w:tc>
          <w:tcPr>
            <w:tcW w:w="5142"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DIFERENCIA</w:t>
            </w:r>
          </w:p>
        </w:tc>
        <w:tc>
          <w:tcPr>
            <w:tcW w:w="1469"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7B39D8" w:rsidRDefault="007B39D8">
            <w:pPr>
              <w:spacing w:line="254" w:lineRule="auto"/>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- 206 </w:t>
            </w:r>
          </w:p>
        </w:tc>
      </w:tr>
    </w:tbl>
    <w:p w:rsidR="007B39D8" w:rsidRDefault="007B39D8" w:rsidP="007B39D8">
      <w:pPr>
        <w:jc w:val="both"/>
        <w:rPr>
          <w:rFonts w:ascii="Arial" w:hAnsi="Arial" w:cs="Arial"/>
          <w:bCs/>
          <w:sz w:val="22"/>
          <w:szCs w:val="22"/>
        </w:rPr>
      </w:pPr>
    </w:p>
    <w:p w:rsidR="007B39D8" w:rsidRDefault="007B39D8" w:rsidP="007B39D8">
      <w:pPr>
        <w:pStyle w:val="Ttulo3"/>
        <w:numPr>
          <w:ilvl w:val="0"/>
          <w:numId w:val="22"/>
        </w:numPr>
        <w:spacing w:before="0"/>
        <w:ind w:left="426" w:hanging="426"/>
        <w:jc w:val="both"/>
        <w:rPr>
          <w:rFonts w:ascii="Arial" w:eastAsia="Calibri" w:hAnsi="Arial" w:cs="Arial"/>
          <w:b/>
          <w:color w:val="auto"/>
          <w:sz w:val="22"/>
          <w:szCs w:val="22"/>
          <w:lang w:val="es-ES_tradnl" w:eastAsia="en-US"/>
        </w:rPr>
      </w:pPr>
      <w:r>
        <w:rPr>
          <w:rFonts w:ascii="Arial" w:eastAsia="Calibri" w:hAnsi="Arial" w:cs="Arial"/>
          <w:b/>
          <w:color w:val="auto"/>
          <w:sz w:val="22"/>
          <w:szCs w:val="22"/>
          <w:lang w:val="es-ES_tradnl" w:eastAsia="en-US"/>
        </w:rPr>
        <w:t>Pago de horas extras de vigencia 2019 con recursos SGP de la vigencia 2020:</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 xml:space="preserve">En el anterior seguimiento se identificó que la Entidad Territorial pagó en 2020 con recursos del Sistema General de Participaciones horas extras de la vigencia 2019, por lo que se le solicitó evidencia de estos pagos y la entidad remitió las Resoluciones No. 0087 del 27 de enero de 2020 y No. 0088 del 24 de febrero de 2020, por medio de las cuales se autorizó el pago de unas horas extras dejadas de cancelar en las nóminas correspondientes. </w:t>
      </w:r>
    </w:p>
    <w:p w:rsidR="007B39D8" w:rsidRDefault="007B39D8" w:rsidP="007B39D8">
      <w:pPr>
        <w:jc w:val="both"/>
        <w:rPr>
          <w:rFonts w:ascii="Arial" w:hAnsi="Arial" w:cs="Arial"/>
          <w:bCs/>
          <w:sz w:val="22"/>
          <w:szCs w:val="22"/>
        </w:rPr>
      </w:pPr>
      <w:r>
        <w:rPr>
          <w:rFonts w:ascii="Arial" w:hAnsi="Arial" w:cs="Arial"/>
          <w:bCs/>
          <w:sz w:val="22"/>
          <w:szCs w:val="22"/>
        </w:rPr>
        <w:t xml:space="preserve"> </w:t>
      </w:r>
    </w:p>
    <w:p w:rsidR="007B39D8" w:rsidRDefault="007B39D8" w:rsidP="007B39D8">
      <w:pPr>
        <w:jc w:val="both"/>
        <w:rPr>
          <w:rFonts w:ascii="Arial" w:hAnsi="Arial" w:cs="Arial"/>
          <w:bCs/>
          <w:sz w:val="22"/>
          <w:szCs w:val="22"/>
        </w:rPr>
      </w:pPr>
      <w:r>
        <w:rPr>
          <w:rFonts w:ascii="Arial" w:hAnsi="Arial" w:cs="Arial"/>
          <w:bCs/>
          <w:sz w:val="22"/>
          <w:szCs w:val="22"/>
        </w:rPr>
        <w:t>Por medio de la Resolución 0087 del 27 de enero de 2020 se autorizó el pago de horas extras dejadas de pagar para los meses de agosto, septiembre, octubre, noviembre y diciembre de 2019, al personal relacionado en dicha resolución, por un valor de $14.969.876 para docentes y de $14.929.352 para administrativos.</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Por medio de la Resolución No. 0088 del 24 de febrero de 2020 se autorizó el pago de horas extras pendientes por cancelar de los meses de agosto, septiembre, octubre, noviembre y diciembre de 2019 al personal activo e inactivo relacionado en dicha resolución por un valor de $2.751.465 para docentes, de $21.543.023 para administrativos y de $6.220.979 para administrativos inactivos.</w:t>
      </w:r>
    </w:p>
    <w:p w:rsidR="007B39D8" w:rsidRDefault="007B39D8" w:rsidP="007B39D8">
      <w:pPr>
        <w:jc w:val="both"/>
        <w:rPr>
          <w:rFonts w:ascii="Arial" w:hAnsi="Arial" w:cs="Arial"/>
          <w:bCs/>
          <w:sz w:val="22"/>
          <w:szCs w:val="22"/>
        </w:rPr>
      </w:pPr>
    </w:p>
    <w:tbl>
      <w:tblPr>
        <w:tblW w:w="5000" w:type="pct"/>
        <w:jc w:val="center"/>
        <w:tblCellMar>
          <w:left w:w="70" w:type="dxa"/>
          <w:right w:w="70" w:type="dxa"/>
        </w:tblCellMar>
        <w:tblLook w:val="04A0" w:firstRow="1" w:lastRow="0" w:firstColumn="1" w:lastColumn="0" w:noHBand="0" w:noVBand="1"/>
      </w:tblPr>
      <w:tblGrid>
        <w:gridCol w:w="3268"/>
        <w:gridCol w:w="3983"/>
        <w:gridCol w:w="1577"/>
      </w:tblGrid>
      <w:tr w:rsidR="007B39D8" w:rsidTr="007B39D8">
        <w:trPr>
          <w:trHeight w:val="20"/>
          <w:tblHeader/>
          <w:jc w:val="center"/>
        </w:trPr>
        <w:tc>
          <w:tcPr>
            <w:tcW w:w="1851" w:type="pct"/>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Acto administrativo </w:t>
            </w:r>
          </w:p>
        </w:tc>
        <w:tc>
          <w:tcPr>
            <w:tcW w:w="2256" w:type="pct"/>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Cargo</w:t>
            </w:r>
          </w:p>
        </w:tc>
        <w:tc>
          <w:tcPr>
            <w:tcW w:w="893" w:type="pct"/>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Valor</w:t>
            </w:r>
          </w:p>
        </w:tc>
      </w:tr>
      <w:tr w:rsidR="007B39D8" w:rsidTr="007B39D8">
        <w:trPr>
          <w:trHeight w:val="20"/>
          <w:jc w:val="center"/>
        </w:trPr>
        <w:tc>
          <w:tcPr>
            <w:tcW w:w="1851" w:type="pct"/>
            <w:vMerge w:val="restart"/>
            <w:tcBorders>
              <w:top w:val="nil"/>
              <w:left w:val="single" w:sz="4" w:space="0" w:color="auto"/>
              <w:bottom w:val="single" w:sz="4" w:space="0" w:color="auto"/>
              <w:right w:val="single" w:sz="4" w:space="0" w:color="auto"/>
            </w:tcBorders>
            <w:vAlign w:val="center"/>
            <w:hideMark/>
          </w:tcPr>
          <w:p w:rsidR="007B39D8" w:rsidRDefault="007B39D8">
            <w:pPr>
              <w:spacing w:line="254"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087 del 27 de enero de 2020</w:t>
            </w:r>
          </w:p>
        </w:tc>
        <w:tc>
          <w:tcPr>
            <w:tcW w:w="2256" w:type="pct"/>
            <w:tcBorders>
              <w:top w:val="nil"/>
              <w:left w:val="nil"/>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Docentes</w:t>
            </w:r>
          </w:p>
        </w:tc>
        <w:tc>
          <w:tcPr>
            <w:tcW w:w="893" w:type="pct"/>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14.969.876</w:t>
            </w:r>
          </w:p>
        </w:tc>
      </w:tr>
      <w:tr w:rsidR="007B39D8" w:rsidTr="007B39D8">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7B39D8" w:rsidRDefault="007B39D8">
            <w:pPr>
              <w:rPr>
                <w:rFonts w:ascii="Arial" w:eastAsia="Times New Roman" w:hAnsi="Arial" w:cs="Arial"/>
                <w:color w:val="000000"/>
                <w:sz w:val="18"/>
                <w:szCs w:val="18"/>
                <w:lang w:val="es-CO" w:eastAsia="es-CO"/>
              </w:rPr>
            </w:pPr>
          </w:p>
        </w:tc>
        <w:tc>
          <w:tcPr>
            <w:tcW w:w="2256" w:type="pct"/>
            <w:tcBorders>
              <w:top w:val="nil"/>
              <w:left w:val="nil"/>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Administrativos</w:t>
            </w:r>
          </w:p>
        </w:tc>
        <w:tc>
          <w:tcPr>
            <w:tcW w:w="893" w:type="pct"/>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14.929.352</w:t>
            </w:r>
          </w:p>
        </w:tc>
      </w:tr>
      <w:tr w:rsidR="007B39D8" w:rsidTr="007B39D8">
        <w:trPr>
          <w:trHeight w:val="20"/>
          <w:jc w:val="center"/>
        </w:trPr>
        <w:tc>
          <w:tcPr>
            <w:tcW w:w="4107" w:type="pct"/>
            <w:gridSpan w:val="2"/>
            <w:tcBorders>
              <w:top w:val="single" w:sz="4" w:space="0" w:color="auto"/>
              <w:left w:val="single" w:sz="8" w:space="0" w:color="auto"/>
              <w:bottom w:val="single" w:sz="8" w:space="0" w:color="auto"/>
              <w:right w:val="single" w:sz="8" w:space="0" w:color="000000"/>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Total Resolución 087:</w:t>
            </w:r>
          </w:p>
        </w:tc>
        <w:tc>
          <w:tcPr>
            <w:tcW w:w="893"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right"/>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 29.899.228 </w:t>
            </w:r>
          </w:p>
        </w:tc>
      </w:tr>
      <w:tr w:rsidR="007B39D8" w:rsidTr="007B39D8">
        <w:trPr>
          <w:trHeight w:val="20"/>
          <w:jc w:val="center"/>
        </w:trPr>
        <w:tc>
          <w:tcPr>
            <w:tcW w:w="1851" w:type="pct"/>
            <w:vMerge w:val="restart"/>
            <w:tcBorders>
              <w:top w:val="single" w:sz="4" w:space="0" w:color="auto"/>
              <w:left w:val="single" w:sz="4" w:space="0" w:color="auto"/>
              <w:bottom w:val="single" w:sz="4" w:space="0" w:color="auto"/>
              <w:right w:val="single" w:sz="4" w:space="0" w:color="auto"/>
            </w:tcBorders>
            <w:vAlign w:val="center"/>
            <w:hideMark/>
          </w:tcPr>
          <w:p w:rsidR="007B39D8" w:rsidRDefault="007B39D8">
            <w:pPr>
              <w:spacing w:line="254"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088 del 24 de febrero de 2020</w:t>
            </w:r>
          </w:p>
        </w:tc>
        <w:tc>
          <w:tcPr>
            <w:tcW w:w="2256" w:type="pct"/>
            <w:tcBorders>
              <w:top w:val="single" w:sz="4" w:space="0" w:color="auto"/>
              <w:left w:val="nil"/>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Docentes</w:t>
            </w:r>
          </w:p>
        </w:tc>
        <w:tc>
          <w:tcPr>
            <w:tcW w:w="893" w:type="pct"/>
            <w:tcBorders>
              <w:top w:val="single" w:sz="4" w:space="0" w:color="auto"/>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2.751.465</w:t>
            </w:r>
          </w:p>
        </w:tc>
      </w:tr>
      <w:tr w:rsidR="007B39D8" w:rsidTr="007B39D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39D8" w:rsidRDefault="007B39D8">
            <w:pPr>
              <w:rPr>
                <w:rFonts w:ascii="Arial" w:eastAsia="Times New Roman" w:hAnsi="Arial" w:cs="Arial"/>
                <w:color w:val="000000"/>
                <w:sz w:val="18"/>
                <w:szCs w:val="18"/>
                <w:lang w:val="es-CO" w:eastAsia="es-CO"/>
              </w:rPr>
            </w:pPr>
          </w:p>
        </w:tc>
        <w:tc>
          <w:tcPr>
            <w:tcW w:w="2256" w:type="pct"/>
            <w:tcBorders>
              <w:top w:val="nil"/>
              <w:left w:val="nil"/>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Administrativos </w:t>
            </w:r>
          </w:p>
        </w:tc>
        <w:tc>
          <w:tcPr>
            <w:tcW w:w="893" w:type="pct"/>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21.543.023</w:t>
            </w:r>
          </w:p>
        </w:tc>
      </w:tr>
      <w:tr w:rsidR="007B39D8" w:rsidTr="007B39D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39D8" w:rsidRDefault="007B39D8">
            <w:pPr>
              <w:rPr>
                <w:rFonts w:ascii="Arial" w:eastAsia="Times New Roman" w:hAnsi="Arial" w:cs="Arial"/>
                <w:color w:val="000000"/>
                <w:sz w:val="18"/>
                <w:szCs w:val="18"/>
                <w:lang w:val="es-CO" w:eastAsia="es-CO"/>
              </w:rPr>
            </w:pPr>
          </w:p>
        </w:tc>
        <w:tc>
          <w:tcPr>
            <w:tcW w:w="2256" w:type="pct"/>
            <w:tcBorders>
              <w:top w:val="nil"/>
              <w:left w:val="nil"/>
              <w:bottom w:val="single" w:sz="4" w:space="0" w:color="auto"/>
              <w:right w:val="single" w:sz="4" w:space="0" w:color="auto"/>
            </w:tcBorders>
            <w:noWrap/>
            <w:vAlign w:val="bottom"/>
            <w:hideMark/>
          </w:tcPr>
          <w:p w:rsidR="007B39D8" w:rsidRDefault="007B39D8">
            <w:pPr>
              <w:spacing w:line="254"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Administrativos Inactivos</w:t>
            </w:r>
          </w:p>
        </w:tc>
        <w:tc>
          <w:tcPr>
            <w:tcW w:w="893" w:type="pct"/>
            <w:tcBorders>
              <w:top w:val="nil"/>
              <w:left w:val="nil"/>
              <w:bottom w:val="single" w:sz="4" w:space="0" w:color="auto"/>
              <w:right w:val="single" w:sz="4" w:space="0" w:color="auto"/>
            </w:tcBorders>
            <w:noWrap/>
            <w:vAlign w:val="bottom"/>
            <w:hideMark/>
          </w:tcPr>
          <w:p w:rsidR="007B39D8" w:rsidRDefault="007B39D8">
            <w:pPr>
              <w:spacing w:line="254"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6.220.979</w:t>
            </w:r>
          </w:p>
        </w:tc>
      </w:tr>
      <w:tr w:rsidR="007B39D8" w:rsidTr="007B39D8">
        <w:trPr>
          <w:trHeight w:val="20"/>
          <w:jc w:val="center"/>
        </w:trPr>
        <w:tc>
          <w:tcPr>
            <w:tcW w:w="4107" w:type="pct"/>
            <w:gridSpan w:val="2"/>
            <w:tcBorders>
              <w:top w:val="single" w:sz="4" w:space="0" w:color="auto"/>
              <w:left w:val="single" w:sz="8" w:space="0" w:color="auto"/>
              <w:bottom w:val="single" w:sz="8" w:space="0" w:color="auto"/>
              <w:right w:val="single" w:sz="8" w:space="0" w:color="000000"/>
            </w:tcBorders>
            <w:shd w:val="clear" w:color="auto" w:fill="95B3D7" w:themeFill="accent1" w:themeFillTint="99"/>
            <w:noWrap/>
            <w:vAlign w:val="center"/>
            <w:hideMark/>
          </w:tcPr>
          <w:p w:rsidR="007B39D8" w:rsidRDefault="007B39D8">
            <w:pPr>
              <w:spacing w:line="254"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Total Resolución 088:</w:t>
            </w:r>
          </w:p>
        </w:tc>
        <w:tc>
          <w:tcPr>
            <w:tcW w:w="893" w:type="pct"/>
            <w:tcBorders>
              <w:top w:val="nil"/>
              <w:left w:val="nil"/>
              <w:bottom w:val="single" w:sz="8" w:space="0" w:color="auto"/>
              <w:right w:val="single" w:sz="8" w:space="0" w:color="auto"/>
            </w:tcBorders>
            <w:shd w:val="clear" w:color="auto" w:fill="95B3D7" w:themeFill="accent1" w:themeFillTint="99"/>
            <w:noWrap/>
            <w:vAlign w:val="center"/>
            <w:hideMark/>
          </w:tcPr>
          <w:p w:rsidR="007B39D8" w:rsidRDefault="007B39D8">
            <w:pPr>
              <w:spacing w:line="254" w:lineRule="auto"/>
              <w:jc w:val="right"/>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 30.515.467 </w:t>
            </w:r>
          </w:p>
        </w:tc>
      </w:tr>
      <w:tr w:rsidR="007B39D8" w:rsidTr="007B39D8">
        <w:trPr>
          <w:trHeight w:val="20"/>
          <w:jc w:val="center"/>
        </w:trPr>
        <w:tc>
          <w:tcPr>
            <w:tcW w:w="4107" w:type="pct"/>
            <w:gridSpan w:val="2"/>
            <w:tcBorders>
              <w:top w:val="single" w:sz="8" w:space="0" w:color="auto"/>
              <w:left w:val="single" w:sz="4" w:space="0" w:color="auto"/>
              <w:bottom w:val="single" w:sz="4" w:space="0" w:color="auto"/>
              <w:right w:val="single" w:sz="4" w:space="0" w:color="000000"/>
            </w:tcBorders>
            <w:shd w:val="clear" w:color="auto" w:fill="244061" w:themeFill="accent1" w:themeFillShade="80"/>
            <w:noWrap/>
            <w:vAlign w:val="center"/>
            <w:hideMark/>
          </w:tcPr>
          <w:p w:rsidR="007B39D8" w:rsidRDefault="007B39D8">
            <w:pPr>
              <w:spacing w:line="254"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Total</w:t>
            </w:r>
          </w:p>
        </w:tc>
        <w:tc>
          <w:tcPr>
            <w:tcW w:w="893" w:type="pct"/>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B39D8" w:rsidRDefault="007B39D8">
            <w:pPr>
              <w:spacing w:line="254" w:lineRule="auto"/>
              <w:jc w:val="right"/>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 60.414.695 </w:t>
            </w:r>
          </w:p>
        </w:tc>
      </w:tr>
    </w:tbl>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 xml:space="preserve">Por lo anterior, la Entidad autorizó el pago de $60.414.695 del SGP educación que debía restituir al sector con recursos propios, dado que durante la vigencia 2019 se le asignaron los recursos necesarios para cubrir el total de la nómina. </w:t>
      </w:r>
    </w:p>
    <w:p w:rsidR="007B39D8" w:rsidRDefault="007B39D8" w:rsidP="007B39D8">
      <w:pPr>
        <w:jc w:val="both"/>
        <w:rPr>
          <w:rFonts w:ascii="Arial" w:hAnsi="Arial" w:cs="Arial"/>
          <w:b/>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 xml:space="preserve">Para el presente seguimiento se le solicitó a la entidad información que diera cuenta de la restitución con recursos propios y envió una relación de contratos de prestación de servicios en la secretaría de Educación por $131 millones suscritos en 2020, es decir en la misma </w:t>
      </w:r>
      <w:r>
        <w:rPr>
          <w:rFonts w:ascii="Arial" w:hAnsi="Arial" w:cs="Arial"/>
          <w:bCs/>
          <w:sz w:val="22"/>
          <w:szCs w:val="22"/>
        </w:rPr>
        <w:lastRenderedPageBreak/>
        <w:t>vigencia en la que se realizó el cambio en la destinación de recursos corrientes del SGP – educación.</w:t>
      </w:r>
    </w:p>
    <w:p w:rsidR="007B39D8" w:rsidRDefault="007B39D8" w:rsidP="007B39D8">
      <w:pPr>
        <w:jc w:val="both"/>
        <w:rPr>
          <w:rFonts w:ascii="Arial" w:hAnsi="Arial" w:cs="Arial"/>
          <w:bCs/>
          <w:sz w:val="22"/>
          <w:szCs w:val="22"/>
        </w:rPr>
      </w:pPr>
    </w:p>
    <w:p w:rsidR="007B39D8" w:rsidRDefault="007B39D8" w:rsidP="007B39D8">
      <w:pPr>
        <w:jc w:val="both"/>
        <w:rPr>
          <w:rFonts w:ascii="Arial" w:hAnsi="Arial" w:cs="Arial"/>
          <w:bCs/>
          <w:sz w:val="22"/>
          <w:szCs w:val="22"/>
        </w:rPr>
      </w:pPr>
      <w:r>
        <w:rPr>
          <w:rFonts w:ascii="Arial" w:hAnsi="Arial" w:cs="Arial"/>
          <w:bCs/>
          <w:sz w:val="22"/>
          <w:szCs w:val="22"/>
        </w:rPr>
        <w:t>Por lo tanto, si la entidad contaba con recursos propios para amparar las horas extras de la vigencia 2019, debió haber realizado un movimiento presupuestal de manera que hiciera uso de sus recursos propios y no de los recursos del SGP de la vigencia los cuales estaban destinados para el pago de la nómina, lo que contribuyó a que al final de la vigencia quedara un déficit con recursos del SGP.</w:t>
      </w:r>
    </w:p>
    <w:p w:rsidR="007B39D8" w:rsidRDefault="007B39D8" w:rsidP="007B39D8">
      <w:pPr>
        <w:jc w:val="both"/>
        <w:rPr>
          <w:rFonts w:ascii="Arial" w:hAnsi="Arial" w:cs="Arial"/>
          <w:bCs/>
          <w:sz w:val="22"/>
          <w:szCs w:val="22"/>
        </w:rPr>
      </w:pPr>
    </w:p>
    <w:p w:rsidR="007B39D8" w:rsidRDefault="007B39D8" w:rsidP="007B39D8">
      <w:pPr>
        <w:pStyle w:val="Ttulo3"/>
        <w:numPr>
          <w:ilvl w:val="0"/>
          <w:numId w:val="22"/>
        </w:numPr>
        <w:spacing w:before="0"/>
        <w:ind w:left="426" w:hanging="426"/>
        <w:jc w:val="both"/>
        <w:rPr>
          <w:rFonts w:ascii="Arial" w:eastAsia="Calibri" w:hAnsi="Arial" w:cs="Arial"/>
          <w:b/>
          <w:color w:val="auto"/>
          <w:sz w:val="22"/>
          <w:szCs w:val="22"/>
          <w:lang w:val="es-ES_tradnl" w:eastAsia="en-US"/>
        </w:rPr>
      </w:pPr>
      <w:r>
        <w:rPr>
          <w:rFonts w:ascii="Arial" w:eastAsia="Calibri" w:hAnsi="Arial" w:cs="Arial"/>
          <w:b/>
          <w:color w:val="auto"/>
          <w:sz w:val="22"/>
          <w:szCs w:val="22"/>
          <w:lang w:val="es-ES_tradnl" w:eastAsia="en-US"/>
        </w:rPr>
        <w:t>Reintegro de recursos del SGP en cuentas diferentes a las Cuentas Maestras</w:t>
      </w:r>
    </w:p>
    <w:p w:rsidR="007B39D8" w:rsidRDefault="007B39D8" w:rsidP="007B39D8">
      <w:pPr>
        <w:rPr>
          <w:sz w:val="22"/>
          <w:szCs w:val="22"/>
          <w:lang w:val="es-ES_tradnl" w:eastAsia="en-US"/>
        </w:rPr>
      </w:pPr>
    </w:p>
    <w:p w:rsidR="00E40689" w:rsidRDefault="007B39D8" w:rsidP="007B39D8">
      <w:pPr>
        <w:jc w:val="both"/>
        <w:rPr>
          <w:rFonts w:ascii="Arial" w:hAnsi="Arial" w:cs="Arial"/>
          <w:sz w:val="22"/>
          <w:szCs w:val="22"/>
        </w:rPr>
      </w:pPr>
      <w:r>
        <w:rPr>
          <w:rFonts w:ascii="Arial" w:hAnsi="Arial" w:cs="Arial"/>
          <w:sz w:val="22"/>
          <w:szCs w:val="22"/>
        </w:rPr>
        <w:t>En el presente seguimiento se había identificado que la entidad estaba re</w:t>
      </w:r>
      <w:r w:rsidR="00E40689">
        <w:rPr>
          <w:rFonts w:ascii="Arial" w:hAnsi="Arial" w:cs="Arial"/>
          <w:sz w:val="22"/>
          <w:szCs w:val="22"/>
        </w:rPr>
        <w:t xml:space="preserve">caudando </w:t>
      </w:r>
      <w:r>
        <w:rPr>
          <w:rFonts w:ascii="Arial" w:hAnsi="Arial" w:cs="Arial"/>
          <w:sz w:val="22"/>
          <w:szCs w:val="22"/>
        </w:rPr>
        <w:t xml:space="preserve">los </w:t>
      </w:r>
      <w:r w:rsidR="00E40689">
        <w:rPr>
          <w:rFonts w:ascii="Arial" w:hAnsi="Arial" w:cs="Arial"/>
          <w:sz w:val="22"/>
          <w:szCs w:val="22"/>
        </w:rPr>
        <w:t xml:space="preserve">reintegros por concepto de </w:t>
      </w:r>
      <w:r>
        <w:rPr>
          <w:rFonts w:ascii="Arial" w:hAnsi="Arial" w:cs="Arial"/>
          <w:sz w:val="22"/>
          <w:szCs w:val="22"/>
        </w:rPr>
        <w:t>pagos dobles de la nómina</w:t>
      </w:r>
      <w:r w:rsidR="00E40689">
        <w:rPr>
          <w:rFonts w:ascii="Arial" w:hAnsi="Arial" w:cs="Arial"/>
          <w:sz w:val="22"/>
          <w:szCs w:val="22"/>
        </w:rPr>
        <w:t>,</w:t>
      </w:r>
      <w:r>
        <w:rPr>
          <w:rFonts w:ascii="Arial" w:hAnsi="Arial" w:cs="Arial"/>
          <w:sz w:val="22"/>
          <w:szCs w:val="22"/>
        </w:rPr>
        <w:t xml:space="preserve"> que se hicieron en vigencias anteriores</w:t>
      </w:r>
      <w:r w:rsidR="00E40689">
        <w:rPr>
          <w:rFonts w:ascii="Arial" w:hAnsi="Arial" w:cs="Arial"/>
          <w:sz w:val="22"/>
          <w:szCs w:val="22"/>
        </w:rPr>
        <w:t>,</w:t>
      </w:r>
      <w:r>
        <w:rPr>
          <w:rFonts w:ascii="Arial" w:hAnsi="Arial" w:cs="Arial"/>
          <w:sz w:val="22"/>
          <w:szCs w:val="22"/>
        </w:rPr>
        <w:t xml:space="preserve"> mediante consignaciones a una cuenta que </w:t>
      </w:r>
      <w:proofErr w:type="spellStart"/>
      <w:r>
        <w:rPr>
          <w:rFonts w:ascii="Arial" w:hAnsi="Arial" w:cs="Arial"/>
          <w:sz w:val="22"/>
          <w:szCs w:val="22"/>
        </w:rPr>
        <w:t>aperturaron</w:t>
      </w:r>
      <w:proofErr w:type="spellEnd"/>
      <w:r>
        <w:rPr>
          <w:rFonts w:ascii="Arial" w:hAnsi="Arial" w:cs="Arial"/>
          <w:sz w:val="22"/>
          <w:szCs w:val="22"/>
        </w:rPr>
        <w:t xml:space="preserve"> para </w:t>
      </w:r>
      <w:r w:rsidR="00E40689">
        <w:rPr>
          <w:rFonts w:ascii="Arial" w:hAnsi="Arial" w:cs="Arial"/>
          <w:sz w:val="22"/>
          <w:szCs w:val="22"/>
        </w:rPr>
        <w:t>este fin (</w:t>
      </w:r>
      <w:r>
        <w:rPr>
          <w:rFonts w:ascii="Arial" w:hAnsi="Arial" w:cs="Arial"/>
          <w:sz w:val="22"/>
          <w:szCs w:val="22"/>
        </w:rPr>
        <w:t>cuenta</w:t>
      </w:r>
      <w:r w:rsidR="003B5207">
        <w:rPr>
          <w:rFonts w:ascii="Arial" w:hAnsi="Arial" w:cs="Arial"/>
          <w:sz w:val="22"/>
          <w:szCs w:val="22"/>
        </w:rPr>
        <w:t xml:space="preserve"> </w:t>
      </w:r>
      <w:r>
        <w:rPr>
          <w:rFonts w:ascii="Arial" w:hAnsi="Arial" w:cs="Arial"/>
          <w:sz w:val="22"/>
          <w:szCs w:val="22"/>
        </w:rPr>
        <w:t>No. 346000128733 de Davivienda</w:t>
      </w:r>
      <w:r w:rsidR="00E40689">
        <w:rPr>
          <w:rFonts w:ascii="Arial" w:hAnsi="Arial" w:cs="Arial"/>
          <w:sz w:val="22"/>
          <w:szCs w:val="22"/>
        </w:rPr>
        <w:t>)</w:t>
      </w:r>
      <w:r>
        <w:rPr>
          <w:rFonts w:ascii="Arial" w:hAnsi="Arial" w:cs="Arial"/>
          <w:sz w:val="22"/>
          <w:szCs w:val="22"/>
        </w:rPr>
        <w:t xml:space="preserve">, que a 31 de diciembre de 2020 </w:t>
      </w:r>
      <w:r w:rsidR="00E40689">
        <w:rPr>
          <w:rFonts w:ascii="Arial" w:hAnsi="Arial" w:cs="Arial"/>
          <w:sz w:val="22"/>
          <w:szCs w:val="22"/>
        </w:rPr>
        <w:t xml:space="preserve">contaba con </w:t>
      </w:r>
      <w:r>
        <w:rPr>
          <w:rFonts w:ascii="Arial" w:hAnsi="Arial" w:cs="Arial"/>
          <w:sz w:val="22"/>
          <w:szCs w:val="22"/>
        </w:rPr>
        <w:t>un saldo de $55 millones y a marzo de 2021 se observa una transferencia de $54 millones a la cuenta No. 0445015993 del banco BBVA la cual corresponde a la cuenta maestra de nómina</w:t>
      </w:r>
      <w:r w:rsidR="00E40689">
        <w:rPr>
          <w:rFonts w:ascii="Arial" w:hAnsi="Arial" w:cs="Arial"/>
          <w:sz w:val="22"/>
          <w:szCs w:val="22"/>
        </w:rPr>
        <w:t xml:space="preserve">. </w:t>
      </w:r>
    </w:p>
    <w:p w:rsidR="00E40689" w:rsidRDefault="00E40689" w:rsidP="007B39D8">
      <w:pPr>
        <w:jc w:val="both"/>
        <w:rPr>
          <w:rFonts w:ascii="Arial" w:hAnsi="Arial" w:cs="Arial"/>
          <w:sz w:val="22"/>
          <w:szCs w:val="22"/>
        </w:rPr>
      </w:pPr>
    </w:p>
    <w:p w:rsidR="007B39D8" w:rsidRDefault="00E40689" w:rsidP="007B39D8">
      <w:pPr>
        <w:jc w:val="both"/>
        <w:rPr>
          <w:rFonts w:ascii="Arial" w:hAnsi="Arial" w:cs="Arial"/>
          <w:sz w:val="22"/>
          <w:szCs w:val="22"/>
        </w:rPr>
      </w:pPr>
      <w:r>
        <w:rPr>
          <w:rFonts w:ascii="Arial" w:hAnsi="Arial" w:cs="Arial"/>
          <w:sz w:val="22"/>
          <w:szCs w:val="22"/>
        </w:rPr>
        <w:t xml:space="preserve">Esta actuación difiere de los lineamientos definidos en la Resolución 12829 del 30 de junio de 2021 para </w:t>
      </w:r>
      <w:r w:rsidR="007B39D8">
        <w:rPr>
          <w:rFonts w:ascii="Arial" w:hAnsi="Arial" w:cs="Arial"/>
          <w:sz w:val="22"/>
          <w:szCs w:val="22"/>
        </w:rPr>
        <w:t xml:space="preserve">el manejo de los recursos del Sistema General de Participaciones en cuentas maestras, pues dichos recursos debieron ser reintegrados </w:t>
      </w:r>
      <w:r>
        <w:rPr>
          <w:rFonts w:ascii="Arial" w:hAnsi="Arial" w:cs="Arial"/>
          <w:sz w:val="22"/>
          <w:szCs w:val="22"/>
        </w:rPr>
        <w:t xml:space="preserve">directamente </w:t>
      </w:r>
      <w:r w:rsidR="007B39D8">
        <w:rPr>
          <w:rFonts w:ascii="Arial" w:hAnsi="Arial" w:cs="Arial"/>
          <w:sz w:val="22"/>
          <w:szCs w:val="22"/>
        </w:rPr>
        <w:t xml:space="preserve">por los docentes mediante transferencia electrónica desde la cuenta inscrita como beneficiaria hacia la cuenta maestra de nómina. </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hAnsi="Arial" w:cs="Arial"/>
          <w:sz w:val="22"/>
          <w:szCs w:val="22"/>
        </w:rPr>
        <w:t xml:space="preserve">Por lo anterior, se recomendó que se cancelara </w:t>
      </w:r>
      <w:r w:rsidR="00E40689">
        <w:rPr>
          <w:rFonts w:ascii="Arial" w:hAnsi="Arial" w:cs="Arial"/>
          <w:sz w:val="22"/>
          <w:szCs w:val="22"/>
        </w:rPr>
        <w:t xml:space="preserve">la </w:t>
      </w:r>
      <w:r>
        <w:rPr>
          <w:rFonts w:ascii="Arial" w:hAnsi="Arial" w:cs="Arial"/>
          <w:sz w:val="22"/>
          <w:szCs w:val="22"/>
        </w:rPr>
        <w:t xml:space="preserve">cuenta </w:t>
      </w:r>
      <w:r w:rsidR="00E40689">
        <w:rPr>
          <w:rFonts w:ascii="Arial" w:hAnsi="Arial" w:cs="Arial"/>
          <w:sz w:val="22"/>
          <w:szCs w:val="22"/>
        </w:rPr>
        <w:t xml:space="preserve">adicional </w:t>
      </w:r>
      <w:proofErr w:type="spellStart"/>
      <w:r w:rsidR="00E40689">
        <w:rPr>
          <w:rFonts w:ascii="Arial" w:hAnsi="Arial" w:cs="Arial"/>
          <w:sz w:val="22"/>
          <w:szCs w:val="22"/>
        </w:rPr>
        <w:t>aperturada</w:t>
      </w:r>
      <w:proofErr w:type="spellEnd"/>
      <w:r w:rsidR="00E40689">
        <w:rPr>
          <w:rFonts w:ascii="Arial" w:hAnsi="Arial" w:cs="Arial"/>
          <w:sz w:val="22"/>
          <w:szCs w:val="22"/>
        </w:rPr>
        <w:t xml:space="preserve"> </w:t>
      </w:r>
      <w:r>
        <w:rPr>
          <w:rFonts w:ascii="Arial" w:hAnsi="Arial" w:cs="Arial"/>
          <w:sz w:val="22"/>
          <w:szCs w:val="22"/>
        </w:rPr>
        <w:t>y que los reintegros se hiciesen directamente a la cuenta maestra desde la cuenta del beneficiario que reintegra los recursos</w:t>
      </w:r>
      <w:r w:rsidR="00E40689">
        <w:rPr>
          <w:rFonts w:ascii="Arial" w:hAnsi="Arial" w:cs="Arial"/>
          <w:sz w:val="22"/>
          <w:szCs w:val="22"/>
        </w:rPr>
        <w:t>. P</w:t>
      </w:r>
      <w:r>
        <w:rPr>
          <w:rFonts w:ascii="Arial" w:hAnsi="Arial" w:cs="Arial"/>
          <w:sz w:val="22"/>
          <w:szCs w:val="22"/>
        </w:rPr>
        <w:t>aralelo a la consulta que se realizó al Ministerio de Educación sobre la continuidad de la medida, la entidad presentó</w:t>
      </w:r>
      <w:r w:rsidR="003B5207">
        <w:rPr>
          <w:rFonts w:ascii="Arial" w:hAnsi="Arial" w:cs="Arial"/>
          <w:sz w:val="22"/>
          <w:szCs w:val="22"/>
        </w:rPr>
        <w:t xml:space="preserve"> </w:t>
      </w:r>
      <w:r>
        <w:rPr>
          <w:rFonts w:ascii="Arial" w:hAnsi="Arial" w:cs="Arial"/>
          <w:sz w:val="22"/>
          <w:szCs w:val="22"/>
        </w:rPr>
        <w:t xml:space="preserve">mediante radicado No. </w:t>
      </w:r>
      <w:r>
        <w:rPr>
          <w:rFonts w:ascii="Arial" w:hAnsi="Arial" w:cs="Arial"/>
          <w:sz w:val="22"/>
          <w:szCs w:val="22"/>
          <w:lang w:val="es-CO" w:eastAsia="en-US"/>
        </w:rPr>
        <w:t>1-2021-086820 del 1 de octubre de 2021 una certificación del banco Davivienda</w:t>
      </w:r>
      <w:r w:rsidR="00E40689">
        <w:rPr>
          <w:rFonts w:ascii="Arial" w:hAnsi="Arial" w:cs="Arial"/>
          <w:sz w:val="22"/>
          <w:szCs w:val="22"/>
          <w:lang w:val="es-CO" w:eastAsia="en-US"/>
        </w:rPr>
        <w:t>, fechada e</w:t>
      </w:r>
      <w:r>
        <w:rPr>
          <w:rFonts w:ascii="Arial" w:hAnsi="Arial" w:cs="Arial"/>
          <w:sz w:val="22"/>
          <w:szCs w:val="22"/>
          <w:lang w:val="es-CO" w:eastAsia="en-US"/>
        </w:rPr>
        <w:t xml:space="preserve">l 30 de septiembre </w:t>
      </w:r>
      <w:r w:rsidR="00E40689">
        <w:rPr>
          <w:rFonts w:ascii="Arial" w:hAnsi="Arial" w:cs="Arial"/>
          <w:sz w:val="22"/>
          <w:szCs w:val="22"/>
          <w:lang w:val="es-CO" w:eastAsia="en-US"/>
        </w:rPr>
        <w:t>del mismo año,</w:t>
      </w:r>
      <w:r>
        <w:rPr>
          <w:rFonts w:ascii="Arial" w:hAnsi="Arial" w:cs="Arial"/>
          <w:sz w:val="22"/>
          <w:szCs w:val="22"/>
          <w:lang w:val="es-CO" w:eastAsia="en-US"/>
        </w:rPr>
        <w:t xml:space="preserve"> mediante la cual </w:t>
      </w:r>
      <w:r w:rsidR="00E40689">
        <w:rPr>
          <w:rFonts w:ascii="Arial" w:hAnsi="Arial" w:cs="Arial"/>
          <w:sz w:val="22"/>
          <w:szCs w:val="22"/>
          <w:lang w:val="es-CO" w:eastAsia="en-US"/>
        </w:rPr>
        <w:t xml:space="preserve">indica </w:t>
      </w:r>
      <w:r>
        <w:rPr>
          <w:rFonts w:ascii="Arial" w:hAnsi="Arial" w:cs="Arial"/>
          <w:sz w:val="22"/>
          <w:szCs w:val="22"/>
          <w:lang w:val="es-CO" w:eastAsia="en-US"/>
        </w:rPr>
        <w:t xml:space="preserve">que la cuenta </w:t>
      </w:r>
      <w:r>
        <w:rPr>
          <w:rFonts w:ascii="Arial" w:hAnsi="Arial" w:cs="Arial"/>
          <w:sz w:val="22"/>
          <w:szCs w:val="22"/>
        </w:rPr>
        <w:t>No. 346000128733 fue cancelada.</w:t>
      </w:r>
      <w:r w:rsidR="003B5207">
        <w:rPr>
          <w:rFonts w:ascii="Arial" w:hAnsi="Arial" w:cs="Arial"/>
          <w:sz w:val="22"/>
          <w:szCs w:val="22"/>
        </w:rPr>
        <w:t xml:space="preserve"> </w:t>
      </w:r>
      <w:r>
        <w:rPr>
          <w:rFonts w:ascii="Arial" w:hAnsi="Arial" w:cs="Arial"/>
          <w:sz w:val="22"/>
          <w:szCs w:val="22"/>
        </w:rPr>
        <w:t>Por lo tanto, el presente hallazgo se encuentra subsanado.</w:t>
      </w:r>
    </w:p>
    <w:p w:rsidR="007B39D8" w:rsidRDefault="007B39D8" w:rsidP="007B39D8">
      <w:pPr>
        <w:jc w:val="both"/>
        <w:rPr>
          <w:rFonts w:ascii="Arial" w:hAnsi="Arial" w:cs="Arial"/>
          <w:b/>
          <w:sz w:val="22"/>
          <w:szCs w:val="22"/>
        </w:rPr>
      </w:pPr>
    </w:p>
    <w:p w:rsidR="007B39D8" w:rsidRDefault="007B39D8" w:rsidP="007B39D8">
      <w:pPr>
        <w:pStyle w:val="Ttulo2"/>
        <w:numPr>
          <w:ilvl w:val="0"/>
          <w:numId w:val="18"/>
        </w:numPr>
        <w:spacing w:before="0"/>
        <w:ind w:left="426" w:hanging="426"/>
        <w:rPr>
          <w:rFonts w:ascii="Arial" w:hAnsi="Arial" w:cs="Arial"/>
          <w:b/>
          <w:color w:val="auto"/>
          <w:sz w:val="22"/>
          <w:szCs w:val="22"/>
        </w:rPr>
      </w:pPr>
      <w:r>
        <w:rPr>
          <w:rFonts w:ascii="Arial" w:hAnsi="Arial" w:cs="Arial"/>
          <w:b/>
          <w:color w:val="auto"/>
          <w:sz w:val="22"/>
          <w:szCs w:val="22"/>
        </w:rPr>
        <w:t xml:space="preserve">Actividades que deberá evaluar el Ministerio de Educación Nacional </w:t>
      </w:r>
    </w:p>
    <w:p w:rsidR="007B39D8" w:rsidRDefault="007B39D8" w:rsidP="007B39D8">
      <w:pPr>
        <w:jc w:val="both"/>
        <w:rPr>
          <w:rFonts w:ascii="Arial" w:hAnsi="Arial" w:cs="Arial"/>
          <w:sz w:val="22"/>
          <w:szCs w:val="22"/>
        </w:rPr>
      </w:pPr>
    </w:p>
    <w:p w:rsidR="007B39D8" w:rsidRPr="005D37BA" w:rsidRDefault="007B39D8" w:rsidP="007B39D8">
      <w:pPr>
        <w:jc w:val="both"/>
        <w:rPr>
          <w:rFonts w:ascii="Arial" w:hAnsi="Arial" w:cs="Arial"/>
          <w:sz w:val="22"/>
          <w:szCs w:val="22"/>
        </w:rPr>
      </w:pPr>
      <w:r>
        <w:rPr>
          <w:rFonts w:ascii="Arial" w:hAnsi="Arial" w:cs="Arial"/>
          <w:sz w:val="22"/>
          <w:szCs w:val="22"/>
        </w:rPr>
        <w:t xml:space="preserve">De acuerdo con lo establecido en la Resolución No. 2013 del 11 de julio de 2018, el </w:t>
      </w:r>
      <w:r w:rsidRPr="005D37BA">
        <w:rPr>
          <w:rFonts w:ascii="Arial" w:hAnsi="Arial" w:cs="Arial"/>
          <w:sz w:val="22"/>
          <w:szCs w:val="22"/>
        </w:rPr>
        <w:t>Ministerio de Educación Nacional realiz</w:t>
      </w:r>
      <w:r w:rsidR="005D37BA">
        <w:rPr>
          <w:rFonts w:ascii="Arial" w:hAnsi="Arial" w:cs="Arial"/>
          <w:sz w:val="22"/>
          <w:szCs w:val="22"/>
        </w:rPr>
        <w:t>ó</w:t>
      </w:r>
      <w:r w:rsidRPr="005D37BA">
        <w:rPr>
          <w:rFonts w:ascii="Arial" w:hAnsi="Arial" w:cs="Arial"/>
          <w:sz w:val="22"/>
          <w:szCs w:val="22"/>
        </w:rPr>
        <w:t xml:space="preserve"> el seguimiento y evaluación de las siguientes actividades</w:t>
      </w:r>
      <w:r w:rsidR="00E40689">
        <w:rPr>
          <w:rFonts w:ascii="Arial" w:hAnsi="Arial" w:cs="Arial"/>
          <w:sz w:val="22"/>
          <w:szCs w:val="22"/>
        </w:rPr>
        <w:t xml:space="preserve">, cuyos resultados manifestó en el oficio </w:t>
      </w:r>
      <w:r w:rsidR="00E40689" w:rsidRPr="005D37BA">
        <w:rPr>
          <w:rFonts w:ascii="Arial" w:hAnsi="Arial" w:cs="Arial"/>
          <w:sz w:val="22"/>
          <w:szCs w:val="22"/>
          <w:lang w:val="es-CO"/>
        </w:rPr>
        <w:t xml:space="preserve">No. </w:t>
      </w:r>
      <w:r w:rsidR="00E40689" w:rsidRPr="005D37BA">
        <w:rPr>
          <w:rFonts w:ascii="Arial" w:hAnsi="Arial" w:cs="Arial"/>
          <w:sz w:val="22"/>
          <w:szCs w:val="22"/>
        </w:rPr>
        <w:t>1-2021-088513 del 07 de octubre</w:t>
      </w:r>
      <w:r w:rsidR="00E40689">
        <w:rPr>
          <w:rFonts w:ascii="Arial" w:hAnsi="Arial" w:cs="Arial"/>
          <w:sz w:val="22"/>
          <w:szCs w:val="22"/>
        </w:rPr>
        <w:t>, así</w:t>
      </w:r>
      <w:r w:rsidRPr="005D37BA">
        <w:rPr>
          <w:rFonts w:ascii="Arial" w:hAnsi="Arial" w:cs="Arial"/>
          <w:sz w:val="22"/>
          <w:szCs w:val="22"/>
        </w:rPr>
        <w:t xml:space="preserve">: </w:t>
      </w:r>
    </w:p>
    <w:p w:rsidR="007B39D8" w:rsidRPr="005D37BA" w:rsidRDefault="007B39D8" w:rsidP="007B39D8">
      <w:pPr>
        <w:jc w:val="both"/>
        <w:rPr>
          <w:rFonts w:ascii="Arial" w:hAnsi="Arial" w:cs="Arial"/>
          <w:sz w:val="22"/>
          <w:szCs w:val="22"/>
        </w:rPr>
      </w:pPr>
    </w:p>
    <w:p w:rsidR="007B39D8" w:rsidRPr="005D37BA" w:rsidRDefault="007B39D8" w:rsidP="007B39D8">
      <w:pPr>
        <w:jc w:val="both"/>
        <w:rPr>
          <w:rFonts w:ascii="Arial" w:hAnsi="Arial" w:cs="Arial"/>
          <w:b/>
          <w:sz w:val="22"/>
          <w:szCs w:val="22"/>
          <w:lang w:val="es-MX"/>
        </w:rPr>
      </w:pPr>
      <w:r w:rsidRPr="005D37BA">
        <w:rPr>
          <w:rFonts w:ascii="Arial" w:hAnsi="Arial" w:cs="Arial"/>
          <w:b/>
          <w:sz w:val="22"/>
          <w:szCs w:val="22"/>
          <w:lang w:val="es-MX"/>
        </w:rPr>
        <w:t>Actividad 10: “Adelantar las verificaciones y corregir las inconsistencias en la información de los sistemas DUE, SIMAT, HUMANO, SINEB, y SIFSE, hasta subsanar los hallazgos derivados de las validaciones de consistencia realizadas por el Ministerio de Educación Nacional”. La línea de base es el corte a junio de 2016, en el cual se relacionan 24 hallazgos.</w:t>
      </w:r>
    </w:p>
    <w:p w:rsidR="00602888" w:rsidRPr="005D37BA" w:rsidRDefault="00602888" w:rsidP="007B39D8">
      <w:pPr>
        <w:jc w:val="both"/>
        <w:rPr>
          <w:rFonts w:ascii="Arial" w:hAnsi="Arial" w:cs="Arial"/>
          <w:sz w:val="22"/>
          <w:szCs w:val="22"/>
          <w:lang w:val="es-MX"/>
        </w:rPr>
      </w:pPr>
    </w:p>
    <w:p w:rsidR="00602888" w:rsidRPr="00E40689" w:rsidRDefault="00602888" w:rsidP="00E40689">
      <w:pPr>
        <w:autoSpaceDE w:val="0"/>
        <w:autoSpaceDN w:val="0"/>
        <w:adjustRightInd w:val="0"/>
        <w:ind w:left="567"/>
        <w:jc w:val="both"/>
        <w:rPr>
          <w:rFonts w:ascii="Arial" w:eastAsiaTheme="minorHAnsi" w:hAnsi="Arial" w:cs="Arial"/>
          <w:b/>
          <w:i/>
          <w:sz w:val="18"/>
          <w:szCs w:val="22"/>
          <w:lang w:val="es-CO" w:eastAsia="en-US"/>
        </w:rPr>
      </w:pPr>
      <w:r w:rsidRPr="00E40689">
        <w:rPr>
          <w:rFonts w:ascii="Arial" w:hAnsi="Arial" w:cs="Arial"/>
          <w:sz w:val="18"/>
          <w:szCs w:val="22"/>
          <w:lang w:val="es-CO"/>
        </w:rPr>
        <w:lastRenderedPageBreak/>
        <w:t>“</w:t>
      </w:r>
      <w:r w:rsidRPr="00E40689">
        <w:rPr>
          <w:rFonts w:ascii="Arial" w:eastAsiaTheme="minorHAnsi" w:hAnsi="Arial" w:cs="Arial"/>
          <w:i/>
          <w:sz w:val="18"/>
          <w:szCs w:val="22"/>
          <w:lang w:val="es-CO" w:eastAsia="en-US"/>
        </w:rPr>
        <w:t>De las 24 inconsistencias de la línea base, con corte a Julio de 2021 se reportan 4, es decir</w:t>
      </w:r>
      <w:r w:rsidR="00E40689">
        <w:rPr>
          <w:rFonts w:ascii="Arial" w:eastAsiaTheme="minorHAnsi" w:hAnsi="Arial" w:cs="Arial"/>
          <w:i/>
          <w:sz w:val="18"/>
          <w:szCs w:val="22"/>
          <w:lang w:val="es-CO" w:eastAsia="en-US"/>
        </w:rPr>
        <w:t xml:space="preserve"> </w:t>
      </w:r>
      <w:r w:rsidRPr="00E40689">
        <w:rPr>
          <w:rFonts w:ascii="Arial" w:eastAsiaTheme="minorHAnsi" w:hAnsi="Arial" w:cs="Arial"/>
          <w:i/>
          <w:sz w:val="18"/>
          <w:szCs w:val="22"/>
          <w:lang w:val="es-CO" w:eastAsia="en-US"/>
        </w:rPr>
        <w:t xml:space="preserve">un cumplimiento del 83%, satisfaciendo así con el punto referente a los sistemas de información. </w:t>
      </w:r>
      <w:r w:rsidRPr="00E40689">
        <w:rPr>
          <w:rFonts w:ascii="Arial" w:eastAsiaTheme="minorHAnsi" w:hAnsi="Arial" w:cs="Arial"/>
          <w:b/>
          <w:bCs/>
          <w:i/>
          <w:sz w:val="18"/>
          <w:szCs w:val="22"/>
          <w:lang w:val="es-CO" w:eastAsia="en-US"/>
        </w:rPr>
        <w:t>Evaluación: Cumple</w:t>
      </w:r>
      <w:r w:rsidRPr="00E40689">
        <w:rPr>
          <w:rFonts w:ascii="Arial" w:eastAsiaTheme="minorHAnsi" w:hAnsi="Arial" w:cs="Arial"/>
          <w:b/>
          <w:i/>
          <w:sz w:val="18"/>
          <w:szCs w:val="22"/>
          <w:lang w:val="es-CO" w:eastAsia="en-US"/>
        </w:rPr>
        <w:t>”</w:t>
      </w:r>
    </w:p>
    <w:p w:rsidR="007B39D8" w:rsidRPr="005D37BA" w:rsidRDefault="007B39D8" w:rsidP="007B39D8">
      <w:pPr>
        <w:jc w:val="both"/>
        <w:rPr>
          <w:rFonts w:ascii="Arial" w:hAnsi="Arial" w:cs="Arial"/>
          <w:sz w:val="22"/>
          <w:szCs w:val="22"/>
          <w:lang w:val="es-MX"/>
        </w:rPr>
      </w:pPr>
    </w:p>
    <w:p w:rsidR="007B39D8" w:rsidRPr="005D37BA" w:rsidRDefault="007B39D8" w:rsidP="007B39D8">
      <w:pPr>
        <w:jc w:val="both"/>
        <w:rPr>
          <w:rFonts w:ascii="Arial" w:hAnsi="Arial" w:cs="Arial"/>
          <w:b/>
          <w:sz w:val="22"/>
          <w:szCs w:val="22"/>
          <w:lang w:val="es-MX"/>
        </w:rPr>
      </w:pPr>
      <w:r w:rsidRPr="005D37BA">
        <w:rPr>
          <w:rFonts w:ascii="Arial" w:hAnsi="Arial" w:cs="Arial"/>
          <w:b/>
          <w:sz w:val="22"/>
          <w:szCs w:val="22"/>
          <w:lang w:val="es-MX"/>
        </w:rPr>
        <w:t>Actividad 11: “Conciliar los recursos sin situación de fondos en lo relacionado con los aportes de previsión social de los docentes afiliados al Fondo Nacional de Prestaciones Sociales del Magisterio y enviar periódicamente dichas conciliaciones a la Fiduprevisora”.</w:t>
      </w:r>
    </w:p>
    <w:p w:rsidR="00602888" w:rsidRPr="005D37BA" w:rsidRDefault="00602888" w:rsidP="007B39D8">
      <w:pPr>
        <w:jc w:val="both"/>
        <w:rPr>
          <w:rFonts w:ascii="Arial" w:hAnsi="Arial" w:cs="Arial"/>
          <w:sz w:val="22"/>
          <w:szCs w:val="22"/>
          <w:lang w:val="es-MX"/>
        </w:rPr>
      </w:pPr>
    </w:p>
    <w:p w:rsidR="007B39D8" w:rsidRPr="00E40689" w:rsidRDefault="00E40689" w:rsidP="00E40689">
      <w:pPr>
        <w:autoSpaceDE w:val="0"/>
        <w:autoSpaceDN w:val="0"/>
        <w:adjustRightInd w:val="0"/>
        <w:ind w:left="567"/>
        <w:jc w:val="both"/>
        <w:rPr>
          <w:rFonts w:ascii="Arial" w:eastAsiaTheme="minorHAnsi" w:hAnsi="Arial" w:cs="Arial"/>
          <w:b/>
          <w:bCs/>
          <w:i/>
          <w:sz w:val="18"/>
          <w:szCs w:val="22"/>
          <w:lang w:val="es-CO" w:eastAsia="en-US"/>
        </w:rPr>
      </w:pPr>
      <w:r w:rsidRPr="00E40689">
        <w:rPr>
          <w:rFonts w:ascii="Arial" w:eastAsiaTheme="minorHAnsi" w:hAnsi="Arial" w:cs="Arial"/>
          <w:i/>
          <w:sz w:val="18"/>
          <w:szCs w:val="22"/>
          <w:lang w:val="es-CO" w:eastAsia="en-US"/>
        </w:rPr>
        <w:t xml:space="preserve"> </w:t>
      </w:r>
      <w:r w:rsidR="00602888" w:rsidRPr="00E40689">
        <w:rPr>
          <w:rFonts w:ascii="Arial" w:eastAsiaTheme="minorHAnsi" w:hAnsi="Arial" w:cs="Arial"/>
          <w:i/>
          <w:sz w:val="18"/>
          <w:szCs w:val="22"/>
          <w:lang w:val="es-CO" w:eastAsia="en-US"/>
        </w:rPr>
        <w:t xml:space="preserve">“Mediante acta del 11 de marzo de 2021 se concilió con Fiduprevisora sobre el pago de aportes patronales y del docente hasta el mes de diciembre de 2020 generando un saldo a favor de la entidad por $2.443.061. </w:t>
      </w:r>
      <w:r w:rsidR="00602888" w:rsidRPr="00E40689">
        <w:rPr>
          <w:rFonts w:ascii="Arial" w:eastAsiaTheme="minorHAnsi" w:hAnsi="Arial" w:cs="Arial"/>
          <w:b/>
          <w:bCs/>
          <w:i/>
          <w:sz w:val="18"/>
          <w:szCs w:val="22"/>
          <w:lang w:val="es-CO" w:eastAsia="en-US"/>
        </w:rPr>
        <w:t>Evaluación: Cumple”</w:t>
      </w:r>
    </w:p>
    <w:p w:rsidR="00602888" w:rsidRPr="005D37BA" w:rsidRDefault="00602888" w:rsidP="00602888">
      <w:pPr>
        <w:autoSpaceDE w:val="0"/>
        <w:autoSpaceDN w:val="0"/>
        <w:adjustRightInd w:val="0"/>
        <w:rPr>
          <w:rFonts w:ascii="Arial" w:eastAsiaTheme="minorHAnsi" w:hAnsi="Arial" w:cs="Arial"/>
          <w:sz w:val="22"/>
          <w:szCs w:val="22"/>
          <w:lang w:val="es-CO" w:eastAsia="en-US"/>
        </w:rPr>
      </w:pPr>
    </w:p>
    <w:p w:rsidR="007B39D8" w:rsidRPr="005D37BA" w:rsidRDefault="007B39D8" w:rsidP="007B39D8">
      <w:pPr>
        <w:jc w:val="both"/>
        <w:rPr>
          <w:rFonts w:ascii="Arial" w:hAnsi="Arial" w:cs="Arial"/>
          <w:b/>
          <w:sz w:val="22"/>
          <w:szCs w:val="22"/>
          <w:lang w:val="es-MX"/>
        </w:rPr>
      </w:pPr>
      <w:r w:rsidRPr="005D37BA">
        <w:rPr>
          <w:rFonts w:ascii="Arial" w:hAnsi="Arial" w:cs="Arial"/>
          <w:b/>
          <w:sz w:val="22"/>
          <w:szCs w:val="22"/>
          <w:lang w:val="es-MX"/>
        </w:rPr>
        <w:t>Actividad 12: “Realizar el seguimiento periódico a la ejecución de los recursos de los Fondos de Servicios Educativos”.</w:t>
      </w:r>
    </w:p>
    <w:p w:rsidR="007B39D8" w:rsidRPr="005D37BA" w:rsidRDefault="007B39D8" w:rsidP="007B39D8">
      <w:pPr>
        <w:jc w:val="both"/>
        <w:rPr>
          <w:rFonts w:ascii="Arial" w:hAnsi="Arial" w:cs="Arial"/>
          <w:b/>
          <w:sz w:val="22"/>
          <w:szCs w:val="22"/>
          <w:lang w:val="es-MX"/>
        </w:rPr>
      </w:pPr>
    </w:p>
    <w:p w:rsidR="00602888" w:rsidRPr="00E40689" w:rsidRDefault="00E40689" w:rsidP="00E40689">
      <w:pPr>
        <w:autoSpaceDE w:val="0"/>
        <w:autoSpaceDN w:val="0"/>
        <w:adjustRightInd w:val="0"/>
        <w:ind w:left="567"/>
        <w:jc w:val="both"/>
        <w:rPr>
          <w:rFonts w:ascii="Arial" w:eastAsiaTheme="minorHAnsi" w:hAnsi="Arial" w:cs="Arial"/>
          <w:i/>
          <w:sz w:val="18"/>
          <w:szCs w:val="22"/>
          <w:lang w:val="es-CO" w:eastAsia="en-US"/>
        </w:rPr>
      </w:pPr>
      <w:r w:rsidRPr="00E40689">
        <w:rPr>
          <w:rFonts w:ascii="Arial" w:eastAsiaTheme="minorHAnsi" w:hAnsi="Arial" w:cs="Arial"/>
          <w:i/>
          <w:sz w:val="18"/>
          <w:szCs w:val="22"/>
          <w:lang w:val="es-CO" w:eastAsia="en-US"/>
        </w:rPr>
        <w:t xml:space="preserve"> </w:t>
      </w:r>
      <w:r w:rsidR="00602888" w:rsidRPr="00E40689">
        <w:rPr>
          <w:rFonts w:ascii="Arial" w:eastAsiaTheme="minorHAnsi" w:hAnsi="Arial" w:cs="Arial"/>
          <w:i/>
          <w:sz w:val="18"/>
          <w:szCs w:val="22"/>
          <w:lang w:val="es-CO" w:eastAsia="en-US"/>
        </w:rPr>
        <w:t>“La entidad durante esta vigencia remitió información de seguimiento a los FSE de la</w:t>
      </w:r>
      <w:r w:rsidRPr="00E40689">
        <w:rPr>
          <w:rFonts w:ascii="Arial" w:eastAsiaTheme="minorHAnsi" w:hAnsi="Arial" w:cs="Arial"/>
          <w:i/>
          <w:sz w:val="18"/>
          <w:szCs w:val="22"/>
          <w:lang w:val="es-CO" w:eastAsia="en-US"/>
        </w:rPr>
        <w:t xml:space="preserve"> </w:t>
      </w:r>
      <w:r w:rsidR="00602888" w:rsidRPr="00E40689">
        <w:rPr>
          <w:rFonts w:ascii="Arial" w:eastAsiaTheme="minorHAnsi" w:hAnsi="Arial" w:cs="Arial"/>
          <w:i/>
          <w:sz w:val="18"/>
          <w:szCs w:val="22"/>
          <w:lang w:val="es-CO" w:eastAsia="en-US"/>
        </w:rPr>
        <w:t>vigencia 2020 y del primer semestre de 2021.</w:t>
      </w:r>
      <w:r w:rsidR="00602888" w:rsidRPr="00E40689">
        <w:rPr>
          <w:rFonts w:ascii="Arial" w:eastAsiaTheme="minorHAnsi" w:hAnsi="Arial" w:cs="Arial"/>
          <w:b/>
          <w:bCs/>
          <w:i/>
          <w:sz w:val="18"/>
          <w:szCs w:val="22"/>
          <w:lang w:val="es-CO" w:eastAsia="en-US"/>
        </w:rPr>
        <w:t>Evaluación: Cumple”</w:t>
      </w:r>
    </w:p>
    <w:p w:rsidR="00602888" w:rsidRPr="005D37BA" w:rsidRDefault="00602888" w:rsidP="007B39D8">
      <w:pPr>
        <w:jc w:val="both"/>
        <w:rPr>
          <w:rFonts w:ascii="Arial" w:hAnsi="Arial" w:cs="Arial"/>
          <w:b/>
          <w:sz w:val="22"/>
          <w:szCs w:val="22"/>
          <w:lang w:val="es-MX"/>
        </w:rPr>
      </w:pPr>
    </w:p>
    <w:p w:rsidR="007B39D8" w:rsidRPr="005D37BA" w:rsidRDefault="007B39D8" w:rsidP="007B39D8">
      <w:pPr>
        <w:jc w:val="both"/>
        <w:rPr>
          <w:rFonts w:ascii="Arial" w:hAnsi="Arial" w:cs="Arial"/>
          <w:b/>
          <w:sz w:val="22"/>
          <w:szCs w:val="22"/>
          <w:lang w:val="es-MX"/>
        </w:rPr>
      </w:pPr>
      <w:r w:rsidRPr="005D37BA">
        <w:rPr>
          <w:rFonts w:ascii="Arial" w:hAnsi="Arial" w:cs="Arial"/>
          <w:b/>
          <w:sz w:val="22"/>
          <w:szCs w:val="22"/>
          <w:lang w:val="es-MX"/>
        </w:rPr>
        <w:t>Actividad 13: “Dar cumplimiento a los topes establecidos para horas extras en la circular 18 de 2016 del Ministerio de Educación Nacional".</w:t>
      </w:r>
    </w:p>
    <w:p w:rsidR="007B39D8" w:rsidRPr="005D37BA" w:rsidRDefault="007B39D8" w:rsidP="007B39D8">
      <w:pPr>
        <w:jc w:val="both"/>
        <w:rPr>
          <w:rFonts w:ascii="Arial" w:hAnsi="Arial" w:cs="Arial"/>
          <w:b/>
          <w:sz w:val="22"/>
          <w:szCs w:val="22"/>
        </w:rPr>
      </w:pPr>
    </w:p>
    <w:p w:rsidR="00602888" w:rsidRPr="00E40689" w:rsidRDefault="00602888" w:rsidP="00E40689">
      <w:pPr>
        <w:autoSpaceDE w:val="0"/>
        <w:autoSpaceDN w:val="0"/>
        <w:adjustRightInd w:val="0"/>
        <w:ind w:left="567"/>
        <w:jc w:val="both"/>
        <w:rPr>
          <w:rFonts w:ascii="Arial" w:eastAsiaTheme="minorHAnsi" w:hAnsi="Arial" w:cs="Arial"/>
          <w:i/>
          <w:sz w:val="18"/>
          <w:szCs w:val="22"/>
          <w:lang w:val="es-CO" w:eastAsia="en-US"/>
        </w:rPr>
      </w:pPr>
      <w:r w:rsidRPr="00E40689">
        <w:rPr>
          <w:rFonts w:ascii="Arial" w:eastAsiaTheme="minorHAnsi" w:hAnsi="Arial" w:cs="Arial"/>
          <w:i/>
          <w:sz w:val="18"/>
          <w:szCs w:val="22"/>
          <w:lang w:val="es-CO" w:eastAsia="en-US"/>
        </w:rPr>
        <w:t>“La entidad reglamenta para esta vigencia las horas extra</w:t>
      </w:r>
      <w:r w:rsidR="005D37BA" w:rsidRPr="00E40689">
        <w:rPr>
          <w:rFonts w:ascii="Arial" w:eastAsiaTheme="minorHAnsi" w:hAnsi="Arial" w:cs="Arial"/>
          <w:i/>
          <w:sz w:val="18"/>
          <w:szCs w:val="22"/>
          <w:lang w:val="es-CO" w:eastAsia="en-US"/>
        </w:rPr>
        <w:t xml:space="preserve">s mediante los siguientes actos </w:t>
      </w:r>
      <w:r w:rsidRPr="00E40689">
        <w:rPr>
          <w:rFonts w:ascii="Arial" w:eastAsiaTheme="minorHAnsi" w:hAnsi="Arial" w:cs="Arial"/>
          <w:i/>
          <w:sz w:val="18"/>
          <w:szCs w:val="22"/>
          <w:lang w:val="es-CO" w:eastAsia="en-US"/>
        </w:rPr>
        <w:t>administrativos:</w:t>
      </w:r>
    </w:p>
    <w:p w:rsidR="00602888" w:rsidRPr="00E40689" w:rsidRDefault="00602888" w:rsidP="00E40689">
      <w:pPr>
        <w:pStyle w:val="Prrafodelista"/>
        <w:numPr>
          <w:ilvl w:val="0"/>
          <w:numId w:val="25"/>
        </w:numPr>
        <w:autoSpaceDE w:val="0"/>
        <w:autoSpaceDN w:val="0"/>
        <w:adjustRightInd w:val="0"/>
        <w:ind w:left="567"/>
        <w:jc w:val="both"/>
        <w:rPr>
          <w:rFonts w:ascii="Arial" w:eastAsiaTheme="minorHAnsi" w:hAnsi="Arial" w:cs="Arial"/>
          <w:i/>
          <w:sz w:val="18"/>
          <w:szCs w:val="22"/>
          <w:lang w:val="es-CO" w:eastAsia="en-US"/>
        </w:rPr>
      </w:pPr>
      <w:r w:rsidRPr="00E40689">
        <w:rPr>
          <w:rFonts w:ascii="Arial" w:eastAsiaTheme="minorHAnsi" w:hAnsi="Arial" w:cs="Arial"/>
          <w:i/>
          <w:sz w:val="18"/>
          <w:szCs w:val="22"/>
          <w:lang w:val="es-CO" w:eastAsia="en-US"/>
        </w:rPr>
        <w:t>Resolución 199 del 1 de marzo de 2021 para empleados administrativos</w:t>
      </w:r>
    </w:p>
    <w:p w:rsidR="00602888" w:rsidRPr="00E40689" w:rsidRDefault="00602888" w:rsidP="00E40689">
      <w:pPr>
        <w:pStyle w:val="Prrafodelista"/>
        <w:numPr>
          <w:ilvl w:val="0"/>
          <w:numId w:val="25"/>
        </w:numPr>
        <w:autoSpaceDE w:val="0"/>
        <w:autoSpaceDN w:val="0"/>
        <w:adjustRightInd w:val="0"/>
        <w:ind w:left="567"/>
        <w:jc w:val="both"/>
        <w:rPr>
          <w:rFonts w:ascii="Arial" w:eastAsiaTheme="minorHAnsi" w:hAnsi="Arial" w:cs="Arial"/>
          <w:i/>
          <w:sz w:val="18"/>
          <w:szCs w:val="22"/>
          <w:lang w:val="es-CO" w:eastAsia="en-US"/>
        </w:rPr>
      </w:pPr>
      <w:r w:rsidRPr="00E40689">
        <w:rPr>
          <w:rFonts w:ascii="Arial" w:eastAsiaTheme="minorHAnsi" w:hAnsi="Arial" w:cs="Arial"/>
          <w:i/>
          <w:sz w:val="18"/>
          <w:szCs w:val="22"/>
          <w:lang w:val="es-CO" w:eastAsia="en-US"/>
        </w:rPr>
        <w:t>Resolución 198 del 1 de marzo de 2021 para adultos y situaciones administrativas</w:t>
      </w:r>
    </w:p>
    <w:p w:rsidR="00602888" w:rsidRPr="00E40689" w:rsidRDefault="00602888" w:rsidP="00E40689">
      <w:pPr>
        <w:autoSpaceDE w:val="0"/>
        <w:autoSpaceDN w:val="0"/>
        <w:adjustRightInd w:val="0"/>
        <w:ind w:left="567"/>
        <w:jc w:val="both"/>
        <w:rPr>
          <w:rFonts w:ascii="Arial" w:eastAsiaTheme="minorHAnsi" w:hAnsi="Arial" w:cs="Arial"/>
          <w:i/>
          <w:sz w:val="18"/>
          <w:szCs w:val="22"/>
          <w:lang w:val="es-CO" w:eastAsia="en-US"/>
        </w:rPr>
      </w:pPr>
    </w:p>
    <w:p w:rsidR="00602888" w:rsidRPr="00E40689" w:rsidRDefault="00602888" w:rsidP="00E40689">
      <w:pPr>
        <w:autoSpaceDE w:val="0"/>
        <w:autoSpaceDN w:val="0"/>
        <w:adjustRightInd w:val="0"/>
        <w:ind w:left="567"/>
        <w:jc w:val="both"/>
        <w:rPr>
          <w:rFonts w:ascii="Arial" w:eastAsiaTheme="minorHAnsi" w:hAnsi="Arial" w:cs="Arial"/>
          <w:i/>
          <w:sz w:val="18"/>
          <w:szCs w:val="22"/>
          <w:lang w:val="es-CO" w:eastAsia="en-US"/>
        </w:rPr>
      </w:pPr>
      <w:r w:rsidRPr="00E40689">
        <w:rPr>
          <w:rFonts w:ascii="Arial" w:eastAsiaTheme="minorHAnsi" w:hAnsi="Arial" w:cs="Arial"/>
          <w:i/>
          <w:sz w:val="18"/>
          <w:szCs w:val="22"/>
          <w:lang w:val="es-CO" w:eastAsia="en-US"/>
        </w:rPr>
        <w:t>Sin embargo, hay que tener en cuenta las siguientes observaciones:</w:t>
      </w:r>
    </w:p>
    <w:p w:rsidR="00602888" w:rsidRPr="00E40689" w:rsidRDefault="00602888" w:rsidP="007004A1">
      <w:pPr>
        <w:pStyle w:val="Prrafodelista"/>
        <w:numPr>
          <w:ilvl w:val="0"/>
          <w:numId w:val="24"/>
        </w:numPr>
        <w:autoSpaceDE w:val="0"/>
        <w:autoSpaceDN w:val="0"/>
        <w:adjustRightInd w:val="0"/>
        <w:ind w:left="567"/>
        <w:jc w:val="both"/>
        <w:rPr>
          <w:rFonts w:ascii="Arial" w:eastAsiaTheme="minorHAnsi" w:hAnsi="Arial" w:cs="Arial"/>
          <w:i/>
          <w:sz w:val="18"/>
          <w:szCs w:val="22"/>
          <w:lang w:val="es-CO" w:eastAsia="en-US"/>
        </w:rPr>
      </w:pPr>
      <w:r w:rsidRPr="00E40689">
        <w:rPr>
          <w:rFonts w:ascii="Arial" w:eastAsiaTheme="minorHAnsi" w:hAnsi="Arial" w:cs="Arial"/>
          <w:i/>
          <w:sz w:val="18"/>
          <w:szCs w:val="22"/>
          <w:lang w:val="es-CO" w:eastAsia="en-US"/>
        </w:rPr>
        <w:t>No hay un acto administrativo que respalde la jornada única a pesar que se encuentran</w:t>
      </w:r>
      <w:r w:rsidR="00E40689" w:rsidRPr="00E40689">
        <w:rPr>
          <w:rFonts w:ascii="Arial" w:eastAsiaTheme="minorHAnsi" w:hAnsi="Arial" w:cs="Arial"/>
          <w:i/>
          <w:sz w:val="18"/>
          <w:szCs w:val="22"/>
          <w:lang w:val="es-CO" w:eastAsia="en-US"/>
        </w:rPr>
        <w:t xml:space="preserve"> </w:t>
      </w:r>
      <w:r w:rsidRPr="00E40689">
        <w:rPr>
          <w:rFonts w:ascii="Arial" w:eastAsiaTheme="minorHAnsi" w:hAnsi="Arial" w:cs="Arial"/>
          <w:i/>
          <w:sz w:val="18"/>
          <w:szCs w:val="22"/>
          <w:lang w:val="es-CO" w:eastAsia="en-US"/>
        </w:rPr>
        <w:t>reconocimientos por este concepto desde el mes de marzo a junio de esta vigencia por $1.518.092. (actualmente la entidad está revi</w:t>
      </w:r>
      <w:r w:rsidR="005D37BA" w:rsidRPr="00E40689">
        <w:rPr>
          <w:rFonts w:ascii="Arial" w:eastAsiaTheme="minorHAnsi" w:hAnsi="Arial" w:cs="Arial"/>
          <w:i/>
          <w:sz w:val="18"/>
          <w:szCs w:val="22"/>
          <w:lang w:val="es-CO" w:eastAsia="en-US"/>
        </w:rPr>
        <w:t xml:space="preserve">sando para dar respuesta a esta </w:t>
      </w:r>
      <w:r w:rsidRPr="00E40689">
        <w:rPr>
          <w:rFonts w:ascii="Arial" w:eastAsiaTheme="minorHAnsi" w:hAnsi="Arial" w:cs="Arial"/>
          <w:i/>
          <w:sz w:val="18"/>
          <w:szCs w:val="22"/>
          <w:lang w:val="es-CO" w:eastAsia="en-US"/>
        </w:rPr>
        <w:t>situación).</w:t>
      </w:r>
    </w:p>
    <w:p w:rsidR="00602888" w:rsidRPr="00E40689" w:rsidRDefault="00602888" w:rsidP="00E40689">
      <w:pPr>
        <w:pStyle w:val="Prrafodelista"/>
        <w:numPr>
          <w:ilvl w:val="0"/>
          <w:numId w:val="24"/>
        </w:numPr>
        <w:autoSpaceDE w:val="0"/>
        <w:autoSpaceDN w:val="0"/>
        <w:adjustRightInd w:val="0"/>
        <w:ind w:left="567"/>
        <w:jc w:val="both"/>
        <w:rPr>
          <w:rFonts w:ascii="Arial" w:eastAsiaTheme="minorHAnsi" w:hAnsi="Arial" w:cs="Arial"/>
          <w:i/>
          <w:sz w:val="18"/>
          <w:szCs w:val="22"/>
          <w:lang w:val="es-CO" w:eastAsia="en-US"/>
        </w:rPr>
      </w:pPr>
      <w:r w:rsidRPr="00E40689">
        <w:rPr>
          <w:rFonts w:ascii="Arial" w:eastAsiaTheme="minorHAnsi" w:hAnsi="Arial" w:cs="Arial"/>
          <w:i/>
          <w:sz w:val="18"/>
          <w:szCs w:val="22"/>
          <w:lang w:val="es-CO" w:eastAsia="en-US"/>
        </w:rPr>
        <w:t>Se están reconociendo horas extras al pers</w:t>
      </w:r>
      <w:r w:rsidR="005D37BA" w:rsidRPr="00E40689">
        <w:rPr>
          <w:rFonts w:ascii="Arial" w:eastAsiaTheme="minorHAnsi" w:hAnsi="Arial" w:cs="Arial"/>
          <w:i/>
          <w:sz w:val="18"/>
          <w:szCs w:val="22"/>
          <w:lang w:val="es-CO" w:eastAsia="en-US"/>
        </w:rPr>
        <w:t xml:space="preserve">onal administrativo antes de su </w:t>
      </w:r>
      <w:r w:rsidRPr="00E40689">
        <w:rPr>
          <w:rFonts w:ascii="Arial" w:eastAsiaTheme="minorHAnsi" w:hAnsi="Arial" w:cs="Arial"/>
          <w:i/>
          <w:sz w:val="18"/>
          <w:szCs w:val="22"/>
          <w:lang w:val="es-CO" w:eastAsia="en-US"/>
        </w:rPr>
        <w:t>reglamentación que se dio en el mes de marzo, genera</w:t>
      </w:r>
      <w:r w:rsidR="005D37BA" w:rsidRPr="00E40689">
        <w:rPr>
          <w:rFonts w:ascii="Arial" w:eastAsiaTheme="minorHAnsi" w:hAnsi="Arial" w:cs="Arial"/>
          <w:i/>
          <w:sz w:val="18"/>
          <w:szCs w:val="22"/>
          <w:lang w:val="es-CO" w:eastAsia="en-US"/>
        </w:rPr>
        <w:t xml:space="preserve">ndo posibles hechos </w:t>
      </w:r>
      <w:r w:rsidRPr="00E40689">
        <w:rPr>
          <w:rFonts w:ascii="Arial" w:eastAsiaTheme="minorHAnsi" w:hAnsi="Arial" w:cs="Arial"/>
          <w:i/>
          <w:sz w:val="18"/>
          <w:szCs w:val="22"/>
          <w:lang w:val="es-CO" w:eastAsia="en-US"/>
        </w:rPr>
        <w:t>cumplidos.</w:t>
      </w:r>
    </w:p>
    <w:p w:rsidR="00602888" w:rsidRPr="00E40689" w:rsidRDefault="00602888" w:rsidP="00E40689">
      <w:pPr>
        <w:autoSpaceDE w:val="0"/>
        <w:autoSpaceDN w:val="0"/>
        <w:adjustRightInd w:val="0"/>
        <w:ind w:left="567"/>
        <w:jc w:val="both"/>
        <w:rPr>
          <w:rFonts w:ascii="Arial" w:hAnsi="Arial" w:cs="Arial"/>
          <w:sz w:val="18"/>
          <w:szCs w:val="22"/>
          <w:lang w:val="es-CO"/>
        </w:rPr>
      </w:pPr>
      <w:r w:rsidRPr="00E40689">
        <w:rPr>
          <w:rFonts w:ascii="Arial" w:eastAsiaTheme="minorHAnsi" w:hAnsi="Arial" w:cs="Arial"/>
          <w:b/>
          <w:bCs/>
          <w:i/>
          <w:sz w:val="18"/>
          <w:szCs w:val="22"/>
          <w:lang w:val="es-CO" w:eastAsia="en-US"/>
        </w:rPr>
        <w:t>Evaluación: No Cumple</w:t>
      </w:r>
      <w:r w:rsidR="005D37BA" w:rsidRPr="00E40689">
        <w:rPr>
          <w:rFonts w:ascii="Arial" w:eastAsiaTheme="minorHAnsi" w:hAnsi="Arial" w:cs="Arial"/>
          <w:b/>
          <w:bCs/>
          <w:sz w:val="18"/>
          <w:szCs w:val="22"/>
          <w:lang w:val="es-CO" w:eastAsia="en-US"/>
        </w:rPr>
        <w:t>”</w:t>
      </w:r>
    </w:p>
    <w:p w:rsidR="007B39D8" w:rsidRDefault="007B39D8" w:rsidP="007B39D8">
      <w:pPr>
        <w:jc w:val="both"/>
        <w:rPr>
          <w:rFonts w:ascii="Arial" w:hAnsi="Arial" w:cs="Arial"/>
          <w:sz w:val="22"/>
          <w:szCs w:val="22"/>
        </w:rPr>
      </w:pPr>
    </w:p>
    <w:p w:rsidR="007B39D8" w:rsidRDefault="007B39D8" w:rsidP="007B39D8">
      <w:pPr>
        <w:pStyle w:val="Prrafodelista"/>
        <w:widowControl w:val="0"/>
        <w:numPr>
          <w:ilvl w:val="0"/>
          <w:numId w:val="8"/>
        </w:numPr>
        <w:ind w:left="426" w:right="-20" w:hanging="426"/>
        <w:jc w:val="both"/>
        <w:outlineLvl w:val="0"/>
        <w:rPr>
          <w:rFonts w:ascii="Arial" w:eastAsia="Arial" w:hAnsi="Arial" w:cs="Arial"/>
          <w:b/>
          <w:bCs/>
          <w:position w:val="-1"/>
          <w:sz w:val="22"/>
          <w:szCs w:val="22"/>
        </w:rPr>
      </w:pPr>
      <w:r>
        <w:rPr>
          <w:rFonts w:ascii="Arial" w:eastAsia="Arial" w:hAnsi="Arial" w:cs="Arial"/>
          <w:b/>
          <w:bCs/>
          <w:position w:val="-1"/>
          <w:sz w:val="22"/>
          <w:szCs w:val="22"/>
        </w:rPr>
        <w:t>CONCLUSIONES Y RECOMENDACIONES.</w:t>
      </w:r>
    </w:p>
    <w:p w:rsidR="007B39D8" w:rsidRDefault="007B39D8" w:rsidP="007B39D8">
      <w:pPr>
        <w:jc w:val="both"/>
        <w:rPr>
          <w:rFonts w:ascii="Arial" w:hAnsi="Arial" w:cs="Arial"/>
          <w:sz w:val="22"/>
          <w:szCs w:val="22"/>
          <w:lang w:val="es-CO"/>
        </w:rPr>
      </w:pPr>
      <w:bookmarkStart w:id="12" w:name="CONCLUSION_NO_COMPETENCIAS"/>
    </w:p>
    <w:p w:rsidR="007B39D8" w:rsidRDefault="007B39D8" w:rsidP="007B39D8">
      <w:pPr>
        <w:jc w:val="both"/>
        <w:rPr>
          <w:rFonts w:ascii="Arial" w:hAnsi="Arial" w:cs="Arial"/>
          <w:sz w:val="22"/>
          <w:szCs w:val="22"/>
        </w:rPr>
      </w:pPr>
      <w:bookmarkStart w:id="13" w:name="_Hlk85622288"/>
      <w:r>
        <w:rPr>
          <w:rFonts w:ascii="Arial" w:hAnsi="Arial" w:cs="Arial"/>
          <w:sz w:val="22"/>
          <w:szCs w:val="22"/>
          <w:lang w:val="es-CO"/>
        </w:rPr>
        <w:t xml:space="preserve">Como resultado de la evaluación inicialmente se había concluido un cumplimiento de 10 de </w:t>
      </w:r>
      <w:r w:rsidR="00983E94">
        <w:rPr>
          <w:rFonts w:ascii="Arial" w:hAnsi="Arial" w:cs="Arial"/>
          <w:sz w:val="22"/>
          <w:szCs w:val="22"/>
          <w:lang w:val="es-CO"/>
        </w:rPr>
        <w:t xml:space="preserve">las </w:t>
      </w:r>
      <w:r>
        <w:rPr>
          <w:rFonts w:ascii="Arial" w:hAnsi="Arial" w:cs="Arial"/>
          <w:sz w:val="22"/>
          <w:szCs w:val="22"/>
          <w:lang w:val="es-CO"/>
        </w:rPr>
        <w:t>12 actividades que debía evaluar la Dirección General de Apoyo Fiscal</w:t>
      </w:r>
      <w:r w:rsidR="00983E94">
        <w:rPr>
          <w:rFonts w:ascii="Arial" w:hAnsi="Arial" w:cs="Arial"/>
          <w:sz w:val="22"/>
          <w:szCs w:val="22"/>
          <w:lang w:val="es-CO"/>
        </w:rPr>
        <w:t>. S</w:t>
      </w:r>
      <w:r>
        <w:rPr>
          <w:rFonts w:ascii="Arial" w:hAnsi="Arial" w:cs="Arial"/>
          <w:sz w:val="22"/>
          <w:szCs w:val="22"/>
          <w:lang w:val="es-CO"/>
        </w:rPr>
        <w:t>in embargo</w:t>
      </w:r>
      <w:r w:rsidR="00983E94">
        <w:rPr>
          <w:rFonts w:ascii="Arial" w:hAnsi="Arial" w:cs="Arial"/>
          <w:sz w:val="22"/>
          <w:szCs w:val="22"/>
          <w:lang w:val="es-CO"/>
        </w:rPr>
        <w:t>,</w:t>
      </w:r>
      <w:r>
        <w:rPr>
          <w:rFonts w:ascii="Arial" w:hAnsi="Arial" w:cs="Arial"/>
          <w:sz w:val="22"/>
          <w:szCs w:val="22"/>
          <w:lang w:val="es-CO"/>
        </w:rPr>
        <w:t xml:space="preserve"> en el transcurso del término de consulta al Ministerio de Educación Nacional</w:t>
      </w:r>
      <w:r w:rsidR="003B5207">
        <w:rPr>
          <w:rFonts w:ascii="Arial" w:hAnsi="Arial" w:cs="Arial"/>
          <w:sz w:val="22"/>
          <w:szCs w:val="22"/>
          <w:lang w:val="es-CO"/>
        </w:rPr>
        <w:t xml:space="preserve"> </w:t>
      </w:r>
      <w:r>
        <w:rPr>
          <w:rFonts w:ascii="Arial" w:hAnsi="Arial" w:cs="Arial"/>
          <w:sz w:val="22"/>
          <w:szCs w:val="22"/>
          <w:lang w:val="es-CO"/>
        </w:rPr>
        <w:t xml:space="preserve">sobre la continuidad de la medida, </w:t>
      </w:r>
      <w:r>
        <w:rPr>
          <w:rFonts w:ascii="Arial" w:hAnsi="Arial" w:cs="Arial"/>
          <w:sz w:val="22"/>
          <w:szCs w:val="22"/>
        </w:rPr>
        <w:t xml:space="preserve">el Municipio de Ipiales envió oficio con radicado No. </w:t>
      </w:r>
      <w:r>
        <w:rPr>
          <w:rFonts w:ascii="Arial" w:hAnsi="Arial" w:cs="Arial"/>
          <w:sz w:val="22"/>
          <w:szCs w:val="22"/>
          <w:lang w:val="es-CO" w:eastAsia="en-US"/>
        </w:rPr>
        <w:t xml:space="preserve">1-2021-086820 del 1 de octubre de 2021, en el que adjuntó información que evidencia el cumplimento de las dos </w:t>
      </w:r>
      <w:r>
        <w:rPr>
          <w:rFonts w:ascii="Arial" w:hAnsi="Arial" w:cs="Arial"/>
          <w:sz w:val="22"/>
          <w:szCs w:val="22"/>
        </w:rPr>
        <w:t>actividades pendientes relacionadas con Articular y documentar los procesos de gestión y reporte de información financiera del Sector Educación entre la Secretaría de Hacienda y la Secretaría de Educación,</w:t>
      </w:r>
      <w:r w:rsidR="003B5207">
        <w:rPr>
          <w:rFonts w:ascii="Arial" w:hAnsi="Arial" w:cs="Arial"/>
          <w:sz w:val="22"/>
          <w:szCs w:val="22"/>
        </w:rPr>
        <w:t xml:space="preserve"> </w:t>
      </w:r>
      <w:r w:rsidR="00983E94">
        <w:rPr>
          <w:rFonts w:ascii="Arial" w:hAnsi="Arial" w:cs="Arial"/>
          <w:sz w:val="22"/>
          <w:szCs w:val="22"/>
        </w:rPr>
        <w:t xml:space="preserve">y, </w:t>
      </w:r>
      <w:r>
        <w:rPr>
          <w:rFonts w:ascii="Arial" w:hAnsi="Arial" w:cs="Arial"/>
          <w:sz w:val="22"/>
          <w:szCs w:val="22"/>
        </w:rPr>
        <w:t xml:space="preserve">Ejercer los procesos de supervisión o interventoría a la contratación del servicio educativo. Adicionalmente, evidenció la cancelación de la cuenta </w:t>
      </w:r>
      <w:r w:rsidR="00983E94">
        <w:rPr>
          <w:rFonts w:ascii="Arial" w:hAnsi="Arial" w:cs="Arial"/>
          <w:sz w:val="22"/>
          <w:szCs w:val="22"/>
        </w:rPr>
        <w:t xml:space="preserve">bancaria </w:t>
      </w:r>
      <w:r>
        <w:rPr>
          <w:rFonts w:ascii="Arial" w:hAnsi="Arial" w:cs="Arial"/>
          <w:sz w:val="22"/>
          <w:szCs w:val="22"/>
        </w:rPr>
        <w:t xml:space="preserve">diferente a la cuenta maestra </w:t>
      </w:r>
      <w:r w:rsidR="00983E94">
        <w:rPr>
          <w:rFonts w:ascii="Arial" w:hAnsi="Arial" w:cs="Arial"/>
          <w:sz w:val="22"/>
          <w:szCs w:val="22"/>
        </w:rPr>
        <w:t xml:space="preserve">en </w:t>
      </w:r>
      <w:r>
        <w:rPr>
          <w:rFonts w:ascii="Arial" w:hAnsi="Arial" w:cs="Arial"/>
          <w:sz w:val="22"/>
          <w:szCs w:val="22"/>
        </w:rPr>
        <w:t>la cual se estaban reintegrando los recursos del SGP</w:t>
      </w:r>
      <w:r w:rsidR="00983E94">
        <w:rPr>
          <w:rFonts w:ascii="Arial" w:hAnsi="Arial" w:cs="Arial"/>
          <w:sz w:val="22"/>
          <w:szCs w:val="22"/>
        </w:rPr>
        <w:t xml:space="preserve"> – educación</w:t>
      </w:r>
      <w:r>
        <w:rPr>
          <w:rFonts w:ascii="Arial" w:hAnsi="Arial" w:cs="Arial"/>
          <w:sz w:val="22"/>
          <w:szCs w:val="22"/>
        </w:rPr>
        <w:t>.</w:t>
      </w:r>
    </w:p>
    <w:bookmarkEnd w:id="13"/>
    <w:p w:rsidR="007B39D8" w:rsidRDefault="007B39D8" w:rsidP="007B39D8">
      <w:pPr>
        <w:jc w:val="both"/>
        <w:rPr>
          <w:rFonts w:ascii="Arial" w:hAnsi="Arial" w:cs="Arial"/>
          <w:sz w:val="22"/>
          <w:szCs w:val="22"/>
          <w:lang w:val="es-CO"/>
        </w:rPr>
      </w:pPr>
    </w:p>
    <w:p w:rsidR="007B39D8" w:rsidRDefault="007B39D8" w:rsidP="007B39D8">
      <w:pPr>
        <w:jc w:val="both"/>
        <w:rPr>
          <w:rFonts w:ascii="Arial" w:hAnsi="Arial" w:cs="Arial"/>
          <w:sz w:val="22"/>
          <w:szCs w:val="22"/>
          <w:lang w:val="es-CO"/>
        </w:rPr>
      </w:pPr>
      <w:r>
        <w:rPr>
          <w:rFonts w:ascii="Arial" w:hAnsi="Arial" w:cs="Arial"/>
          <w:sz w:val="22"/>
          <w:szCs w:val="22"/>
          <w:lang w:val="es-CO"/>
        </w:rPr>
        <w:t xml:space="preserve">Por lo anterior, se concluye que el </w:t>
      </w:r>
      <w:r>
        <w:fldChar w:fldCharType="begin"/>
      </w:r>
      <w:r>
        <w:rPr>
          <w:rFonts w:ascii="Arial" w:hAnsi="Arial" w:cs="Arial"/>
          <w:sz w:val="22"/>
          <w:szCs w:val="22"/>
        </w:rPr>
        <w:instrText xml:space="preserve"> LINK Excel.SheetMacroEnabled.12 "\\\\MH-EXMOSSSA01.MHEXT.RED\\EncuestasPSFF_Archivos\\Decreto028\\BD\\Excel\\Matriz_2018_Giros_Municipio_Ipiales_Nariño_Sector_Educación.xlsm" "Principal!F6C7" \a \t  \* MERGEFORMAT </w:instrText>
      </w:r>
      <w:r>
        <w:fldChar w:fldCharType="separate"/>
      </w:r>
      <w:r>
        <w:rPr>
          <w:rFonts w:ascii="Arial" w:hAnsi="Arial" w:cs="Arial"/>
          <w:sz w:val="22"/>
          <w:szCs w:val="22"/>
        </w:rPr>
        <w:t>municipio de Ipiales</w:t>
      </w:r>
      <w:r w:rsidR="00983E94">
        <w:rPr>
          <w:rFonts w:ascii="Arial" w:hAnsi="Arial" w:cs="Arial"/>
          <w:sz w:val="22"/>
          <w:szCs w:val="22"/>
        </w:rPr>
        <w:t xml:space="preserve"> - </w:t>
      </w:r>
      <w:r>
        <w:rPr>
          <w:rFonts w:ascii="Arial" w:hAnsi="Arial" w:cs="Arial"/>
          <w:sz w:val="22"/>
          <w:szCs w:val="22"/>
        </w:rPr>
        <w:t>Nariño</w:t>
      </w:r>
      <w:r>
        <w:fldChar w:fldCharType="end"/>
      </w:r>
      <w:r w:rsidR="00983E94">
        <w:t xml:space="preserve"> </w:t>
      </w:r>
      <w:r>
        <w:rPr>
          <w:rFonts w:ascii="Arial" w:hAnsi="Arial" w:cs="Arial"/>
          <w:sz w:val="22"/>
          <w:szCs w:val="22"/>
        </w:rPr>
        <w:t xml:space="preserve">ha cumplido las 12 actividades que debía evaluar la Dirección General de Apoyo Fiscal, contempladas en las </w:t>
      </w:r>
      <w:r>
        <w:lastRenderedPageBreak/>
        <w:fldChar w:fldCharType="begin"/>
      </w:r>
      <w:r>
        <w:rPr>
          <w:rFonts w:ascii="Arial" w:hAnsi="Arial" w:cs="Arial"/>
          <w:sz w:val="22"/>
          <w:szCs w:val="22"/>
        </w:rPr>
        <w:instrText xml:space="preserve"> LINK Excel.SheetMacroEnabled.12 "\\\\MH-EXMOSSSA01.MHEXT.RED\\EncuestasPSFF_Archivos\\Decreto028\\BD\\Excel\\Matriz_2018_Giros_Municipio_Ipiales_Nariño_Sector_Educación.xlsm" "Principal!F10C7" \a \t  \* MERGEFORMAT </w:instrText>
      </w:r>
      <w:r>
        <w:fldChar w:fldCharType="separate"/>
      </w:r>
      <w:r>
        <w:rPr>
          <w:rFonts w:ascii="Arial" w:hAnsi="Arial" w:cs="Arial"/>
          <w:sz w:val="22"/>
          <w:szCs w:val="22"/>
        </w:rPr>
        <w:t>Resoluciones No. 2013 del 11 de julio del 2018</w:t>
      </w:r>
      <w:r>
        <w:fldChar w:fldCharType="end"/>
      </w:r>
      <w:r>
        <w:rPr>
          <w:rFonts w:ascii="Arial" w:hAnsi="Arial" w:cs="Arial"/>
          <w:sz w:val="22"/>
          <w:szCs w:val="22"/>
          <w:lang w:val="es-CO"/>
        </w:rPr>
        <w:t xml:space="preserve"> y</w:t>
      </w:r>
      <w:r>
        <w:rPr>
          <w:rFonts w:ascii="Arial" w:hAnsi="Arial" w:cs="Arial"/>
          <w:sz w:val="22"/>
          <w:szCs w:val="22"/>
        </w:rPr>
        <w:t xml:space="preserve"> 4584 del 05 de diciembre de 2019</w:t>
      </w:r>
      <w:r w:rsidR="00983E94">
        <w:rPr>
          <w:rFonts w:ascii="Arial" w:hAnsi="Arial" w:cs="Arial"/>
          <w:sz w:val="22"/>
          <w:szCs w:val="22"/>
        </w:rPr>
        <w:t>. Así mismo</w:t>
      </w:r>
      <w:r>
        <w:rPr>
          <w:rFonts w:ascii="Arial" w:hAnsi="Arial" w:cs="Arial"/>
          <w:sz w:val="22"/>
          <w:szCs w:val="22"/>
          <w:lang w:val="es-CO"/>
        </w:rPr>
        <w:t>, el</w:t>
      </w:r>
      <w:r w:rsidR="003B5207">
        <w:rPr>
          <w:rFonts w:ascii="Arial" w:hAnsi="Arial" w:cs="Arial"/>
          <w:sz w:val="22"/>
          <w:szCs w:val="22"/>
          <w:lang w:val="es-CO"/>
        </w:rPr>
        <w:t xml:space="preserve"> </w:t>
      </w:r>
      <w:r>
        <w:rPr>
          <w:rFonts w:ascii="Arial" w:hAnsi="Arial" w:cs="Arial"/>
          <w:sz w:val="22"/>
          <w:szCs w:val="22"/>
          <w:lang w:val="es-CO"/>
        </w:rPr>
        <w:t>Ministerio de Educación Nacional en atención a la consulta realizada sobre la continuidad de la medida se pronunció mediante</w:t>
      </w:r>
      <w:r w:rsidR="003B5207">
        <w:rPr>
          <w:rFonts w:ascii="Arial" w:hAnsi="Arial" w:cs="Arial"/>
          <w:sz w:val="22"/>
          <w:szCs w:val="22"/>
          <w:lang w:val="es-CO"/>
        </w:rPr>
        <w:t xml:space="preserve"> </w:t>
      </w:r>
      <w:r>
        <w:rPr>
          <w:rFonts w:ascii="Arial" w:hAnsi="Arial" w:cs="Arial"/>
          <w:sz w:val="22"/>
          <w:szCs w:val="22"/>
          <w:lang w:val="es-CO"/>
        </w:rPr>
        <w:t xml:space="preserve">oficio No. </w:t>
      </w:r>
      <w:r>
        <w:rPr>
          <w:rFonts w:ascii="Arial" w:hAnsi="Arial" w:cs="Arial"/>
          <w:sz w:val="22"/>
          <w:szCs w:val="22"/>
        </w:rPr>
        <w:t>1-2021-088513 del 07 de octubre de 2021</w:t>
      </w:r>
      <w:r w:rsidR="00983E94">
        <w:rPr>
          <w:rFonts w:ascii="Arial" w:hAnsi="Arial" w:cs="Arial"/>
          <w:sz w:val="22"/>
          <w:szCs w:val="22"/>
        </w:rPr>
        <w:t xml:space="preserve">, informando </w:t>
      </w:r>
      <w:r>
        <w:rPr>
          <w:rFonts w:ascii="Arial" w:hAnsi="Arial" w:cs="Arial"/>
          <w:sz w:val="22"/>
          <w:szCs w:val="22"/>
          <w:lang w:val="es-CO"/>
        </w:rPr>
        <w:t xml:space="preserve">el cumplimiento de 3 de las 4 actividades que dicho Ministerio debía evaluar, </w:t>
      </w:r>
      <w:bookmarkEnd w:id="12"/>
      <w:r>
        <w:rPr>
          <w:rFonts w:ascii="Arial" w:hAnsi="Arial" w:cs="Arial"/>
          <w:sz w:val="22"/>
          <w:szCs w:val="22"/>
          <w:lang w:val="es-CO"/>
        </w:rPr>
        <w:t>evidenciándose un cumplimiento del 94% con respecto al total de acciones.</w:t>
      </w:r>
    </w:p>
    <w:p w:rsidR="007B39D8" w:rsidRDefault="007B39D8" w:rsidP="007B39D8">
      <w:pPr>
        <w:jc w:val="both"/>
        <w:rPr>
          <w:rFonts w:ascii="Arial" w:hAnsi="Arial" w:cs="Arial"/>
          <w:sz w:val="22"/>
          <w:szCs w:val="22"/>
          <w:lang w:val="es-CO"/>
        </w:rPr>
      </w:pPr>
    </w:p>
    <w:p w:rsidR="007B39D8" w:rsidRDefault="00983E94" w:rsidP="007B39D8">
      <w:pPr>
        <w:jc w:val="both"/>
        <w:rPr>
          <w:rFonts w:ascii="Arial" w:hAnsi="Arial" w:cs="Arial"/>
          <w:sz w:val="22"/>
          <w:szCs w:val="22"/>
          <w:lang w:val="es-CO"/>
        </w:rPr>
      </w:pPr>
      <w:r>
        <w:rPr>
          <w:rFonts w:ascii="Arial" w:hAnsi="Arial" w:cs="Arial"/>
          <w:sz w:val="22"/>
          <w:szCs w:val="22"/>
          <w:lang w:val="es-CO"/>
        </w:rPr>
        <w:t xml:space="preserve">Igualmente, en el oficio </w:t>
      </w:r>
      <w:r w:rsidR="007B39D8">
        <w:rPr>
          <w:rFonts w:ascii="Arial" w:hAnsi="Arial" w:cs="Arial"/>
          <w:sz w:val="22"/>
          <w:szCs w:val="22"/>
          <w:lang w:val="es-CO"/>
        </w:rPr>
        <w:t xml:space="preserve">remitido por el Ministerio de Educación </w:t>
      </w:r>
      <w:r>
        <w:rPr>
          <w:rFonts w:ascii="Arial" w:hAnsi="Arial" w:cs="Arial"/>
          <w:sz w:val="22"/>
          <w:szCs w:val="22"/>
          <w:lang w:val="es-CO"/>
        </w:rPr>
        <w:t xml:space="preserve">manifestó su </w:t>
      </w:r>
      <w:r w:rsidR="007B39D8">
        <w:rPr>
          <w:rFonts w:ascii="Arial" w:hAnsi="Arial" w:cs="Arial"/>
          <w:sz w:val="22"/>
          <w:szCs w:val="22"/>
          <w:lang w:val="es-CO"/>
        </w:rPr>
        <w:t>acuerdo con el levantamiento parcial de la medida correctiva de suspensión de giros de los recursos de Calidad Matrícula Oficial de la participación de educación del Sistema General de Participaciones. Adicionalmente</w:t>
      </w:r>
      <w:r>
        <w:rPr>
          <w:rFonts w:ascii="Arial" w:hAnsi="Arial" w:cs="Arial"/>
          <w:sz w:val="22"/>
          <w:szCs w:val="22"/>
          <w:lang w:val="es-CO"/>
        </w:rPr>
        <w:t>,</w:t>
      </w:r>
      <w:r w:rsidR="007B39D8">
        <w:rPr>
          <w:rFonts w:ascii="Arial" w:hAnsi="Arial" w:cs="Arial"/>
          <w:sz w:val="22"/>
          <w:szCs w:val="22"/>
          <w:lang w:val="es-CO"/>
        </w:rPr>
        <w:t xml:space="preserve"> identificó en visita de seguimiento </w:t>
      </w:r>
      <w:r>
        <w:rPr>
          <w:rFonts w:ascii="Arial" w:hAnsi="Arial" w:cs="Arial"/>
          <w:sz w:val="22"/>
          <w:szCs w:val="22"/>
          <w:lang w:val="es-CO"/>
        </w:rPr>
        <w:t xml:space="preserve">la falta de ejecución </w:t>
      </w:r>
      <w:r w:rsidR="007B39D8">
        <w:rPr>
          <w:rFonts w:ascii="Arial" w:hAnsi="Arial" w:cs="Arial"/>
          <w:sz w:val="22"/>
          <w:szCs w:val="22"/>
          <w:lang w:val="es-CO"/>
        </w:rPr>
        <w:t xml:space="preserve">de </w:t>
      </w:r>
      <w:r>
        <w:rPr>
          <w:rFonts w:ascii="Arial" w:hAnsi="Arial" w:cs="Arial"/>
          <w:sz w:val="22"/>
          <w:szCs w:val="22"/>
          <w:lang w:val="es-CO"/>
        </w:rPr>
        <w:t xml:space="preserve">los </w:t>
      </w:r>
      <w:r w:rsidR="007B39D8">
        <w:rPr>
          <w:rFonts w:ascii="Arial" w:hAnsi="Arial" w:cs="Arial"/>
          <w:sz w:val="22"/>
          <w:szCs w:val="22"/>
          <w:lang w:val="es-CO"/>
        </w:rPr>
        <w:t xml:space="preserve">recursos </w:t>
      </w:r>
      <w:r>
        <w:rPr>
          <w:rFonts w:ascii="Arial" w:hAnsi="Arial" w:cs="Arial"/>
          <w:sz w:val="22"/>
          <w:szCs w:val="22"/>
          <w:lang w:val="es-CO"/>
        </w:rPr>
        <w:t xml:space="preserve">asignados al Municipio de Ipiales para la atención </w:t>
      </w:r>
      <w:r w:rsidR="007B39D8">
        <w:rPr>
          <w:rFonts w:ascii="Arial" w:hAnsi="Arial" w:cs="Arial"/>
          <w:sz w:val="22"/>
          <w:szCs w:val="22"/>
          <w:lang w:val="es-CO"/>
        </w:rPr>
        <w:t>de Internados y de</w:t>
      </w:r>
      <w:r>
        <w:rPr>
          <w:rFonts w:ascii="Arial" w:hAnsi="Arial" w:cs="Arial"/>
          <w:sz w:val="22"/>
          <w:szCs w:val="22"/>
          <w:lang w:val="es-CO"/>
        </w:rPr>
        <w:t>l Sistema de</w:t>
      </w:r>
      <w:r w:rsidR="007B39D8">
        <w:rPr>
          <w:rFonts w:ascii="Arial" w:hAnsi="Arial" w:cs="Arial"/>
          <w:sz w:val="22"/>
          <w:szCs w:val="22"/>
          <w:lang w:val="es-CO"/>
        </w:rPr>
        <w:t xml:space="preserve"> Responsabilidad Penal Adolescente</w:t>
      </w:r>
      <w:r>
        <w:rPr>
          <w:rFonts w:ascii="Arial" w:hAnsi="Arial" w:cs="Arial"/>
          <w:sz w:val="22"/>
          <w:szCs w:val="22"/>
          <w:lang w:val="es-CO"/>
        </w:rPr>
        <w:t xml:space="preserve">, tanto en </w:t>
      </w:r>
      <w:r w:rsidR="007B39D8">
        <w:rPr>
          <w:rFonts w:ascii="Arial" w:hAnsi="Arial" w:cs="Arial"/>
          <w:sz w:val="22"/>
          <w:szCs w:val="22"/>
          <w:lang w:val="es-CO"/>
        </w:rPr>
        <w:t>la vigencia 2020</w:t>
      </w:r>
      <w:r>
        <w:rPr>
          <w:rFonts w:ascii="Arial" w:hAnsi="Arial" w:cs="Arial"/>
          <w:sz w:val="22"/>
          <w:szCs w:val="22"/>
          <w:lang w:val="es-CO"/>
        </w:rPr>
        <w:t xml:space="preserve"> como en lo corrido </w:t>
      </w:r>
      <w:r w:rsidR="007B39D8">
        <w:rPr>
          <w:rFonts w:ascii="Arial" w:hAnsi="Arial" w:cs="Arial"/>
          <w:sz w:val="22"/>
          <w:szCs w:val="22"/>
          <w:lang w:val="es-CO"/>
        </w:rPr>
        <w:t>de 2021.</w:t>
      </w:r>
    </w:p>
    <w:p w:rsidR="007B39D8" w:rsidRDefault="007B39D8" w:rsidP="007B39D8">
      <w:pPr>
        <w:jc w:val="both"/>
        <w:rPr>
          <w:rFonts w:ascii="Arial" w:hAnsi="Arial" w:cs="Arial"/>
          <w:sz w:val="22"/>
          <w:szCs w:val="22"/>
          <w:lang w:val="es-CO"/>
        </w:rPr>
      </w:pPr>
    </w:p>
    <w:p w:rsidR="007B39D8" w:rsidRDefault="00983E94" w:rsidP="007B39D8">
      <w:pPr>
        <w:jc w:val="both"/>
        <w:rPr>
          <w:rFonts w:ascii="Arial" w:hAnsi="Arial" w:cs="Arial"/>
          <w:sz w:val="22"/>
          <w:szCs w:val="22"/>
        </w:rPr>
      </w:pPr>
      <w:r>
        <w:rPr>
          <w:rFonts w:ascii="Arial" w:hAnsi="Arial" w:cs="Arial"/>
          <w:sz w:val="22"/>
          <w:szCs w:val="22"/>
        </w:rPr>
        <w:t>Así las cosas, t</w:t>
      </w:r>
      <w:r w:rsidR="007B39D8">
        <w:rPr>
          <w:rFonts w:ascii="Arial" w:hAnsi="Arial" w:cs="Arial"/>
          <w:sz w:val="22"/>
          <w:szCs w:val="22"/>
        </w:rPr>
        <w:t>eniendo en cuenta la evaluación realizada por la Dirección General de Apoyo Fiscal, la información remitida posteriormente por la entidad y la evaluación del Ministerio de Educación Nacional queda 1 actividad pendiente de la medida y 4 hallazgos sobrevinientes que se deben subsanar.</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22"/>
          <w:szCs w:val="22"/>
        </w:rPr>
      </w:pPr>
      <w:r>
        <w:rPr>
          <w:rFonts w:ascii="Arial" w:eastAsiaTheme="minorHAnsi" w:hAnsi="Arial" w:cs="Arial"/>
          <w:sz w:val="22"/>
          <w:szCs w:val="22"/>
          <w:lang w:val="es-CO" w:eastAsia="en-US"/>
        </w:rPr>
        <w:t>En consecuencia</w:t>
      </w:r>
      <w:r>
        <w:rPr>
          <w:rFonts w:ascii="Arial" w:hAnsi="Arial" w:cs="Arial"/>
          <w:sz w:val="22"/>
          <w:szCs w:val="22"/>
        </w:rPr>
        <w:t xml:space="preserve"> se considera</w:t>
      </w:r>
      <w:r w:rsidR="003B5207">
        <w:rPr>
          <w:rFonts w:ascii="Arial" w:hAnsi="Arial" w:cs="Arial"/>
          <w:sz w:val="22"/>
          <w:szCs w:val="22"/>
        </w:rPr>
        <w:t xml:space="preserve"> </w:t>
      </w:r>
      <w:r>
        <w:rPr>
          <w:rFonts w:ascii="Arial" w:hAnsi="Arial" w:cs="Arial"/>
          <w:sz w:val="22"/>
          <w:szCs w:val="22"/>
        </w:rPr>
        <w:t xml:space="preserve">procedente el levantamiento parcial de la medida correctiva, </w:t>
      </w:r>
      <w:r w:rsidR="00983E94">
        <w:rPr>
          <w:rFonts w:ascii="Arial" w:hAnsi="Arial" w:cs="Arial"/>
          <w:sz w:val="22"/>
          <w:szCs w:val="22"/>
        </w:rPr>
        <w:t xml:space="preserve">proporcional al porcentaje de cumplimiento sobre los recursos retenidos, </w:t>
      </w:r>
      <w:r>
        <w:rPr>
          <w:rFonts w:ascii="Arial" w:hAnsi="Arial" w:cs="Arial"/>
          <w:sz w:val="22"/>
          <w:szCs w:val="22"/>
        </w:rPr>
        <w:t>con el fin de garantizar la continuidad, cobertura y calidad en la prestación del servicio educativo de su jurisdicción</w:t>
      </w:r>
      <w:r w:rsidR="00983E94">
        <w:rPr>
          <w:rFonts w:ascii="Arial" w:hAnsi="Arial" w:cs="Arial"/>
          <w:sz w:val="22"/>
          <w:szCs w:val="22"/>
        </w:rPr>
        <w:t>. El saldo</w:t>
      </w:r>
      <w:r>
        <w:rPr>
          <w:rFonts w:ascii="Arial" w:hAnsi="Arial" w:cs="Arial"/>
          <w:sz w:val="22"/>
          <w:szCs w:val="22"/>
        </w:rPr>
        <w:t xml:space="preserve">, </w:t>
      </w:r>
      <w:r w:rsidR="00983E94">
        <w:rPr>
          <w:rFonts w:ascii="Arial" w:hAnsi="Arial" w:cs="Arial"/>
          <w:sz w:val="22"/>
          <w:szCs w:val="22"/>
        </w:rPr>
        <w:t xml:space="preserve">proporcional al porcentaje incumplido, y </w:t>
      </w:r>
      <w:r>
        <w:rPr>
          <w:rFonts w:ascii="Arial" w:hAnsi="Arial" w:cs="Arial"/>
          <w:sz w:val="22"/>
          <w:szCs w:val="22"/>
        </w:rPr>
        <w:t>los giros subsiguientes continú</w:t>
      </w:r>
      <w:r w:rsidR="00983E94">
        <w:rPr>
          <w:rFonts w:ascii="Arial" w:hAnsi="Arial" w:cs="Arial"/>
          <w:sz w:val="22"/>
          <w:szCs w:val="22"/>
        </w:rPr>
        <w:t>a</w:t>
      </w:r>
      <w:r>
        <w:rPr>
          <w:rFonts w:ascii="Arial" w:hAnsi="Arial" w:cs="Arial"/>
          <w:sz w:val="22"/>
          <w:szCs w:val="22"/>
        </w:rPr>
        <w:t xml:space="preserve">n suspendidos </w:t>
      </w:r>
      <w:bookmarkStart w:id="14" w:name="_Hlk85622508"/>
      <w:r>
        <w:rPr>
          <w:rFonts w:ascii="Arial" w:eastAsiaTheme="minorHAnsi" w:hAnsi="Arial" w:cs="Arial"/>
          <w:sz w:val="22"/>
          <w:szCs w:val="22"/>
          <w:lang w:val="es-CO" w:eastAsia="en-US"/>
        </w:rPr>
        <w:t>hasta tanto el municipio evidencie</w:t>
      </w:r>
      <w:bookmarkEnd w:id="14"/>
      <w:r>
        <w:rPr>
          <w:rFonts w:ascii="Arial" w:eastAsiaTheme="minorHAnsi" w:hAnsi="Arial" w:cs="Arial"/>
          <w:sz w:val="22"/>
          <w:szCs w:val="22"/>
          <w:lang w:val="es-CO" w:eastAsia="en-US"/>
        </w:rPr>
        <w:t xml:space="preserve"> el cumplimiento de la actividad: </w:t>
      </w:r>
      <w:r>
        <w:rPr>
          <w:rFonts w:ascii="Arial" w:hAnsi="Arial" w:cs="Arial"/>
          <w:sz w:val="22"/>
          <w:szCs w:val="22"/>
        </w:rPr>
        <w:t xml:space="preserve">“Dar cumplimiento a los topes establecidos para horas extras en la circular 18 de 2016 del Ministerio de Educación Nacional” y </w:t>
      </w:r>
      <w:r w:rsidR="00983E94">
        <w:rPr>
          <w:rFonts w:ascii="Arial" w:hAnsi="Arial" w:cs="Arial"/>
          <w:sz w:val="22"/>
          <w:szCs w:val="22"/>
        </w:rPr>
        <w:t xml:space="preserve">adicionalmente </w:t>
      </w:r>
      <w:r>
        <w:rPr>
          <w:rFonts w:ascii="Arial" w:hAnsi="Arial" w:cs="Arial"/>
          <w:sz w:val="22"/>
          <w:szCs w:val="22"/>
        </w:rPr>
        <w:t>se subsanen los hallazgos sobrevinientes identificados por la Dirección General de Apoyo Fiscal</w:t>
      </w:r>
      <w:r w:rsidR="003B5207">
        <w:rPr>
          <w:rFonts w:ascii="Arial" w:hAnsi="Arial" w:cs="Arial"/>
          <w:sz w:val="22"/>
          <w:szCs w:val="22"/>
        </w:rPr>
        <w:t xml:space="preserve"> </w:t>
      </w:r>
      <w:r>
        <w:rPr>
          <w:rFonts w:ascii="Arial" w:hAnsi="Arial" w:cs="Arial"/>
          <w:sz w:val="22"/>
          <w:szCs w:val="22"/>
        </w:rPr>
        <w:t>y el Ministerio de Educación Nacional</w:t>
      </w:r>
      <w:r w:rsidR="00983E94">
        <w:rPr>
          <w:rFonts w:ascii="Arial" w:hAnsi="Arial" w:cs="Arial"/>
          <w:sz w:val="22"/>
          <w:szCs w:val="22"/>
        </w:rPr>
        <w:t>,</w:t>
      </w:r>
      <w:r>
        <w:rPr>
          <w:rFonts w:ascii="Arial" w:hAnsi="Arial" w:cs="Arial"/>
          <w:sz w:val="22"/>
          <w:szCs w:val="22"/>
        </w:rPr>
        <w:t xml:space="preserve"> relacionados con gastos administrativos por encima del porcentaje autorizado, pago de horas extras de vigencia 2019 con recursos SGP de la vigencia 2020 y la no ejecución de recursos de Internados y de Responsabilidad Penal Adolescente.</w:t>
      </w:r>
    </w:p>
    <w:p w:rsidR="007B39D8" w:rsidRDefault="007B39D8" w:rsidP="007B39D8">
      <w:pPr>
        <w:jc w:val="both"/>
        <w:rPr>
          <w:rFonts w:ascii="Arial" w:hAnsi="Arial" w:cs="Arial"/>
          <w:sz w:val="22"/>
          <w:szCs w:val="22"/>
        </w:rPr>
      </w:pPr>
    </w:p>
    <w:p w:rsidR="007B39D8" w:rsidRDefault="007B39D8" w:rsidP="007B39D8">
      <w:pPr>
        <w:jc w:val="both"/>
        <w:rPr>
          <w:rFonts w:ascii="Arial" w:hAnsi="Arial" w:cs="Arial"/>
          <w:sz w:val="16"/>
          <w:szCs w:val="16"/>
        </w:rPr>
      </w:pPr>
      <w:r>
        <w:rPr>
          <w:rFonts w:ascii="Arial" w:hAnsi="Arial" w:cs="Arial"/>
          <w:sz w:val="16"/>
          <w:szCs w:val="16"/>
        </w:rPr>
        <w:t>Aprobó: Fernando Olivera</w:t>
      </w:r>
      <w:bookmarkStart w:id="15" w:name="REVISA_MC"/>
    </w:p>
    <w:p w:rsidR="007B39D8" w:rsidRDefault="007B39D8" w:rsidP="007B39D8">
      <w:pPr>
        <w:jc w:val="both"/>
        <w:rPr>
          <w:rFonts w:ascii="Arial" w:hAnsi="Arial" w:cs="Arial"/>
          <w:sz w:val="16"/>
          <w:szCs w:val="16"/>
        </w:rPr>
      </w:pPr>
      <w:r>
        <w:rPr>
          <w:rFonts w:ascii="Arial" w:hAnsi="Arial" w:cs="Arial"/>
          <w:sz w:val="16"/>
          <w:szCs w:val="16"/>
        </w:rPr>
        <w:t>Revisión jurídica: Natalia Espitia</w:t>
      </w:r>
    </w:p>
    <w:p w:rsidR="007B39D8" w:rsidRDefault="007B39D8" w:rsidP="007B39D8">
      <w:pPr>
        <w:jc w:val="both"/>
        <w:rPr>
          <w:rFonts w:ascii="Arial" w:hAnsi="Arial" w:cs="Arial"/>
          <w:sz w:val="16"/>
          <w:szCs w:val="16"/>
        </w:rPr>
      </w:pPr>
      <w:r>
        <w:rPr>
          <w:rFonts w:ascii="Arial" w:hAnsi="Arial" w:cs="Arial"/>
          <w:sz w:val="16"/>
          <w:szCs w:val="16"/>
        </w:rPr>
        <w:t>Revisión técnica: Liz Rey</w:t>
      </w:r>
      <w:bookmarkEnd w:id="15"/>
    </w:p>
    <w:p w:rsidR="007B39D8" w:rsidRDefault="007B39D8" w:rsidP="007B39D8">
      <w:pPr>
        <w:jc w:val="both"/>
        <w:rPr>
          <w:rFonts w:ascii="Arial" w:hAnsi="Arial" w:cs="Arial"/>
          <w:sz w:val="16"/>
          <w:szCs w:val="16"/>
        </w:rPr>
      </w:pPr>
      <w:r>
        <w:rPr>
          <w:rFonts w:ascii="Arial" w:hAnsi="Arial" w:cs="Arial"/>
          <w:sz w:val="16"/>
          <w:szCs w:val="16"/>
        </w:rPr>
        <w:t xml:space="preserve">Elaboró: </w:t>
      </w:r>
      <w:bookmarkStart w:id="16" w:name="ELABORA"/>
      <w:bookmarkEnd w:id="16"/>
      <w:r>
        <w:rPr>
          <w:rFonts w:ascii="Arial" w:hAnsi="Arial" w:cs="Arial"/>
          <w:sz w:val="16"/>
          <w:szCs w:val="16"/>
        </w:rPr>
        <w:t xml:space="preserve">Genny Rivera </w:t>
      </w:r>
    </w:p>
    <w:p w:rsidR="007B39D8" w:rsidRDefault="007B39D8" w:rsidP="007B39D8">
      <w:pPr>
        <w:rPr>
          <w:rFonts w:ascii="Arial" w:hAnsi="Arial" w:cs="Arial"/>
          <w:sz w:val="16"/>
          <w:szCs w:val="16"/>
        </w:rPr>
      </w:pPr>
      <w:r>
        <w:rPr>
          <w:rFonts w:ascii="Arial" w:hAnsi="Arial" w:cs="Arial"/>
          <w:sz w:val="16"/>
          <w:szCs w:val="16"/>
        </w:rPr>
        <w:t xml:space="preserve"> </w:t>
      </w:r>
    </w:p>
    <w:p w:rsidR="007B39D8" w:rsidRDefault="007B39D8" w:rsidP="007B39D8"/>
    <w:p w:rsidR="007B39D8" w:rsidRDefault="007B39D8" w:rsidP="007B39D8"/>
    <w:p w:rsidR="00F01F75" w:rsidRPr="00927810" w:rsidRDefault="00F01F75" w:rsidP="00927810"/>
    <w:sectPr w:rsidR="00F01F75" w:rsidRPr="00927810" w:rsidSect="004E432F">
      <w:headerReference w:type="default" r:id="rId31"/>
      <w:footerReference w:type="default" r:id="rId32"/>
      <w:headerReference w:type="first" r:id="rId33"/>
      <w:footerReference w:type="first" r:id="rId34"/>
      <w:pgSz w:w="12240" w:h="15840" w:code="1"/>
      <w:pgMar w:top="1985"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960" w:rsidRDefault="00513960" w:rsidP="00F71345">
      <w:r>
        <w:separator/>
      </w:r>
    </w:p>
  </w:endnote>
  <w:endnote w:type="continuationSeparator" w:id="0">
    <w:p w:rsidR="00513960" w:rsidRDefault="00513960"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44F" w:rsidRPr="00F01F75" w:rsidRDefault="00F3444F" w:rsidP="00F01F75">
    <w:pPr>
      <w:pStyle w:val="Piedepgina"/>
    </w:pPr>
    <w:r>
      <w:rPr>
        <w:noProof/>
        <w:lang w:eastAsia="es-CO"/>
      </w:rPr>
      <w:drawing>
        <wp:inline distT="0" distB="0" distL="0" distR="0">
          <wp:extent cx="3399155" cy="1014095"/>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44F" w:rsidRPr="00F3444F" w:rsidRDefault="00F3444F" w:rsidP="00F3444F">
    <w:pPr>
      <w:pStyle w:val="Piedepgina"/>
    </w:pPr>
    <w:r>
      <w:rPr>
        <w:noProof/>
        <w:lang w:eastAsia="es-CO"/>
      </w:rPr>
      <w:drawing>
        <wp:inline distT="0" distB="0" distL="0" distR="0">
          <wp:extent cx="3399155" cy="1014095"/>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960" w:rsidRDefault="00513960" w:rsidP="00F71345">
      <w:r>
        <w:separator/>
      </w:r>
    </w:p>
  </w:footnote>
  <w:footnote w:type="continuationSeparator" w:id="0">
    <w:p w:rsidR="00513960" w:rsidRDefault="00513960" w:rsidP="00F71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44F" w:rsidRDefault="00F3444F" w:rsidP="00A82889">
    <w:pPr>
      <w:jc w:val="right"/>
      <w:rPr>
        <w:rFonts w:ascii="Arial" w:hAnsi="Arial" w:cs="Arial"/>
        <w:sz w:val="16"/>
        <w:szCs w:val="16"/>
      </w:rPr>
    </w:pPr>
  </w:p>
  <w:p w:rsidR="00F3444F" w:rsidRDefault="00F3444F" w:rsidP="00A82889">
    <w:pPr>
      <w:jc w:val="right"/>
      <w:rPr>
        <w:rFonts w:ascii="Arial" w:hAnsi="Arial" w:cs="Arial"/>
        <w:sz w:val="16"/>
        <w:szCs w:val="16"/>
      </w:rPr>
    </w:pPr>
  </w:p>
  <w:p w:rsidR="00F3444F" w:rsidRDefault="00F3444F" w:rsidP="00F01F75">
    <w:pPr>
      <w:pStyle w:val="Encabezado"/>
      <w:rPr>
        <w:rFonts w:ascii="Arial" w:hAnsi="Arial" w:cs="Arial"/>
        <w:sz w:val="16"/>
        <w:szCs w:val="16"/>
      </w:rPr>
    </w:pPr>
    <w:r>
      <w:rPr>
        <w:noProof/>
        <w:lang w:eastAsia="es-CO"/>
      </w:rPr>
      <w:drawing>
        <wp:inline distT="0" distB="0" distL="0" distR="0">
          <wp:extent cx="3286125" cy="666750"/>
          <wp:effectExtent l="0" t="0" r="9525" b="0"/>
          <wp:docPr id="7" name="Imagen 7"/>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3286125" cy="666750"/>
                  </a:xfrm>
                  <a:prstGeom prst="rect">
                    <a:avLst/>
                  </a:prstGeom>
                </pic:spPr>
              </pic:pic>
            </a:graphicData>
          </a:graphic>
        </wp:inline>
      </w:drawing>
    </w:r>
  </w:p>
  <w:p w:rsidR="00F3444F" w:rsidRPr="00F01F75" w:rsidRDefault="00F3444F" w:rsidP="00F01F75">
    <w:pPr>
      <w:pStyle w:val="Encabezado"/>
      <w:rPr>
        <w:rFonts w:ascii="Arial" w:hAnsi="Arial" w:cs="Arial"/>
        <w:sz w:val="16"/>
        <w:szCs w:val="16"/>
      </w:rPr>
    </w:pPr>
    <w:r w:rsidRPr="00F01F75">
      <w:rPr>
        <w:rFonts w:ascii="Arial" w:hAnsi="Arial" w:cs="Arial"/>
        <w:sz w:val="16"/>
        <w:szCs w:val="16"/>
      </w:rPr>
      <w:t xml:space="preserve">Continuación </w:t>
    </w:r>
    <w:r>
      <w:rPr>
        <w:rFonts w:ascii="Arial" w:hAnsi="Arial" w:cs="Arial"/>
        <w:sz w:val="16"/>
        <w:szCs w:val="16"/>
      </w:rPr>
      <w:t>informe</w:t>
    </w:r>
    <w:r w:rsidR="003B5207">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0873E1">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0873E1">
      <w:rPr>
        <w:rStyle w:val="Nmerodepgina"/>
        <w:rFonts w:ascii="Arial" w:hAnsi="Arial" w:cs="Arial"/>
        <w:noProof/>
        <w:sz w:val="16"/>
        <w:szCs w:val="16"/>
      </w:rPr>
      <w:t>30</w:t>
    </w:r>
    <w:r w:rsidRPr="00F01F75">
      <w:rPr>
        <w:rStyle w:val="Nmerodepgina"/>
        <w:rFonts w:ascii="Arial" w:hAnsi="Arial" w:cs="Arial"/>
        <w:sz w:val="16"/>
        <w:szCs w:val="16"/>
      </w:rPr>
      <w:fldChar w:fldCharType="end"/>
    </w:r>
  </w:p>
  <w:p w:rsidR="00F3444F" w:rsidRPr="00F01F75" w:rsidRDefault="00F3444F">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44F" w:rsidRDefault="00F3444F" w:rsidP="00F3444F">
    <w:pPr>
      <w:pStyle w:val="Encabezado"/>
      <w:jc w:val="both"/>
    </w:pPr>
    <w:r>
      <w:rPr>
        <w:noProof/>
        <w:lang w:eastAsia="es-CO"/>
      </w:rPr>
      <w:drawing>
        <wp:inline distT="0" distB="0" distL="0" distR="0">
          <wp:extent cx="3286125" cy="6667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3286125" cy="66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05A40"/>
    <w:multiLevelType w:val="hybridMultilevel"/>
    <w:tmpl w:val="7780F510"/>
    <w:lvl w:ilvl="0" w:tplc="240A0015">
      <w:start w:val="1"/>
      <w:numFmt w:val="upperLetter"/>
      <w:lvlText w:val="%1."/>
      <w:lvlJc w:val="left"/>
      <w:pPr>
        <w:ind w:left="36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0A7B449F"/>
    <w:multiLevelType w:val="hybridMultilevel"/>
    <w:tmpl w:val="E0DAA7D4"/>
    <w:lvl w:ilvl="0" w:tplc="01BCF11A">
      <w:start w:val="1"/>
      <w:numFmt w:val="decimal"/>
      <w:lvlText w:val="(%1)"/>
      <w:lvlJc w:val="left"/>
      <w:pPr>
        <w:ind w:left="720" w:hanging="360"/>
      </w:pPr>
      <w:rPr>
        <w:i w:val="0"/>
        <w:iCs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0A894F07"/>
    <w:multiLevelType w:val="hybridMultilevel"/>
    <w:tmpl w:val="5F8A9778"/>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0C9B495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A3E6694"/>
    <w:multiLevelType w:val="hybridMultilevel"/>
    <w:tmpl w:val="EFA403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0E74B7"/>
    <w:multiLevelType w:val="hybridMultilevel"/>
    <w:tmpl w:val="B296CE7A"/>
    <w:lvl w:ilvl="0" w:tplc="C60A2706">
      <w:numFmt w:val="bullet"/>
      <w:lvlText w:val="·"/>
      <w:lvlJc w:val="left"/>
      <w:pPr>
        <w:ind w:left="360" w:hanging="360"/>
      </w:pPr>
      <w:rPr>
        <w:rFonts w:ascii="Arial" w:eastAsiaTheme="minorHAnsi" w:hAnsi="Arial" w:cs="Arial" w:hint="default"/>
      </w:rPr>
    </w:lvl>
    <w:lvl w:ilvl="1" w:tplc="C60A2706">
      <w:numFmt w:val="bullet"/>
      <w:lvlText w:val="·"/>
      <w:lvlJc w:val="left"/>
      <w:pPr>
        <w:ind w:left="1080" w:hanging="36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3C75191"/>
    <w:multiLevelType w:val="hybridMultilevel"/>
    <w:tmpl w:val="4F783992"/>
    <w:lvl w:ilvl="0" w:tplc="9EF49688">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2ABF274D"/>
    <w:multiLevelType w:val="hybridMultilevel"/>
    <w:tmpl w:val="4C6646A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C3F35E7"/>
    <w:multiLevelType w:val="hybridMultilevel"/>
    <w:tmpl w:val="7F30CE8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34794DB8"/>
    <w:multiLevelType w:val="hybridMultilevel"/>
    <w:tmpl w:val="8BF6FDD4"/>
    <w:lvl w:ilvl="0" w:tplc="240A0001">
      <w:start w:val="1"/>
      <w:numFmt w:val="bullet"/>
      <w:lvlText w:val=""/>
      <w:lvlJc w:val="left"/>
      <w:pPr>
        <w:ind w:left="360" w:hanging="360"/>
      </w:pPr>
      <w:rPr>
        <w:rFonts w:ascii="Symbol" w:hAnsi="Symbol" w:hint="default"/>
      </w:rPr>
    </w:lvl>
    <w:lvl w:ilvl="1" w:tplc="C60A2706">
      <w:numFmt w:val="bullet"/>
      <w:lvlText w:val="·"/>
      <w:lvlJc w:val="left"/>
      <w:pPr>
        <w:ind w:left="1080" w:hanging="36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353B631C"/>
    <w:multiLevelType w:val="hybridMultilevel"/>
    <w:tmpl w:val="0CBCC9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1BB3091"/>
    <w:multiLevelType w:val="hybridMultilevel"/>
    <w:tmpl w:val="54524884"/>
    <w:lvl w:ilvl="0" w:tplc="34F858FC">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447758"/>
    <w:multiLevelType w:val="hybridMultilevel"/>
    <w:tmpl w:val="76C0268C"/>
    <w:lvl w:ilvl="0" w:tplc="C60A2706">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5576483A"/>
    <w:multiLevelType w:val="hybridMultilevel"/>
    <w:tmpl w:val="D286D4F6"/>
    <w:lvl w:ilvl="0" w:tplc="A34C06C2">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724F19BF"/>
    <w:multiLevelType w:val="hybridMultilevel"/>
    <w:tmpl w:val="1FBE3674"/>
    <w:lvl w:ilvl="0" w:tplc="24C066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438489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B7038FA"/>
    <w:multiLevelType w:val="hybridMultilevel"/>
    <w:tmpl w:val="63C4B28A"/>
    <w:lvl w:ilvl="0" w:tplc="24C06654">
      <w:start w:val="1"/>
      <w:numFmt w:val="upperRoman"/>
      <w:lvlText w:val="%1."/>
      <w:lvlJc w:val="left"/>
      <w:pPr>
        <w:ind w:left="1080" w:hanging="720"/>
      </w:pPr>
      <w:rPr>
        <w:rFonts w:hint="default"/>
      </w:rPr>
    </w:lvl>
    <w:lvl w:ilvl="1" w:tplc="C60A2706">
      <w:numFmt w:val="bullet"/>
      <w:lvlText w:val="·"/>
      <w:lvlJc w:val="left"/>
      <w:pPr>
        <w:ind w:left="1440"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16"/>
  </w:num>
  <w:num w:numId="3">
    <w:abstractNumId w:val="7"/>
  </w:num>
  <w:num w:numId="4">
    <w:abstractNumId w:val="14"/>
  </w:num>
  <w:num w:numId="5">
    <w:abstractNumId w:val="3"/>
  </w:num>
  <w:num w:numId="6">
    <w:abstractNumId w:val="15"/>
  </w:num>
  <w:num w:numId="7">
    <w:abstractNumId w:val="11"/>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73A1F"/>
    <w:rsid w:val="000873E1"/>
    <w:rsid w:val="000877D1"/>
    <w:rsid w:val="0011263A"/>
    <w:rsid w:val="001339E2"/>
    <w:rsid w:val="0013472A"/>
    <w:rsid w:val="00153C65"/>
    <w:rsid w:val="001976D2"/>
    <w:rsid w:val="001F7009"/>
    <w:rsid w:val="0022264A"/>
    <w:rsid w:val="0024487B"/>
    <w:rsid w:val="002A6351"/>
    <w:rsid w:val="002B2E03"/>
    <w:rsid w:val="002C4777"/>
    <w:rsid w:val="0033289D"/>
    <w:rsid w:val="0034312A"/>
    <w:rsid w:val="00365AE0"/>
    <w:rsid w:val="003B4DD5"/>
    <w:rsid w:val="003B5207"/>
    <w:rsid w:val="003C6D25"/>
    <w:rsid w:val="003D798F"/>
    <w:rsid w:val="003E632D"/>
    <w:rsid w:val="00410C94"/>
    <w:rsid w:val="0044344C"/>
    <w:rsid w:val="00452CAE"/>
    <w:rsid w:val="00472DB8"/>
    <w:rsid w:val="00473B82"/>
    <w:rsid w:val="004A2D09"/>
    <w:rsid w:val="004B16C1"/>
    <w:rsid w:val="004E432F"/>
    <w:rsid w:val="004E7B18"/>
    <w:rsid w:val="00504C0C"/>
    <w:rsid w:val="00513960"/>
    <w:rsid w:val="005551D8"/>
    <w:rsid w:val="00561999"/>
    <w:rsid w:val="005B2D9A"/>
    <w:rsid w:val="005C6301"/>
    <w:rsid w:val="005D37BA"/>
    <w:rsid w:val="005E1133"/>
    <w:rsid w:val="00602888"/>
    <w:rsid w:val="00622A3D"/>
    <w:rsid w:val="006252FE"/>
    <w:rsid w:val="00625FC7"/>
    <w:rsid w:val="0063188F"/>
    <w:rsid w:val="00654EE8"/>
    <w:rsid w:val="00687E5C"/>
    <w:rsid w:val="006A29E0"/>
    <w:rsid w:val="006C2B4A"/>
    <w:rsid w:val="006E18DB"/>
    <w:rsid w:val="00700DAA"/>
    <w:rsid w:val="00702037"/>
    <w:rsid w:val="00720A5F"/>
    <w:rsid w:val="00736096"/>
    <w:rsid w:val="00774DC9"/>
    <w:rsid w:val="007760F2"/>
    <w:rsid w:val="007B39D8"/>
    <w:rsid w:val="007D7427"/>
    <w:rsid w:val="00804184"/>
    <w:rsid w:val="008540DC"/>
    <w:rsid w:val="00862A45"/>
    <w:rsid w:val="00870E09"/>
    <w:rsid w:val="00874628"/>
    <w:rsid w:val="008A2D0E"/>
    <w:rsid w:val="008C705B"/>
    <w:rsid w:val="00927810"/>
    <w:rsid w:val="00931D87"/>
    <w:rsid w:val="00983E94"/>
    <w:rsid w:val="00996E4F"/>
    <w:rsid w:val="009A14D9"/>
    <w:rsid w:val="009C57BA"/>
    <w:rsid w:val="009F1853"/>
    <w:rsid w:val="00A45C91"/>
    <w:rsid w:val="00A82889"/>
    <w:rsid w:val="00A94B99"/>
    <w:rsid w:val="00AD0830"/>
    <w:rsid w:val="00B038F3"/>
    <w:rsid w:val="00B12358"/>
    <w:rsid w:val="00B22F0D"/>
    <w:rsid w:val="00B44184"/>
    <w:rsid w:val="00B51957"/>
    <w:rsid w:val="00B55C53"/>
    <w:rsid w:val="00B55E28"/>
    <w:rsid w:val="00B74688"/>
    <w:rsid w:val="00BB5205"/>
    <w:rsid w:val="00BC1762"/>
    <w:rsid w:val="00BD357D"/>
    <w:rsid w:val="00BE440E"/>
    <w:rsid w:val="00C30590"/>
    <w:rsid w:val="00C447A9"/>
    <w:rsid w:val="00C668DD"/>
    <w:rsid w:val="00CA5028"/>
    <w:rsid w:val="00D2162C"/>
    <w:rsid w:val="00D45F04"/>
    <w:rsid w:val="00DC25D3"/>
    <w:rsid w:val="00DD3C5C"/>
    <w:rsid w:val="00DD4C14"/>
    <w:rsid w:val="00DF13EB"/>
    <w:rsid w:val="00E40689"/>
    <w:rsid w:val="00E543C2"/>
    <w:rsid w:val="00E61E67"/>
    <w:rsid w:val="00E81E8B"/>
    <w:rsid w:val="00E962A5"/>
    <w:rsid w:val="00E97BFD"/>
    <w:rsid w:val="00EB5584"/>
    <w:rsid w:val="00EE231F"/>
    <w:rsid w:val="00EF523B"/>
    <w:rsid w:val="00F01F75"/>
    <w:rsid w:val="00F04D0A"/>
    <w:rsid w:val="00F12AF4"/>
    <w:rsid w:val="00F17232"/>
    <w:rsid w:val="00F229AE"/>
    <w:rsid w:val="00F3444F"/>
    <w:rsid w:val="00F65748"/>
    <w:rsid w:val="00F71345"/>
    <w:rsid w:val="00F970D0"/>
    <w:rsid w:val="00FB58C7"/>
    <w:rsid w:val="00FC4A32"/>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8B238E-AFCE-429B-AC48-44AD8C1D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1">
    <w:name w:val="heading 1"/>
    <w:basedOn w:val="Normal"/>
    <w:next w:val="Normal"/>
    <w:link w:val="Ttulo1Car"/>
    <w:uiPriority w:val="9"/>
    <w:qFormat/>
    <w:rsid w:val="007B39D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7B39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B39D8"/>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5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aliases w:val="titulo 3,TIT 2 IND,Titulo parrafo,Dot pt,No Spacing1,List Paragraph Char Char Char,Indicator Text,Numbered Para 1,Colorful List - Accent 11,Bullet 1,F5 List Paragraph,Bullet Points,Normal. Viñetas,HOJA,Bolita,Lista HD,Bullets,Ha,List"/>
    <w:basedOn w:val="Normal"/>
    <w:link w:val="PrrafodelistaCar"/>
    <w:uiPriority w:val="34"/>
    <w:qFormat/>
    <w:rsid w:val="003D798F"/>
    <w:pPr>
      <w:ind w:left="720"/>
      <w:contextualSpacing/>
    </w:pPr>
  </w:style>
  <w:style w:type="paragraph" w:styleId="Subttulo">
    <w:name w:val="Subtitle"/>
    <w:aliases w:val="Tablas"/>
    <w:basedOn w:val="Normal"/>
    <w:next w:val="Normal"/>
    <w:link w:val="SubttuloCar"/>
    <w:uiPriority w:val="11"/>
    <w:qFormat/>
    <w:rsid w:val="002C4777"/>
    <w:pPr>
      <w:numPr>
        <w:ilvl w:val="1"/>
      </w:numPr>
      <w:jc w:val="both"/>
    </w:pPr>
    <w:rPr>
      <w:rFonts w:ascii="Arial" w:eastAsiaTheme="majorEastAsia" w:hAnsi="Arial" w:cstheme="majorBidi"/>
      <w:iCs/>
      <w:spacing w:val="15"/>
      <w:sz w:val="16"/>
    </w:rPr>
  </w:style>
  <w:style w:type="character" w:customStyle="1" w:styleId="SubttuloCar">
    <w:name w:val="Subtítulo Car"/>
    <w:aliases w:val="Tablas Car"/>
    <w:basedOn w:val="Fuentedeprrafopredeter"/>
    <w:link w:val="Subttulo"/>
    <w:uiPriority w:val="11"/>
    <w:rsid w:val="002C4777"/>
    <w:rPr>
      <w:rFonts w:ascii="Arial" w:eastAsiaTheme="majorEastAsia" w:hAnsi="Arial" w:cstheme="majorBidi"/>
      <w:iCs/>
      <w:spacing w:val="15"/>
      <w:sz w:val="16"/>
      <w:szCs w:val="24"/>
      <w:lang w:val="es-ES" w:eastAsia="es-ES"/>
    </w:rPr>
  </w:style>
  <w:style w:type="character" w:styleId="nfasissutil">
    <w:name w:val="Subtle Emphasis"/>
    <w:aliases w:val="Notas al pie"/>
    <w:basedOn w:val="Fuentedeprrafopredeter"/>
    <w:uiPriority w:val="19"/>
    <w:qFormat/>
    <w:rsid w:val="002C4777"/>
    <w:rPr>
      <w:rFonts w:ascii="Arial" w:hAnsi="Arial"/>
      <w:i w:val="0"/>
      <w:iCs/>
      <w:color w:val="auto"/>
      <w:sz w:val="16"/>
    </w:rPr>
  </w:style>
  <w:style w:type="character" w:customStyle="1" w:styleId="Ttulo1Car">
    <w:name w:val="Título 1 Car"/>
    <w:basedOn w:val="Fuentedeprrafopredeter"/>
    <w:link w:val="Ttulo1"/>
    <w:uiPriority w:val="9"/>
    <w:rsid w:val="007B39D8"/>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uiPriority w:val="9"/>
    <w:semiHidden/>
    <w:rsid w:val="007B39D8"/>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uiPriority w:val="9"/>
    <w:semiHidden/>
    <w:rsid w:val="007B39D8"/>
    <w:rPr>
      <w:rFonts w:asciiTheme="majorHAnsi" w:eastAsiaTheme="majorEastAsia" w:hAnsiTheme="majorHAnsi" w:cstheme="majorBidi"/>
      <w:color w:val="243F60" w:themeColor="accent1" w:themeShade="7F"/>
      <w:sz w:val="24"/>
      <w:szCs w:val="24"/>
      <w:lang w:val="es-ES" w:eastAsia="es-ES"/>
    </w:rPr>
  </w:style>
  <w:style w:type="character" w:styleId="Hipervnculovisitado">
    <w:name w:val="FollowedHyperlink"/>
    <w:basedOn w:val="Fuentedeprrafopredeter"/>
    <w:uiPriority w:val="99"/>
    <w:semiHidden/>
    <w:unhideWhenUsed/>
    <w:rsid w:val="007B39D8"/>
    <w:rPr>
      <w:color w:val="800080" w:themeColor="followedHyperlink"/>
      <w:u w:val="single"/>
    </w:rPr>
  </w:style>
  <w:style w:type="paragraph" w:customStyle="1" w:styleId="msonormal0">
    <w:name w:val="msonormal"/>
    <w:basedOn w:val="Normal"/>
    <w:uiPriority w:val="99"/>
    <w:rsid w:val="007B39D8"/>
    <w:pPr>
      <w:spacing w:before="100" w:beforeAutospacing="1" w:after="100" w:afterAutospacing="1"/>
    </w:pPr>
    <w:rPr>
      <w:rFonts w:eastAsia="Times New Roman"/>
      <w:lang w:val="es-CO" w:eastAsia="es-CO"/>
    </w:rPr>
  </w:style>
  <w:style w:type="paragraph" w:styleId="NormalWeb">
    <w:name w:val="Normal (Web)"/>
    <w:basedOn w:val="Normal"/>
    <w:uiPriority w:val="99"/>
    <w:semiHidden/>
    <w:unhideWhenUsed/>
    <w:rsid w:val="007B39D8"/>
    <w:pPr>
      <w:spacing w:before="100" w:beforeAutospacing="1" w:after="100" w:afterAutospacing="1"/>
    </w:pPr>
    <w:rPr>
      <w:rFonts w:eastAsia="Times New Roman"/>
      <w:lang w:val="es-CO" w:eastAsia="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semiHidden/>
    <w:locked/>
    <w:rsid w:val="007B39D8"/>
    <w:rPr>
      <w:rFonts w:ascii="Calibri" w:eastAsia="Calibri" w:hAnsi="Calibri" w:cs="Times New Roman"/>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notentext,ft"/>
    <w:basedOn w:val="Normal"/>
    <w:link w:val="TextonotapieCar"/>
    <w:uiPriority w:val="99"/>
    <w:semiHidden/>
    <w:unhideWhenUsed/>
    <w:qFormat/>
    <w:rsid w:val="007B39D8"/>
    <w:pPr>
      <w:spacing w:after="200" w:line="276" w:lineRule="auto"/>
    </w:pPr>
    <w:rPr>
      <w:rFonts w:ascii="Calibri" w:eastAsia="Calibri" w:hAnsi="Calibri"/>
      <w:sz w:val="20"/>
      <w:szCs w:val="20"/>
      <w:lang w:val="es-CO" w:eastAsia="en-US"/>
    </w:rPr>
  </w:style>
  <w:style w:type="character" w:customStyle="1" w:styleId="TextonotapieCar1">
    <w:name w:val="Texto nota pie Car1"/>
    <w:aliases w:val="Footnote Text Char Char Char Char Char Car1,Footnote Text Char Char Char Char Car1,Footnote reference Car1,FA Fu Car1,Footnote Text Cha Car1,Footnote Text Char Char Char Car1,FA Fußnotentext Car1,FA Fuﬂnotentext Car1,ft Car"/>
    <w:basedOn w:val="Fuentedeprrafopredeter"/>
    <w:uiPriority w:val="99"/>
    <w:semiHidden/>
    <w:rsid w:val="007B39D8"/>
    <w:rPr>
      <w:rFonts w:ascii="Times New Roman" w:eastAsia="MS Mincho"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7B39D8"/>
    <w:rPr>
      <w:sz w:val="20"/>
      <w:szCs w:val="20"/>
    </w:rPr>
  </w:style>
  <w:style w:type="character" w:customStyle="1" w:styleId="TextocomentarioCar">
    <w:name w:val="Texto comentario Car"/>
    <w:basedOn w:val="Fuentedeprrafopredeter"/>
    <w:link w:val="Textocomentario"/>
    <w:uiPriority w:val="99"/>
    <w:semiHidden/>
    <w:rsid w:val="007B39D8"/>
    <w:rPr>
      <w:rFonts w:ascii="Times New Roman" w:eastAsia="MS Mincho" w:hAnsi="Times New Roman" w:cs="Times New Roman"/>
      <w:sz w:val="20"/>
      <w:szCs w:val="20"/>
      <w:lang w:val="es-ES" w:eastAsia="es-ES"/>
    </w:rPr>
  </w:style>
  <w:style w:type="paragraph" w:styleId="Textoindependiente">
    <w:name w:val="Body Text"/>
    <w:basedOn w:val="Normal"/>
    <w:link w:val="TextoindependienteCar"/>
    <w:uiPriority w:val="99"/>
    <w:semiHidden/>
    <w:unhideWhenUsed/>
    <w:qFormat/>
    <w:rsid w:val="007B39D8"/>
    <w:pPr>
      <w:spacing w:before="180" w:after="180"/>
    </w:pPr>
    <w:rPr>
      <w:rFonts w:asciiTheme="minorHAnsi" w:eastAsiaTheme="minorHAnsi" w:hAnsiTheme="minorHAnsi" w:cstheme="minorBidi"/>
      <w:lang w:val="en-US" w:eastAsia="en-US"/>
    </w:rPr>
  </w:style>
  <w:style w:type="character" w:customStyle="1" w:styleId="TextoindependienteCar">
    <w:name w:val="Texto independiente Car"/>
    <w:basedOn w:val="Fuentedeprrafopredeter"/>
    <w:link w:val="Textoindependiente"/>
    <w:uiPriority w:val="99"/>
    <w:semiHidden/>
    <w:rsid w:val="007B39D8"/>
    <w:rPr>
      <w:sz w:val="24"/>
      <w:szCs w:val="24"/>
      <w:lang w:val="en-US"/>
    </w:rPr>
  </w:style>
  <w:style w:type="character" w:customStyle="1" w:styleId="SubttuloCar1">
    <w:name w:val="Subtítulo Car1"/>
    <w:aliases w:val="Tablas Car1"/>
    <w:basedOn w:val="Fuentedeprrafopredeter"/>
    <w:uiPriority w:val="11"/>
    <w:rsid w:val="007B39D8"/>
    <w:rPr>
      <w:rFonts w:eastAsiaTheme="minorEastAsia"/>
      <w:color w:val="5A5A5A" w:themeColor="text1" w:themeTint="A5"/>
      <w:spacing w:val="15"/>
      <w:lang w:val="es-ES" w:eastAsia="es-ES"/>
    </w:rPr>
  </w:style>
  <w:style w:type="paragraph" w:styleId="Textoindependiente2">
    <w:name w:val="Body Text 2"/>
    <w:basedOn w:val="Normal"/>
    <w:link w:val="Textoindependiente2Car"/>
    <w:uiPriority w:val="99"/>
    <w:semiHidden/>
    <w:unhideWhenUsed/>
    <w:rsid w:val="007B39D8"/>
    <w:pPr>
      <w:spacing w:after="120" w:line="480" w:lineRule="auto"/>
    </w:pPr>
  </w:style>
  <w:style w:type="character" w:customStyle="1" w:styleId="Textoindependiente2Car">
    <w:name w:val="Texto independiente 2 Car"/>
    <w:basedOn w:val="Fuentedeprrafopredeter"/>
    <w:link w:val="Textoindependiente2"/>
    <w:uiPriority w:val="99"/>
    <w:semiHidden/>
    <w:rsid w:val="007B39D8"/>
    <w:rPr>
      <w:rFonts w:ascii="Times New Roman" w:eastAsia="MS Mincho"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7B39D8"/>
    <w:rPr>
      <w:b/>
      <w:bCs/>
    </w:rPr>
  </w:style>
  <w:style w:type="character" w:customStyle="1" w:styleId="AsuntodelcomentarioCar">
    <w:name w:val="Asunto del comentario Car"/>
    <w:basedOn w:val="TextocomentarioCar"/>
    <w:link w:val="Asuntodelcomentario"/>
    <w:uiPriority w:val="99"/>
    <w:semiHidden/>
    <w:rsid w:val="007B39D8"/>
    <w:rPr>
      <w:rFonts w:ascii="Times New Roman" w:eastAsia="MS Mincho" w:hAnsi="Times New Roman" w:cs="Times New Roman"/>
      <w:b/>
      <w:bCs/>
      <w:sz w:val="20"/>
      <w:szCs w:val="20"/>
      <w:lang w:val="es-ES" w:eastAsia="es-ES"/>
    </w:rPr>
  </w:style>
  <w:style w:type="character" w:customStyle="1" w:styleId="SinespaciadoCar">
    <w:name w:val="Sin espaciado Car"/>
    <w:aliases w:val="Subtitulo Car"/>
    <w:basedOn w:val="Fuentedeprrafopredeter"/>
    <w:link w:val="Sinespaciado"/>
    <w:uiPriority w:val="1"/>
    <w:locked/>
    <w:rsid w:val="007B39D8"/>
  </w:style>
  <w:style w:type="paragraph" w:styleId="Sinespaciado">
    <w:name w:val="No Spacing"/>
    <w:aliases w:val="Subtitulo"/>
    <w:link w:val="SinespaciadoCar"/>
    <w:uiPriority w:val="1"/>
    <w:qFormat/>
    <w:rsid w:val="007B39D8"/>
  </w:style>
  <w:style w:type="character" w:customStyle="1" w:styleId="PrrafodelistaCar">
    <w:name w:val="Párrafo de lista Car"/>
    <w:aliases w:val="titulo 3 Car,TIT 2 IND Car,Titulo parrafo Car,Dot pt Car,No Spacing1 Car,List Paragraph Char Char Char Car,Indicator Text Car,Numbered Para 1 Car,Colorful List - Accent 11 Car,Bullet 1 Car,F5 List Paragraph Car,Bullet Points Car"/>
    <w:link w:val="Prrafodelista"/>
    <w:uiPriority w:val="34"/>
    <w:qFormat/>
    <w:locked/>
    <w:rsid w:val="007B39D8"/>
    <w:rPr>
      <w:rFonts w:ascii="Times New Roman" w:eastAsia="MS Mincho" w:hAnsi="Times New Roman" w:cs="Times New Roman"/>
      <w:sz w:val="24"/>
      <w:szCs w:val="24"/>
      <w:lang w:val="es-ES" w:eastAsia="es-ES"/>
    </w:rPr>
  </w:style>
  <w:style w:type="paragraph" w:customStyle="1" w:styleId="Default">
    <w:name w:val="Default"/>
    <w:uiPriority w:val="99"/>
    <w:rsid w:val="007B39D8"/>
    <w:pPr>
      <w:autoSpaceDE w:val="0"/>
      <w:autoSpaceDN w:val="0"/>
      <w:adjustRightInd w:val="0"/>
    </w:pPr>
    <w:rPr>
      <w:rFonts w:ascii="Arial" w:hAnsi="Arial" w:cs="Arial"/>
      <w:color w:val="000000"/>
      <w:sz w:val="24"/>
      <w:szCs w:val="24"/>
    </w:rPr>
  </w:style>
  <w:style w:type="paragraph" w:customStyle="1" w:styleId="paragraph">
    <w:name w:val="paragraph"/>
    <w:basedOn w:val="Normal"/>
    <w:uiPriority w:val="99"/>
    <w:rsid w:val="007B39D8"/>
    <w:pPr>
      <w:spacing w:before="100" w:beforeAutospacing="1" w:after="100" w:afterAutospacing="1"/>
    </w:pPr>
    <w:rPr>
      <w:rFonts w:eastAsia="Times New Roman"/>
      <w:lang w:val="es-CO" w:eastAsia="es-CO"/>
    </w:rPr>
  </w:style>
  <w:style w:type="paragraph" w:customStyle="1" w:styleId="Textoindependiente21">
    <w:name w:val="Texto independiente 21"/>
    <w:basedOn w:val="Normal"/>
    <w:uiPriority w:val="99"/>
    <w:rsid w:val="007B39D8"/>
    <w:pPr>
      <w:overflowPunct w:val="0"/>
      <w:autoSpaceDE w:val="0"/>
      <w:autoSpaceDN w:val="0"/>
      <w:adjustRightInd w:val="0"/>
      <w:spacing w:line="480" w:lineRule="auto"/>
      <w:jc w:val="both"/>
    </w:pPr>
    <w:rPr>
      <w:rFonts w:ascii="Arial" w:eastAsia="Times New Roman" w:hAnsi="Arial"/>
      <w:szCs w:val="20"/>
    </w:rPr>
  </w:style>
  <w:style w:type="character" w:styleId="Refdenotaalpie">
    <w:name w:val="footnote reference"/>
    <w:aliases w:val="Ref. de nota al pie 2,Texto de nota al pie,Pie de Página,FC,Texto de nota al pi,Appel note de bas de page,Footnotes refss,Footnote number,referencia nota al pie,BVI fnr,f,4_G,16 Point,Superscript 6 Point,Texto nota al pie,Pie de P_gi"/>
    <w:uiPriority w:val="99"/>
    <w:semiHidden/>
    <w:unhideWhenUsed/>
    <w:qFormat/>
    <w:rsid w:val="007B39D8"/>
    <w:rPr>
      <w:vertAlign w:val="superscript"/>
    </w:rPr>
  </w:style>
  <w:style w:type="character" w:styleId="Refdecomentario">
    <w:name w:val="annotation reference"/>
    <w:basedOn w:val="Fuentedeprrafopredeter"/>
    <w:uiPriority w:val="99"/>
    <w:semiHidden/>
    <w:unhideWhenUsed/>
    <w:rsid w:val="007B39D8"/>
    <w:rPr>
      <w:sz w:val="16"/>
      <w:szCs w:val="16"/>
    </w:rPr>
  </w:style>
  <w:style w:type="character" w:customStyle="1" w:styleId="cf01">
    <w:name w:val="cf01"/>
    <w:basedOn w:val="Fuentedeprrafopredeter"/>
    <w:rsid w:val="007B39D8"/>
    <w:rPr>
      <w:rFonts w:ascii="Segoe UI" w:hAnsi="Segoe UI" w:cs="Segoe UI" w:hint="default"/>
      <w:sz w:val="18"/>
      <w:szCs w:val="18"/>
    </w:rPr>
  </w:style>
  <w:style w:type="character" w:customStyle="1" w:styleId="normaltextrun">
    <w:name w:val="normaltextrun"/>
    <w:basedOn w:val="Fuentedeprrafopredeter"/>
    <w:rsid w:val="007B39D8"/>
  </w:style>
  <w:style w:type="character" w:customStyle="1" w:styleId="eop">
    <w:name w:val="eop"/>
    <w:basedOn w:val="Fuentedeprrafopredeter"/>
    <w:rsid w:val="007B3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34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contratos.gov.co/consultas/detalleProceso.do?numConstancia=21-12-11778766&amp;g-recaptcha-response=03AGdBq24OAWkjJOx0yE8UW2K4HTCdgMwO5C69-BNV84XVWJPLnlI82YbGoAb6Qy1noxJUqw86CjoSuPJe02WF-j8Y8Jjf8j0imInvur0NEXrUlmGKFfrMJcgFEWBoYh4WmzKeagsMoX1dZEbUfhthOOe3oFuZUMc84d0am1m3cJReca8uiW36aS4bo_Yy6EZ3HiAY0McPp3Scjc7l6SQDL0UTtAhg6kjpTwPobjQFGaXGKV0KN-3lqsNAsO6b3tjfS1uzFyp8JyJcbJtM42UKgQF-oR-ekj1XGc6iuMpCL54vq9IJa0QyTSEKmDIev28jKIUhB01qPiXkNyot81Z2_0J0ovLad7CoL5b7Ahhl3XenmV_ljAOVtlOZGTN2I6UquvuL8V3s62eKlLiX_wERjeOyV19Ylt4EMyakYbLnOwvbJv6WB6q5xYpW5divzUvN1IaLnh0S30DP5RN-PPXEiuikzXcWdicFIg" TargetMode="External"/><Relationship Id="rId26" Type="http://schemas.openxmlformats.org/officeDocument/2006/relationships/hyperlink" Target="https://www.contratos.gov.co/consultas/detalleProceso.do?numConstancia=21-12-11909574&amp;g-recaptcha-response=03AGdBq24EXaqoIjaXDi-CYmQPdhyT-gvvNU-l5xnxG1hKFRHhdfhXz98uB1u1EhUUbb7-y7MStzf8c5VOMCJaFXyB6aZTmCiRASxlqZi5OhQw-sDqx-0pILJoDQnFEUFgdWHR5BPcHDsz6h8vOs6JD3uFBJORySE1ui8V7OSJ-AxMpNymgQbNEUxbxCzsR_pN4_rEJtT37lzcBTCZUkMCEyVEETSZOmp4D_seDUMyb4XOQ2FLwOw98Eh4jxFnxx75mp7EYd8FfpkOuLZ0Wm5pz0R3jD2rZ-99bAANX3T9sPNvkPy25mgyT_0PdMmpQ2KnyN6OG1pynI0-8Qs78CcwU6X9JvUx3k2IwJGr0vg4I_ccXwywcrwne6j2jwgd3iN-aZE1phy-NUqP-jXAk7dyzvjKIyiG2T11c5bzg_5ztQHVWa6SQh1EyxPpgIcVYyTSgk9Zz5cggptxYlY-d4kz8fFEaCt84Z1F0g" TargetMode="External"/><Relationship Id="rId3" Type="http://schemas.openxmlformats.org/officeDocument/2006/relationships/customXml" Target="../customXml/item3.xml"/><Relationship Id="rId21" Type="http://schemas.openxmlformats.org/officeDocument/2006/relationships/hyperlink" Target="https://www.contratos.gov.co/consultas/detalleProceso.do?numConstancia=21-12-11756323&amp;g-recaptcha-response=03AGdBq25a3JXfxrwCRt6i6GNuWuJIYfM1sVnOlKTPPjve6FoONQ8QZdgtVbhzjcniVCufidwFlzDMXuJud6klWBfuKgl24Vu2dnLJ4HsyjAS3PnixBeOvTxHAWMM5jCRvoHDv8STqvAud4Hh64PmkRNiGHQhbO0hpXWzV7PwdFDD8mZaEJFQddMKxDzWUZzCMIclSXc55K1iM2kYijTQzxwCyES8eqXe5O3BzHigjcoqzJYmoLDBFD_RRW_uaKMLmYy9Z2719K-yEqmlO-LBvb26hZQPFF9c2XDn6BcZcvrlQ4EsnsLmEyWNO1XY9HoCwWljmvqcMAbzuTXLvGEl3OqZbwDPnMe-3f7NI0gLQJCf-3-WxdjzDvUsYWgjnaSXwfr-1F-rflS8ogfNw0TWFpvHF8ez5Nrwk4u2yWAeTqaXEtx8z7eKBcZ_U_b623czd6z-CYpFygZtRS4m4B7Wtc5AvEXv82N3Bog"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contratos.gov.co/consultas/detalleProceso.do?numConstancia=21-12-11805637&amp;g-recaptcha-response=03AGdBq26PXh-fuhgnP9J1VzMywe-4ShoaUrG64DUlHTuY_cFVDjaKqGNBn9rn-cjQkf_7nlpTHqsm5kgSPfgazJysjEUGl6fdcfOqEScu03BFQwrDQj0m8AQIllJIc60pB0_6WfnGRforHSKWECAVqK6MoHOsH2KTrqW0FJnT-nF--SALtok7zdNByZ9tKzJLcQCQnQAY2UOPynZqMEy2CcHXzNEbq6rOO_OdjgvsGrLu8D8HWR1z92BGRGM-wQKg9zGDU2nonKmSfaNhATLesT4_2kl3GuxFu7UL3pCnJHMr5V9DDzllQuCVCLU7jFixgrRdLxppopaO5sARXPw45gFT0jjjcNQI0YVNUu7-v5-SfEFbiK7MFv7S6u_AOPEBnv2-Dqe4uXCzSTJucfBe2P35z1N2sak0uO5kgo5RbdKBwpc9QLtVnOYD5BtCGNneG08-BxN5AuHShGEyYfkT0GazEDRaWEGB4A" TargetMode="External"/><Relationship Id="rId25" Type="http://schemas.openxmlformats.org/officeDocument/2006/relationships/hyperlink" Target="https://www.contratos.gov.co/consultas/detalleProceso.do?numConstancia=21-12-11757510&amp;g-recaptcha-response=03AGdBq24wE-BkK8u2hX0Dw4SciY5GmgZv1EPr6Z6PjF9FzOSKEaI64PzeeXIJgB4VNwhcHMaCq9Ep7C32V_wxUWVgmzz2DzRjLxJiaMNlZ1mCGq9e4OqW4gWlW2L_FOdaGzuS2pVk9KEnk8XofXXN1-TKQy_Ra9smUmghdWPlgc_HQfIOTjMAb4BfFmc4CwJi7l-zKoObX_6ldqiHENFKrlL7H6X1d01oS3_rQcil7TXkKLlIs6zjD8gRCUWbM0hsxj1KRlQ3tltKQCrvGAvMiLgkM4w7eaGuWv0EbdLIG0S5J-jBxEZ5bdN2rvcY0rsdDNf3RgXjIr0EisGYNYrjBEru6M1krUyiswXO66cLNe-N3Ri6vCInOfADMerWOpPCYJX2AmrCMRcW9lGp1SDgEfT_da1RiyHNL5VzqftK9-jT8tMlIblN56SqUJzzWAZ3hll6vSDN5GEk2lv_ZHaeEsw0eY289Vke7g"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ontratos.gov.co/consultas/detalleProceso.do?numConstancia=21-12-11763677&amp;g-recaptcha-response=03AGdBq27EsLZi52SvxaD8seQF8GyEreMoZQ3EC9wx1u7ZgFra8e3Yw9BpNdTkJV8WTd1PGLE-cgPyNwnMNGoGzgngjoIRPCIRZKkb5cU5WKu4AoZExCHZL1THxJh5TGudS2vo0LXmNjcycQliej-EdnBqGBUnLkk8O8Cr8GbKMJQ5emwrA30-a_zErTQ9NcqJw3Dkt12qWrnbnwJmWASq5OpTu75zb0qqXScMrJsgK3VsAorWKXNPM1U5NcOf9UAP8md2outvgAVBge3kWNnVrIOnKT_gNbfIL5l2dY2kFrolc6zdclLPV9oqAWn2hUN6bbLXuft6K3KTIpT9R_jvFBkl6j0CXD7bNmSV1o3W93REmt2DZINBgXbst8oWPlkyTYYRcjpB8_jZkTfnnOom4Px4DyclX9vGgaa-ZNFrII5EpXEsgop5Zrd0KuONPZ2dWmv1KHbcKWovev8h6s205Fl_HpW8cMf-Vw" TargetMode="External"/><Relationship Id="rId20" Type="http://schemas.openxmlformats.org/officeDocument/2006/relationships/hyperlink" Target="https://www.contratos.gov.co/consultas/detalleProceso.do?numConstancia=21-12-11756239&amp;g-recaptcha-response=03AGdBq25M9-PHF-2QM5OjGPOrKAe29Glzrl_YIPdOjC7l-2UHNkJI5534kIbtK41959wSE-M9rZd_8ZXK282YYV0biyzxVdrgPz-68_KmA61PpVB2GVKsMLNTAZcFNhrRIeTpneKoiwYqcjevmAKRDXtFIh3wk-tUcElMITrWm6BjBSUP9KXsysjz8sWJ8zGP-QnzXvEprOVu9_aUl_sncCrUKnELJdIVifGguqxELjT71QosVB7AK43Hc7HErerHoJvDx-lvEdBPAaWShEdwrylBT7LTzC2pT4H-znKl6DmycpWHjVClfdDIgqWzicT0nPgaBx_G1hN33EB3Rfbukq64r6ymiE0_03awFAbG1lm0niswJxlP58rS1M0KKDLNQunhhyt7yUybYPssPVPMJ8byquDEP1WtAhBMQhHHzm2jiF7Q0XFMfn4MzyhCNhjUdVIQ1VRbPV_ESacX_WujQAyrMQyWEuvVeg" TargetMode="External"/><Relationship Id="rId29" Type="http://schemas.openxmlformats.org/officeDocument/2006/relationships/hyperlink" Target="https://www.contratos.gov.co/consultas/detalleProceso.do?numConstancia=21-12-11616184&amp;g-recaptcha-response=03AGdBq25ipy3VfnWOIDHXAQvxMsLp31Xk29N8vWazyLXZbMs1X_jGWrcm8fz4wwRNrn3Nqe2D1JrB50a56mE1ZtaTAX3aWv4Z-Q2R-Aw8PUlsys3aEf6EcZxjeMxqBbHRpNNvYxzsyYJrcGY8jGxgpY-PEpRSUzffkWtofTIJoIFKKx7ANMUDwn9P69QMKi-4wrAGioWC7Q9MiY208t0X37csdKpVib2EhYLPbRXHp61Tqyr31mlMVyh3PPjdreKw_C9Ksn1YjSbcQ8msg6RJScbzyR4LUK5-CG6EQkb-pvEutZH2DuBIA6PtwxAXRYfd4i0Ng9TSTfeFyja7Tq52fLAbiinYnC4uCjB4kFNM_WiI8ZkvIffhZf1CYOi70JnztyLH1YonS7wC7ZyhRYAwBT0-FE46ctbZ-D3K6jW0n5BgTfnfu6v18OD7FVRJ_Eu1ZUXvWGVvEz7qAiEF2YxmpM4fQ3XVXCMBHg" TargetMode="External"/><Relationship Id="rId32" Type="http://schemas.openxmlformats.org/officeDocument/2006/relationships/footer" Target="footer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ontratos.gov.co/consultas/detalleProceso.do?numConstancia=21-12-11990898&amp;g-recaptcha-response=03AGdBq24_zf35SfQBQfRshcoO4M9azeO6Yu7BkW8lsBHjAnb9obsn9_2I5rHQ0ZXbCvD0S7-k8uJ6iKl_A6XR-5hB4o9MPr5Nse73PbtaFquhi0rsKAg1UwckAre1TlFzWdnTzgRrAP9atBjBoyBXGK0bA6ASu1HbBN_m3H8EZKZpz5TWdirTBTEwnVLB6HMpvcdm1frwt2FjAGG9w1Vf77zHWXaf0XooGxq6YI8HLBN-Zm3apaSX9KinIYY4_IBlL_7knd0-8vLBJP5rERINWDGdjVYm39HUcKGNa_JAOyFGCTPVsA3hxJ6zDYyQbcgMR6jOsngk31tJlkFhdxbFIMDO2yZwIYLbeoO0LUar1mrNxdDuR6E9KX8UBcJ117ei_Hu-SGbKn5yw249PR0qRRVK2isf4mpWhqfWCn56GsVMb_BX6InAK87lCr78WGnwTWKaTzsrlqWhu1OivCxdKdg_YkJmFxxw0fA"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contratos.gov.co/consultas/detalleProceso.do?numConstancia=21-12-11780468&amp;g-recaptcha-response=03AGdBq26PrcURlTCuKrZbUfnVzrYGsSa0GsZ6uB70wGCdlJ5TRQCxBJYyyq-qvfUgOb3YWXeWVfuYuAFCFwj3AtWnLhtl6Rz4KsvJ9je2nX-nKVgsrtFVHBULRR1cff4DFN-Bgh804TyGz_MQe2bZziX1T9Hi03S7LmZRSHal9BdqYHNLYR8XN1aCk3OwUYQey3-sVfYpQMfLlRir8QNnIQb0CSQDOnr8TgT419jCgr1cYiDmOZANtYdrWi0odVNeOG6KrpsAaNIa9Iiu4SaS-VtBrn2pR32HZfSgz3XVA8zNjnPGfv-rcst5VlN30k18lC4B-VPxJACu_0tNArGTDhfwHhzMxknkOwHqPdI5y-VsrJ8J19-YeNuP9Ras571L0H7-bTQeLXOKC6ubCjZgbdIcGymWCQsNwxK4Rl_Nq5mfZIRIs8bgXXTKTGZHn3phFxkh5IFBMnmo1PZIinDtmqcJCGy8AJFuUA" TargetMode="External"/><Relationship Id="rId28" Type="http://schemas.openxmlformats.org/officeDocument/2006/relationships/hyperlink" Target="https://www.contratos.gov.co/consultas/detalleProceso.do?numConstancia=21-12-11765239&amp;g-recaptcha-response=03AGdBq25duG3XCMq6Jm_itBu-i27FsAw96FhGUdedFx9ssMH6L0Q8nE7POlpNN-8C9KVrbmJrPkqQjrmQ5iCG-1H7kMbdxM2pM-CUjvwAhrxtyLB4O8fQObG0qfYgTZO0Y_Cumul7fKM5g8RfjhrO_tIRuHM-khC-sO1fJ-JrGoN0KgBmzooMbJgTFU0-ibrseZ9jKIMu7PlenhAJjrhlGMZAAnxIGRv7GNQfl0sqv5iDsOurbsRP9eu1TWS7H3wQePqrESbZLsO7657qyKJLwaGx_CTfNmoJ171ifB4SuXKZ3ObS3DW_6GPZ9ATSKZn-E1fY5FY-zATJa1RJy6VC9RWlCJ1zDT92WwK6VH6L-2QAuacXJrI9hDbWb2eM4Yeo09VD0SQ0yKr8hnuYU_NFJugjUUK8eKfNHssm7x73aR9qS7oOgWoIkDw5e0-UoFS8oXX7orBndnsG487DhCrkuRDB--FYIM3IkQ"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contratos.gov.co/consultas/detalleProceso.do?numConstancia=21-12-11758351&amp;g-recaptcha-response=03AGdBq271YPPjkXzsO6GjL0xtHcAAA3Dp-qnzXdZpKsUcM7F-Xv7BgyocL5w89mFRUlAPjbdA7f9jqCm3KybI9EPm5TJpeQFJBHCTm82QT5vwFQ6rsT3aiNpDvPFWy0qY7lmtGAXDdVbX2R0wI8Sl5_J5R4ddzRzHq0hR6Bse5Cb2ueF1N-GRgWMMD6Ye7eGNc4nrQHTeNn5WgjKRYmr0iqZsQ7wJh7cv2h0dV23qbnGPHbOO8PTa6Ya-66ecWcjGeimsSz0vljgLxM4vElsaoPoyyl-vJAGIlBdT_vlnZIGzdxZKEA1kFwAUqYScwsy-s8SOJtEGC53p_AGl7sfHSy5k2GoBkMBAWUYUap6GmqX9133TvQ1ccsIxyiZRz-6K9IXwOlm5gaveu5FdRJNzLA_gxLyfNjbWC0UZCW6RanBqedyTZ8iLeo16NHtjPG9Mj81FKaryEo49cGu1Xu6eV_uUz0g9G-RIUw"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ontratos.gov.co/consultas/detalleProceso.do?numConstancia=21-12-11765336&amp;g-recaptcha-response=03AGdBq25uJwNyE-DYOsxhCUU1qbWZX-xioQEPhkOeU_HNPmGG_yw8blLMJOUjgdKaYp7ajCJwh2F_2pFWnlddMezmLEMhzZiP35TbpXU6AFvib9U8THWX0GfWXABDoB-MA-XYlWvtTjHtpCtqoeDOc1MDrJymY6xV0w7GNsAyx0Us8OlU7hoB7qKmaVvbz5b60xA2l1vR8j2jh5LjatKPufQ1APwlLWEyCoznHpwgt0G6IHTOErWRGDe6G0OiTbPGWQR6Ht0w8pCjhmcZw7JNAwr5MBiEudsiV-efpj5qkbzHc671HTjq9YikuoxOr-SE7blHUvOF91NHPa83GghYs6SaP7zzvbL35Wgoza3H0SkS5mf-0uOkIbHU29r1A2LBt-cmTJ2XsO1iEV_SsBTkUOJlQqjEFdgaPTYqLuZAPvy5pFjWdm56icN5EoB3JMBMmR9Q9nUR_v6SNW6LYNaitEmlyH_0CMomaw" TargetMode="External"/><Relationship Id="rId27" Type="http://schemas.openxmlformats.org/officeDocument/2006/relationships/hyperlink" Target="https://www.contratos.gov.co/consultas/detalleProceso.do?numConstancia=21-12-11800701&amp;g-recaptcha-response=03AGdBq25DzPUyEl3iNSg9hbZvLN-H8yvTL3dkysGcRKLlSfVV3FA8b4A9hO0gLLzAx1fQI5ou-IosbzhGZF0euVLhCI4ugS18WbuIBIq4ScgXq_QQqFeD-4XHuVCYgm2vjs-BwH3x4tHnIp9gRfx84s_hSPR4H2UllLwWk42kgIWFWv74QGlRVH1jo9NjS0IbIGz0vixWOnEYj5rZcfVjqnRr8zetHozhUXf5lTguSzzHMHSTDvygaa1amA5_zH0SYsW_wZYz8b8ivpYbHW30w_Q5I8oam4H-H438LviXD_DOqfNlR_l0Do97wpO-drogOI3wAYE74W2jyQ_C4o0AheGXkD54wU1JWKgyR_d5Abl2fJkj7mIDxiQVvfujoQf_x2TlVK-mk_JY3R6BJR2doN105wUtJDMmjvmYtWI6NG2m2XZeoUZa0f-GqzJm7NV8z4azaWqPfrp2dKbHFS6Tpr-KKx-Ngk3TEw" TargetMode="External"/><Relationship Id="rId30" Type="http://schemas.openxmlformats.org/officeDocument/2006/relationships/hyperlink" Target="https://www.contratos.gov.co/consultas/detalleProceso.do?numConstancia=21-12-11615418&amp;g-recaptcha-response=03AGdBq26q3TtzDZqOxRsFjjG3eX5xel_t_FCdkOxXWOWdNEs-Rkg6wGth9_e2uSKm0MjTrgliOL2aHZsQx-MkVckPmh8cEsi6oGXYPjgaC9gydA3a5qBzsfH9nN0i8emCASik5V1Ykq3udfq-f8L9-9znfutZPRMoAG4AHKDRcx5eA7Ob_JUveAl0cCFzz_aiNgW4dXqwoodhUlTd_CujlpXsRo7WohKqNY8H7iOWRfn0lZdbyevZWqknq9MnyMaFT0E8dbR3biPZ_OyKtxXHm3jM3CoHDsw8yCLmFkcriMqN48izjUunOu_vHfK7B4hf_eHfXKcBKTBxmZSG6lePGFb_N9jn-oPOWyGyPrQMz1eOYeU-1XkkjiQdV29Na7w1ATenJxd5_Z5SIVqjl22WPYJALz2334EXDhTCKQccdXfTbTSI67fIFmtYADdTu0hbx7Xkf5qUe9pHRGDPnm7CnqZeLigdECeVlm0D0xbPSUE8zIesMkZJroc" TargetMode="External"/><Relationship Id="rId35"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193EFF50-D46A-43E1-97BB-C7CA6A9B77F7}">
  <ds:schemaRefs>
    <ds:schemaRef ds:uri="http://schemas.microsoft.com/sharepoint/events"/>
  </ds:schemaRefs>
</ds:datastoreItem>
</file>

<file path=customXml/itemProps2.xml><?xml version="1.0" encoding="utf-8"?>
<ds:datastoreItem xmlns:ds="http://schemas.openxmlformats.org/officeDocument/2006/customXml" ds:itemID="{F01BBD6D-61BE-4E5C-B987-3A597A52D08D}"/>
</file>

<file path=customXml/itemProps3.xml><?xml version="1.0" encoding="utf-8"?>
<ds:datastoreItem xmlns:ds="http://schemas.openxmlformats.org/officeDocument/2006/customXml" ds:itemID="{63763FBD-BED9-489B-BD4F-ED4D9529883F}">
  <ds:schemaRefs>
    <ds:schemaRef ds:uri="http://schemas.microsoft.com/office/2006/metadata/properties"/>
    <ds:schemaRef ds:uri="http://schemas.microsoft.com/office/infopath/2007/PartnerControls"/>
    <ds:schemaRef ds:uri="68aa4d9b-49e9-4141-85be-49b88062f9db"/>
    <ds:schemaRef ds:uri="9b439fa8-e993-4352-b14e-36bd4af4dd6d"/>
  </ds:schemaRefs>
</ds:datastoreItem>
</file>

<file path=customXml/itemProps4.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5.xml><?xml version="1.0" encoding="utf-8"?>
<ds:datastoreItem xmlns:ds="http://schemas.openxmlformats.org/officeDocument/2006/customXml" ds:itemID="{4C0A273A-4700-41D2-8968-D535D687AE1B}">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30</Pages>
  <Words>14365</Words>
  <Characters>79011</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93190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dc:description>Octubre de 2014</dc:description>
  <cp:lastModifiedBy>Pablo Andres Parra Cubides</cp:lastModifiedBy>
  <cp:revision>2</cp:revision>
  <cp:lastPrinted>2015-01-16T15:21:00Z</cp:lastPrinted>
  <dcterms:created xsi:type="dcterms:W3CDTF">2022-06-18T17:50:00Z</dcterms:created>
  <dcterms:modified xsi:type="dcterms:W3CDTF">2022-06-18T17:50:00Z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