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4B09F" w14:textId="77777777" w:rsidR="00443366" w:rsidRPr="00002983" w:rsidRDefault="00443366" w:rsidP="00002983">
      <w:pPr>
        <w:jc w:val="center"/>
        <w:rPr>
          <w:rFonts w:ascii="Arial" w:hAnsi="Arial" w:cs="Arial"/>
          <w:sz w:val="21"/>
          <w:szCs w:val="21"/>
          <w:lang w:val="es-CO"/>
        </w:rPr>
      </w:pPr>
    </w:p>
    <w:p w14:paraId="64689B0D" w14:textId="77777777" w:rsidR="00443366" w:rsidRPr="00002983" w:rsidRDefault="00443366" w:rsidP="00002983">
      <w:pPr>
        <w:jc w:val="center"/>
        <w:rPr>
          <w:rFonts w:ascii="Verdana" w:eastAsiaTheme="minorHAnsi" w:hAnsi="Verdana"/>
          <w:b/>
          <w:sz w:val="22"/>
          <w:szCs w:val="22"/>
          <w:lang w:val="es-CO" w:eastAsia="en-US"/>
        </w:rPr>
      </w:pPr>
      <w:r w:rsidRPr="00002983">
        <w:rPr>
          <w:rFonts w:ascii="Arial" w:hAnsi="Arial" w:cs="Arial"/>
          <w:sz w:val="22"/>
          <w:szCs w:val="22"/>
          <w:lang w:val="es-CO"/>
        </w:rPr>
        <w:t xml:space="preserve"> </w:t>
      </w:r>
      <w:r w:rsidRPr="00002983">
        <w:rPr>
          <w:rFonts w:ascii="Verdana" w:hAnsi="Verdana"/>
          <w:b/>
          <w:sz w:val="22"/>
          <w:szCs w:val="22"/>
        </w:rPr>
        <w:t>INFORME DE SEGUIMIENTO</w:t>
      </w:r>
    </w:p>
    <w:p w14:paraId="1C113304" w14:textId="77777777" w:rsidR="00443366" w:rsidRPr="00002983" w:rsidRDefault="00443366" w:rsidP="00002983">
      <w:pPr>
        <w:jc w:val="both"/>
        <w:rPr>
          <w:rFonts w:ascii="Verdana" w:hAnsi="Verdana"/>
          <w:b/>
          <w:sz w:val="21"/>
          <w:szCs w:val="21"/>
        </w:rPr>
      </w:pPr>
    </w:p>
    <w:tbl>
      <w:tblPr>
        <w:tblStyle w:val="Tablaconcuadrcula"/>
        <w:tblW w:w="5000" w:type="pct"/>
        <w:tblBorders>
          <w:insideH w:val="single" w:sz="6" w:space="0" w:color="auto"/>
          <w:insideV w:val="single" w:sz="6" w:space="0" w:color="auto"/>
        </w:tblBorders>
        <w:shd w:val="clear" w:color="auto" w:fill="FFC000"/>
        <w:tblLook w:val="04A0" w:firstRow="1" w:lastRow="0" w:firstColumn="1" w:lastColumn="0" w:noHBand="0" w:noVBand="1"/>
      </w:tblPr>
      <w:tblGrid>
        <w:gridCol w:w="2950"/>
        <w:gridCol w:w="5878"/>
      </w:tblGrid>
      <w:tr w:rsidR="00443366" w:rsidRPr="00002983" w14:paraId="400954E1" w14:textId="77777777" w:rsidTr="00002983">
        <w:tc>
          <w:tcPr>
            <w:tcW w:w="1671" w:type="pct"/>
            <w:tcBorders>
              <w:top w:val="single" w:sz="4" w:space="0" w:color="auto"/>
              <w:left w:val="single" w:sz="4" w:space="0" w:color="auto"/>
              <w:bottom w:val="single" w:sz="6" w:space="0" w:color="auto"/>
              <w:right w:val="single" w:sz="6" w:space="0" w:color="auto"/>
            </w:tcBorders>
            <w:shd w:val="clear" w:color="auto" w:fill="C89800"/>
            <w:hideMark/>
          </w:tcPr>
          <w:p w14:paraId="5ADEEC81" w14:textId="77777777" w:rsidR="00443366" w:rsidRPr="00002983" w:rsidRDefault="00443366" w:rsidP="00002983">
            <w:pPr>
              <w:contextualSpacing/>
              <w:jc w:val="both"/>
              <w:rPr>
                <w:rFonts w:ascii="Verdana" w:hAnsi="Verdana"/>
                <w:bCs/>
                <w:i/>
                <w:sz w:val="21"/>
                <w:szCs w:val="21"/>
              </w:rPr>
            </w:pPr>
            <w:r w:rsidRPr="00002983">
              <w:rPr>
                <w:rFonts w:ascii="Verdana" w:hAnsi="Verdana"/>
                <w:bCs/>
                <w:i/>
                <w:sz w:val="21"/>
                <w:szCs w:val="21"/>
              </w:rPr>
              <w:t>Número de Expediente</w:t>
            </w:r>
          </w:p>
        </w:tc>
        <w:tc>
          <w:tcPr>
            <w:tcW w:w="3329" w:type="pct"/>
            <w:tcBorders>
              <w:top w:val="single" w:sz="4" w:space="0" w:color="auto"/>
              <w:left w:val="single" w:sz="6" w:space="0" w:color="auto"/>
              <w:bottom w:val="single" w:sz="6" w:space="0" w:color="auto"/>
              <w:right w:val="single" w:sz="4" w:space="0" w:color="auto"/>
            </w:tcBorders>
            <w:shd w:val="clear" w:color="auto" w:fill="C89800"/>
            <w:hideMark/>
          </w:tcPr>
          <w:p w14:paraId="3523F8B7" w14:textId="77777777" w:rsidR="00443366" w:rsidRPr="00002983" w:rsidRDefault="00443366" w:rsidP="00002983">
            <w:pPr>
              <w:tabs>
                <w:tab w:val="left" w:pos="5620"/>
              </w:tabs>
              <w:rPr>
                <w:rFonts w:ascii="Arial" w:hAnsi="Arial" w:cs="Arial"/>
                <w:noProof/>
                <w:sz w:val="21"/>
                <w:szCs w:val="21"/>
              </w:rPr>
            </w:pPr>
            <w:bookmarkStart w:id="0" w:name="numexpcompartido"/>
            <w:bookmarkEnd w:id="0"/>
            <w:r w:rsidRPr="00002983">
              <w:rPr>
                <w:rFonts w:ascii="Arial" w:hAnsi="Arial" w:cs="Arial"/>
                <w:b/>
                <w:bCs/>
                <w:sz w:val="21"/>
                <w:szCs w:val="21"/>
                <w:lang w:val="es-CO"/>
              </w:rPr>
              <w:t>54/2018/D028-PREDI</w:t>
            </w:r>
          </w:p>
        </w:tc>
      </w:tr>
      <w:tr w:rsidR="00443366" w:rsidRPr="00002983" w14:paraId="5E12A9A7" w14:textId="77777777" w:rsidTr="00002983">
        <w:tc>
          <w:tcPr>
            <w:tcW w:w="1671" w:type="pct"/>
            <w:tcBorders>
              <w:top w:val="single" w:sz="6" w:space="0" w:color="auto"/>
              <w:left w:val="single" w:sz="4" w:space="0" w:color="auto"/>
              <w:bottom w:val="single" w:sz="6" w:space="0" w:color="auto"/>
              <w:right w:val="single" w:sz="6" w:space="0" w:color="auto"/>
            </w:tcBorders>
            <w:shd w:val="clear" w:color="auto" w:fill="C89800"/>
            <w:hideMark/>
          </w:tcPr>
          <w:p w14:paraId="410A11C2" w14:textId="77777777" w:rsidR="00443366" w:rsidRPr="00002983" w:rsidRDefault="00443366" w:rsidP="00002983">
            <w:pPr>
              <w:contextualSpacing/>
              <w:jc w:val="both"/>
              <w:rPr>
                <w:rFonts w:ascii="Verdana" w:hAnsi="Verdana" w:cstheme="minorBidi"/>
                <w:bCs/>
                <w:i/>
                <w:kern w:val="2"/>
                <w:sz w:val="21"/>
                <w:szCs w:val="21"/>
              </w:rPr>
            </w:pPr>
            <w:r w:rsidRPr="00002983">
              <w:rPr>
                <w:rFonts w:ascii="Verdana" w:hAnsi="Verdana"/>
                <w:bCs/>
                <w:i/>
                <w:sz w:val="21"/>
                <w:szCs w:val="21"/>
              </w:rPr>
              <w:t>Sector</w:t>
            </w:r>
          </w:p>
        </w:tc>
        <w:tc>
          <w:tcPr>
            <w:tcW w:w="3329" w:type="pct"/>
            <w:tcBorders>
              <w:top w:val="single" w:sz="6" w:space="0" w:color="auto"/>
              <w:left w:val="single" w:sz="6" w:space="0" w:color="auto"/>
              <w:bottom w:val="single" w:sz="6" w:space="0" w:color="auto"/>
              <w:right w:val="single" w:sz="4" w:space="0" w:color="auto"/>
            </w:tcBorders>
            <w:shd w:val="clear" w:color="auto" w:fill="C89800"/>
            <w:hideMark/>
          </w:tcPr>
          <w:p w14:paraId="3A580709" w14:textId="77777777" w:rsidR="00443366" w:rsidRPr="00002983" w:rsidRDefault="00443366" w:rsidP="00002983">
            <w:pPr>
              <w:contextualSpacing/>
              <w:jc w:val="both"/>
              <w:rPr>
                <w:rFonts w:ascii="Verdana" w:hAnsi="Verdana"/>
                <w:b/>
                <w:bCs/>
                <w:sz w:val="21"/>
                <w:szCs w:val="21"/>
              </w:rPr>
            </w:pPr>
            <w:bookmarkStart w:id="1" w:name="cmbsector"/>
            <w:bookmarkEnd w:id="1"/>
            <w:r w:rsidRPr="00002983">
              <w:rPr>
                <w:rFonts w:ascii="Verdana" w:hAnsi="Verdana"/>
                <w:b/>
                <w:bCs/>
                <w:sz w:val="21"/>
                <w:szCs w:val="21"/>
              </w:rPr>
              <w:t>SALUD</w:t>
            </w:r>
          </w:p>
        </w:tc>
      </w:tr>
      <w:tr w:rsidR="00443366" w:rsidRPr="00002983" w14:paraId="4DC34ACB" w14:textId="77777777" w:rsidTr="00002983">
        <w:tc>
          <w:tcPr>
            <w:tcW w:w="1671" w:type="pct"/>
            <w:tcBorders>
              <w:top w:val="single" w:sz="6" w:space="0" w:color="auto"/>
              <w:left w:val="single" w:sz="4" w:space="0" w:color="auto"/>
              <w:bottom w:val="single" w:sz="6" w:space="0" w:color="auto"/>
              <w:right w:val="single" w:sz="6" w:space="0" w:color="auto"/>
            </w:tcBorders>
            <w:shd w:val="clear" w:color="auto" w:fill="C89800"/>
            <w:hideMark/>
          </w:tcPr>
          <w:p w14:paraId="0D034D27" w14:textId="77777777" w:rsidR="00443366" w:rsidRPr="00002983" w:rsidRDefault="00443366" w:rsidP="00002983">
            <w:pPr>
              <w:contextualSpacing/>
              <w:jc w:val="both"/>
              <w:rPr>
                <w:rFonts w:ascii="Verdana" w:hAnsi="Verdana"/>
                <w:bCs/>
                <w:i/>
                <w:sz w:val="21"/>
                <w:szCs w:val="21"/>
              </w:rPr>
            </w:pPr>
            <w:r w:rsidRPr="00002983">
              <w:rPr>
                <w:rFonts w:ascii="Verdana" w:hAnsi="Verdana"/>
                <w:bCs/>
                <w:i/>
                <w:sz w:val="21"/>
                <w:szCs w:val="21"/>
              </w:rPr>
              <w:t>Tipo de Entidad</w:t>
            </w:r>
          </w:p>
        </w:tc>
        <w:tc>
          <w:tcPr>
            <w:tcW w:w="3329" w:type="pct"/>
            <w:tcBorders>
              <w:top w:val="single" w:sz="6" w:space="0" w:color="auto"/>
              <w:left w:val="single" w:sz="6" w:space="0" w:color="auto"/>
              <w:bottom w:val="single" w:sz="6" w:space="0" w:color="auto"/>
              <w:right w:val="single" w:sz="4" w:space="0" w:color="auto"/>
            </w:tcBorders>
            <w:shd w:val="clear" w:color="auto" w:fill="C89800"/>
            <w:hideMark/>
          </w:tcPr>
          <w:p w14:paraId="52B390B5" w14:textId="77777777" w:rsidR="00443366" w:rsidRPr="00002983" w:rsidRDefault="00443366" w:rsidP="00002983">
            <w:pPr>
              <w:contextualSpacing/>
              <w:jc w:val="both"/>
              <w:rPr>
                <w:rFonts w:ascii="Verdana" w:hAnsi="Verdana"/>
                <w:b/>
                <w:sz w:val="21"/>
                <w:szCs w:val="21"/>
              </w:rPr>
            </w:pPr>
            <w:bookmarkStart w:id="2" w:name="cmbtipoentidad"/>
            <w:bookmarkEnd w:id="2"/>
            <w:r w:rsidRPr="00002983">
              <w:rPr>
                <w:rFonts w:ascii="Verdana" w:hAnsi="Verdana"/>
                <w:b/>
                <w:sz w:val="21"/>
                <w:szCs w:val="21"/>
              </w:rPr>
              <w:t>DEPARTAMENTO</w:t>
            </w:r>
          </w:p>
        </w:tc>
      </w:tr>
      <w:tr w:rsidR="00443366" w:rsidRPr="00002983" w14:paraId="69896ED0" w14:textId="77777777" w:rsidTr="00002983">
        <w:tc>
          <w:tcPr>
            <w:tcW w:w="1671" w:type="pct"/>
            <w:tcBorders>
              <w:top w:val="single" w:sz="6" w:space="0" w:color="auto"/>
              <w:left w:val="single" w:sz="4" w:space="0" w:color="auto"/>
              <w:bottom w:val="single" w:sz="4" w:space="0" w:color="auto"/>
              <w:right w:val="single" w:sz="6" w:space="0" w:color="auto"/>
            </w:tcBorders>
            <w:shd w:val="clear" w:color="auto" w:fill="C89800"/>
            <w:hideMark/>
          </w:tcPr>
          <w:p w14:paraId="58191BD2" w14:textId="77777777" w:rsidR="00443366" w:rsidRPr="00002983" w:rsidRDefault="00443366" w:rsidP="00002983">
            <w:pPr>
              <w:contextualSpacing/>
              <w:jc w:val="both"/>
              <w:rPr>
                <w:rFonts w:ascii="Verdana" w:hAnsi="Verdana"/>
                <w:bCs/>
                <w:i/>
                <w:sz w:val="21"/>
                <w:szCs w:val="21"/>
              </w:rPr>
            </w:pPr>
            <w:r w:rsidRPr="00002983">
              <w:rPr>
                <w:rFonts w:ascii="Verdana" w:hAnsi="Verdana"/>
                <w:bCs/>
                <w:i/>
                <w:sz w:val="21"/>
                <w:szCs w:val="21"/>
              </w:rPr>
              <w:t>Entidad</w:t>
            </w:r>
          </w:p>
        </w:tc>
        <w:tc>
          <w:tcPr>
            <w:tcW w:w="3329" w:type="pct"/>
            <w:tcBorders>
              <w:top w:val="single" w:sz="6" w:space="0" w:color="auto"/>
              <w:left w:val="single" w:sz="6" w:space="0" w:color="auto"/>
              <w:bottom w:val="single" w:sz="4" w:space="0" w:color="auto"/>
              <w:right w:val="single" w:sz="4" w:space="0" w:color="auto"/>
            </w:tcBorders>
            <w:shd w:val="clear" w:color="auto" w:fill="C89800"/>
            <w:hideMark/>
          </w:tcPr>
          <w:p w14:paraId="564D2B78" w14:textId="77777777" w:rsidR="00443366" w:rsidRPr="00002983" w:rsidRDefault="00443366" w:rsidP="00002983">
            <w:pPr>
              <w:contextualSpacing/>
              <w:jc w:val="both"/>
              <w:rPr>
                <w:rFonts w:ascii="Verdana" w:hAnsi="Verdana"/>
                <w:b/>
                <w:sz w:val="21"/>
                <w:szCs w:val="21"/>
              </w:rPr>
            </w:pPr>
            <w:bookmarkStart w:id="3" w:name="deptoymuni"/>
            <w:bookmarkStart w:id="4" w:name="cmbresguardo"/>
            <w:bookmarkEnd w:id="3"/>
            <w:bookmarkEnd w:id="4"/>
            <w:r w:rsidRPr="00002983">
              <w:rPr>
                <w:rFonts w:ascii="Verdana" w:hAnsi="Verdana"/>
                <w:b/>
                <w:sz w:val="21"/>
                <w:szCs w:val="21"/>
              </w:rPr>
              <w:t>CÓRDOBA</w:t>
            </w:r>
          </w:p>
        </w:tc>
      </w:tr>
    </w:tbl>
    <w:p w14:paraId="586D01B2" w14:textId="77777777" w:rsidR="00443366" w:rsidRPr="00002983" w:rsidRDefault="00443366" w:rsidP="00002983">
      <w:pPr>
        <w:jc w:val="both"/>
        <w:rPr>
          <w:rFonts w:ascii="Verdana" w:hAnsi="Verdana" w:cstheme="minorBidi"/>
          <w:kern w:val="2"/>
          <w:sz w:val="21"/>
          <w:szCs w:val="21"/>
          <w:lang w:eastAsia="en-US"/>
        </w:rPr>
      </w:pPr>
    </w:p>
    <w:p w14:paraId="68E6E539" w14:textId="77777777" w:rsidR="00443366" w:rsidRPr="00002983" w:rsidRDefault="00443366" w:rsidP="00002983">
      <w:pPr>
        <w:jc w:val="both"/>
        <w:rPr>
          <w:rFonts w:ascii="Verdana" w:hAnsi="Verdana"/>
          <w:sz w:val="21"/>
          <w:szCs w:val="21"/>
        </w:rPr>
      </w:pPr>
      <w:r w:rsidRPr="00002983">
        <w:rPr>
          <w:rFonts w:ascii="Verdana" w:hAnsi="Verdana"/>
          <w:sz w:val="21"/>
          <w:szCs w:val="21"/>
        </w:rPr>
        <w:t xml:space="preserve">Período de Evaluación: 1 de </w:t>
      </w:r>
      <w:r w:rsidR="00002983" w:rsidRPr="00002983">
        <w:rPr>
          <w:rFonts w:ascii="Verdana" w:hAnsi="Verdana"/>
          <w:sz w:val="21"/>
          <w:szCs w:val="21"/>
        </w:rPr>
        <w:t>e</w:t>
      </w:r>
      <w:r w:rsidRPr="00002983">
        <w:rPr>
          <w:rFonts w:ascii="Verdana" w:hAnsi="Verdana"/>
          <w:sz w:val="21"/>
          <w:szCs w:val="21"/>
        </w:rPr>
        <w:t xml:space="preserve">nero de 2023 a 30 de </w:t>
      </w:r>
      <w:r w:rsidR="00002983" w:rsidRPr="00002983">
        <w:rPr>
          <w:rFonts w:ascii="Verdana" w:hAnsi="Verdana"/>
          <w:sz w:val="21"/>
          <w:szCs w:val="21"/>
        </w:rPr>
        <w:t>n</w:t>
      </w:r>
      <w:r w:rsidRPr="00002983">
        <w:rPr>
          <w:rFonts w:ascii="Verdana" w:hAnsi="Verdana"/>
          <w:sz w:val="21"/>
          <w:szCs w:val="21"/>
        </w:rPr>
        <w:t>oviembre de 2023</w:t>
      </w:r>
    </w:p>
    <w:p w14:paraId="7CF4BA8F" w14:textId="77777777" w:rsidR="00443366" w:rsidRPr="00002983" w:rsidRDefault="00443366" w:rsidP="00002983">
      <w:pPr>
        <w:jc w:val="both"/>
        <w:rPr>
          <w:rFonts w:ascii="Verdana" w:hAnsi="Verdana"/>
          <w:sz w:val="21"/>
          <w:szCs w:val="21"/>
        </w:rPr>
      </w:pPr>
    </w:p>
    <w:p w14:paraId="53A5EDA5" w14:textId="77777777" w:rsidR="00443366" w:rsidRPr="00002983" w:rsidRDefault="00443366" w:rsidP="00002983">
      <w:pPr>
        <w:numPr>
          <w:ilvl w:val="0"/>
          <w:numId w:val="3"/>
        </w:numPr>
        <w:jc w:val="both"/>
        <w:rPr>
          <w:rFonts w:ascii="Verdana" w:hAnsi="Verdana"/>
          <w:b/>
          <w:sz w:val="21"/>
          <w:szCs w:val="21"/>
        </w:rPr>
      </w:pPr>
      <w:r w:rsidRPr="00002983">
        <w:rPr>
          <w:rFonts w:ascii="Verdana" w:hAnsi="Verdana"/>
          <w:b/>
          <w:sz w:val="21"/>
          <w:szCs w:val="21"/>
        </w:rPr>
        <w:t xml:space="preserve">ANTECEDENTES </w:t>
      </w:r>
    </w:p>
    <w:p w14:paraId="1F9AA9C9" w14:textId="77777777" w:rsidR="00443366" w:rsidRPr="00002983" w:rsidRDefault="00443366" w:rsidP="00002983">
      <w:pPr>
        <w:jc w:val="both"/>
        <w:rPr>
          <w:rFonts w:ascii="Verdana" w:hAnsi="Verdana"/>
          <w:sz w:val="21"/>
          <w:szCs w:val="21"/>
        </w:rPr>
      </w:pPr>
    </w:p>
    <w:p w14:paraId="0B704B81" w14:textId="77777777" w:rsidR="00443366" w:rsidRDefault="00443366" w:rsidP="00002983">
      <w:pPr>
        <w:jc w:val="both"/>
        <w:rPr>
          <w:rFonts w:ascii="Verdana" w:eastAsia="Calibri" w:hAnsi="Verdana" w:cs="Arial"/>
          <w:sz w:val="21"/>
          <w:szCs w:val="21"/>
          <w:lang w:val="es-ES_tradnl" w:eastAsia="en-US"/>
        </w:rPr>
      </w:pPr>
      <w:r w:rsidRPr="00002983">
        <w:rPr>
          <w:rFonts w:ascii="Verdana" w:eastAsia="Calibri" w:hAnsi="Verdana" w:cs="Arial"/>
          <w:sz w:val="21"/>
          <w:szCs w:val="21"/>
          <w:lang w:val="es-ES_tradnl" w:eastAsia="en-US"/>
        </w:rPr>
        <w:t xml:space="preserve">En el marco de la Estrategia de Monitoreo, Seguimiento y Control al uso de los recursos del Sistema General de Participaciones y en virtud del artículo 11 del Decreto 028 de 2008, la Dirección General de Apoyo Fiscal ordenó la adopción de una medida preventiva de Plan de Desempeño en el Sector Salud al Departamento de Córdoba mediante la Resolución 1286 del 5 de mayo de 2016, la cual fue adoptada mediante el Decreto No. 0648 del 8 de julio de 2016 por la Entidad Territorial y posteriormente aprobada a través de la Resolución No. 2499 del 17 de agosto de 2016. Lo anterior como consecuencia de la no entrega de información por parte de la Entidad Territorial relacionada con los movimientos atípicos de recursos realizados desde la cuenta maestra de Oferta durante las vigencias 2014 y 2015 y la facturación y deuda consolidada derivada de la prestación de servicios a población pobre no asegurada y acciones No POS. </w:t>
      </w:r>
    </w:p>
    <w:p w14:paraId="6E0D5247" w14:textId="77777777" w:rsidR="00002983" w:rsidRPr="00002983" w:rsidRDefault="00002983" w:rsidP="00002983">
      <w:pPr>
        <w:jc w:val="both"/>
        <w:rPr>
          <w:rFonts w:ascii="Verdana" w:eastAsia="Calibri" w:hAnsi="Verdana" w:cs="Arial"/>
          <w:sz w:val="21"/>
          <w:szCs w:val="21"/>
          <w:lang w:val="es-ES_tradnl" w:eastAsia="en-US"/>
        </w:rPr>
      </w:pPr>
    </w:p>
    <w:p w14:paraId="101A5366" w14:textId="77777777" w:rsidR="00443366"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ES_tradnl" w:eastAsia="en-US"/>
        </w:rPr>
        <w:t xml:space="preserve">Posteriormente, </w:t>
      </w:r>
      <w:r w:rsidRPr="00002983">
        <w:rPr>
          <w:rFonts w:ascii="Verdana" w:eastAsia="Calibri" w:hAnsi="Verdana" w:cs="Arial"/>
          <w:sz w:val="21"/>
          <w:szCs w:val="21"/>
          <w:lang w:val="es-CO" w:eastAsia="en-US"/>
        </w:rPr>
        <w:t xml:space="preserve">en virtud del numeral 2 del artículo 2.6.3.4.3 del Decreto 1068 de 2015 la Contraloría General de la República mediante radicado 1-2016-048213 del 17 de junio de 2016 remitió a la Dirección General de Apoyo Fiscal los hallazgos de auditoría para la vigencia 2015, señalando que la Secretaría de Salud del Departamento de Córdoba para las vigencias 2013, 2014 y 2015 realizó pagos por medicamentos no incluidos en el POS por un valor de $44.813 millones para el tratamiento de enfermedad de Hemofilia y/o </w:t>
      </w:r>
      <w:proofErr w:type="spellStart"/>
      <w:r w:rsidRPr="00002983">
        <w:rPr>
          <w:rFonts w:ascii="Verdana" w:eastAsia="Calibri" w:hAnsi="Verdana" w:cs="Arial"/>
          <w:sz w:val="21"/>
          <w:szCs w:val="21"/>
          <w:lang w:val="es-CO" w:eastAsia="en-US"/>
        </w:rPr>
        <w:t>Von</w:t>
      </w:r>
      <w:proofErr w:type="spellEnd"/>
      <w:r w:rsidRPr="00002983">
        <w:rPr>
          <w:rFonts w:ascii="Verdana" w:eastAsia="Calibri" w:hAnsi="Verdana" w:cs="Arial"/>
          <w:sz w:val="21"/>
          <w:szCs w:val="21"/>
          <w:lang w:val="es-CO" w:eastAsia="en-US"/>
        </w:rPr>
        <w:t xml:space="preserve"> Willebrand de personas vinculadas al régimen subsidiado, sin que la fuente de estas obligaciones fuera la autorización de un Comité Técnico Científico o un fallo de acción de tutela, vulnerando el procedimiento establecido por la Resolución 1479 de 2015 que derogó la Resolución 5073 de 2013.  </w:t>
      </w:r>
    </w:p>
    <w:p w14:paraId="5CFE2F38" w14:textId="77777777" w:rsidR="00002983" w:rsidRPr="00002983" w:rsidRDefault="00002983" w:rsidP="00002983">
      <w:pPr>
        <w:jc w:val="both"/>
        <w:rPr>
          <w:rFonts w:ascii="Verdana" w:eastAsia="Calibri" w:hAnsi="Verdana" w:cs="Arial"/>
          <w:sz w:val="21"/>
          <w:szCs w:val="21"/>
          <w:lang w:val="es-CO" w:eastAsia="en-US"/>
        </w:rPr>
      </w:pPr>
    </w:p>
    <w:p w14:paraId="1E6655E8" w14:textId="77777777" w:rsidR="00443366" w:rsidRDefault="00443366" w:rsidP="00002983">
      <w:pPr>
        <w:jc w:val="both"/>
        <w:rPr>
          <w:rFonts w:ascii="Verdana" w:eastAsia="Calibri" w:hAnsi="Verdana" w:cs="Arial"/>
          <w:sz w:val="21"/>
          <w:szCs w:val="21"/>
          <w:lang w:val="es-ES_tradnl" w:eastAsia="en-US"/>
        </w:rPr>
      </w:pPr>
      <w:r w:rsidRPr="00002983">
        <w:rPr>
          <w:rFonts w:ascii="Verdana" w:eastAsia="Calibri" w:hAnsi="Verdana" w:cs="Arial"/>
          <w:sz w:val="21"/>
          <w:szCs w:val="21"/>
          <w:lang w:val="es-ES_tradnl" w:eastAsia="en-US"/>
        </w:rPr>
        <w:t xml:space="preserve">En segundo lugar, la Contraloría General de la República encontró que las Instituciones Prestadoras de Servicios de Salud beneficiarias de los pagos, adjuntaban resultados de Laboratorios Clínicos que diagnosticaban la enfermedad Hemofilia y/o </w:t>
      </w:r>
      <w:proofErr w:type="spellStart"/>
      <w:r w:rsidRPr="00002983">
        <w:rPr>
          <w:rFonts w:ascii="Verdana" w:eastAsia="Calibri" w:hAnsi="Verdana" w:cs="Arial"/>
          <w:sz w:val="21"/>
          <w:szCs w:val="21"/>
          <w:lang w:val="es-ES_tradnl" w:eastAsia="en-US"/>
        </w:rPr>
        <w:t>Von</w:t>
      </w:r>
      <w:proofErr w:type="spellEnd"/>
      <w:r w:rsidRPr="00002983">
        <w:rPr>
          <w:rFonts w:ascii="Verdana" w:eastAsia="Calibri" w:hAnsi="Verdana" w:cs="Arial"/>
          <w:sz w:val="21"/>
          <w:szCs w:val="21"/>
          <w:lang w:val="es-ES_tradnl" w:eastAsia="en-US"/>
        </w:rPr>
        <w:t xml:space="preserve"> Willebrand. Al respecto, dicha Entidad solicitó por comunicación escrita a estos Laboratorios que certificaran si los diagnósticos eran copia autentica de los originales, obteniendo como respuesta oficial que se presentaban irregularidades en la autenticidad de </w:t>
      </w:r>
      <w:proofErr w:type="gramStart"/>
      <w:r w:rsidRPr="00002983">
        <w:rPr>
          <w:rFonts w:ascii="Verdana" w:eastAsia="Calibri" w:hAnsi="Verdana" w:cs="Arial"/>
          <w:sz w:val="21"/>
          <w:szCs w:val="21"/>
          <w:lang w:val="es-ES_tradnl" w:eastAsia="en-US"/>
        </w:rPr>
        <w:t>los mismos</w:t>
      </w:r>
      <w:proofErr w:type="gramEnd"/>
      <w:r w:rsidRPr="00002983">
        <w:rPr>
          <w:rFonts w:ascii="Verdana" w:eastAsia="Calibri" w:hAnsi="Verdana" w:cs="Arial"/>
          <w:sz w:val="21"/>
          <w:szCs w:val="21"/>
          <w:lang w:val="es-ES_tradnl" w:eastAsia="en-US"/>
        </w:rPr>
        <w:t xml:space="preserve">, por lo cual, el Órgano de Control concluyó que los resultados de laboratorio eran presuntamente falsos. </w:t>
      </w:r>
    </w:p>
    <w:p w14:paraId="56FA6199" w14:textId="77777777" w:rsidR="00002983" w:rsidRPr="00002983" w:rsidRDefault="00002983" w:rsidP="00002983">
      <w:pPr>
        <w:jc w:val="both"/>
        <w:rPr>
          <w:rFonts w:ascii="Verdana" w:eastAsia="Calibri" w:hAnsi="Verdana" w:cs="Arial"/>
          <w:sz w:val="21"/>
          <w:szCs w:val="21"/>
          <w:lang w:val="es-ES_tradnl" w:eastAsia="en-US"/>
        </w:rPr>
      </w:pPr>
    </w:p>
    <w:p w14:paraId="5E7F0CE3" w14:textId="77777777" w:rsidR="00443366" w:rsidRDefault="00443366" w:rsidP="00002983">
      <w:pPr>
        <w:jc w:val="both"/>
        <w:rPr>
          <w:rFonts w:ascii="Verdana" w:eastAsia="Calibri" w:hAnsi="Verdana" w:cs="Arial"/>
          <w:sz w:val="21"/>
          <w:szCs w:val="21"/>
          <w:lang w:val="es-ES_tradnl" w:eastAsia="en-US"/>
        </w:rPr>
      </w:pPr>
      <w:r w:rsidRPr="00002983">
        <w:rPr>
          <w:rFonts w:ascii="Verdana" w:eastAsia="Calibri" w:hAnsi="Verdana" w:cs="Arial"/>
          <w:sz w:val="21"/>
          <w:szCs w:val="21"/>
          <w:lang w:val="es-ES_tradnl" w:eastAsia="en-US"/>
        </w:rPr>
        <w:lastRenderedPageBreak/>
        <w:t>Así mismo, la entidad auditora encontró diagnósticos firmados por un Médico Internista Hematólogo que validaban las ordenes de dosis de los medicamentos, situación frente a la cual la Contraloría General de la República procedió a contactar al Médico, quien mediante documento escrito manifestó que las ordenes de dosis de los medicamentos no fueron suscritos por él, ni tenía conocimiento de ellas, razón por la cual el Órgano de Control concluyó que las ordenes médicas eran presuntamente falsas.</w:t>
      </w:r>
    </w:p>
    <w:p w14:paraId="4B1E464B" w14:textId="77777777" w:rsidR="00002983" w:rsidRPr="00002983" w:rsidRDefault="00002983" w:rsidP="00002983">
      <w:pPr>
        <w:jc w:val="both"/>
        <w:rPr>
          <w:rFonts w:ascii="Verdana" w:eastAsia="Calibri" w:hAnsi="Verdana" w:cs="Arial"/>
          <w:sz w:val="21"/>
          <w:szCs w:val="21"/>
          <w:lang w:val="es-ES_tradnl" w:eastAsia="en-US"/>
        </w:rPr>
      </w:pPr>
    </w:p>
    <w:p w14:paraId="637B7F50" w14:textId="77777777" w:rsidR="00443366"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 xml:space="preserve">En tercer lugar, la Contraloría General de la República seleccionó una muestra de los pacientes que habían sido diagnosticados con la enfermedad de Hemofilia y/o </w:t>
      </w:r>
      <w:proofErr w:type="spellStart"/>
      <w:r w:rsidRPr="00002983">
        <w:rPr>
          <w:rFonts w:ascii="Verdana" w:eastAsia="Calibri" w:hAnsi="Verdana" w:cs="Arial"/>
          <w:sz w:val="21"/>
          <w:szCs w:val="21"/>
          <w:lang w:val="es-CO" w:eastAsia="en-US"/>
        </w:rPr>
        <w:t>Von</w:t>
      </w:r>
      <w:proofErr w:type="spellEnd"/>
      <w:r w:rsidRPr="00002983">
        <w:rPr>
          <w:rFonts w:ascii="Verdana" w:eastAsia="Calibri" w:hAnsi="Verdana" w:cs="Arial"/>
          <w:sz w:val="21"/>
          <w:szCs w:val="21"/>
          <w:lang w:val="es-CO" w:eastAsia="en-US"/>
        </w:rPr>
        <w:t xml:space="preserve"> Willebrand, y realizó visitas en campo y entrevistas a los pacientes, los cuales manifestaron que, aunque se realizaron exámenes, los resultados nunca fueron entregados como tampoco los medicamentos.</w:t>
      </w:r>
    </w:p>
    <w:p w14:paraId="13D018A0" w14:textId="77777777" w:rsidR="00002983" w:rsidRPr="00002983" w:rsidRDefault="00002983" w:rsidP="00002983">
      <w:pPr>
        <w:jc w:val="both"/>
        <w:rPr>
          <w:rFonts w:ascii="Verdana" w:eastAsia="Calibri" w:hAnsi="Verdana" w:cs="Arial"/>
          <w:sz w:val="21"/>
          <w:szCs w:val="21"/>
          <w:lang w:val="es-CO" w:eastAsia="en-US"/>
        </w:rPr>
      </w:pPr>
    </w:p>
    <w:p w14:paraId="314D6F91" w14:textId="77777777" w:rsidR="00443366"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Por último, el Ente de Control examinó la auditoria médica contratada por la Secretaría de Salud del Departamento de Córdoba que avaló los pagos, estableciendo valor $0 por concepto de glosa de auditoria médica, sin verificar la efectiva entrega de medicamentos.</w:t>
      </w:r>
    </w:p>
    <w:p w14:paraId="02BDE56C" w14:textId="77777777" w:rsidR="00002983" w:rsidRPr="00002983" w:rsidRDefault="00002983" w:rsidP="00002983">
      <w:pPr>
        <w:jc w:val="both"/>
        <w:rPr>
          <w:rFonts w:ascii="Verdana" w:eastAsia="Calibri" w:hAnsi="Verdana" w:cs="Arial"/>
          <w:sz w:val="21"/>
          <w:szCs w:val="21"/>
          <w:lang w:val="es-CO" w:eastAsia="en-US"/>
        </w:rPr>
      </w:pPr>
    </w:p>
    <w:p w14:paraId="4A17083F" w14:textId="77777777" w:rsidR="00443366"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Así las cosas, la Dirección General de Apoyo Fiscal por medio de la Resolución No. 1784 del 17 de junio del 2016 ordenó la adopción de la Medida Correctiva de Suspensión de Giros de los recursos transferidos con situación de fondos correspondientes al componente de Prestación de Servicios, la cual fue notificada personalmente al señor Gobernador del Departamento de Córdoba, Dr. Edwin José Besaile Fayad el 6 de julio de 2016 y publicada en el diario El Espectador en la edición del 24 de junio de 2016, en virtud de la solicitud realizada a la Subdirección de Servicios mediante memorando radicado con el No. 3-2016-011009 del 20 de junio de 2016. Una vez notificada, se informó a la Entidad Territorial para que iniciara y adelantara las acciones necesarias para determinar la responsabilidad de los funcionarios y/o contratistas que intervinieron en el proceso de reconocimiento y pago de diagnósticos, tratamientos, medicamentos y procedimientos no incluidos en el plan obligatorio de salud del régimen subsidiado, así mismo para prevenir la ocurrencia de los hallazgos formulados por la CGR; igualmente se determinó que la Entidad debía formular un procedimiento integrado al Sistema de Control Interno del Departamento, con el fin de establecer controles razonables a la gestión del proceso sobre el cual se identificaron presuntas situaciones de corrupción.</w:t>
      </w:r>
    </w:p>
    <w:p w14:paraId="70A43293" w14:textId="77777777" w:rsidR="00671AC4" w:rsidRPr="00002983" w:rsidRDefault="00671AC4" w:rsidP="00002983">
      <w:pPr>
        <w:jc w:val="both"/>
        <w:rPr>
          <w:rFonts w:ascii="Verdana" w:eastAsia="Calibri" w:hAnsi="Verdana" w:cs="Arial"/>
          <w:sz w:val="21"/>
          <w:szCs w:val="21"/>
          <w:lang w:val="es-CO" w:eastAsia="en-US"/>
        </w:rPr>
      </w:pPr>
    </w:p>
    <w:p w14:paraId="66353280" w14:textId="77777777" w:rsidR="00443366" w:rsidRPr="00002983" w:rsidRDefault="00443366" w:rsidP="00002983">
      <w:pPr>
        <w:jc w:val="both"/>
        <w:rPr>
          <w:rFonts w:ascii="Verdana" w:hAnsi="Verdana" w:cs="Arial"/>
          <w:sz w:val="21"/>
          <w:szCs w:val="21"/>
          <w:lang w:val="es-ES_tradnl"/>
        </w:rPr>
      </w:pPr>
      <w:r w:rsidRPr="00002983">
        <w:rPr>
          <w:rFonts w:ascii="Verdana" w:hAnsi="Verdana" w:cs="Arial"/>
          <w:sz w:val="21"/>
          <w:szCs w:val="21"/>
          <w:lang w:val="es-ES_tradnl"/>
        </w:rPr>
        <w:t xml:space="preserve">Del mismo modo, el parágrafo primero del artículo 3 de la Resolución No. 1784 del 2016 vinculó para el levantamiento de la Medida, la acción asociada al cumplimiento de los productos previstos en el artículo 3 de la Resolución 1286 del 5 de mayo de 2016, por lo que el cumplimiento de la Medida Preventiva de Plan de Desempeño se entiende incorporado a la ejecución de la Medida Correctiva de Suspensión de Giros. </w:t>
      </w:r>
    </w:p>
    <w:p w14:paraId="21DF5781" w14:textId="77777777" w:rsidR="00443366" w:rsidRPr="00002983" w:rsidRDefault="00443366" w:rsidP="00002983">
      <w:pPr>
        <w:jc w:val="both"/>
        <w:rPr>
          <w:rFonts w:ascii="Verdana" w:eastAsia="Calibri" w:hAnsi="Verdana" w:cs="Arial"/>
          <w:sz w:val="21"/>
          <w:szCs w:val="21"/>
          <w:lang w:val="es-CO" w:eastAsia="en-US"/>
        </w:rPr>
      </w:pPr>
    </w:p>
    <w:p w14:paraId="102CC523"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 xml:space="preserve">En cumplimiento a las actividades previstas en la Medida Correctiva, el Departamento presentó comunicación con radicado 1-2016-062834 el 4 de agosto de 2016, y complementó información con radicado 1-2016-072110 el 29 de agosto de 2016 y 1-2016-079182 del 19 de septiembre de 2016. El resultado del análisis documental, frente a la medida correctiva, determinó que el Departamento de </w:t>
      </w:r>
      <w:r w:rsidRPr="00002983">
        <w:rPr>
          <w:rFonts w:ascii="Verdana" w:eastAsia="Calibri" w:hAnsi="Verdana" w:cs="Arial"/>
          <w:sz w:val="21"/>
          <w:szCs w:val="21"/>
          <w:lang w:val="es-CO" w:eastAsia="en-US"/>
        </w:rPr>
        <w:lastRenderedPageBreak/>
        <w:t>Córdoba cumplió con las obligaciones asociadas a i) iniciar y adelantar las actuaciones administrativas pertinentes para esclarecer las responsabilidades de los funcionarios involucrados en el proceso de auditoría médica No POS y en el proceso de supervisión del contrato de auditoría médica, ii) determinar e iniciar, al ser procedente, las acciones de repetición contra los funcionarios, servidores públicos o los particulares investidos de funciones públicas que participaron en el proceso de reconocimiento y pago de diagnósticos, tratamientos, medicamentos y procedimientos, no incluidos en el plan obligatorio de salud del régimen subsidiado, iii) comunicar a la Procuraduría General de la Nación y a la Fiscalía General de la Nación las actuaciones evidenciadas por la Contraloría General de la República a fin de determinar los controles a seguir, iv) incorporar aspectos básicos para ejecutar de manera práctica el Sistema de Control Interno en el Departamento de Córdoba, de forma que se pueda evidenciar la formulación y aplicación de controles razonables a la gestión de la Entidad y v) cumplir con la entrega de los productos del artículo 3 de la Resolución 1286 del 5 de mayo de 2016, requeridos para el levantamiento de la Medida Correctiva de Suspensión de Giros. No obstante, se evidenció el incumplimiento de la obligación asociada a las actuaciones administrativas, contractuales y judiciales pertinentes contra el contratista auditor que avaló los pagos, con la finalidad de establecer la responsabilidad contractual y obtener la indemnización de los perjuicios que se ocasionaron.</w:t>
      </w:r>
    </w:p>
    <w:p w14:paraId="209377F4" w14:textId="77777777" w:rsidR="00443366" w:rsidRPr="00002983" w:rsidRDefault="00443366" w:rsidP="00002983">
      <w:pPr>
        <w:jc w:val="both"/>
        <w:rPr>
          <w:rFonts w:ascii="Verdana" w:eastAsia="Calibri" w:hAnsi="Verdana" w:cs="Arial"/>
          <w:sz w:val="21"/>
          <w:szCs w:val="21"/>
          <w:lang w:val="es-CO" w:eastAsia="en-US"/>
        </w:rPr>
      </w:pPr>
    </w:p>
    <w:p w14:paraId="546D93DF"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 xml:space="preserve">Posteriormente, mediante correo electrónico radicado con número 1-2017-010465 del 13 de febrero de 2017, oficio con radicado 1-2017-011518 del 16 de febrero de 2017 y correo electrónico radicado con número 1-2017-012905 del 28 de febrero de 2017, la Entidad Territorial remitió nuevamente información y documentación para verificación del cumplimiento de la Medida Correctiva. </w:t>
      </w:r>
    </w:p>
    <w:p w14:paraId="0ACEAFC0" w14:textId="77777777" w:rsidR="00443366" w:rsidRPr="00002983" w:rsidRDefault="00443366" w:rsidP="00002983">
      <w:pPr>
        <w:jc w:val="both"/>
        <w:rPr>
          <w:rFonts w:ascii="Verdana" w:eastAsia="Calibri" w:hAnsi="Verdana" w:cs="Arial"/>
          <w:sz w:val="21"/>
          <w:szCs w:val="21"/>
          <w:lang w:val="es-CO" w:eastAsia="en-US"/>
        </w:rPr>
      </w:pPr>
    </w:p>
    <w:p w14:paraId="36391525"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Frente a la información requerida en cumplimiento de la Medida Preventiva de Plan de Desempeño y que se entiende incorporada a la ejecución de la Medida Correctiva de Suspensión de Giros, la Entidad presentó la documentación mediante radicado 1-2016-073463 el 1 de septiembre de 2016; del análisis de la información entregada, se encontró que i) la misma no cumplió con las condiciones de calidad y suficiencia requeridas por esta Dirección, ii) el Departamento de Córdoba destinó recursos a conceptos de gasto no permitidos por la normatividad vigente, iii) la deuda por prestación de servicios mostró un comportamiento ascendente en cada vigencia, lo cual representaba un riesgo en la prestación del servicio y iv) frente a la facturación derivada de la prestación de servicios por concepto de atención a población PPNA y atenciones NO POS, el Departamento de Córdoba no habría ejecutado mecanismos suficientemente efectivos para contener el gasto y lograr mejores resultados en cuanto a la administración de los recursos de salud, por lo cual esta Dirección no consideró procedente el levantamiento de la Medida Correctiva de Suspensión de Giros.</w:t>
      </w:r>
    </w:p>
    <w:p w14:paraId="46ECEF5A" w14:textId="77777777" w:rsidR="00443366" w:rsidRPr="00002983" w:rsidRDefault="00443366" w:rsidP="00002983">
      <w:pPr>
        <w:jc w:val="both"/>
        <w:rPr>
          <w:rFonts w:ascii="Verdana" w:eastAsia="Calibri" w:hAnsi="Verdana" w:cs="Arial"/>
          <w:b/>
          <w:sz w:val="21"/>
          <w:szCs w:val="21"/>
          <w:lang w:val="es-CO" w:eastAsia="en-US"/>
        </w:rPr>
      </w:pPr>
    </w:p>
    <w:p w14:paraId="0AA73168"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 xml:space="preserve">El Ministerio de Salud y Protección Social en virtud del numeral 2 del artículo 2.6.3.4.3 del Decreto 1068 de 2015 remitió al Ministerio de Hacienda y Crédito Público mediante comunicación con radicado No. 1-2017-054927 del 17 de julio de 2017, la relación de nuevos hallazgos reportados por la Contraloría General de la República. Una vez revisado el Informe de la auditoría realizada a los recursos del </w:t>
      </w:r>
      <w:r w:rsidRPr="00002983">
        <w:rPr>
          <w:rFonts w:ascii="Verdana" w:eastAsia="Calibri" w:hAnsi="Verdana" w:cs="Arial"/>
          <w:sz w:val="21"/>
          <w:szCs w:val="21"/>
          <w:lang w:val="es-CO" w:eastAsia="en-US"/>
        </w:rPr>
        <w:lastRenderedPageBreak/>
        <w:t>Sistema General de Participaciones - SGP</w:t>
      </w:r>
      <w:r w:rsidRPr="00002983">
        <w:rPr>
          <w:rFonts w:ascii="Verdana" w:eastAsia="Calibri" w:hAnsi="Verdana" w:cs="Arial"/>
          <w:sz w:val="21"/>
          <w:szCs w:val="21"/>
          <w:vertAlign w:val="superscript"/>
          <w:lang w:val="es-CO" w:eastAsia="en-US"/>
        </w:rPr>
        <w:footnoteReference w:id="1"/>
      </w:r>
      <w:r w:rsidRPr="00002983">
        <w:rPr>
          <w:rFonts w:ascii="Verdana" w:eastAsia="Calibri" w:hAnsi="Verdana" w:cs="Arial"/>
          <w:sz w:val="21"/>
          <w:szCs w:val="21"/>
          <w:lang w:val="es-CO" w:eastAsia="en-US"/>
        </w:rPr>
        <w:t xml:space="preserve"> de la vigencia 2016, se evidenció la reiteración de pagos por concepto de medicamentos para el tratamiento de enfermedades, pagos que i) no cumplían con los requisitos legales, ii) no fueron efectivamente entregados y iii) presuntamente estarían soportados en documentos falsos; igualmente se evidenciaron pagos por servicios de terapias que nunca fueron prestadas a los pacientes. </w:t>
      </w:r>
    </w:p>
    <w:p w14:paraId="4B1F10DD" w14:textId="77777777" w:rsidR="00443366" w:rsidRPr="00002983" w:rsidRDefault="00443366" w:rsidP="00002983">
      <w:pPr>
        <w:jc w:val="both"/>
        <w:rPr>
          <w:rFonts w:ascii="Verdana" w:eastAsia="Calibri" w:hAnsi="Verdana" w:cs="Arial"/>
          <w:sz w:val="21"/>
          <w:szCs w:val="21"/>
          <w:lang w:val="es-CO" w:eastAsia="en-US"/>
        </w:rPr>
      </w:pPr>
    </w:p>
    <w:p w14:paraId="01D6BCF7" w14:textId="77777777" w:rsidR="00443366"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 xml:space="preserve">De igual forma, el informe de auditoría señaló hallazgos que ponen en riesgo la prestación del servicio de salud en el Departamento de Córdoba, </w:t>
      </w:r>
      <w:r w:rsidRPr="00002983">
        <w:rPr>
          <w:rFonts w:ascii="Verdana" w:eastAsia="Calibri" w:hAnsi="Verdana" w:cs="Arial"/>
          <w:sz w:val="21"/>
          <w:szCs w:val="21"/>
          <w:shd w:val="clear" w:color="auto" w:fill="FFFFFF"/>
          <w:lang w:val="es-CO" w:eastAsia="en-US"/>
        </w:rPr>
        <w:t xml:space="preserve">asociados a la inadecuada ejecución presupuestal de los recursos del SGP asignados para la financiación de prestación de servicios, fallas en los procesos contractuales y de planeación, falta de oportunidad en la ejecución de las acciones del PIC, ausencia de conciliación de aportes patronales de las ESE, fallas en la planeación y seguimiento a la realización de visitas previas y de verificación de los </w:t>
      </w:r>
      <w:r w:rsidRPr="00002983">
        <w:rPr>
          <w:rFonts w:ascii="Verdana" w:eastAsia="Calibri" w:hAnsi="Verdana" w:cs="Arial"/>
          <w:sz w:val="21"/>
          <w:szCs w:val="21"/>
          <w:lang w:val="es-CO" w:eastAsia="en-US"/>
        </w:rPr>
        <w:t>estándares del Sistema Único de Habilitación y destinación de recursos del SGP- Salud Pública en conceptos de gasto no autorizados por la Ley.</w:t>
      </w:r>
    </w:p>
    <w:p w14:paraId="261BF891" w14:textId="77777777" w:rsidR="00671AC4" w:rsidRPr="00002983" w:rsidRDefault="00671AC4" w:rsidP="00002983">
      <w:pPr>
        <w:jc w:val="both"/>
        <w:rPr>
          <w:rFonts w:ascii="Verdana" w:eastAsia="Calibri" w:hAnsi="Verdana" w:cs="Arial"/>
          <w:sz w:val="21"/>
          <w:szCs w:val="21"/>
          <w:lang w:val="es-CO" w:eastAsia="en-US"/>
        </w:rPr>
      </w:pPr>
    </w:p>
    <w:p w14:paraId="1A1BAC4C" w14:textId="77777777" w:rsidR="00443366" w:rsidRPr="00002983" w:rsidRDefault="00443366" w:rsidP="00002983">
      <w:pPr>
        <w:shd w:val="clear" w:color="auto" w:fill="FFFFFF"/>
        <w:jc w:val="both"/>
        <w:rPr>
          <w:rFonts w:ascii="Verdana" w:hAnsi="Verdana" w:cs="Arial"/>
          <w:sz w:val="21"/>
          <w:szCs w:val="21"/>
        </w:rPr>
      </w:pPr>
      <w:r w:rsidRPr="00002983">
        <w:rPr>
          <w:rFonts w:ascii="Verdana" w:hAnsi="Verdana" w:cs="Arial"/>
          <w:sz w:val="21"/>
          <w:szCs w:val="21"/>
          <w:lang w:val="es-ES_tradnl"/>
        </w:rPr>
        <w:t xml:space="preserve">Como resultado de lo anterior, </w:t>
      </w:r>
      <w:r w:rsidRPr="00002983">
        <w:rPr>
          <w:rFonts w:ascii="Verdana" w:hAnsi="Verdana" w:cs="Arial"/>
          <w:sz w:val="21"/>
          <w:szCs w:val="21"/>
        </w:rPr>
        <w:t xml:space="preserve">con la finalidad de proteger los recursos transferidos por el SGP e implementar acciones orientadas a la superación de los eventos de riesgo identificados en el informe de auditoría de la CGR, la Dirección General de Apoyo Fiscal del Ministerio de Hacienda y Crédito Público expidió la Resolución No. 3033 del 19 de septiembre de 2017 </w:t>
      </w:r>
      <w:r w:rsidRPr="00002983">
        <w:rPr>
          <w:rFonts w:ascii="Verdana" w:hAnsi="Verdana" w:cs="Arial"/>
          <w:i/>
          <w:sz w:val="21"/>
          <w:szCs w:val="21"/>
        </w:rPr>
        <w:t>“Por la cual se reformula la Medida Correctiva de Suspensión de Giros de los recursos transferidos con situación de fondos del componente de Prestación de Servicios a la población pobre no vinculada con subsidios a la demanda y actividades No POS del Sistema General de Participaciones del Departamento de Córdoba, adoptada mediante Resolución No. 1784 del 17 de junio de 2016 de la Dirección General de Apoyo Fiscal del Ministerio de Hacienda y Crédito Público, de acuerdo con el artículo 13 del Decreto 028 de 2008 y los artículos 2.6.3.4.2.2., 2.6.3.4.2.3, 2.6.3.2.1., 2.6.3.2.2. y 2.6.3.3.1. del Decreto 1068 de 2015”</w:t>
      </w:r>
      <w:r w:rsidRPr="00002983">
        <w:rPr>
          <w:rFonts w:ascii="Verdana" w:hAnsi="Verdana" w:cs="Arial"/>
          <w:sz w:val="21"/>
          <w:szCs w:val="21"/>
        </w:rPr>
        <w:t>.</w:t>
      </w:r>
    </w:p>
    <w:p w14:paraId="32AD8D04" w14:textId="77777777" w:rsidR="00443366" w:rsidRPr="00002983" w:rsidRDefault="00443366" w:rsidP="00002983">
      <w:pPr>
        <w:shd w:val="clear" w:color="auto" w:fill="FFFFFF"/>
        <w:jc w:val="both"/>
        <w:rPr>
          <w:rFonts w:ascii="Verdana" w:hAnsi="Verdana" w:cs="Arial"/>
          <w:sz w:val="21"/>
          <w:szCs w:val="21"/>
        </w:rPr>
      </w:pPr>
    </w:p>
    <w:p w14:paraId="4707AF24" w14:textId="77777777" w:rsidR="00443366" w:rsidRPr="00002983" w:rsidRDefault="00443366" w:rsidP="00002983">
      <w:pPr>
        <w:shd w:val="clear" w:color="auto" w:fill="FFFFFF"/>
        <w:jc w:val="both"/>
        <w:rPr>
          <w:rFonts w:ascii="Verdana" w:hAnsi="Verdana" w:cs="Arial"/>
          <w:sz w:val="21"/>
          <w:szCs w:val="21"/>
        </w:rPr>
      </w:pPr>
      <w:r w:rsidRPr="00002983">
        <w:rPr>
          <w:rFonts w:ascii="Verdana" w:hAnsi="Verdana" w:cs="Arial"/>
          <w:sz w:val="21"/>
          <w:szCs w:val="21"/>
        </w:rPr>
        <w:t>Posteriormente, mediante comunicación con radicado No. 1-2018-062296 del 11 de julio de 2018, el Ministerio de Salud y Protección Social remitió el informe de auditoría adelantada a los recursos del Sistema General de Participaciones de la vigencia 2014, realizado por la Contraloría General de la República, en el cual se evidenciaron reiterados hallazgos relacionados con la inoportunidad en la ejecución de las acciones del PIC, falta de auditoría a los aportes patronales en salud y reiteración de pagos de servicios de terapias que no cumplen con los requisitos legales, los cuales ascendieron a $22.877 millones.</w:t>
      </w:r>
    </w:p>
    <w:p w14:paraId="0CD6C602" w14:textId="77777777" w:rsidR="00443366" w:rsidRPr="00002983" w:rsidRDefault="00443366" w:rsidP="00002983">
      <w:pPr>
        <w:shd w:val="clear" w:color="auto" w:fill="FFFFFF"/>
        <w:jc w:val="both"/>
        <w:rPr>
          <w:rFonts w:ascii="Verdana" w:hAnsi="Verdana" w:cs="Arial"/>
          <w:sz w:val="21"/>
          <w:szCs w:val="21"/>
        </w:rPr>
      </w:pPr>
    </w:p>
    <w:p w14:paraId="2676EA9C" w14:textId="77777777" w:rsidR="00443366" w:rsidRPr="00002983" w:rsidRDefault="00443366" w:rsidP="00002983">
      <w:pPr>
        <w:shd w:val="clear" w:color="auto" w:fill="FFFFFF"/>
        <w:jc w:val="both"/>
        <w:rPr>
          <w:rFonts w:ascii="Verdana" w:hAnsi="Verdana" w:cs="Arial"/>
          <w:sz w:val="21"/>
          <w:szCs w:val="21"/>
        </w:rPr>
      </w:pPr>
      <w:r w:rsidRPr="00002983">
        <w:rPr>
          <w:rFonts w:ascii="Verdana" w:hAnsi="Verdana" w:cs="Arial"/>
          <w:sz w:val="21"/>
          <w:szCs w:val="21"/>
        </w:rPr>
        <w:t xml:space="preserve">Efectuado el análisis del Informe de Auditoría emitido por la Contraloría General de la República, se identificó que los hallazgos encontrados se relacionan con los eventos de riesgo configurados a través de la Resolución No. 3033 del 19 de septiembre de 2017, por lo cual las actividades tendientes a mitigar las situaciones de </w:t>
      </w:r>
      <w:proofErr w:type="gramStart"/>
      <w:r w:rsidRPr="00002983">
        <w:rPr>
          <w:rFonts w:ascii="Verdana" w:hAnsi="Verdana" w:cs="Arial"/>
          <w:sz w:val="21"/>
          <w:szCs w:val="21"/>
        </w:rPr>
        <w:t>riesgo,</w:t>
      </w:r>
      <w:proofErr w:type="gramEnd"/>
      <w:r w:rsidRPr="00002983">
        <w:rPr>
          <w:rFonts w:ascii="Verdana" w:hAnsi="Verdana" w:cs="Arial"/>
          <w:sz w:val="21"/>
          <w:szCs w:val="21"/>
        </w:rPr>
        <w:t xml:space="preserve"> corresponden a las establecidas en el artículo 3° de la Resolución 3033 de 2017. Conforme lo expuesto, esta Dirección modificó mediante Resolución No. </w:t>
      </w:r>
      <w:r w:rsidRPr="00002983">
        <w:rPr>
          <w:rFonts w:ascii="Verdana" w:hAnsi="Verdana" w:cs="Arial"/>
          <w:sz w:val="21"/>
          <w:szCs w:val="21"/>
        </w:rPr>
        <w:lastRenderedPageBreak/>
        <w:t xml:space="preserve">3496 del 17 de octubre de 2018, el numeral 12 del artículo 3° de la Resolución No. 3033 de 2017, en lo concerniente al monto de recursos que el </w:t>
      </w:r>
      <w:r w:rsidR="00CB5240">
        <w:rPr>
          <w:rFonts w:ascii="Verdana" w:hAnsi="Verdana" w:cs="Arial"/>
          <w:sz w:val="21"/>
          <w:szCs w:val="21"/>
        </w:rPr>
        <w:t>D</w:t>
      </w:r>
      <w:r w:rsidRPr="00002983">
        <w:rPr>
          <w:rFonts w:ascii="Verdana" w:hAnsi="Verdana" w:cs="Arial"/>
          <w:sz w:val="21"/>
          <w:szCs w:val="21"/>
        </w:rPr>
        <w:t xml:space="preserve">epartamento de Córdoba debe orientar al sector salud, incrementando el mismo en $22.870 millones.  </w:t>
      </w:r>
    </w:p>
    <w:p w14:paraId="3B1318C5" w14:textId="77777777" w:rsidR="00443366" w:rsidRPr="00002983" w:rsidRDefault="00443366" w:rsidP="00002983">
      <w:pPr>
        <w:shd w:val="clear" w:color="auto" w:fill="FFFFFF"/>
        <w:jc w:val="both"/>
        <w:rPr>
          <w:rFonts w:ascii="Arial" w:hAnsi="Arial" w:cs="Arial"/>
          <w:sz w:val="21"/>
          <w:szCs w:val="21"/>
        </w:rPr>
      </w:pPr>
    </w:p>
    <w:p w14:paraId="66AA1CF3" w14:textId="77777777" w:rsidR="00443366" w:rsidRPr="00002983" w:rsidRDefault="00443366" w:rsidP="00002983">
      <w:pPr>
        <w:numPr>
          <w:ilvl w:val="0"/>
          <w:numId w:val="3"/>
        </w:numPr>
        <w:jc w:val="both"/>
        <w:rPr>
          <w:rFonts w:ascii="Verdana" w:hAnsi="Verdana" w:cstheme="minorBidi"/>
          <w:b/>
          <w:sz w:val="21"/>
          <w:szCs w:val="21"/>
        </w:rPr>
      </w:pPr>
      <w:r w:rsidRPr="00002983">
        <w:rPr>
          <w:rFonts w:ascii="Verdana" w:hAnsi="Verdana"/>
          <w:b/>
          <w:sz w:val="21"/>
          <w:szCs w:val="21"/>
        </w:rPr>
        <w:t xml:space="preserve">CARACTERIZACIÓN </w:t>
      </w:r>
    </w:p>
    <w:p w14:paraId="272578E3" w14:textId="77777777" w:rsidR="00443366" w:rsidRPr="00002983" w:rsidRDefault="00443366" w:rsidP="00002983">
      <w:pPr>
        <w:numPr>
          <w:ilvl w:val="0"/>
          <w:numId w:val="4"/>
        </w:numPr>
        <w:jc w:val="both"/>
        <w:rPr>
          <w:rFonts w:ascii="Verdana" w:hAnsi="Verdana"/>
          <w:sz w:val="21"/>
          <w:szCs w:val="21"/>
        </w:rPr>
      </w:pPr>
      <w:r w:rsidRPr="00002983">
        <w:rPr>
          <w:rFonts w:ascii="Verdana" w:hAnsi="Verdana"/>
          <w:sz w:val="21"/>
          <w:szCs w:val="21"/>
        </w:rPr>
        <w:t>Infografía.</w:t>
      </w:r>
    </w:p>
    <w:p w14:paraId="639B5170" w14:textId="77777777" w:rsidR="00443366" w:rsidRPr="00002983" w:rsidRDefault="00EF331C" w:rsidP="00002983">
      <w:pPr>
        <w:jc w:val="both"/>
        <w:rPr>
          <w:rFonts w:ascii="Verdana" w:hAnsi="Verdana"/>
          <w:sz w:val="21"/>
          <w:szCs w:val="21"/>
        </w:rPr>
      </w:pPr>
      <w:r w:rsidRPr="00002983">
        <w:rPr>
          <w:noProof/>
          <w:sz w:val="21"/>
          <w:szCs w:val="21"/>
          <w:lang w:val="es-CO" w:eastAsia="es-CO"/>
        </w:rPr>
        <w:lastRenderedPageBreak/>
        <w:drawing>
          <wp:inline distT="0" distB="0" distL="0" distR="0" wp14:anchorId="088182C2" wp14:editId="6B8210BC">
            <wp:extent cx="5611495" cy="7162800"/>
            <wp:effectExtent l="0" t="0" r="8255" b="0"/>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1495" cy="7162800"/>
                    </a:xfrm>
                    <a:prstGeom prst="rect">
                      <a:avLst/>
                    </a:prstGeom>
                    <a:noFill/>
                    <a:ln>
                      <a:noFill/>
                    </a:ln>
                  </pic:spPr>
                </pic:pic>
              </a:graphicData>
            </a:graphic>
          </wp:inline>
        </w:drawing>
      </w:r>
    </w:p>
    <w:p w14:paraId="58901FA3" w14:textId="77777777" w:rsidR="00443366" w:rsidRDefault="00443366" w:rsidP="00002983">
      <w:pPr>
        <w:jc w:val="both"/>
        <w:rPr>
          <w:rFonts w:ascii="Verdana" w:hAnsi="Verdana"/>
          <w:sz w:val="21"/>
          <w:szCs w:val="21"/>
        </w:rPr>
      </w:pPr>
    </w:p>
    <w:p w14:paraId="2C1A83E9" w14:textId="77777777" w:rsidR="00CB5240" w:rsidRDefault="00CB5240" w:rsidP="00002983">
      <w:pPr>
        <w:jc w:val="both"/>
        <w:rPr>
          <w:rFonts w:ascii="Verdana" w:hAnsi="Verdana"/>
          <w:sz w:val="21"/>
          <w:szCs w:val="21"/>
        </w:rPr>
      </w:pPr>
    </w:p>
    <w:p w14:paraId="1043575E" w14:textId="77777777" w:rsidR="00CB5240" w:rsidRDefault="00CB5240" w:rsidP="00002983">
      <w:pPr>
        <w:jc w:val="both"/>
        <w:rPr>
          <w:rFonts w:ascii="Verdana" w:hAnsi="Verdana"/>
          <w:sz w:val="21"/>
          <w:szCs w:val="21"/>
        </w:rPr>
      </w:pPr>
    </w:p>
    <w:p w14:paraId="027B5CD6" w14:textId="77777777" w:rsidR="00443366" w:rsidRPr="00002983" w:rsidRDefault="00443366" w:rsidP="00002983">
      <w:pPr>
        <w:numPr>
          <w:ilvl w:val="0"/>
          <w:numId w:val="4"/>
        </w:numPr>
        <w:jc w:val="both"/>
        <w:rPr>
          <w:rFonts w:ascii="Verdana" w:hAnsi="Verdana"/>
          <w:sz w:val="21"/>
          <w:szCs w:val="21"/>
        </w:rPr>
      </w:pPr>
      <w:r w:rsidRPr="00002983">
        <w:rPr>
          <w:rFonts w:ascii="Verdana" w:hAnsi="Verdana"/>
          <w:sz w:val="21"/>
          <w:szCs w:val="21"/>
        </w:rPr>
        <w:lastRenderedPageBreak/>
        <w:t xml:space="preserve">Componentes sectoriales </w:t>
      </w:r>
    </w:p>
    <w:p w14:paraId="51A52D3F" w14:textId="77777777" w:rsidR="00443366" w:rsidRPr="00002983" w:rsidRDefault="00443366" w:rsidP="00002983">
      <w:pPr>
        <w:pStyle w:val="Prrafodelista"/>
        <w:numPr>
          <w:ilvl w:val="3"/>
          <w:numId w:val="3"/>
        </w:numPr>
        <w:ind w:left="709" w:hanging="283"/>
        <w:jc w:val="both"/>
        <w:rPr>
          <w:rFonts w:ascii="Verdana" w:eastAsia="Calibri" w:hAnsi="Verdana" w:cs="Arial"/>
          <w:b/>
          <w:sz w:val="21"/>
          <w:szCs w:val="21"/>
        </w:rPr>
      </w:pPr>
      <w:r w:rsidRPr="00002983">
        <w:rPr>
          <w:rFonts w:ascii="Verdana" w:eastAsia="Calibri" w:hAnsi="Verdana" w:cs="Arial"/>
          <w:b/>
          <w:sz w:val="21"/>
          <w:szCs w:val="21"/>
        </w:rPr>
        <w:t>Red pública de prestadores</w:t>
      </w:r>
    </w:p>
    <w:p w14:paraId="48C5A9DF" w14:textId="77777777" w:rsidR="00443366" w:rsidRPr="00002983" w:rsidRDefault="00443366" w:rsidP="00002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eastAsia="ヒラギノ角ゴ Pro W3" w:hAnsi="Arial" w:cs="Arial"/>
          <w:color w:val="000000"/>
          <w:sz w:val="21"/>
          <w:szCs w:val="21"/>
        </w:rPr>
      </w:pPr>
    </w:p>
    <w:p w14:paraId="6212B4A3" w14:textId="77777777" w:rsidR="00443366" w:rsidRPr="00002983" w:rsidRDefault="00443366" w:rsidP="00002983">
      <w:pPr>
        <w:jc w:val="both"/>
        <w:rPr>
          <w:rFonts w:ascii="Verdana" w:hAnsi="Verdana" w:cs="Arial"/>
          <w:sz w:val="21"/>
          <w:szCs w:val="21"/>
        </w:rPr>
      </w:pPr>
      <w:r w:rsidRPr="00002983">
        <w:rPr>
          <w:rFonts w:ascii="Verdana" w:hAnsi="Verdana" w:cs="Arial"/>
          <w:sz w:val="21"/>
          <w:szCs w:val="21"/>
        </w:rPr>
        <w:t xml:space="preserve">El Departamento de Córdoba, reporta una red pública de prestadores del servicio de salud del Departamento viabilizada por el Ministerio de Salud y Protección Social con el radicado 1-2014-052217 del 16 de julio de 2014. Según el documento de viabilidad, la red pública hospitalaria la conforman 31 Empresas Sociales del Estado - ESE, 5 de carácter departamental y 25 de carácter municipal. De esta red pública, 4 ESE tienen un Programa de Saneamiento Fiscal y Financiero - PSFF viabilizado por el Ministerio de Hacienda y Crédito Público con corte a octubre de 2019, las cuales son sujetas a evaluación por parte del citado Ministerio. </w:t>
      </w:r>
    </w:p>
    <w:p w14:paraId="02A8CF40" w14:textId="77777777" w:rsidR="00443366" w:rsidRPr="00002983" w:rsidRDefault="00443366" w:rsidP="00002983">
      <w:pPr>
        <w:jc w:val="both"/>
        <w:rPr>
          <w:rFonts w:ascii="Verdana" w:eastAsia="Times New Roman" w:hAnsi="Verdana" w:cs="Arial"/>
          <w:sz w:val="21"/>
          <w:szCs w:val="21"/>
        </w:rPr>
      </w:pPr>
    </w:p>
    <w:p w14:paraId="21236B4C" w14:textId="77777777" w:rsidR="00443366" w:rsidRDefault="00443366" w:rsidP="00002983">
      <w:pPr>
        <w:jc w:val="both"/>
        <w:rPr>
          <w:rFonts w:ascii="Verdana" w:hAnsi="Verdana" w:cs="Arial"/>
          <w:sz w:val="21"/>
          <w:szCs w:val="21"/>
        </w:rPr>
      </w:pPr>
      <w:r w:rsidRPr="00002983">
        <w:rPr>
          <w:rFonts w:ascii="Verdana" w:hAnsi="Verdana" w:cs="Arial"/>
          <w:sz w:val="21"/>
          <w:szCs w:val="21"/>
        </w:rPr>
        <w:t xml:space="preserve">Las Empresas Sociales del Estado que pertenecen al Departamento de Córdoba son la ESE Hospital San Diego de Cereté, Hospital San Vicente de Paul de Lorica, Hospital San Jerónimo de Montería, ESE CAMU Moñitos y Hospital San Juan de Sahagún, de las cuales 4 pertenecen al nivel II de atención y 1 al nivel I de complejidad. </w:t>
      </w:r>
    </w:p>
    <w:p w14:paraId="66D7FA0E" w14:textId="77777777" w:rsidR="00CB5240" w:rsidRPr="00002983" w:rsidRDefault="00CB5240" w:rsidP="00002983">
      <w:pPr>
        <w:jc w:val="both"/>
        <w:rPr>
          <w:rFonts w:ascii="Verdana" w:eastAsia="Calibri" w:hAnsi="Verdana" w:cs="Arial"/>
          <w:sz w:val="21"/>
          <w:szCs w:val="21"/>
          <w:lang w:eastAsia="en-US"/>
        </w:rPr>
      </w:pPr>
    </w:p>
    <w:p w14:paraId="06A0EBD1" w14:textId="77777777" w:rsidR="00443366" w:rsidRPr="00002983" w:rsidRDefault="00443366" w:rsidP="00002983">
      <w:pPr>
        <w:autoSpaceDE w:val="0"/>
        <w:autoSpaceDN w:val="0"/>
        <w:adjustRightInd w:val="0"/>
        <w:jc w:val="center"/>
        <w:rPr>
          <w:rFonts w:ascii="Verdana" w:eastAsia="ヒラギノ角ゴ Pro W3" w:hAnsi="Verdana" w:cs="Arial"/>
          <w:b/>
          <w:color w:val="000000"/>
          <w:sz w:val="21"/>
          <w:szCs w:val="21"/>
        </w:rPr>
      </w:pPr>
      <w:r w:rsidRPr="00002983">
        <w:rPr>
          <w:rFonts w:ascii="Verdana" w:eastAsia="ヒラギノ角ゴ Pro W3" w:hAnsi="Verdana" w:cs="Arial"/>
          <w:b/>
          <w:color w:val="000000"/>
          <w:sz w:val="21"/>
          <w:szCs w:val="21"/>
        </w:rPr>
        <w:t>Tabla No. 1</w:t>
      </w:r>
    </w:p>
    <w:p w14:paraId="668366A6" w14:textId="77777777" w:rsidR="00443366" w:rsidRPr="00002983" w:rsidRDefault="00443366" w:rsidP="00002983">
      <w:pPr>
        <w:contextualSpacing/>
        <w:jc w:val="center"/>
        <w:rPr>
          <w:rFonts w:ascii="Verdana" w:eastAsia="Calibri" w:hAnsi="Verdana" w:cs="Arial"/>
          <w:b/>
          <w:sz w:val="21"/>
          <w:szCs w:val="21"/>
        </w:rPr>
      </w:pPr>
      <w:r w:rsidRPr="00002983">
        <w:rPr>
          <w:rFonts w:ascii="Verdana" w:eastAsia="Calibri" w:hAnsi="Verdana" w:cs="Arial"/>
          <w:b/>
          <w:sz w:val="21"/>
          <w:szCs w:val="21"/>
        </w:rPr>
        <w:t>RED PÚBLICA DE PRESTADORES</w:t>
      </w:r>
    </w:p>
    <w:tbl>
      <w:tblPr>
        <w:tblW w:w="6180" w:type="dxa"/>
        <w:jc w:val="center"/>
        <w:tblCellMar>
          <w:left w:w="70" w:type="dxa"/>
          <w:right w:w="70" w:type="dxa"/>
        </w:tblCellMar>
        <w:tblLook w:val="04A0" w:firstRow="1" w:lastRow="0" w:firstColumn="1" w:lastColumn="0" w:noHBand="0" w:noVBand="1"/>
      </w:tblPr>
      <w:tblGrid>
        <w:gridCol w:w="1599"/>
        <w:gridCol w:w="1200"/>
        <w:gridCol w:w="1200"/>
        <w:gridCol w:w="1200"/>
        <w:gridCol w:w="1200"/>
      </w:tblGrid>
      <w:tr w:rsidR="00443366" w:rsidRPr="00002983" w14:paraId="1A2FEAD0" w14:textId="77777777" w:rsidTr="003B1181">
        <w:trPr>
          <w:trHeight w:val="510"/>
          <w:jc w:val="center"/>
        </w:trPr>
        <w:tc>
          <w:tcPr>
            <w:tcW w:w="1380" w:type="dxa"/>
            <w:tcBorders>
              <w:top w:val="single" w:sz="4" w:space="0" w:color="808080"/>
              <w:left w:val="nil"/>
              <w:bottom w:val="single" w:sz="4" w:space="0" w:color="808080"/>
              <w:right w:val="nil"/>
            </w:tcBorders>
            <w:shd w:val="clear" w:color="auto" w:fill="D9D9D9"/>
            <w:vAlign w:val="center"/>
            <w:hideMark/>
          </w:tcPr>
          <w:p w14:paraId="5A05D135" w14:textId="77777777" w:rsidR="00443366" w:rsidRPr="00002983" w:rsidRDefault="00443366" w:rsidP="00002983">
            <w:pPr>
              <w:jc w:val="center"/>
              <w:rPr>
                <w:rFonts w:ascii="Arial" w:eastAsia="Times New Roman" w:hAnsi="Arial" w:cs="Arial"/>
                <w:b/>
                <w:bCs/>
                <w:sz w:val="21"/>
                <w:szCs w:val="21"/>
                <w:lang w:val="es-CO" w:eastAsia="es-CO"/>
              </w:rPr>
            </w:pPr>
            <w:r w:rsidRPr="00002983">
              <w:rPr>
                <w:rFonts w:ascii="Arial" w:eastAsia="Times New Roman" w:hAnsi="Arial" w:cs="Arial"/>
                <w:b/>
                <w:bCs/>
                <w:sz w:val="21"/>
                <w:szCs w:val="21"/>
                <w:lang w:val="es-CO" w:eastAsia="es-CO"/>
              </w:rPr>
              <w:t>CARÁCTER ESE</w:t>
            </w:r>
          </w:p>
        </w:tc>
        <w:tc>
          <w:tcPr>
            <w:tcW w:w="1200" w:type="dxa"/>
            <w:tcBorders>
              <w:top w:val="single" w:sz="4" w:space="0" w:color="808080"/>
              <w:left w:val="nil"/>
              <w:bottom w:val="single" w:sz="4" w:space="0" w:color="808080"/>
              <w:right w:val="nil"/>
            </w:tcBorders>
            <w:shd w:val="clear" w:color="auto" w:fill="D9D9D9"/>
            <w:vAlign w:val="center"/>
            <w:hideMark/>
          </w:tcPr>
          <w:p w14:paraId="2C37D577" w14:textId="77777777" w:rsidR="00443366" w:rsidRPr="00002983" w:rsidRDefault="00443366" w:rsidP="00002983">
            <w:pPr>
              <w:jc w:val="center"/>
              <w:rPr>
                <w:rFonts w:ascii="Arial" w:eastAsia="Times New Roman" w:hAnsi="Arial" w:cs="Arial"/>
                <w:b/>
                <w:bCs/>
                <w:sz w:val="21"/>
                <w:szCs w:val="21"/>
                <w:lang w:val="es-CO" w:eastAsia="es-CO"/>
              </w:rPr>
            </w:pPr>
            <w:r w:rsidRPr="00002983">
              <w:rPr>
                <w:rFonts w:ascii="Arial" w:eastAsia="Times New Roman" w:hAnsi="Arial" w:cs="Arial"/>
                <w:b/>
                <w:bCs/>
                <w:sz w:val="21"/>
                <w:szCs w:val="21"/>
                <w:lang w:val="es-CO" w:eastAsia="es-CO"/>
              </w:rPr>
              <w:t>Nivel I</w:t>
            </w:r>
          </w:p>
        </w:tc>
        <w:tc>
          <w:tcPr>
            <w:tcW w:w="1200" w:type="dxa"/>
            <w:tcBorders>
              <w:top w:val="single" w:sz="4" w:space="0" w:color="808080"/>
              <w:left w:val="nil"/>
              <w:bottom w:val="single" w:sz="4" w:space="0" w:color="808080"/>
              <w:right w:val="nil"/>
            </w:tcBorders>
            <w:shd w:val="clear" w:color="auto" w:fill="D9D9D9"/>
            <w:vAlign w:val="center"/>
            <w:hideMark/>
          </w:tcPr>
          <w:p w14:paraId="75050FB1" w14:textId="77777777" w:rsidR="00443366" w:rsidRPr="00002983" w:rsidRDefault="00443366" w:rsidP="00002983">
            <w:pPr>
              <w:jc w:val="center"/>
              <w:rPr>
                <w:rFonts w:ascii="Arial" w:eastAsia="Times New Roman" w:hAnsi="Arial" w:cs="Arial"/>
                <w:b/>
                <w:bCs/>
                <w:sz w:val="21"/>
                <w:szCs w:val="21"/>
                <w:lang w:val="es-CO" w:eastAsia="es-CO"/>
              </w:rPr>
            </w:pPr>
            <w:r w:rsidRPr="00002983">
              <w:rPr>
                <w:rFonts w:ascii="Arial" w:eastAsia="Times New Roman" w:hAnsi="Arial" w:cs="Arial"/>
                <w:b/>
                <w:bCs/>
                <w:sz w:val="21"/>
                <w:szCs w:val="21"/>
                <w:lang w:val="es-CO" w:eastAsia="es-CO"/>
              </w:rPr>
              <w:t>Nivel II</w:t>
            </w:r>
          </w:p>
        </w:tc>
        <w:tc>
          <w:tcPr>
            <w:tcW w:w="1200" w:type="dxa"/>
            <w:tcBorders>
              <w:top w:val="single" w:sz="4" w:space="0" w:color="808080"/>
              <w:left w:val="nil"/>
              <w:bottom w:val="single" w:sz="4" w:space="0" w:color="808080"/>
              <w:right w:val="nil"/>
            </w:tcBorders>
            <w:shd w:val="clear" w:color="auto" w:fill="D9D9D9"/>
            <w:vAlign w:val="center"/>
            <w:hideMark/>
          </w:tcPr>
          <w:p w14:paraId="5E37F4DB" w14:textId="77777777" w:rsidR="00443366" w:rsidRPr="00002983" w:rsidRDefault="00443366" w:rsidP="00002983">
            <w:pPr>
              <w:jc w:val="center"/>
              <w:rPr>
                <w:rFonts w:ascii="Arial" w:eastAsia="Times New Roman" w:hAnsi="Arial" w:cs="Arial"/>
                <w:b/>
                <w:bCs/>
                <w:sz w:val="21"/>
                <w:szCs w:val="21"/>
                <w:lang w:val="es-CO" w:eastAsia="es-CO"/>
              </w:rPr>
            </w:pPr>
            <w:r w:rsidRPr="00002983">
              <w:rPr>
                <w:rFonts w:ascii="Arial" w:eastAsia="Times New Roman" w:hAnsi="Arial" w:cs="Arial"/>
                <w:b/>
                <w:bCs/>
                <w:sz w:val="21"/>
                <w:szCs w:val="21"/>
                <w:lang w:val="es-CO" w:eastAsia="es-CO"/>
              </w:rPr>
              <w:t>Nivel III</w:t>
            </w:r>
          </w:p>
        </w:tc>
        <w:tc>
          <w:tcPr>
            <w:tcW w:w="1200" w:type="dxa"/>
            <w:tcBorders>
              <w:top w:val="single" w:sz="4" w:space="0" w:color="808080"/>
              <w:left w:val="nil"/>
              <w:bottom w:val="single" w:sz="4" w:space="0" w:color="808080"/>
              <w:right w:val="nil"/>
            </w:tcBorders>
            <w:shd w:val="clear" w:color="auto" w:fill="D9D9D9"/>
            <w:vAlign w:val="center"/>
            <w:hideMark/>
          </w:tcPr>
          <w:p w14:paraId="23B963A1" w14:textId="77777777" w:rsidR="00443366" w:rsidRPr="00002983" w:rsidRDefault="00443366" w:rsidP="00002983">
            <w:pPr>
              <w:jc w:val="center"/>
              <w:rPr>
                <w:rFonts w:ascii="Arial" w:eastAsia="Times New Roman" w:hAnsi="Arial" w:cs="Arial"/>
                <w:b/>
                <w:bCs/>
                <w:sz w:val="21"/>
                <w:szCs w:val="21"/>
                <w:lang w:val="es-CO" w:eastAsia="es-CO"/>
              </w:rPr>
            </w:pPr>
            <w:proofErr w:type="gramStart"/>
            <w:r w:rsidRPr="00002983">
              <w:rPr>
                <w:rFonts w:ascii="Arial" w:eastAsia="Times New Roman" w:hAnsi="Arial" w:cs="Arial"/>
                <w:b/>
                <w:bCs/>
                <w:sz w:val="21"/>
                <w:szCs w:val="21"/>
                <w:lang w:val="es-CO" w:eastAsia="es-CO"/>
              </w:rPr>
              <w:t>Total</w:t>
            </w:r>
            <w:proofErr w:type="gramEnd"/>
            <w:r w:rsidRPr="00002983">
              <w:rPr>
                <w:rFonts w:ascii="Arial" w:eastAsia="Times New Roman" w:hAnsi="Arial" w:cs="Arial"/>
                <w:b/>
                <w:bCs/>
                <w:sz w:val="21"/>
                <w:szCs w:val="21"/>
                <w:lang w:val="es-CO" w:eastAsia="es-CO"/>
              </w:rPr>
              <w:t xml:space="preserve"> ESE</w:t>
            </w:r>
          </w:p>
        </w:tc>
      </w:tr>
      <w:tr w:rsidR="00443366" w:rsidRPr="00002983" w14:paraId="2E9EA84C" w14:textId="77777777" w:rsidTr="003B1181">
        <w:trPr>
          <w:trHeight w:val="315"/>
          <w:jc w:val="center"/>
        </w:trPr>
        <w:tc>
          <w:tcPr>
            <w:tcW w:w="1380" w:type="dxa"/>
            <w:tcBorders>
              <w:top w:val="nil"/>
              <w:left w:val="nil"/>
              <w:bottom w:val="single" w:sz="4" w:space="0" w:color="808080"/>
              <w:right w:val="nil"/>
            </w:tcBorders>
            <w:noWrap/>
            <w:vAlign w:val="center"/>
            <w:hideMark/>
          </w:tcPr>
          <w:p w14:paraId="3B4FE070" w14:textId="77777777" w:rsidR="00443366" w:rsidRPr="00002983" w:rsidRDefault="00443366" w:rsidP="00002983">
            <w:pPr>
              <w:jc w:val="center"/>
              <w:rPr>
                <w:rFonts w:ascii="Arial" w:eastAsia="Times New Roman" w:hAnsi="Arial" w:cs="Arial"/>
                <w:b/>
                <w:bCs/>
                <w:sz w:val="21"/>
                <w:szCs w:val="21"/>
                <w:lang w:val="es-CO" w:eastAsia="es-CO"/>
              </w:rPr>
            </w:pPr>
            <w:r w:rsidRPr="00002983">
              <w:rPr>
                <w:rFonts w:ascii="Arial" w:eastAsia="Times New Roman" w:hAnsi="Arial" w:cs="Arial"/>
                <w:b/>
                <w:bCs/>
                <w:sz w:val="21"/>
                <w:szCs w:val="21"/>
                <w:lang w:val="es-CO" w:eastAsia="es-CO"/>
              </w:rPr>
              <w:t>Departamental</w:t>
            </w:r>
          </w:p>
        </w:tc>
        <w:tc>
          <w:tcPr>
            <w:tcW w:w="1200" w:type="dxa"/>
            <w:tcBorders>
              <w:top w:val="nil"/>
              <w:left w:val="nil"/>
              <w:bottom w:val="single" w:sz="4" w:space="0" w:color="808080"/>
              <w:right w:val="nil"/>
            </w:tcBorders>
            <w:shd w:val="clear" w:color="auto" w:fill="FFFFFF"/>
            <w:noWrap/>
            <w:vAlign w:val="center"/>
            <w:hideMark/>
          </w:tcPr>
          <w:p w14:paraId="02620F58" w14:textId="77777777" w:rsidR="00443366" w:rsidRPr="00002983" w:rsidRDefault="00443366" w:rsidP="00002983">
            <w:pPr>
              <w:jc w:val="center"/>
              <w:rPr>
                <w:rFonts w:ascii="Arial" w:eastAsia="Times New Roman" w:hAnsi="Arial" w:cs="Arial"/>
                <w:sz w:val="21"/>
                <w:szCs w:val="21"/>
                <w:lang w:val="es-CO" w:eastAsia="es-CO"/>
              </w:rPr>
            </w:pPr>
            <w:r w:rsidRPr="00002983">
              <w:rPr>
                <w:rFonts w:ascii="Arial" w:eastAsia="Times New Roman" w:hAnsi="Arial" w:cs="Arial"/>
                <w:sz w:val="21"/>
                <w:szCs w:val="21"/>
                <w:lang w:val="es-CO" w:eastAsia="es-CO"/>
              </w:rPr>
              <w:t xml:space="preserve">           1 </w:t>
            </w:r>
          </w:p>
        </w:tc>
        <w:tc>
          <w:tcPr>
            <w:tcW w:w="1200" w:type="dxa"/>
            <w:tcBorders>
              <w:top w:val="nil"/>
              <w:left w:val="nil"/>
              <w:bottom w:val="single" w:sz="4" w:space="0" w:color="808080"/>
              <w:right w:val="nil"/>
            </w:tcBorders>
            <w:shd w:val="clear" w:color="auto" w:fill="FFFFFF"/>
            <w:noWrap/>
            <w:vAlign w:val="center"/>
            <w:hideMark/>
          </w:tcPr>
          <w:p w14:paraId="06F3509B" w14:textId="77777777" w:rsidR="00443366" w:rsidRPr="00002983" w:rsidRDefault="00443366" w:rsidP="00002983">
            <w:pPr>
              <w:jc w:val="center"/>
              <w:rPr>
                <w:rFonts w:ascii="Arial" w:eastAsia="Times New Roman" w:hAnsi="Arial" w:cs="Arial"/>
                <w:sz w:val="21"/>
                <w:szCs w:val="21"/>
                <w:lang w:val="es-CO" w:eastAsia="es-CO"/>
              </w:rPr>
            </w:pPr>
            <w:r w:rsidRPr="00002983">
              <w:rPr>
                <w:rFonts w:ascii="Arial" w:eastAsia="Times New Roman" w:hAnsi="Arial" w:cs="Arial"/>
                <w:sz w:val="21"/>
                <w:szCs w:val="21"/>
                <w:lang w:val="es-CO" w:eastAsia="es-CO"/>
              </w:rPr>
              <w:t xml:space="preserve">        4           </w:t>
            </w:r>
          </w:p>
        </w:tc>
        <w:tc>
          <w:tcPr>
            <w:tcW w:w="1200" w:type="dxa"/>
            <w:tcBorders>
              <w:top w:val="nil"/>
              <w:left w:val="nil"/>
              <w:bottom w:val="single" w:sz="4" w:space="0" w:color="808080"/>
              <w:right w:val="nil"/>
            </w:tcBorders>
            <w:shd w:val="clear" w:color="auto" w:fill="FFFFFF"/>
            <w:noWrap/>
            <w:vAlign w:val="center"/>
            <w:hideMark/>
          </w:tcPr>
          <w:p w14:paraId="3F67EF2D" w14:textId="77777777" w:rsidR="00443366" w:rsidRPr="00002983" w:rsidRDefault="00443366" w:rsidP="00002983">
            <w:pPr>
              <w:jc w:val="center"/>
              <w:rPr>
                <w:rFonts w:ascii="Arial" w:eastAsia="Times New Roman" w:hAnsi="Arial" w:cs="Arial"/>
                <w:sz w:val="21"/>
                <w:szCs w:val="21"/>
                <w:lang w:val="es-CO" w:eastAsia="es-CO"/>
              </w:rPr>
            </w:pPr>
            <w:r w:rsidRPr="00002983">
              <w:rPr>
                <w:rFonts w:ascii="Arial" w:eastAsia="Times New Roman" w:hAnsi="Arial" w:cs="Arial"/>
                <w:sz w:val="21"/>
                <w:szCs w:val="21"/>
                <w:lang w:val="es-CO" w:eastAsia="es-CO"/>
              </w:rPr>
              <w:t xml:space="preserve">        0 </w:t>
            </w:r>
          </w:p>
        </w:tc>
        <w:tc>
          <w:tcPr>
            <w:tcW w:w="1200" w:type="dxa"/>
            <w:tcBorders>
              <w:top w:val="nil"/>
              <w:left w:val="nil"/>
              <w:bottom w:val="single" w:sz="4" w:space="0" w:color="808080"/>
              <w:right w:val="nil"/>
            </w:tcBorders>
            <w:shd w:val="clear" w:color="auto" w:fill="FFFFFF"/>
            <w:noWrap/>
            <w:vAlign w:val="center"/>
            <w:hideMark/>
          </w:tcPr>
          <w:p w14:paraId="114F69E8" w14:textId="77777777" w:rsidR="00443366" w:rsidRPr="00002983" w:rsidRDefault="00443366" w:rsidP="00002983">
            <w:pPr>
              <w:jc w:val="center"/>
              <w:rPr>
                <w:rFonts w:ascii="Arial" w:eastAsia="Times New Roman" w:hAnsi="Arial" w:cs="Arial"/>
                <w:sz w:val="21"/>
                <w:szCs w:val="21"/>
                <w:lang w:val="es-CO" w:eastAsia="es-CO"/>
              </w:rPr>
            </w:pPr>
            <w:r w:rsidRPr="00002983">
              <w:rPr>
                <w:rFonts w:ascii="Arial" w:eastAsia="Times New Roman" w:hAnsi="Arial" w:cs="Arial"/>
                <w:sz w:val="21"/>
                <w:szCs w:val="21"/>
                <w:lang w:val="es-CO" w:eastAsia="es-CO"/>
              </w:rPr>
              <w:t xml:space="preserve">      5 </w:t>
            </w:r>
          </w:p>
        </w:tc>
      </w:tr>
      <w:tr w:rsidR="00443366" w:rsidRPr="00002983" w14:paraId="2BF66ED9" w14:textId="77777777" w:rsidTr="003B1181">
        <w:trPr>
          <w:trHeight w:val="315"/>
          <w:jc w:val="center"/>
        </w:trPr>
        <w:tc>
          <w:tcPr>
            <w:tcW w:w="1380" w:type="dxa"/>
            <w:tcBorders>
              <w:top w:val="nil"/>
              <w:left w:val="nil"/>
              <w:bottom w:val="single" w:sz="4" w:space="0" w:color="808080"/>
              <w:right w:val="nil"/>
            </w:tcBorders>
            <w:noWrap/>
            <w:vAlign w:val="center"/>
            <w:hideMark/>
          </w:tcPr>
          <w:p w14:paraId="17AB3C3C" w14:textId="77777777" w:rsidR="00443366" w:rsidRPr="00002983" w:rsidRDefault="00443366" w:rsidP="00002983">
            <w:pPr>
              <w:jc w:val="center"/>
              <w:rPr>
                <w:rFonts w:ascii="Arial" w:eastAsia="Times New Roman" w:hAnsi="Arial" w:cs="Arial"/>
                <w:b/>
                <w:bCs/>
                <w:sz w:val="21"/>
                <w:szCs w:val="21"/>
                <w:lang w:val="es-CO" w:eastAsia="es-CO"/>
              </w:rPr>
            </w:pPr>
            <w:r w:rsidRPr="00002983">
              <w:rPr>
                <w:rFonts w:ascii="Arial" w:eastAsia="Times New Roman" w:hAnsi="Arial" w:cs="Arial"/>
                <w:b/>
                <w:bCs/>
                <w:sz w:val="21"/>
                <w:szCs w:val="21"/>
                <w:lang w:val="es-CO" w:eastAsia="es-CO"/>
              </w:rPr>
              <w:t>Municipal</w:t>
            </w:r>
          </w:p>
        </w:tc>
        <w:tc>
          <w:tcPr>
            <w:tcW w:w="1200" w:type="dxa"/>
            <w:tcBorders>
              <w:top w:val="nil"/>
              <w:left w:val="nil"/>
              <w:bottom w:val="single" w:sz="4" w:space="0" w:color="808080"/>
              <w:right w:val="nil"/>
            </w:tcBorders>
            <w:shd w:val="clear" w:color="auto" w:fill="FFFFFF"/>
            <w:noWrap/>
            <w:vAlign w:val="center"/>
            <w:hideMark/>
          </w:tcPr>
          <w:p w14:paraId="1F328E5C" w14:textId="77777777" w:rsidR="00443366" w:rsidRPr="00002983" w:rsidRDefault="00443366" w:rsidP="00002983">
            <w:pPr>
              <w:jc w:val="center"/>
              <w:rPr>
                <w:rFonts w:ascii="Arial" w:eastAsia="Times New Roman" w:hAnsi="Arial" w:cs="Arial"/>
                <w:sz w:val="21"/>
                <w:szCs w:val="21"/>
                <w:lang w:val="es-CO" w:eastAsia="es-CO"/>
              </w:rPr>
            </w:pPr>
            <w:r w:rsidRPr="00002983">
              <w:rPr>
                <w:rFonts w:ascii="Arial" w:eastAsia="Times New Roman" w:hAnsi="Arial" w:cs="Arial"/>
                <w:sz w:val="21"/>
                <w:szCs w:val="21"/>
                <w:lang w:val="es-CO" w:eastAsia="es-CO"/>
              </w:rPr>
              <w:t xml:space="preserve">           26 </w:t>
            </w:r>
          </w:p>
        </w:tc>
        <w:tc>
          <w:tcPr>
            <w:tcW w:w="1200" w:type="dxa"/>
            <w:tcBorders>
              <w:top w:val="nil"/>
              <w:left w:val="nil"/>
              <w:bottom w:val="single" w:sz="4" w:space="0" w:color="808080"/>
              <w:right w:val="nil"/>
            </w:tcBorders>
            <w:shd w:val="clear" w:color="auto" w:fill="FFFFFF"/>
            <w:noWrap/>
            <w:vAlign w:val="center"/>
            <w:hideMark/>
          </w:tcPr>
          <w:p w14:paraId="718C1A9D" w14:textId="77777777" w:rsidR="00443366" w:rsidRPr="00002983" w:rsidRDefault="00443366" w:rsidP="00002983">
            <w:pPr>
              <w:jc w:val="center"/>
              <w:rPr>
                <w:rFonts w:ascii="Arial" w:eastAsia="Times New Roman" w:hAnsi="Arial" w:cs="Arial"/>
                <w:sz w:val="21"/>
                <w:szCs w:val="21"/>
                <w:lang w:val="es-CO" w:eastAsia="es-CO"/>
              </w:rPr>
            </w:pPr>
            <w:r w:rsidRPr="00002983">
              <w:rPr>
                <w:rFonts w:ascii="Arial" w:eastAsia="Times New Roman" w:hAnsi="Arial" w:cs="Arial"/>
                <w:sz w:val="21"/>
                <w:szCs w:val="21"/>
                <w:lang w:val="es-CO" w:eastAsia="es-CO"/>
              </w:rPr>
              <w:t xml:space="preserve">        -       </w:t>
            </w:r>
          </w:p>
        </w:tc>
        <w:tc>
          <w:tcPr>
            <w:tcW w:w="1200" w:type="dxa"/>
            <w:tcBorders>
              <w:top w:val="nil"/>
              <w:left w:val="nil"/>
              <w:bottom w:val="single" w:sz="4" w:space="0" w:color="808080"/>
              <w:right w:val="nil"/>
            </w:tcBorders>
            <w:shd w:val="clear" w:color="auto" w:fill="FFFFFF"/>
            <w:noWrap/>
            <w:vAlign w:val="center"/>
            <w:hideMark/>
          </w:tcPr>
          <w:p w14:paraId="26E5E5E8" w14:textId="77777777" w:rsidR="00443366" w:rsidRPr="00002983" w:rsidRDefault="00443366" w:rsidP="00002983">
            <w:pPr>
              <w:jc w:val="center"/>
              <w:rPr>
                <w:rFonts w:ascii="Arial" w:eastAsia="Times New Roman" w:hAnsi="Arial" w:cs="Arial"/>
                <w:sz w:val="21"/>
                <w:szCs w:val="21"/>
                <w:lang w:val="es-CO" w:eastAsia="es-CO"/>
              </w:rPr>
            </w:pPr>
            <w:r w:rsidRPr="00002983">
              <w:rPr>
                <w:rFonts w:ascii="Arial" w:eastAsia="Times New Roman" w:hAnsi="Arial" w:cs="Arial"/>
                <w:sz w:val="21"/>
                <w:szCs w:val="21"/>
                <w:lang w:val="es-CO" w:eastAsia="es-CO"/>
              </w:rPr>
              <w:t xml:space="preserve">         - </w:t>
            </w:r>
          </w:p>
        </w:tc>
        <w:tc>
          <w:tcPr>
            <w:tcW w:w="1200" w:type="dxa"/>
            <w:tcBorders>
              <w:top w:val="nil"/>
              <w:left w:val="nil"/>
              <w:bottom w:val="single" w:sz="4" w:space="0" w:color="808080"/>
              <w:right w:val="nil"/>
            </w:tcBorders>
            <w:shd w:val="clear" w:color="auto" w:fill="FFFFFF"/>
            <w:noWrap/>
            <w:vAlign w:val="center"/>
            <w:hideMark/>
          </w:tcPr>
          <w:p w14:paraId="5CB1CC46" w14:textId="77777777" w:rsidR="00443366" w:rsidRPr="00002983" w:rsidRDefault="00443366" w:rsidP="00002983">
            <w:pPr>
              <w:jc w:val="center"/>
              <w:rPr>
                <w:rFonts w:ascii="Arial" w:eastAsia="Times New Roman" w:hAnsi="Arial" w:cs="Arial"/>
                <w:sz w:val="21"/>
                <w:szCs w:val="21"/>
                <w:lang w:val="es-CO" w:eastAsia="es-CO"/>
              </w:rPr>
            </w:pPr>
            <w:r w:rsidRPr="00002983">
              <w:rPr>
                <w:rFonts w:ascii="Arial" w:eastAsia="Times New Roman" w:hAnsi="Arial" w:cs="Arial"/>
                <w:sz w:val="21"/>
                <w:szCs w:val="21"/>
                <w:lang w:val="es-CO" w:eastAsia="es-CO"/>
              </w:rPr>
              <w:t xml:space="preserve">      26 </w:t>
            </w:r>
          </w:p>
        </w:tc>
      </w:tr>
    </w:tbl>
    <w:p w14:paraId="2807575F" w14:textId="77777777" w:rsidR="00443366" w:rsidRPr="00002983" w:rsidRDefault="00443366" w:rsidP="00002983">
      <w:pPr>
        <w:jc w:val="center"/>
        <w:rPr>
          <w:rFonts w:ascii="Verdana" w:eastAsia="Times New Roman" w:hAnsi="Verdana" w:cs="Arial"/>
          <w:b/>
          <w:sz w:val="21"/>
          <w:szCs w:val="21"/>
          <w:lang w:eastAsia="es-CO"/>
        </w:rPr>
      </w:pPr>
    </w:p>
    <w:p w14:paraId="3CAF9780" w14:textId="77777777" w:rsidR="00443366" w:rsidRPr="00002983" w:rsidRDefault="00443366" w:rsidP="00002983">
      <w:pPr>
        <w:jc w:val="center"/>
        <w:rPr>
          <w:rFonts w:ascii="Verdana" w:eastAsia="Times New Roman" w:hAnsi="Verdana" w:cs="Arial"/>
          <w:sz w:val="21"/>
          <w:szCs w:val="21"/>
          <w:lang w:eastAsia="es-CO"/>
        </w:rPr>
      </w:pPr>
      <w:r w:rsidRPr="00002983">
        <w:rPr>
          <w:rFonts w:ascii="Verdana" w:eastAsia="Times New Roman" w:hAnsi="Verdana" w:cs="Arial"/>
          <w:b/>
          <w:sz w:val="21"/>
          <w:szCs w:val="21"/>
          <w:lang w:eastAsia="es-CO"/>
        </w:rPr>
        <w:t>Fuente</w:t>
      </w:r>
      <w:r w:rsidRPr="00002983">
        <w:rPr>
          <w:rFonts w:ascii="Verdana" w:eastAsia="Times New Roman" w:hAnsi="Verdana" w:cs="Arial"/>
          <w:sz w:val="21"/>
          <w:szCs w:val="21"/>
          <w:lang w:eastAsia="es-CO"/>
        </w:rPr>
        <w:t>: MSPS REPS</w:t>
      </w:r>
    </w:p>
    <w:p w14:paraId="3753E7FC" w14:textId="77777777" w:rsidR="00443366" w:rsidRPr="00002983" w:rsidRDefault="00443366" w:rsidP="00002983">
      <w:pPr>
        <w:jc w:val="center"/>
        <w:rPr>
          <w:rFonts w:ascii="Arial" w:eastAsia="Calibri" w:hAnsi="Arial" w:cs="Arial"/>
          <w:kern w:val="2"/>
          <w:sz w:val="21"/>
          <w:szCs w:val="21"/>
          <w:lang w:eastAsia="en-US"/>
        </w:rPr>
      </w:pPr>
    </w:p>
    <w:p w14:paraId="28F78A43" w14:textId="77777777" w:rsidR="00443366" w:rsidRDefault="00443366" w:rsidP="00002983">
      <w:pPr>
        <w:autoSpaceDE w:val="0"/>
        <w:autoSpaceDN w:val="0"/>
        <w:adjustRightInd w:val="0"/>
        <w:jc w:val="both"/>
        <w:rPr>
          <w:rFonts w:ascii="Verdana" w:hAnsi="Verdana"/>
          <w:sz w:val="21"/>
          <w:szCs w:val="21"/>
        </w:rPr>
      </w:pPr>
      <w:r w:rsidRPr="00002983">
        <w:rPr>
          <w:rFonts w:ascii="Verdana" w:hAnsi="Verdana"/>
          <w:sz w:val="21"/>
          <w:szCs w:val="21"/>
        </w:rPr>
        <w:t xml:space="preserve">La categorización de riesgo aplicada entre los periodos 2012 – 2023 por el Ministerio de Salud y Protección Social a las ESE del Departamento presentó el siguiente comportamiento: </w:t>
      </w:r>
    </w:p>
    <w:p w14:paraId="3B7FEC67" w14:textId="77777777" w:rsidR="00CB5240" w:rsidRPr="00002983" w:rsidRDefault="00CB5240" w:rsidP="00002983">
      <w:pPr>
        <w:autoSpaceDE w:val="0"/>
        <w:autoSpaceDN w:val="0"/>
        <w:adjustRightInd w:val="0"/>
        <w:jc w:val="both"/>
        <w:rPr>
          <w:rFonts w:ascii="Verdana" w:hAnsi="Verdana"/>
          <w:sz w:val="21"/>
          <w:szCs w:val="21"/>
        </w:rPr>
      </w:pPr>
    </w:p>
    <w:p w14:paraId="359D10DF" w14:textId="77777777" w:rsidR="00443366" w:rsidRPr="00002983" w:rsidRDefault="00443366" w:rsidP="00002983">
      <w:pPr>
        <w:autoSpaceDE w:val="0"/>
        <w:autoSpaceDN w:val="0"/>
        <w:adjustRightInd w:val="0"/>
        <w:jc w:val="center"/>
        <w:rPr>
          <w:rFonts w:ascii="Verdana" w:eastAsia="ヒラギノ角ゴ Pro W3" w:hAnsi="Verdana" w:cs="Arial"/>
          <w:b/>
          <w:color w:val="000000"/>
          <w:sz w:val="21"/>
          <w:szCs w:val="21"/>
        </w:rPr>
      </w:pPr>
      <w:r w:rsidRPr="00002983">
        <w:rPr>
          <w:rFonts w:ascii="Verdana" w:eastAsia="ヒラギノ角ゴ Pro W3" w:hAnsi="Verdana" w:cs="Arial"/>
          <w:b/>
          <w:color w:val="000000"/>
          <w:sz w:val="21"/>
          <w:szCs w:val="21"/>
        </w:rPr>
        <w:t>Gráfica No 1</w:t>
      </w:r>
    </w:p>
    <w:p w14:paraId="659D129A" w14:textId="77777777" w:rsidR="00443366" w:rsidRPr="00002983" w:rsidRDefault="00443366" w:rsidP="00002983">
      <w:pPr>
        <w:jc w:val="both"/>
        <w:rPr>
          <w:rFonts w:ascii="Verdana" w:hAnsi="Verdana"/>
          <w:sz w:val="21"/>
          <w:szCs w:val="21"/>
        </w:rPr>
      </w:pPr>
      <w:r w:rsidRPr="00002983">
        <w:rPr>
          <w:noProof/>
          <w:sz w:val="21"/>
          <w:szCs w:val="21"/>
          <w:lang w:val="es-CO" w:eastAsia="es-CO"/>
        </w:rPr>
        <w:drawing>
          <wp:inline distT="0" distB="0" distL="0" distR="0" wp14:anchorId="77C8E857" wp14:editId="71864F1C">
            <wp:extent cx="5612130" cy="2209800"/>
            <wp:effectExtent l="0" t="0" r="7620" b="0"/>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DF84BF" w14:textId="77777777" w:rsidR="00443366" w:rsidRPr="00002983" w:rsidRDefault="00443366" w:rsidP="00002983">
      <w:pPr>
        <w:jc w:val="center"/>
        <w:rPr>
          <w:rFonts w:ascii="Arial" w:eastAsia="Times New Roman" w:hAnsi="Arial" w:cs="Arial"/>
          <w:b/>
          <w:sz w:val="21"/>
          <w:szCs w:val="21"/>
          <w:lang w:eastAsia="es-CO"/>
        </w:rPr>
      </w:pPr>
      <w:r w:rsidRPr="00002983">
        <w:rPr>
          <w:rFonts w:ascii="Arial" w:eastAsia="Times New Roman" w:hAnsi="Arial" w:cs="Arial"/>
          <w:b/>
          <w:sz w:val="21"/>
          <w:szCs w:val="21"/>
          <w:lang w:eastAsia="es-CO"/>
        </w:rPr>
        <w:t>Fuente: DAF</w:t>
      </w:r>
    </w:p>
    <w:p w14:paraId="7AF47551" w14:textId="77777777" w:rsidR="00CB5240" w:rsidRDefault="00CB5240" w:rsidP="00002983">
      <w:pPr>
        <w:autoSpaceDE w:val="0"/>
        <w:autoSpaceDN w:val="0"/>
        <w:adjustRightInd w:val="0"/>
        <w:jc w:val="both"/>
        <w:rPr>
          <w:rFonts w:ascii="Verdana" w:hAnsi="Verdana" w:cs="Arial"/>
          <w:sz w:val="21"/>
          <w:szCs w:val="21"/>
        </w:rPr>
      </w:pPr>
    </w:p>
    <w:p w14:paraId="0F458DC7" w14:textId="77777777" w:rsidR="00443366" w:rsidRDefault="00443366" w:rsidP="00002983">
      <w:pPr>
        <w:autoSpaceDE w:val="0"/>
        <w:autoSpaceDN w:val="0"/>
        <w:adjustRightInd w:val="0"/>
        <w:jc w:val="both"/>
        <w:rPr>
          <w:rFonts w:ascii="Verdana" w:hAnsi="Verdana" w:cs="Arial"/>
          <w:sz w:val="21"/>
          <w:szCs w:val="21"/>
        </w:rPr>
      </w:pPr>
      <w:r w:rsidRPr="00002983">
        <w:rPr>
          <w:rFonts w:ascii="Verdana" w:hAnsi="Verdana" w:cs="Arial"/>
          <w:sz w:val="21"/>
          <w:szCs w:val="21"/>
        </w:rPr>
        <w:lastRenderedPageBreak/>
        <w:t xml:space="preserve">En cuanto a los resultados presupuestales, </w:t>
      </w:r>
      <w:r w:rsidR="00871108" w:rsidRPr="00002983">
        <w:rPr>
          <w:rFonts w:ascii="Verdana" w:hAnsi="Verdana" w:cs="Arial"/>
          <w:sz w:val="21"/>
          <w:szCs w:val="21"/>
        </w:rPr>
        <w:t xml:space="preserve">con corte al mes de septiembre de 2023, </w:t>
      </w:r>
      <w:r w:rsidRPr="00002983">
        <w:rPr>
          <w:rFonts w:ascii="Verdana" w:hAnsi="Verdana" w:cs="Arial"/>
          <w:sz w:val="21"/>
          <w:szCs w:val="21"/>
        </w:rPr>
        <w:t>la Red Pública de Hospitales presentó un Superávit de $20.293 millones, jalonado por los hospitales de primer nivel</w:t>
      </w:r>
      <w:r w:rsidR="00871108" w:rsidRPr="00002983">
        <w:rPr>
          <w:rFonts w:ascii="Verdana" w:hAnsi="Verdana" w:cs="Arial"/>
          <w:sz w:val="21"/>
          <w:szCs w:val="21"/>
        </w:rPr>
        <w:t>;</w:t>
      </w:r>
      <w:r w:rsidRPr="00002983">
        <w:rPr>
          <w:rFonts w:ascii="Verdana" w:hAnsi="Verdana" w:cs="Arial"/>
          <w:sz w:val="21"/>
          <w:szCs w:val="21"/>
        </w:rPr>
        <w:t xml:space="preserve"> </w:t>
      </w:r>
      <w:r w:rsidR="00871108" w:rsidRPr="00002983">
        <w:rPr>
          <w:rFonts w:ascii="Verdana" w:hAnsi="Verdana" w:cs="Arial"/>
          <w:sz w:val="21"/>
          <w:szCs w:val="21"/>
        </w:rPr>
        <w:t xml:space="preserve">reportó </w:t>
      </w:r>
      <w:r w:rsidRPr="00002983">
        <w:rPr>
          <w:rFonts w:ascii="Verdana" w:hAnsi="Verdana" w:cs="Arial"/>
          <w:sz w:val="21"/>
          <w:szCs w:val="21"/>
        </w:rPr>
        <w:t>pasivos por $220.890 millones</w:t>
      </w:r>
      <w:r w:rsidR="00871108" w:rsidRPr="00002983">
        <w:rPr>
          <w:rFonts w:ascii="Verdana" w:hAnsi="Verdana" w:cs="Arial"/>
          <w:sz w:val="21"/>
          <w:szCs w:val="21"/>
        </w:rPr>
        <w:t xml:space="preserve"> y</w:t>
      </w:r>
      <w:r w:rsidRPr="00002983">
        <w:rPr>
          <w:rFonts w:ascii="Verdana" w:hAnsi="Verdana" w:cs="Arial"/>
          <w:sz w:val="21"/>
          <w:szCs w:val="21"/>
        </w:rPr>
        <w:t xml:space="preserve"> una cartera pendiente por cobrar por $357.157 millones </w:t>
      </w:r>
      <w:r w:rsidR="00871108" w:rsidRPr="00002983">
        <w:rPr>
          <w:rFonts w:ascii="Verdana" w:hAnsi="Verdana" w:cs="Arial"/>
          <w:sz w:val="21"/>
          <w:szCs w:val="21"/>
        </w:rPr>
        <w:t>así</w:t>
      </w:r>
      <w:r w:rsidRPr="00002983">
        <w:rPr>
          <w:rFonts w:ascii="Verdana" w:hAnsi="Verdana" w:cs="Arial"/>
          <w:sz w:val="21"/>
          <w:szCs w:val="21"/>
        </w:rPr>
        <w:t>:</w:t>
      </w:r>
    </w:p>
    <w:p w14:paraId="7A5CCDC0" w14:textId="77777777" w:rsidR="00CB5240" w:rsidRPr="00002983" w:rsidRDefault="00CB5240" w:rsidP="00002983">
      <w:pPr>
        <w:autoSpaceDE w:val="0"/>
        <w:autoSpaceDN w:val="0"/>
        <w:adjustRightInd w:val="0"/>
        <w:jc w:val="both"/>
        <w:rPr>
          <w:rFonts w:ascii="Arial" w:hAnsi="Arial" w:cs="Arial"/>
          <w:b/>
          <w:sz w:val="21"/>
          <w:szCs w:val="21"/>
        </w:rPr>
      </w:pPr>
    </w:p>
    <w:p w14:paraId="554E435F" w14:textId="77777777" w:rsidR="00443366" w:rsidRPr="00002983" w:rsidRDefault="00443366" w:rsidP="00002983">
      <w:pPr>
        <w:autoSpaceDE w:val="0"/>
        <w:autoSpaceDN w:val="0"/>
        <w:adjustRightInd w:val="0"/>
        <w:jc w:val="center"/>
        <w:rPr>
          <w:rFonts w:ascii="Arial" w:eastAsiaTheme="minorHAnsi" w:hAnsi="Arial" w:cs="Arial"/>
          <w:b/>
          <w:sz w:val="21"/>
          <w:szCs w:val="21"/>
          <w:lang w:eastAsia="en-US"/>
        </w:rPr>
      </w:pPr>
      <w:r w:rsidRPr="00002983">
        <w:rPr>
          <w:rFonts w:ascii="Arial" w:hAnsi="Arial" w:cs="Arial"/>
          <w:b/>
          <w:sz w:val="21"/>
          <w:szCs w:val="21"/>
        </w:rPr>
        <w:t>Tabla No. 2</w:t>
      </w:r>
    </w:p>
    <w:tbl>
      <w:tblPr>
        <w:tblW w:w="0" w:type="auto"/>
        <w:jc w:val="center"/>
        <w:tblCellMar>
          <w:left w:w="70" w:type="dxa"/>
          <w:right w:w="70" w:type="dxa"/>
        </w:tblCellMar>
        <w:tblLook w:val="04A0" w:firstRow="1" w:lastRow="0" w:firstColumn="1" w:lastColumn="0" w:noHBand="0" w:noVBand="1"/>
      </w:tblPr>
      <w:tblGrid>
        <w:gridCol w:w="1201"/>
        <w:gridCol w:w="2792"/>
        <w:gridCol w:w="2626"/>
        <w:gridCol w:w="1642"/>
      </w:tblGrid>
      <w:tr w:rsidR="00443366" w:rsidRPr="00CB5240" w14:paraId="47B2871D" w14:textId="77777777" w:rsidTr="003B1181">
        <w:trPr>
          <w:trHeight w:val="510"/>
          <w:jc w:val="center"/>
        </w:trPr>
        <w:tc>
          <w:tcPr>
            <w:tcW w:w="0" w:type="auto"/>
            <w:tcBorders>
              <w:top w:val="single" w:sz="4" w:space="0" w:color="808080"/>
              <w:left w:val="nil"/>
              <w:bottom w:val="single" w:sz="4" w:space="0" w:color="808080"/>
              <w:right w:val="nil"/>
            </w:tcBorders>
            <w:shd w:val="clear" w:color="000000" w:fill="D9D9D9"/>
            <w:vAlign w:val="center"/>
            <w:hideMark/>
          </w:tcPr>
          <w:p w14:paraId="367B80D5" w14:textId="77777777" w:rsidR="00443366" w:rsidRPr="00CB5240" w:rsidRDefault="00443366" w:rsidP="00002983">
            <w:pPr>
              <w:jc w:val="center"/>
              <w:rPr>
                <w:rFonts w:ascii="Verdana" w:eastAsia="Times New Roman" w:hAnsi="Verdana" w:cs="Calibri"/>
                <w:b/>
                <w:bCs/>
                <w:sz w:val="16"/>
                <w:szCs w:val="16"/>
                <w:lang w:val="es-CO" w:eastAsia="es-CO"/>
              </w:rPr>
            </w:pPr>
            <w:r w:rsidRPr="00CB5240">
              <w:rPr>
                <w:rFonts w:ascii="Verdana" w:eastAsia="Times New Roman" w:hAnsi="Verdana" w:cs="Calibri"/>
                <w:b/>
                <w:bCs/>
                <w:sz w:val="16"/>
                <w:szCs w:val="16"/>
                <w:lang w:val="es-CO" w:eastAsia="es-CO"/>
              </w:rPr>
              <w:t xml:space="preserve">NIVEL </w:t>
            </w:r>
          </w:p>
        </w:tc>
        <w:tc>
          <w:tcPr>
            <w:tcW w:w="0" w:type="auto"/>
            <w:tcBorders>
              <w:top w:val="single" w:sz="4" w:space="0" w:color="808080"/>
              <w:left w:val="nil"/>
              <w:bottom w:val="single" w:sz="4" w:space="0" w:color="808080"/>
              <w:right w:val="nil"/>
            </w:tcBorders>
            <w:shd w:val="clear" w:color="000000" w:fill="D9D9D9"/>
            <w:vAlign w:val="center"/>
            <w:hideMark/>
          </w:tcPr>
          <w:p w14:paraId="3B0A45BE" w14:textId="77777777" w:rsidR="00443366" w:rsidRPr="00CB5240" w:rsidRDefault="00443366" w:rsidP="00002983">
            <w:pPr>
              <w:jc w:val="center"/>
              <w:rPr>
                <w:rFonts w:ascii="Verdana" w:eastAsia="Times New Roman" w:hAnsi="Verdana" w:cs="Calibri"/>
                <w:b/>
                <w:bCs/>
                <w:sz w:val="16"/>
                <w:szCs w:val="16"/>
                <w:lang w:val="es-CO" w:eastAsia="es-CO"/>
              </w:rPr>
            </w:pPr>
            <w:r w:rsidRPr="00CB5240">
              <w:rPr>
                <w:rFonts w:ascii="Verdana" w:eastAsia="Times New Roman" w:hAnsi="Verdana" w:cs="Calibri"/>
                <w:b/>
                <w:bCs/>
                <w:sz w:val="16"/>
                <w:szCs w:val="16"/>
                <w:lang w:val="es-CO" w:eastAsia="es-CO"/>
              </w:rPr>
              <w:t>DÈFICIT/ SUPERÀVIT</w:t>
            </w:r>
          </w:p>
        </w:tc>
        <w:tc>
          <w:tcPr>
            <w:tcW w:w="0" w:type="auto"/>
            <w:tcBorders>
              <w:top w:val="single" w:sz="4" w:space="0" w:color="808080"/>
              <w:left w:val="nil"/>
              <w:bottom w:val="single" w:sz="4" w:space="0" w:color="808080"/>
              <w:right w:val="nil"/>
            </w:tcBorders>
            <w:shd w:val="clear" w:color="000000" w:fill="D9D9D9"/>
            <w:vAlign w:val="center"/>
            <w:hideMark/>
          </w:tcPr>
          <w:p w14:paraId="1422661D" w14:textId="77777777" w:rsidR="00443366" w:rsidRPr="00CB5240" w:rsidRDefault="00443366" w:rsidP="00002983">
            <w:pPr>
              <w:jc w:val="center"/>
              <w:rPr>
                <w:rFonts w:ascii="Verdana" w:eastAsia="Times New Roman" w:hAnsi="Verdana" w:cs="Calibri"/>
                <w:b/>
                <w:bCs/>
                <w:sz w:val="16"/>
                <w:szCs w:val="16"/>
                <w:lang w:val="es-CO" w:eastAsia="es-CO"/>
              </w:rPr>
            </w:pPr>
            <w:r w:rsidRPr="00CB5240">
              <w:rPr>
                <w:rFonts w:ascii="Verdana" w:eastAsia="Times New Roman" w:hAnsi="Verdana" w:cs="Calibri"/>
                <w:b/>
                <w:bCs/>
                <w:sz w:val="16"/>
                <w:szCs w:val="16"/>
                <w:lang w:val="es-CO" w:eastAsia="es-CO"/>
              </w:rPr>
              <w:t>PASIVO</w:t>
            </w:r>
          </w:p>
        </w:tc>
        <w:tc>
          <w:tcPr>
            <w:tcW w:w="0" w:type="auto"/>
            <w:tcBorders>
              <w:top w:val="single" w:sz="4" w:space="0" w:color="808080"/>
              <w:left w:val="nil"/>
              <w:bottom w:val="single" w:sz="4" w:space="0" w:color="808080"/>
              <w:right w:val="nil"/>
            </w:tcBorders>
            <w:shd w:val="clear" w:color="000000" w:fill="D9D9D9"/>
            <w:vAlign w:val="center"/>
            <w:hideMark/>
          </w:tcPr>
          <w:p w14:paraId="06B42315" w14:textId="77777777" w:rsidR="00443366" w:rsidRPr="00CB5240" w:rsidRDefault="00443366" w:rsidP="00002983">
            <w:pPr>
              <w:jc w:val="center"/>
              <w:rPr>
                <w:rFonts w:ascii="Verdana" w:eastAsia="Times New Roman" w:hAnsi="Verdana" w:cs="Calibri"/>
                <w:b/>
                <w:bCs/>
                <w:sz w:val="16"/>
                <w:szCs w:val="16"/>
                <w:lang w:val="es-CO" w:eastAsia="es-CO"/>
              </w:rPr>
            </w:pPr>
            <w:r w:rsidRPr="00CB5240">
              <w:rPr>
                <w:rFonts w:ascii="Verdana" w:eastAsia="Times New Roman" w:hAnsi="Verdana" w:cs="Calibri"/>
                <w:b/>
                <w:bCs/>
                <w:sz w:val="16"/>
                <w:szCs w:val="16"/>
                <w:lang w:val="es-CO" w:eastAsia="es-CO"/>
              </w:rPr>
              <w:t>CARTERA</w:t>
            </w:r>
          </w:p>
        </w:tc>
      </w:tr>
      <w:tr w:rsidR="00443366" w:rsidRPr="00CB5240" w14:paraId="3CE9D53A" w14:textId="77777777" w:rsidTr="003B1181">
        <w:trPr>
          <w:trHeight w:val="510"/>
          <w:jc w:val="center"/>
        </w:trPr>
        <w:tc>
          <w:tcPr>
            <w:tcW w:w="0" w:type="auto"/>
            <w:tcBorders>
              <w:top w:val="nil"/>
              <w:left w:val="nil"/>
              <w:bottom w:val="single" w:sz="4" w:space="0" w:color="808080"/>
              <w:right w:val="nil"/>
            </w:tcBorders>
            <w:shd w:val="clear" w:color="auto" w:fill="auto"/>
            <w:vAlign w:val="center"/>
            <w:hideMark/>
          </w:tcPr>
          <w:p w14:paraId="26F63D00" w14:textId="77777777" w:rsidR="00443366" w:rsidRPr="00CB5240" w:rsidRDefault="00443366" w:rsidP="00002983">
            <w:pPr>
              <w:jc w:val="center"/>
              <w:rPr>
                <w:rFonts w:ascii="Verdana" w:eastAsia="Times New Roman" w:hAnsi="Verdana" w:cs="Calibri"/>
                <w:b/>
                <w:bCs/>
                <w:color w:val="000000"/>
                <w:sz w:val="16"/>
                <w:szCs w:val="16"/>
                <w:lang w:val="es-CO" w:eastAsia="es-CO"/>
              </w:rPr>
            </w:pPr>
            <w:r w:rsidRPr="00CB5240">
              <w:rPr>
                <w:rFonts w:ascii="Verdana" w:eastAsia="Times New Roman" w:hAnsi="Verdana" w:cs="Calibri"/>
                <w:b/>
                <w:bCs/>
                <w:color w:val="000000"/>
                <w:sz w:val="16"/>
                <w:szCs w:val="16"/>
                <w:lang w:val="es-CO" w:eastAsia="es-CO"/>
              </w:rPr>
              <w:t>Nivel I</w:t>
            </w:r>
          </w:p>
        </w:tc>
        <w:tc>
          <w:tcPr>
            <w:tcW w:w="0" w:type="auto"/>
            <w:tcBorders>
              <w:top w:val="nil"/>
              <w:left w:val="nil"/>
              <w:bottom w:val="single" w:sz="4" w:space="0" w:color="808080"/>
              <w:right w:val="nil"/>
            </w:tcBorders>
            <w:shd w:val="clear" w:color="auto" w:fill="auto"/>
            <w:vAlign w:val="center"/>
            <w:hideMark/>
          </w:tcPr>
          <w:p w14:paraId="4F8EFE31" w14:textId="77777777" w:rsidR="00443366" w:rsidRPr="00CB5240" w:rsidRDefault="00443366" w:rsidP="00002983">
            <w:pPr>
              <w:jc w:val="center"/>
              <w:rPr>
                <w:rFonts w:ascii="Verdana" w:eastAsia="Times New Roman" w:hAnsi="Verdana" w:cs="Calibri"/>
                <w:color w:val="000000"/>
                <w:sz w:val="16"/>
                <w:szCs w:val="16"/>
                <w:lang w:val="es-CO" w:eastAsia="es-CO"/>
              </w:rPr>
            </w:pPr>
            <w:r w:rsidRPr="00CB5240">
              <w:rPr>
                <w:rFonts w:ascii="Verdana" w:eastAsia="Times New Roman" w:hAnsi="Verdana" w:cs="Calibri"/>
                <w:color w:val="000000"/>
                <w:sz w:val="16"/>
                <w:szCs w:val="16"/>
                <w:lang w:val="es-CO" w:eastAsia="es-CO"/>
              </w:rPr>
              <w:t xml:space="preserve"> $              17.191 </w:t>
            </w:r>
          </w:p>
        </w:tc>
        <w:tc>
          <w:tcPr>
            <w:tcW w:w="0" w:type="auto"/>
            <w:tcBorders>
              <w:top w:val="nil"/>
              <w:left w:val="nil"/>
              <w:bottom w:val="single" w:sz="4" w:space="0" w:color="808080"/>
              <w:right w:val="nil"/>
            </w:tcBorders>
            <w:shd w:val="clear" w:color="auto" w:fill="auto"/>
            <w:vAlign w:val="center"/>
            <w:hideMark/>
          </w:tcPr>
          <w:p w14:paraId="3BBA8BCC" w14:textId="77777777" w:rsidR="00443366" w:rsidRPr="00CB5240" w:rsidRDefault="00443366" w:rsidP="00002983">
            <w:pPr>
              <w:jc w:val="center"/>
              <w:rPr>
                <w:rFonts w:ascii="Verdana" w:eastAsia="Times New Roman" w:hAnsi="Verdana" w:cs="Calibri"/>
                <w:color w:val="000000"/>
                <w:sz w:val="16"/>
                <w:szCs w:val="16"/>
                <w:lang w:val="es-CO" w:eastAsia="es-CO"/>
              </w:rPr>
            </w:pPr>
            <w:r w:rsidRPr="00CB5240">
              <w:rPr>
                <w:rFonts w:ascii="Verdana" w:eastAsia="Times New Roman" w:hAnsi="Verdana" w:cs="Calibri"/>
                <w:color w:val="000000"/>
                <w:sz w:val="16"/>
                <w:szCs w:val="16"/>
                <w:lang w:val="es-CO" w:eastAsia="es-CO"/>
              </w:rPr>
              <w:t xml:space="preserve"> $                76.782 </w:t>
            </w:r>
          </w:p>
        </w:tc>
        <w:tc>
          <w:tcPr>
            <w:tcW w:w="0" w:type="auto"/>
            <w:tcBorders>
              <w:top w:val="nil"/>
              <w:left w:val="nil"/>
              <w:bottom w:val="single" w:sz="4" w:space="0" w:color="808080"/>
              <w:right w:val="nil"/>
            </w:tcBorders>
            <w:shd w:val="clear" w:color="auto" w:fill="auto"/>
            <w:vAlign w:val="center"/>
            <w:hideMark/>
          </w:tcPr>
          <w:p w14:paraId="7E91DD75" w14:textId="77777777" w:rsidR="00443366" w:rsidRPr="00CB5240" w:rsidRDefault="00443366" w:rsidP="00002983">
            <w:pPr>
              <w:jc w:val="center"/>
              <w:rPr>
                <w:rFonts w:ascii="Verdana" w:eastAsia="Times New Roman" w:hAnsi="Verdana" w:cs="Calibri"/>
                <w:color w:val="000000"/>
                <w:sz w:val="16"/>
                <w:szCs w:val="16"/>
                <w:lang w:val="es-CO" w:eastAsia="es-CO"/>
              </w:rPr>
            </w:pPr>
            <w:r w:rsidRPr="00CB5240">
              <w:rPr>
                <w:rFonts w:ascii="Verdana" w:eastAsia="Times New Roman" w:hAnsi="Verdana" w:cs="Calibri"/>
                <w:color w:val="000000"/>
                <w:sz w:val="16"/>
                <w:szCs w:val="16"/>
                <w:lang w:val="es-CO" w:eastAsia="es-CO"/>
              </w:rPr>
              <w:t xml:space="preserve"> $          154.761 </w:t>
            </w:r>
          </w:p>
        </w:tc>
      </w:tr>
      <w:tr w:rsidR="00443366" w:rsidRPr="00CB5240" w14:paraId="2A6ED0D8" w14:textId="77777777" w:rsidTr="003B1181">
        <w:trPr>
          <w:trHeight w:val="510"/>
          <w:jc w:val="center"/>
        </w:trPr>
        <w:tc>
          <w:tcPr>
            <w:tcW w:w="0" w:type="auto"/>
            <w:tcBorders>
              <w:top w:val="nil"/>
              <w:left w:val="nil"/>
              <w:bottom w:val="single" w:sz="4" w:space="0" w:color="808080"/>
              <w:right w:val="nil"/>
            </w:tcBorders>
            <w:shd w:val="clear" w:color="auto" w:fill="auto"/>
            <w:vAlign w:val="center"/>
            <w:hideMark/>
          </w:tcPr>
          <w:p w14:paraId="71A5F87F" w14:textId="77777777" w:rsidR="00443366" w:rsidRPr="00CB5240" w:rsidRDefault="00443366" w:rsidP="00002983">
            <w:pPr>
              <w:jc w:val="center"/>
              <w:rPr>
                <w:rFonts w:ascii="Verdana" w:eastAsia="Times New Roman" w:hAnsi="Verdana" w:cs="Calibri"/>
                <w:b/>
                <w:bCs/>
                <w:color w:val="000000"/>
                <w:sz w:val="16"/>
                <w:szCs w:val="16"/>
                <w:lang w:val="es-CO" w:eastAsia="es-CO"/>
              </w:rPr>
            </w:pPr>
            <w:r w:rsidRPr="00CB5240">
              <w:rPr>
                <w:rFonts w:ascii="Verdana" w:eastAsia="Times New Roman" w:hAnsi="Verdana" w:cs="Calibri"/>
                <w:b/>
                <w:bCs/>
                <w:color w:val="000000"/>
                <w:sz w:val="16"/>
                <w:szCs w:val="16"/>
                <w:lang w:val="es-CO" w:eastAsia="es-CO"/>
              </w:rPr>
              <w:t>Nivel II</w:t>
            </w:r>
          </w:p>
        </w:tc>
        <w:tc>
          <w:tcPr>
            <w:tcW w:w="0" w:type="auto"/>
            <w:tcBorders>
              <w:top w:val="nil"/>
              <w:left w:val="nil"/>
              <w:bottom w:val="single" w:sz="4" w:space="0" w:color="808080"/>
              <w:right w:val="nil"/>
            </w:tcBorders>
            <w:shd w:val="clear" w:color="auto" w:fill="auto"/>
            <w:vAlign w:val="center"/>
            <w:hideMark/>
          </w:tcPr>
          <w:p w14:paraId="073B0598" w14:textId="77777777" w:rsidR="00443366" w:rsidRPr="00CB5240" w:rsidRDefault="00443366" w:rsidP="00002983">
            <w:pPr>
              <w:jc w:val="center"/>
              <w:rPr>
                <w:rFonts w:ascii="Verdana" w:eastAsia="Times New Roman" w:hAnsi="Verdana" w:cs="Calibri"/>
                <w:color w:val="000000"/>
                <w:sz w:val="16"/>
                <w:szCs w:val="16"/>
                <w:lang w:val="es-CO" w:eastAsia="es-CO"/>
              </w:rPr>
            </w:pPr>
            <w:r w:rsidRPr="00CB5240">
              <w:rPr>
                <w:rFonts w:ascii="Verdana" w:eastAsia="Times New Roman" w:hAnsi="Verdana" w:cs="Calibri"/>
                <w:color w:val="000000"/>
                <w:sz w:val="16"/>
                <w:szCs w:val="16"/>
                <w:lang w:val="es-CO" w:eastAsia="es-CO"/>
              </w:rPr>
              <w:t xml:space="preserve"> $                3.103 </w:t>
            </w:r>
          </w:p>
        </w:tc>
        <w:tc>
          <w:tcPr>
            <w:tcW w:w="0" w:type="auto"/>
            <w:tcBorders>
              <w:top w:val="nil"/>
              <w:left w:val="nil"/>
              <w:bottom w:val="single" w:sz="4" w:space="0" w:color="808080"/>
              <w:right w:val="nil"/>
            </w:tcBorders>
            <w:shd w:val="clear" w:color="auto" w:fill="auto"/>
            <w:vAlign w:val="center"/>
            <w:hideMark/>
          </w:tcPr>
          <w:p w14:paraId="7E524998" w14:textId="77777777" w:rsidR="00443366" w:rsidRPr="00CB5240" w:rsidRDefault="00443366" w:rsidP="00002983">
            <w:pPr>
              <w:jc w:val="center"/>
              <w:rPr>
                <w:rFonts w:ascii="Verdana" w:eastAsia="Times New Roman" w:hAnsi="Verdana" w:cs="Calibri"/>
                <w:color w:val="000000"/>
                <w:sz w:val="16"/>
                <w:szCs w:val="16"/>
                <w:lang w:val="es-CO" w:eastAsia="es-CO"/>
              </w:rPr>
            </w:pPr>
            <w:r w:rsidRPr="00CB5240">
              <w:rPr>
                <w:rFonts w:ascii="Verdana" w:eastAsia="Times New Roman" w:hAnsi="Verdana" w:cs="Calibri"/>
                <w:color w:val="000000"/>
                <w:sz w:val="16"/>
                <w:szCs w:val="16"/>
                <w:lang w:val="es-CO" w:eastAsia="es-CO"/>
              </w:rPr>
              <w:t xml:space="preserve"> $              144.108 </w:t>
            </w:r>
          </w:p>
        </w:tc>
        <w:tc>
          <w:tcPr>
            <w:tcW w:w="0" w:type="auto"/>
            <w:tcBorders>
              <w:top w:val="nil"/>
              <w:left w:val="nil"/>
              <w:bottom w:val="single" w:sz="4" w:space="0" w:color="808080"/>
              <w:right w:val="nil"/>
            </w:tcBorders>
            <w:shd w:val="clear" w:color="auto" w:fill="auto"/>
            <w:vAlign w:val="center"/>
            <w:hideMark/>
          </w:tcPr>
          <w:p w14:paraId="35DE40F5" w14:textId="77777777" w:rsidR="00443366" w:rsidRPr="00CB5240" w:rsidRDefault="00443366" w:rsidP="00002983">
            <w:pPr>
              <w:jc w:val="center"/>
              <w:rPr>
                <w:rFonts w:ascii="Verdana" w:eastAsia="Times New Roman" w:hAnsi="Verdana" w:cs="Calibri"/>
                <w:color w:val="000000"/>
                <w:sz w:val="16"/>
                <w:szCs w:val="16"/>
                <w:lang w:val="es-CO" w:eastAsia="es-CO"/>
              </w:rPr>
            </w:pPr>
            <w:r w:rsidRPr="00CB5240">
              <w:rPr>
                <w:rFonts w:ascii="Verdana" w:eastAsia="Times New Roman" w:hAnsi="Verdana" w:cs="Calibri"/>
                <w:color w:val="000000"/>
                <w:sz w:val="16"/>
                <w:szCs w:val="16"/>
                <w:lang w:val="es-CO" w:eastAsia="es-CO"/>
              </w:rPr>
              <w:t xml:space="preserve"> $          202.396 </w:t>
            </w:r>
          </w:p>
        </w:tc>
      </w:tr>
      <w:tr w:rsidR="00443366" w:rsidRPr="00CB5240" w14:paraId="40686540" w14:textId="77777777" w:rsidTr="003B1181">
        <w:trPr>
          <w:trHeight w:val="510"/>
          <w:jc w:val="center"/>
        </w:trPr>
        <w:tc>
          <w:tcPr>
            <w:tcW w:w="0" w:type="auto"/>
            <w:tcBorders>
              <w:top w:val="nil"/>
              <w:left w:val="nil"/>
              <w:bottom w:val="single" w:sz="4" w:space="0" w:color="808080"/>
              <w:right w:val="nil"/>
            </w:tcBorders>
            <w:shd w:val="clear" w:color="auto" w:fill="auto"/>
            <w:vAlign w:val="center"/>
            <w:hideMark/>
          </w:tcPr>
          <w:p w14:paraId="784EC023" w14:textId="77777777" w:rsidR="00443366" w:rsidRPr="00CB5240" w:rsidRDefault="00443366" w:rsidP="00002983">
            <w:pPr>
              <w:jc w:val="center"/>
              <w:rPr>
                <w:rFonts w:ascii="Verdana" w:eastAsia="Times New Roman" w:hAnsi="Verdana" w:cs="Calibri"/>
                <w:b/>
                <w:bCs/>
                <w:color w:val="000000"/>
                <w:sz w:val="16"/>
                <w:szCs w:val="16"/>
                <w:lang w:val="es-CO" w:eastAsia="es-CO"/>
              </w:rPr>
            </w:pPr>
            <w:r w:rsidRPr="00CB5240">
              <w:rPr>
                <w:rFonts w:ascii="Verdana" w:eastAsia="Times New Roman" w:hAnsi="Verdana" w:cs="Calibri"/>
                <w:b/>
                <w:bCs/>
                <w:color w:val="000000"/>
                <w:sz w:val="16"/>
                <w:szCs w:val="16"/>
                <w:lang w:val="es-CO" w:eastAsia="es-CO"/>
              </w:rPr>
              <w:t>Nivel III</w:t>
            </w:r>
          </w:p>
        </w:tc>
        <w:tc>
          <w:tcPr>
            <w:tcW w:w="0" w:type="auto"/>
            <w:tcBorders>
              <w:top w:val="nil"/>
              <w:left w:val="nil"/>
              <w:bottom w:val="single" w:sz="4" w:space="0" w:color="808080"/>
              <w:right w:val="nil"/>
            </w:tcBorders>
            <w:shd w:val="clear" w:color="auto" w:fill="auto"/>
            <w:vAlign w:val="center"/>
            <w:hideMark/>
          </w:tcPr>
          <w:p w14:paraId="002DFE79" w14:textId="77777777" w:rsidR="00443366" w:rsidRPr="00CB5240" w:rsidRDefault="00443366" w:rsidP="00002983">
            <w:pPr>
              <w:jc w:val="center"/>
              <w:rPr>
                <w:rFonts w:ascii="Verdana" w:eastAsia="Times New Roman" w:hAnsi="Verdana" w:cs="Calibri"/>
                <w:color w:val="000000"/>
                <w:sz w:val="16"/>
                <w:szCs w:val="16"/>
                <w:lang w:val="es-CO" w:eastAsia="es-CO"/>
              </w:rPr>
            </w:pPr>
            <w:r w:rsidRPr="00CB5240">
              <w:rPr>
                <w:rFonts w:ascii="Verdana" w:eastAsia="Times New Roman" w:hAnsi="Verdana" w:cs="Calibri"/>
                <w:color w:val="000000"/>
                <w:sz w:val="16"/>
                <w:szCs w:val="16"/>
                <w:lang w:val="es-CO" w:eastAsia="es-CO"/>
              </w:rPr>
              <w:t xml:space="preserve"> $                    -   </w:t>
            </w:r>
          </w:p>
        </w:tc>
        <w:tc>
          <w:tcPr>
            <w:tcW w:w="0" w:type="auto"/>
            <w:tcBorders>
              <w:top w:val="nil"/>
              <w:left w:val="nil"/>
              <w:bottom w:val="single" w:sz="4" w:space="0" w:color="808080"/>
              <w:right w:val="nil"/>
            </w:tcBorders>
            <w:shd w:val="clear" w:color="auto" w:fill="auto"/>
            <w:vAlign w:val="center"/>
            <w:hideMark/>
          </w:tcPr>
          <w:p w14:paraId="7F880FE4" w14:textId="77777777" w:rsidR="00443366" w:rsidRPr="00CB5240" w:rsidRDefault="00443366" w:rsidP="00002983">
            <w:pPr>
              <w:jc w:val="center"/>
              <w:rPr>
                <w:rFonts w:ascii="Verdana" w:eastAsia="Times New Roman" w:hAnsi="Verdana" w:cs="Calibri"/>
                <w:color w:val="000000"/>
                <w:sz w:val="16"/>
                <w:szCs w:val="16"/>
                <w:lang w:val="es-CO" w:eastAsia="es-CO"/>
              </w:rPr>
            </w:pPr>
            <w:r w:rsidRPr="00CB5240">
              <w:rPr>
                <w:rFonts w:ascii="Verdana" w:eastAsia="Times New Roman" w:hAnsi="Verdana" w:cs="Calibri"/>
                <w:color w:val="000000"/>
                <w:sz w:val="16"/>
                <w:szCs w:val="16"/>
                <w:lang w:val="es-CO" w:eastAsia="es-CO"/>
              </w:rPr>
              <w:t> </w:t>
            </w:r>
          </w:p>
        </w:tc>
        <w:tc>
          <w:tcPr>
            <w:tcW w:w="0" w:type="auto"/>
            <w:tcBorders>
              <w:top w:val="nil"/>
              <w:left w:val="nil"/>
              <w:bottom w:val="single" w:sz="4" w:space="0" w:color="808080"/>
              <w:right w:val="nil"/>
            </w:tcBorders>
            <w:shd w:val="clear" w:color="auto" w:fill="auto"/>
            <w:vAlign w:val="center"/>
            <w:hideMark/>
          </w:tcPr>
          <w:p w14:paraId="21D696EA" w14:textId="77777777" w:rsidR="00443366" w:rsidRPr="00CB5240" w:rsidRDefault="00443366" w:rsidP="00002983">
            <w:pPr>
              <w:jc w:val="center"/>
              <w:rPr>
                <w:rFonts w:ascii="Verdana" w:eastAsia="Times New Roman" w:hAnsi="Verdana" w:cs="Calibri"/>
                <w:color w:val="000000"/>
                <w:sz w:val="16"/>
                <w:szCs w:val="16"/>
                <w:lang w:val="es-CO" w:eastAsia="es-CO"/>
              </w:rPr>
            </w:pPr>
            <w:r w:rsidRPr="00CB5240">
              <w:rPr>
                <w:rFonts w:ascii="Verdana" w:eastAsia="Times New Roman" w:hAnsi="Verdana" w:cs="Calibri"/>
                <w:color w:val="000000"/>
                <w:sz w:val="16"/>
                <w:szCs w:val="16"/>
                <w:lang w:val="es-CO" w:eastAsia="es-CO"/>
              </w:rPr>
              <w:t> </w:t>
            </w:r>
          </w:p>
        </w:tc>
      </w:tr>
      <w:tr w:rsidR="00443366" w:rsidRPr="00CB5240" w14:paraId="76699E76" w14:textId="77777777" w:rsidTr="003B1181">
        <w:trPr>
          <w:trHeight w:val="315"/>
          <w:jc w:val="center"/>
        </w:trPr>
        <w:tc>
          <w:tcPr>
            <w:tcW w:w="0" w:type="auto"/>
            <w:tcBorders>
              <w:top w:val="nil"/>
              <w:left w:val="nil"/>
              <w:bottom w:val="nil"/>
              <w:right w:val="nil"/>
            </w:tcBorders>
            <w:shd w:val="clear" w:color="auto" w:fill="auto"/>
            <w:noWrap/>
            <w:vAlign w:val="center"/>
            <w:hideMark/>
          </w:tcPr>
          <w:p w14:paraId="000124B7" w14:textId="77777777" w:rsidR="00443366" w:rsidRPr="00CB5240" w:rsidRDefault="00443366" w:rsidP="00002983">
            <w:pPr>
              <w:rPr>
                <w:rFonts w:ascii="Verdana" w:eastAsia="Times New Roman" w:hAnsi="Verdana" w:cs="Calibri"/>
                <w:color w:val="000000"/>
                <w:sz w:val="16"/>
                <w:szCs w:val="16"/>
                <w:lang w:val="es-CO" w:eastAsia="es-CO"/>
              </w:rPr>
            </w:pPr>
            <w:r w:rsidRPr="00CB5240">
              <w:rPr>
                <w:rFonts w:ascii="Verdana" w:eastAsia="Times New Roman" w:hAnsi="Verdana" w:cs="Calibri"/>
                <w:color w:val="000000"/>
                <w:sz w:val="16"/>
                <w:szCs w:val="16"/>
                <w:lang w:val="es-CO" w:eastAsia="es-CO"/>
              </w:rPr>
              <w:t>Total</w:t>
            </w:r>
          </w:p>
        </w:tc>
        <w:tc>
          <w:tcPr>
            <w:tcW w:w="0" w:type="auto"/>
            <w:tcBorders>
              <w:top w:val="nil"/>
              <w:left w:val="nil"/>
              <w:bottom w:val="nil"/>
              <w:right w:val="nil"/>
            </w:tcBorders>
            <w:shd w:val="clear" w:color="auto" w:fill="auto"/>
            <w:noWrap/>
            <w:vAlign w:val="center"/>
            <w:hideMark/>
          </w:tcPr>
          <w:p w14:paraId="46EA3980" w14:textId="77777777" w:rsidR="00443366" w:rsidRPr="00CB5240" w:rsidRDefault="00443366" w:rsidP="00002983">
            <w:pPr>
              <w:rPr>
                <w:rFonts w:ascii="Verdana" w:eastAsia="Times New Roman" w:hAnsi="Verdana" w:cs="Calibri"/>
                <w:color w:val="000000"/>
                <w:sz w:val="16"/>
                <w:szCs w:val="16"/>
                <w:lang w:val="es-CO" w:eastAsia="es-CO"/>
              </w:rPr>
            </w:pPr>
            <w:r w:rsidRPr="00CB5240">
              <w:rPr>
                <w:rFonts w:ascii="Verdana" w:eastAsia="Times New Roman" w:hAnsi="Verdana" w:cs="Calibri"/>
                <w:color w:val="000000"/>
                <w:sz w:val="16"/>
                <w:szCs w:val="16"/>
                <w:lang w:val="es-CO" w:eastAsia="es-CO"/>
              </w:rPr>
              <w:t xml:space="preserve"> $              20.293 </w:t>
            </w:r>
          </w:p>
        </w:tc>
        <w:tc>
          <w:tcPr>
            <w:tcW w:w="0" w:type="auto"/>
            <w:tcBorders>
              <w:top w:val="nil"/>
              <w:left w:val="nil"/>
              <w:bottom w:val="nil"/>
              <w:right w:val="nil"/>
            </w:tcBorders>
            <w:shd w:val="clear" w:color="auto" w:fill="auto"/>
            <w:noWrap/>
            <w:vAlign w:val="center"/>
            <w:hideMark/>
          </w:tcPr>
          <w:p w14:paraId="22ACC61C" w14:textId="77777777" w:rsidR="00443366" w:rsidRPr="00CB5240" w:rsidRDefault="00443366" w:rsidP="00002983">
            <w:pPr>
              <w:rPr>
                <w:rFonts w:ascii="Verdana" w:eastAsia="Times New Roman" w:hAnsi="Verdana" w:cs="Calibri"/>
                <w:color w:val="000000"/>
                <w:sz w:val="16"/>
                <w:szCs w:val="16"/>
                <w:lang w:val="es-CO" w:eastAsia="es-CO"/>
              </w:rPr>
            </w:pPr>
            <w:r w:rsidRPr="00CB5240">
              <w:rPr>
                <w:rFonts w:ascii="Verdana" w:eastAsia="Times New Roman" w:hAnsi="Verdana" w:cs="Calibri"/>
                <w:color w:val="000000"/>
                <w:sz w:val="16"/>
                <w:szCs w:val="16"/>
                <w:lang w:val="es-CO" w:eastAsia="es-CO"/>
              </w:rPr>
              <w:t xml:space="preserve"> $              220.890 </w:t>
            </w:r>
          </w:p>
        </w:tc>
        <w:tc>
          <w:tcPr>
            <w:tcW w:w="0" w:type="auto"/>
            <w:tcBorders>
              <w:top w:val="nil"/>
              <w:left w:val="nil"/>
              <w:bottom w:val="nil"/>
              <w:right w:val="nil"/>
            </w:tcBorders>
            <w:shd w:val="clear" w:color="auto" w:fill="auto"/>
            <w:noWrap/>
            <w:vAlign w:val="center"/>
            <w:hideMark/>
          </w:tcPr>
          <w:p w14:paraId="5938E302" w14:textId="77777777" w:rsidR="00443366" w:rsidRPr="00CB5240" w:rsidRDefault="00443366" w:rsidP="00002983">
            <w:pPr>
              <w:rPr>
                <w:rFonts w:ascii="Verdana" w:eastAsia="Times New Roman" w:hAnsi="Verdana" w:cs="Calibri"/>
                <w:color w:val="000000"/>
                <w:sz w:val="16"/>
                <w:szCs w:val="16"/>
                <w:lang w:val="es-CO" w:eastAsia="es-CO"/>
              </w:rPr>
            </w:pPr>
            <w:r w:rsidRPr="00CB5240">
              <w:rPr>
                <w:rFonts w:ascii="Verdana" w:eastAsia="Times New Roman" w:hAnsi="Verdana" w:cs="Calibri"/>
                <w:color w:val="000000"/>
                <w:sz w:val="16"/>
                <w:szCs w:val="16"/>
                <w:lang w:val="es-CO" w:eastAsia="es-CO"/>
              </w:rPr>
              <w:t xml:space="preserve"> $            357.157 </w:t>
            </w:r>
          </w:p>
        </w:tc>
      </w:tr>
      <w:tr w:rsidR="00443366" w:rsidRPr="00CB5240" w14:paraId="7B73199A" w14:textId="77777777" w:rsidTr="003B1181">
        <w:trPr>
          <w:trHeight w:val="315"/>
          <w:jc w:val="center"/>
        </w:trPr>
        <w:tc>
          <w:tcPr>
            <w:tcW w:w="0" w:type="auto"/>
            <w:gridSpan w:val="3"/>
            <w:tcBorders>
              <w:top w:val="nil"/>
              <w:left w:val="nil"/>
              <w:bottom w:val="nil"/>
              <w:right w:val="nil"/>
            </w:tcBorders>
            <w:shd w:val="clear" w:color="auto" w:fill="auto"/>
            <w:noWrap/>
            <w:vAlign w:val="center"/>
            <w:hideMark/>
          </w:tcPr>
          <w:p w14:paraId="4CF113CC" w14:textId="77777777" w:rsidR="00443366" w:rsidRPr="00CB5240" w:rsidRDefault="00443366" w:rsidP="00CB5240">
            <w:pPr>
              <w:jc w:val="center"/>
              <w:rPr>
                <w:rFonts w:ascii="Verdana" w:eastAsia="Times New Roman" w:hAnsi="Verdana" w:cs="Calibri"/>
                <w:b/>
                <w:bCs/>
                <w:color w:val="000000"/>
                <w:sz w:val="16"/>
                <w:szCs w:val="16"/>
                <w:lang w:val="es-CO" w:eastAsia="es-CO"/>
              </w:rPr>
            </w:pPr>
            <w:r w:rsidRPr="00CB5240">
              <w:rPr>
                <w:rFonts w:ascii="Verdana" w:eastAsia="Times New Roman" w:hAnsi="Verdana" w:cs="Calibri"/>
                <w:b/>
                <w:bCs/>
                <w:color w:val="000000"/>
                <w:sz w:val="16"/>
                <w:szCs w:val="16"/>
                <w:lang w:val="es-CO" w:eastAsia="es-CO"/>
              </w:rPr>
              <w:t>Fuente: Sistema de Información de Hospitales - SIHO. Corte sept. 2023.</w:t>
            </w:r>
          </w:p>
        </w:tc>
        <w:tc>
          <w:tcPr>
            <w:tcW w:w="0" w:type="auto"/>
            <w:tcBorders>
              <w:top w:val="nil"/>
              <w:left w:val="nil"/>
              <w:bottom w:val="nil"/>
              <w:right w:val="nil"/>
            </w:tcBorders>
            <w:shd w:val="clear" w:color="auto" w:fill="auto"/>
            <w:noWrap/>
            <w:vAlign w:val="center"/>
            <w:hideMark/>
          </w:tcPr>
          <w:p w14:paraId="5791478F" w14:textId="77777777" w:rsidR="00443366" w:rsidRPr="00CB5240" w:rsidRDefault="00443366" w:rsidP="00002983">
            <w:pPr>
              <w:rPr>
                <w:rFonts w:ascii="Verdana" w:eastAsia="Times New Roman" w:hAnsi="Verdana" w:cs="Calibri"/>
                <w:b/>
                <w:bCs/>
                <w:color w:val="000000"/>
                <w:sz w:val="16"/>
                <w:szCs w:val="16"/>
                <w:lang w:val="es-CO" w:eastAsia="es-CO"/>
              </w:rPr>
            </w:pPr>
          </w:p>
        </w:tc>
      </w:tr>
    </w:tbl>
    <w:p w14:paraId="09AA354A" w14:textId="77777777" w:rsidR="00443366" w:rsidRPr="00002983" w:rsidRDefault="00443366" w:rsidP="00002983">
      <w:pPr>
        <w:pStyle w:val="Prrafodelista"/>
        <w:jc w:val="both"/>
        <w:rPr>
          <w:rFonts w:ascii="Verdana" w:hAnsi="Verdana" w:cs="Arial"/>
          <w:bCs/>
          <w:i/>
          <w:iCs/>
          <w:sz w:val="21"/>
          <w:szCs w:val="21"/>
        </w:rPr>
      </w:pPr>
    </w:p>
    <w:p w14:paraId="61CB1399" w14:textId="77777777" w:rsidR="00443366" w:rsidRPr="00002983" w:rsidRDefault="00443366" w:rsidP="00002983">
      <w:pPr>
        <w:pStyle w:val="Prrafodelista"/>
        <w:numPr>
          <w:ilvl w:val="0"/>
          <w:numId w:val="3"/>
        </w:numPr>
        <w:jc w:val="both"/>
        <w:rPr>
          <w:rFonts w:ascii="Verdana" w:eastAsia="Calibri" w:hAnsi="Verdana" w:cs="Arial"/>
          <w:b/>
          <w:sz w:val="21"/>
          <w:szCs w:val="21"/>
        </w:rPr>
      </w:pPr>
      <w:r w:rsidRPr="00002983">
        <w:rPr>
          <w:rFonts w:ascii="Verdana" w:eastAsia="Calibri" w:hAnsi="Verdana" w:cs="Arial"/>
          <w:b/>
          <w:sz w:val="21"/>
          <w:szCs w:val="21"/>
        </w:rPr>
        <w:t>Situación Fiscal y Financiera Departamental</w:t>
      </w:r>
      <w:r w:rsidRPr="00002983">
        <w:rPr>
          <w:rStyle w:val="Refdenotaalpie"/>
          <w:rFonts w:ascii="Verdana" w:eastAsia="Calibri" w:hAnsi="Verdana" w:cs="Arial"/>
          <w:b/>
          <w:sz w:val="21"/>
          <w:szCs w:val="21"/>
        </w:rPr>
        <w:footnoteReference w:id="2"/>
      </w:r>
      <w:r w:rsidRPr="00002983">
        <w:rPr>
          <w:rFonts w:ascii="Verdana" w:eastAsia="Calibri" w:hAnsi="Verdana" w:cs="Arial"/>
          <w:b/>
          <w:sz w:val="21"/>
          <w:szCs w:val="21"/>
        </w:rPr>
        <w:t xml:space="preserve"> </w:t>
      </w:r>
    </w:p>
    <w:p w14:paraId="46BBCBDE" w14:textId="77777777" w:rsidR="00443366" w:rsidRPr="00002983" w:rsidRDefault="00443366" w:rsidP="00002983">
      <w:pPr>
        <w:jc w:val="both"/>
        <w:rPr>
          <w:rFonts w:ascii="Verdana" w:eastAsiaTheme="minorHAnsi" w:hAnsi="Verdana" w:cs="Arial"/>
          <w:sz w:val="21"/>
          <w:szCs w:val="21"/>
        </w:rPr>
      </w:pPr>
    </w:p>
    <w:p w14:paraId="2D88E415" w14:textId="77777777" w:rsidR="00443366" w:rsidRPr="00002983" w:rsidRDefault="00443366" w:rsidP="00002983">
      <w:pPr>
        <w:jc w:val="both"/>
        <w:rPr>
          <w:rFonts w:ascii="Verdana" w:hAnsi="Verdana" w:cs="Arial"/>
          <w:sz w:val="21"/>
          <w:szCs w:val="21"/>
        </w:rPr>
      </w:pPr>
      <w:r w:rsidRPr="00002983">
        <w:rPr>
          <w:rFonts w:ascii="Verdana" w:hAnsi="Verdana" w:cs="Arial"/>
          <w:sz w:val="21"/>
          <w:szCs w:val="21"/>
        </w:rPr>
        <w:t>El Departamento de Córdoba en el informe de viabilidad fiscal, elaborado por la Dirección de Apoyo Fiscal, evidenció que:</w:t>
      </w:r>
    </w:p>
    <w:p w14:paraId="77A2CAB3" w14:textId="77777777" w:rsidR="00443366" w:rsidRPr="00002983" w:rsidRDefault="00443366" w:rsidP="00002983">
      <w:pPr>
        <w:pStyle w:val="tex"/>
        <w:spacing w:line="240" w:lineRule="auto"/>
        <w:rPr>
          <w:sz w:val="21"/>
          <w:szCs w:val="21"/>
        </w:rPr>
      </w:pPr>
    </w:p>
    <w:p w14:paraId="3B472366" w14:textId="77777777" w:rsidR="00443366" w:rsidRPr="00CB5240" w:rsidRDefault="00443366" w:rsidP="00CB5240">
      <w:pPr>
        <w:pStyle w:val="tex"/>
        <w:spacing w:line="240" w:lineRule="auto"/>
        <w:ind w:left="567" w:firstLine="0"/>
        <w:rPr>
          <w:rFonts w:ascii="Verdana" w:eastAsia="MS Mincho" w:hAnsi="Verdana"/>
          <w:bCs w:val="0"/>
          <w:i/>
          <w:color w:val="auto"/>
          <w:sz w:val="18"/>
          <w:szCs w:val="18"/>
          <w:lang w:eastAsia="es-ES"/>
        </w:rPr>
      </w:pPr>
      <w:r w:rsidRPr="00CB5240">
        <w:rPr>
          <w:rFonts w:ascii="Verdana" w:eastAsia="MS Mincho" w:hAnsi="Verdana"/>
          <w:bCs w:val="0"/>
          <w:i/>
          <w:color w:val="auto"/>
          <w:sz w:val="18"/>
          <w:szCs w:val="18"/>
          <w:lang w:eastAsia="es-ES"/>
        </w:rPr>
        <w:t xml:space="preserve">“[...] El Departamento en 2022 recaudó ingresos diferentes del Sistema General de Regalías –SGR- por $1.68 billones, cifra que representa el 96% de lo presupuestado para la vigencia manteniéndose en términos constantes en términos reales respecto al 2021. Este resultado es el reflejo del incremento de los ingresos de </w:t>
      </w:r>
      <w:proofErr w:type="gramStart"/>
      <w:r w:rsidRPr="00CB5240">
        <w:rPr>
          <w:rFonts w:ascii="Verdana" w:eastAsia="MS Mincho" w:hAnsi="Verdana"/>
          <w:bCs w:val="0"/>
          <w:i/>
          <w:color w:val="auto"/>
          <w:sz w:val="18"/>
          <w:szCs w:val="18"/>
          <w:lang w:eastAsia="es-ES"/>
        </w:rPr>
        <w:t>capital</w:t>
      </w:r>
      <w:proofErr w:type="gramEnd"/>
      <w:r w:rsidRPr="00CB5240">
        <w:rPr>
          <w:rFonts w:ascii="Verdana" w:eastAsia="MS Mincho" w:hAnsi="Verdana"/>
          <w:bCs w:val="0"/>
          <w:i/>
          <w:color w:val="auto"/>
          <w:sz w:val="18"/>
          <w:szCs w:val="18"/>
          <w:lang w:eastAsia="es-ES"/>
        </w:rPr>
        <w:t xml:space="preserve"> así como de los ingresos propios, comportamiento que logró atenuar la caída de las trasferencias, principal renta de la entidad territorial.</w:t>
      </w:r>
    </w:p>
    <w:p w14:paraId="3325C8F6" w14:textId="77777777" w:rsidR="00443366" w:rsidRPr="00CB5240" w:rsidRDefault="00443366" w:rsidP="00CB5240">
      <w:pPr>
        <w:pStyle w:val="tex"/>
        <w:spacing w:line="240" w:lineRule="auto"/>
        <w:ind w:left="567" w:firstLine="0"/>
        <w:rPr>
          <w:rFonts w:ascii="Verdana" w:eastAsia="MS Mincho" w:hAnsi="Verdana"/>
          <w:bCs w:val="0"/>
          <w:i/>
          <w:color w:val="auto"/>
          <w:sz w:val="18"/>
          <w:szCs w:val="18"/>
          <w:lang w:eastAsia="es-ES"/>
        </w:rPr>
      </w:pPr>
    </w:p>
    <w:p w14:paraId="4B9B5517" w14:textId="77777777" w:rsidR="00443366" w:rsidRPr="00CB5240" w:rsidRDefault="00443366" w:rsidP="00CB5240">
      <w:pPr>
        <w:ind w:left="567"/>
        <w:jc w:val="both"/>
        <w:rPr>
          <w:rFonts w:ascii="Verdana" w:hAnsi="Verdana" w:cs="Arial"/>
          <w:i/>
          <w:sz w:val="18"/>
          <w:szCs w:val="18"/>
        </w:rPr>
      </w:pPr>
      <w:r w:rsidRPr="00CB5240">
        <w:rPr>
          <w:rFonts w:ascii="Verdana" w:hAnsi="Verdana" w:cs="Arial"/>
          <w:i/>
          <w:sz w:val="18"/>
          <w:szCs w:val="18"/>
        </w:rPr>
        <w:t xml:space="preserve">Con respecto al gasto el departamento comprometió recursos diferentes al SGR por $1,4 billón manteniéndose estable con respecto al 2021. En la composición del gasto, la inversión sigue liderando con el 86% de los compromisos, seguida del funcionamiento 13% y el servicio de la deuda 2%. La inversión cae 4% por menores compromisos en los sectores sociales coincidente con la ya mencionada menor asignación del SGP. </w:t>
      </w:r>
    </w:p>
    <w:p w14:paraId="211C3763" w14:textId="77777777" w:rsidR="00443366" w:rsidRPr="00CB5240" w:rsidRDefault="00443366" w:rsidP="00CB5240">
      <w:pPr>
        <w:ind w:left="567"/>
        <w:jc w:val="both"/>
        <w:rPr>
          <w:rFonts w:ascii="Verdana" w:hAnsi="Verdana" w:cs="Arial"/>
          <w:i/>
          <w:sz w:val="18"/>
          <w:szCs w:val="18"/>
        </w:rPr>
      </w:pPr>
    </w:p>
    <w:p w14:paraId="5285973F" w14:textId="77777777" w:rsidR="00443366" w:rsidRPr="00CB5240" w:rsidRDefault="00443366" w:rsidP="00CB5240">
      <w:pPr>
        <w:pStyle w:val="tex"/>
        <w:spacing w:line="240" w:lineRule="auto"/>
        <w:ind w:left="567" w:firstLine="0"/>
        <w:rPr>
          <w:rFonts w:ascii="Verdana" w:eastAsia="MS Mincho" w:hAnsi="Verdana"/>
          <w:bCs w:val="0"/>
          <w:i/>
          <w:color w:val="auto"/>
          <w:sz w:val="18"/>
          <w:szCs w:val="18"/>
          <w:lang w:eastAsia="es-ES"/>
        </w:rPr>
      </w:pPr>
      <w:r w:rsidRPr="00CB5240">
        <w:rPr>
          <w:rFonts w:ascii="Verdana" w:eastAsia="MS Mincho" w:hAnsi="Verdana"/>
          <w:bCs w:val="0"/>
          <w:i/>
          <w:color w:val="auto"/>
          <w:sz w:val="18"/>
          <w:szCs w:val="18"/>
          <w:lang w:eastAsia="es-ES"/>
        </w:rPr>
        <w:t>En el caso de los ingresos provenientes del SGR, estos alcanzaron los $383.948 millones lo que le ha representado a la entidad contar con recursos frescos que le han permitido dinamizar la inversión en aquellos sectores no cubiertos con fuentes tradicionales como el SGP.</w:t>
      </w:r>
    </w:p>
    <w:p w14:paraId="6A083442" w14:textId="77777777" w:rsidR="00443366" w:rsidRPr="00CB5240" w:rsidRDefault="00443366" w:rsidP="00CB5240">
      <w:pPr>
        <w:pStyle w:val="tex"/>
        <w:spacing w:line="240" w:lineRule="auto"/>
        <w:ind w:left="567" w:firstLine="0"/>
        <w:rPr>
          <w:rFonts w:ascii="Verdana" w:eastAsia="MS Mincho" w:hAnsi="Verdana"/>
          <w:bCs w:val="0"/>
          <w:i/>
          <w:color w:val="auto"/>
          <w:sz w:val="18"/>
          <w:szCs w:val="18"/>
          <w:lang w:eastAsia="es-ES"/>
        </w:rPr>
      </w:pPr>
    </w:p>
    <w:p w14:paraId="57C9C927" w14:textId="77777777" w:rsidR="00443366" w:rsidRPr="00CB5240" w:rsidRDefault="00443366" w:rsidP="00CB5240">
      <w:pPr>
        <w:pStyle w:val="tex"/>
        <w:spacing w:line="240" w:lineRule="auto"/>
        <w:ind w:left="567" w:firstLine="0"/>
        <w:rPr>
          <w:rFonts w:ascii="Verdana" w:eastAsia="MS Mincho" w:hAnsi="Verdana"/>
          <w:bCs w:val="0"/>
          <w:i/>
          <w:color w:val="auto"/>
          <w:sz w:val="18"/>
          <w:szCs w:val="18"/>
          <w:lang w:eastAsia="es-ES"/>
        </w:rPr>
      </w:pPr>
      <w:r w:rsidRPr="00CB5240">
        <w:rPr>
          <w:rFonts w:ascii="Verdana" w:eastAsia="MS Mincho" w:hAnsi="Verdana"/>
          <w:bCs w:val="0"/>
          <w:i/>
          <w:color w:val="auto"/>
          <w:sz w:val="18"/>
          <w:szCs w:val="18"/>
          <w:lang w:eastAsia="es-ES"/>
        </w:rPr>
        <w:t xml:space="preserve">Del total del gasto de inversión el 73% corresponde al sector educación con el cual se financia la educación básica, secundaria y media de los municipios no certificados de la entidad. Esta cifra muestra la muy baja diversificación en el gasto que tienen en su mayoría los departamentos, los cuales a excepción de aquellos que cuentan con rentas de generación propia robustas, se ven limitados a ejecutar el gasto que proviene de fuentes con destinación específica como el Sistema General de Participaciones.  </w:t>
      </w:r>
    </w:p>
    <w:p w14:paraId="7336BCB3" w14:textId="77777777" w:rsidR="00443366" w:rsidRPr="00CB5240" w:rsidRDefault="00443366" w:rsidP="00CB5240">
      <w:pPr>
        <w:pStyle w:val="tex"/>
        <w:spacing w:line="240" w:lineRule="auto"/>
        <w:ind w:left="567" w:firstLine="0"/>
        <w:rPr>
          <w:rFonts w:ascii="Verdana" w:eastAsia="MS Mincho" w:hAnsi="Verdana"/>
          <w:bCs w:val="0"/>
          <w:i/>
          <w:color w:val="auto"/>
          <w:sz w:val="18"/>
          <w:szCs w:val="18"/>
          <w:lang w:eastAsia="es-ES"/>
        </w:rPr>
      </w:pPr>
    </w:p>
    <w:p w14:paraId="15F20F93" w14:textId="77777777" w:rsidR="00443366" w:rsidRPr="00CB5240" w:rsidRDefault="00443366" w:rsidP="00CB5240">
      <w:pPr>
        <w:pStyle w:val="tex"/>
        <w:spacing w:line="240" w:lineRule="auto"/>
        <w:ind w:left="567" w:firstLine="0"/>
        <w:rPr>
          <w:rFonts w:ascii="Verdana" w:eastAsia="MS Mincho" w:hAnsi="Verdana"/>
          <w:bCs w:val="0"/>
          <w:i/>
          <w:color w:val="auto"/>
          <w:sz w:val="18"/>
          <w:szCs w:val="18"/>
          <w:lang w:eastAsia="es-ES"/>
        </w:rPr>
      </w:pPr>
      <w:r w:rsidRPr="00CB5240">
        <w:rPr>
          <w:rFonts w:ascii="Verdana" w:eastAsia="MS Mincho" w:hAnsi="Verdana"/>
          <w:bCs w:val="0"/>
          <w:i/>
          <w:color w:val="auto"/>
          <w:sz w:val="18"/>
          <w:szCs w:val="18"/>
          <w:lang w:eastAsia="es-ES"/>
        </w:rPr>
        <w:t xml:space="preserve"> En el 2022 la administración central del Departamento cumplió con los límites de gastos de funcionamiento de la ley 617/00 para el sector central.</w:t>
      </w:r>
    </w:p>
    <w:p w14:paraId="024C274A" w14:textId="77777777" w:rsidR="00443366" w:rsidRPr="00CB5240" w:rsidRDefault="00443366" w:rsidP="00CB5240">
      <w:pPr>
        <w:pStyle w:val="tex"/>
        <w:spacing w:line="240" w:lineRule="auto"/>
        <w:ind w:left="567" w:firstLine="0"/>
        <w:rPr>
          <w:rFonts w:ascii="Verdana" w:eastAsia="MS Mincho" w:hAnsi="Verdana"/>
          <w:bCs w:val="0"/>
          <w:i/>
          <w:color w:val="auto"/>
          <w:sz w:val="18"/>
          <w:szCs w:val="18"/>
          <w:lang w:eastAsia="es-ES"/>
        </w:rPr>
      </w:pPr>
      <w:r w:rsidRPr="00CB5240">
        <w:rPr>
          <w:rFonts w:ascii="Verdana" w:eastAsia="MS Mincho" w:hAnsi="Verdana"/>
          <w:bCs w:val="0"/>
          <w:i/>
          <w:color w:val="auto"/>
          <w:sz w:val="18"/>
          <w:szCs w:val="18"/>
          <w:lang w:eastAsia="es-ES"/>
        </w:rPr>
        <w:lastRenderedPageBreak/>
        <w:t>Al cierre de la vigencia anterior el sector descentralizado presentó un déficit fiscal agregado de $42.196 Millones, situación que debe alertar a la entidad territorial, en la medida en que puede convertirse en un riesgo para el saneamiento fiscal en curso.</w:t>
      </w:r>
    </w:p>
    <w:p w14:paraId="3E8BEDCB" w14:textId="77777777" w:rsidR="00443366" w:rsidRPr="00CB5240" w:rsidRDefault="00443366" w:rsidP="00CB5240">
      <w:pPr>
        <w:pStyle w:val="tex"/>
        <w:spacing w:line="240" w:lineRule="auto"/>
        <w:ind w:left="567" w:firstLine="0"/>
        <w:rPr>
          <w:rFonts w:ascii="Verdana" w:eastAsia="MS Mincho" w:hAnsi="Verdana"/>
          <w:bCs w:val="0"/>
          <w:i/>
          <w:color w:val="auto"/>
          <w:sz w:val="18"/>
          <w:szCs w:val="18"/>
          <w:lang w:eastAsia="es-ES"/>
        </w:rPr>
      </w:pPr>
    </w:p>
    <w:p w14:paraId="192E4929" w14:textId="77777777" w:rsidR="00443366" w:rsidRPr="00CB5240" w:rsidRDefault="00443366" w:rsidP="00CB5240">
      <w:pPr>
        <w:pStyle w:val="tex"/>
        <w:spacing w:line="240" w:lineRule="auto"/>
        <w:ind w:left="567" w:firstLine="0"/>
        <w:rPr>
          <w:rFonts w:ascii="Verdana" w:eastAsia="MS Mincho" w:hAnsi="Verdana"/>
          <w:bCs w:val="0"/>
          <w:i/>
          <w:color w:val="auto"/>
          <w:sz w:val="18"/>
          <w:szCs w:val="18"/>
          <w:lang w:eastAsia="es-ES"/>
        </w:rPr>
      </w:pPr>
      <w:r w:rsidRPr="00CB5240">
        <w:rPr>
          <w:rFonts w:ascii="Verdana" w:eastAsia="MS Mincho" w:hAnsi="Verdana"/>
          <w:bCs w:val="0"/>
          <w:i/>
          <w:color w:val="auto"/>
          <w:sz w:val="18"/>
          <w:szCs w:val="18"/>
          <w:lang w:eastAsia="es-ES"/>
        </w:rPr>
        <w:t>El Acuerdo de Reestructuración de Pasivos, Quedan pendientes por pagar $35.814 millones concentrado en el grupo dos que requieren un trabajo de depuración importante por parte de la entidad territorial, en la medida en que corresponde en su mayoría a pasivo pensional con el FOMAG.</w:t>
      </w:r>
    </w:p>
    <w:p w14:paraId="1FB96E28" w14:textId="77777777" w:rsidR="00443366" w:rsidRPr="00CB5240" w:rsidRDefault="00443366" w:rsidP="00CB5240">
      <w:pPr>
        <w:pStyle w:val="tex"/>
        <w:spacing w:line="240" w:lineRule="auto"/>
        <w:ind w:left="567" w:firstLine="0"/>
        <w:rPr>
          <w:rFonts w:ascii="Verdana" w:eastAsia="MS Mincho" w:hAnsi="Verdana"/>
          <w:bCs w:val="0"/>
          <w:i/>
          <w:color w:val="auto"/>
          <w:sz w:val="18"/>
          <w:szCs w:val="18"/>
          <w:lang w:eastAsia="es-ES"/>
        </w:rPr>
      </w:pPr>
    </w:p>
    <w:p w14:paraId="27C3BA37" w14:textId="77777777" w:rsidR="00443366" w:rsidRPr="00CB5240" w:rsidRDefault="00443366" w:rsidP="00CB5240">
      <w:pPr>
        <w:pStyle w:val="tex"/>
        <w:spacing w:line="240" w:lineRule="auto"/>
        <w:ind w:left="567" w:firstLine="0"/>
        <w:rPr>
          <w:rFonts w:ascii="Verdana" w:eastAsia="MS Mincho" w:hAnsi="Verdana"/>
          <w:bCs w:val="0"/>
          <w:i/>
          <w:color w:val="auto"/>
          <w:sz w:val="18"/>
          <w:szCs w:val="18"/>
          <w:lang w:eastAsia="es-ES"/>
        </w:rPr>
      </w:pPr>
      <w:r w:rsidRPr="00CB5240">
        <w:rPr>
          <w:rFonts w:ascii="Verdana" w:eastAsia="MS Mincho" w:hAnsi="Verdana"/>
          <w:bCs w:val="0"/>
          <w:i/>
          <w:color w:val="auto"/>
          <w:sz w:val="18"/>
          <w:szCs w:val="18"/>
          <w:lang w:eastAsia="es-ES"/>
        </w:rPr>
        <w:t>El saldo pendiente por pagar se encuentra provisionado en la Fiduciaria encargada de la administración de los recursos del Acuerdo, con lo cual existe garantía de pago mientras se adelanta la mencionada depuración.</w:t>
      </w:r>
    </w:p>
    <w:p w14:paraId="1ACBA6FA" w14:textId="77777777" w:rsidR="00443366" w:rsidRPr="00CB5240" w:rsidRDefault="00443366" w:rsidP="00CB5240">
      <w:pPr>
        <w:pStyle w:val="tex"/>
        <w:spacing w:line="240" w:lineRule="auto"/>
        <w:ind w:left="567" w:firstLine="0"/>
        <w:rPr>
          <w:rFonts w:ascii="Verdana" w:eastAsia="MS Mincho" w:hAnsi="Verdana"/>
          <w:bCs w:val="0"/>
          <w:i/>
          <w:color w:val="auto"/>
          <w:sz w:val="18"/>
          <w:szCs w:val="18"/>
          <w:lang w:eastAsia="es-ES"/>
        </w:rPr>
      </w:pPr>
    </w:p>
    <w:p w14:paraId="11D173E1" w14:textId="77777777" w:rsidR="00443366" w:rsidRPr="00002983" w:rsidRDefault="00443366" w:rsidP="00CB5240">
      <w:pPr>
        <w:pStyle w:val="tex"/>
        <w:spacing w:line="240" w:lineRule="auto"/>
        <w:ind w:left="567" w:firstLine="0"/>
        <w:rPr>
          <w:rFonts w:ascii="Verdana" w:hAnsi="Verdana"/>
          <w:i/>
          <w:sz w:val="21"/>
          <w:szCs w:val="21"/>
        </w:rPr>
      </w:pPr>
      <w:r w:rsidRPr="00CB5240">
        <w:rPr>
          <w:rFonts w:ascii="Verdana" w:eastAsia="MS Mincho" w:hAnsi="Verdana"/>
          <w:bCs w:val="0"/>
          <w:i/>
          <w:color w:val="auto"/>
          <w:sz w:val="18"/>
          <w:szCs w:val="18"/>
          <w:lang w:eastAsia="es-ES"/>
        </w:rPr>
        <w:t>Respecto a la constitución de reservas presupuestales, situación que ha sido constante por parte del Departamento, se recomienda tomar acciones en la planeación presupuestal, con el fin de mejorar los controles para que los proveedores cumplan con la entrega de bienes y servicios durante la vigencia fiscal y así se cumpla el principio de anualidad.</w:t>
      </w:r>
      <w:r w:rsidRPr="00CB5240">
        <w:rPr>
          <w:rFonts w:ascii="Verdana" w:hAnsi="Verdana"/>
          <w:i/>
          <w:sz w:val="18"/>
          <w:szCs w:val="18"/>
        </w:rPr>
        <w:t xml:space="preserve"> “</w:t>
      </w:r>
    </w:p>
    <w:p w14:paraId="2B5734EA" w14:textId="77777777" w:rsidR="00443366" w:rsidRPr="00002983" w:rsidRDefault="00443366" w:rsidP="00002983">
      <w:pPr>
        <w:pStyle w:val="Prrafodelista"/>
        <w:jc w:val="both"/>
        <w:rPr>
          <w:rFonts w:ascii="Verdana" w:hAnsi="Verdana" w:cs="Arial"/>
          <w:bCs/>
          <w:i/>
          <w:iCs/>
          <w:sz w:val="21"/>
          <w:szCs w:val="21"/>
        </w:rPr>
      </w:pPr>
    </w:p>
    <w:p w14:paraId="4B95B4FF" w14:textId="77777777" w:rsidR="00443366" w:rsidRPr="00002983" w:rsidRDefault="00443366" w:rsidP="00002983">
      <w:pPr>
        <w:pStyle w:val="Prrafodelista"/>
        <w:numPr>
          <w:ilvl w:val="0"/>
          <w:numId w:val="3"/>
        </w:numPr>
        <w:ind w:left="0" w:firstLine="0"/>
        <w:jc w:val="both"/>
        <w:rPr>
          <w:rFonts w:ascii="Verdana" w:eastAsia="Calibri" w:hAnsi="Verdana" w:cs="Arial"/>
          <w:b/>
          <w:sz w:val="21"/>
          <w:szCs w:val="21"/>
        </w:rPr>
      </w:pPr>
      <w:r w:rsidRPr="00002983">
        <w:rPr>
          <w:rFonts w:ascii="Verdana" w:eastAsia="Calibri" w:hAnsi="Verdana" w:cs="Arial"/>
          <w:b/>
          <w:sz w:val="21"/>
          <w:szCs w:val="21"/>
        </w:rPr>
        <w:t>Saneamiento Financiero del Sector Salud en las entidades territoriales. Punto Final. Artículo 238 de la Ley 1955 de 2019.</w:t>
      </w:r>
    </w:p>
    <w:p w14:paraId="494D791F" w14:textId="77777777" w:rsidR="00443366" w:rsidRPr="00002983" w:rsidRDefault="00443366" w:rsidP="00002983">
      <w:pPr>
        <w:jc w:val="both"/>
        <w:rPr>
          <w:rFonts w:ascii="Verdana" w:eastAsiaTheme="minorHAnsi" w:hAnsi="Verdana" w:cs="Arial"/>
          <w:sz w:val="21"/>
          <w:szCs w:val="21"/>
        </w:rPr>
      </w:pPr>
    </w:p>
    <w:p w14:paraId="3C2C75F9" w14:textId="77777777" w:rsidR="00443366" w:rsidRPr="00002983" w:rsidRDefault="00443366" w:rsidP="00002983">
      <w:pPr>
        <w:jc w:val="both"/>
        <w:rPr>
          <w:rFonts w:ascii="Verdana" w:hAnsi="Verdana" w:cs="Arial"/>
          <w:sz w:val="21"/>
          <w:szCs w:val="21"/>
        </w:rPr>
      </w:pPr>
      <w:r w:rsidRPr="00002983">
        <w:rPr>
          <w:rFonts w:ascii="Verdana" w:hAnsi="Verdana" w:cs="Arial"/>
          <w:sz w:val="21"/>
          <w:szCs w:val="21"/>
        </w:rPr>
        <w:t>El artículo 238 de la Ley 1955 de 2019 modificado por el artículo 21 de Decreto 538 de 2020, estableció las reglas y procedimientos que deberán atender las entidades territoriales para llevar a cabo el saneamiento financiero del sector salud por concepto de servicios y tecnologías en salud no financiadas con cargo a la UPC del régimen subsidiado, prestados hasta el 31 de diciembre de 2019, y dispuso las fuentes territoriales habilitadas para el pago de dicho concepto, definiendo la posibilidad de la cofinanciación por parte de la Nación, previo cumplimiento de las condiciones establecidas en los literales a, b y c del citado artículo.</w:t>
      </w:r>
    </w:p>
    <w:p w14:paraId="10B6B7E3" w14:textId="77777777" w:rsidR="00443366" w:rsidRPr="00002983" w:rsidRDefault="00443366" w:rsidP="00002983">
      <w:pPr>
        <w:jc w:val="both"/>
        <w:rPr>
          <w:rFonts w:ascii="Verdana" w:hAnsi="Verdana" w:cs="Arial"/>
          <w:sz w:val="21"/>
          <w:szCs w:val="21"/>
        </w:rPr>
      </w:pPr>
    </w:p>
    <w:p w14:paraId="4CB93E8E" w14:textId="77777777" w:rsidR="00443366" w:rsidRPr="00002983" w:rsidRDefault="00443366" w:rsidP="00002983">
      <w:pPr>
        <w:jc w:val="both"/>
        <w:rPr>
          <w:rFonts w:ascii="Verdana" w:hAnsi="Verdana" w:cs="Arial"/>
          <w:sz w:val="21"/>
          <w:szCs w:val="21"/>
        </w:rPr>
      </w:pPr>
      <w:r w:rsidRPr="00002983">
        <w:rPr>
          <w:rFonts w:ascii="Verdana" w:hAnsi="Verdana" w:cs="Arial"/>
          <w:sz w:val="21"/>
          <w:szCs w:val="21"/>
        </w:rPr>
        <w:t>Para efectos de la cofinanciación por parte de la Nación, el literal a) del artículo 238 de la Ley 1955 de 2019, determinó que el Ministerio de Hacienda y Crédito Público con el apoyo del Ministerio de Salud y Protección Social y del Departamento Nacional de Planeación, evaluaría el esfuerzo fiscal de las entidades territoriales para el pago de estos pasivos y definiría el monto a financiar premiando a aquellas que hayan realizado mayores esfuerzos.</w:t>
      </w:r>
    </w:p>
    <w:p w14:paraId="79A1A52D" w14:textId="77777777" w:rsidR="00443366" w:rsidRPr="00002983" w:rsidRDefault="00443366" w:rsidP="00002983">
      <w:pPr>
        <w:jc w:val="both"/>
        <w:rPr>
          <w:rFonts w:ascii="Verdana" w:hAnsi="Verdana" w:cs="Arial"/>
          <w:sz w:val="21"/>
          <w:szCs w:val="21"/>
        </w:rPr>
      </w:pPr>
    </w:p>
    <w:p w14:paraId="494A9626" w14:textId="77777777" w:rsidR="00443366" w:rsidRPr="00002983" w:rsidRDefault="00443366" w:rsidP="00002983">
      <w:pPr>
        <w:jc w:val="both"/>
        <w:rPr>
          <w:rFonts w:ascii="Verdana" w:hAnsi="Verdana" w:cs="Arial"/>
          <w:sz w:val="21"/>
          <w:szCs w:val="21"/>
        </w:rPr>
      </w:pPr>
      <w:r w:rsidRPr="00002983">
        <w:rPr>
          <w:rFonts w:ascii="Verdana" w:hAnsi="Verdana" w:cs="Arial"/>
          <w:sz w:val="21"/>
          <w:szCs w:val="21"/>
        </w:rPr>
        <w:t>En el marco de lo anterior, el Gobierno Nacional a través del Decreto 2154 de 28 de noviembre de 2019 modificado por el Decreto 209 de 2022, estableció los términos y condiciones para la evaluación del esfuerzo fiscal de las entidades territoriales, a fin de determinar el monto de la cofinanciación de la Nación y reglas para el giro, cuyo artículo 3º prescribe que le correspondía a las entidades territoriales remitir a los Ministerios de Hacienda y Crédito Público y Salud y Protección Social las certificaciones en los formatos definidos por este último, las cuales debían estar suscritas por el representante legal de la entidad territorial.</w:t>
      </w:r>
    </w:p>
    <w:p w14:paraId="4D6F11BC" w14:textId="77777777" w:rsidR="00871108" w:rsidRPr="00002983" w:rsidRDefault="00871108" w:rsidP="00002983">
      <w:pPr>
        <w:jc w:val="both"/>
        <w:rPr>
          <w:rFonts w:ascii="Verdana" w:hAnsi="Verdana" w:cs="Arial"/>
          <w:sz w:val="21"/>
          <w:szCs w:val="21"/>
        </w:rPr>
      </w:pPr>
    </w:p>
    <w:p w14:paraId="390842A6" w14:textId="77777777" w:rsidR="00443366" w:rsidRPr="00002983" w:rsidRDefault="00443366" w:rsidP="00002983">
      <w:pPr>
        <w:jc w:val="both"/>
        <w:rPr>
          <w:rFonts w:ascii="Verdana" w:hAnsi="Verdana" w:cs="Arial"/>
          <w:sz w:val="21"/>
          <w:szCs w:val="21"/>
        </w:rPr>
      </w:pPr>
      <w:r w:rsidRPr="00002983">
        <w:rPr>
          <w:rFonts w:ascii="Verdana" w:hAnsi="Verdana" w:cs="Arial"/>
          <w:sz w:val="21"/>
          <w:szCs w:val="21"/>
        </w:rPr>
        <w:t xml:space="preserve">El artículo 9º ibídem establece que la Dirección General de Apoyo Fiscal de acuerdo con el resultado de la aplicación de la fórmula del esfuerzo fiscal, determinaría el valor a cofinanciar por parte de la Nación para el pago de las deudas por concepto </w:t>
      </w:r>
      <w:r w:rsidRPr="00002983">
        <w:rPr>
          <w:rFonts w:ascii="Verdana" w:hAnsi="Verdana" w:cs="Arial"/>
          <w:sz w:val="21"/>
          <w:szCs w:val="21"/>
        </w:rPr>
        <w:lastRenderedPageBreak/>
        <w:t>de servicios y tecnologías en salud no financiadas con cargo a la UPC del régimen subsidiado, prestados hasta el 31 de diciembre de 2019.</w:t>
      </w:r>
    </w:p>
    <w:p w14:paraId="0CF19C9F" w14:textId="77777777" w:rsidR="00443366" w:rsidRPr="00002983" w:rsidRDefault="00443366" w:rsidP="00002983">
      <w:pPr>
        <w:jc w:val="both"/>
        <w:rPr>
          <w:rFonts w:ascii="Verdana" w:hAnsi="Verdana" w:cs="Arial"/>
          <w:sz w:val="21"/>
          <w:szCs w:val="21"/>
        </w:rPr>
      </w:pPr>
    </w:p>
    <w:p w14:paraId="2C1229B9" w14:textId="77777777" w:rsidR="00443366" w:rsidRPr="00002983" w:rsidRDefault="00443366" w:rsidP="00002983">
      <w:pPr>
        <w:jc w:val="both"/>
        <w:rPr>
          <w:rFonts w:ascii="Verdana" w:hAnsi="Verdana" w:cs="Arial"/>
          <w:sz w:val="21"/>
          <w:szCs w:val="21"/>
        </w:rPr>
      </w:pPr>
      <w:r w:rsidRPr="00002983">
        <w:rPr>
          <w:rFonts w:ascii="Verdana" w:hAnsi="Verdana" w:cs="Arial"/>
          <w:sz w:val="21"/>
          <w:szCs w:val="21"/>
        </w:rPr>
        <w:t>En virtud de lo anterior, el Departamento envió para cada una de las Fases, las Certificaciones a que hace referencia el artículo 3º del Decreto 2154 de 28 de noviembre de 2019 modificado por el Decreto 209 de 2022, cuyo resultado en relación con la evaluación del Esfuerzo Fiscal y la determinación del monto a cofinanciar por parte de la Nación, se indica a continuación:</w:t>
      </w:r>
    </w:p>
    <w:p w14:paraId="4FD76D41" w14:textId="77777777" w:rsidR="00443366" w:rsidRPr="00002983" w:rsidRDefault="00443366" w:rsidP="00002983">
      <w:pPr>
        <w:jc w:val="both"/>
        <w:rPr>
          <w:rFonts w:ascii="Verdana" w:hAnsi="Verdana" w:cs="Arial"/>
          <w:sz w:val="21"/>
          <w:szCs w:val="21"/>
        </w:rPr>
      </w:pPr>
    </w:p>
    <w:p w14:paraId="168748A8" w14:textId="77777777" w:rsidR="00443366" w:rsidRPr="00002983" w:rsidRDefault="00443366" w:rsidP="00002983">
      <w:pPr>
        <w:jc w:val="center"/>
        <w:rPr>
          <w:rFonts w:ascii="Verdana" w:hAnsi="Verdana" w:cs="Arial"/>
          <w:sz w:val="21"/>
          <w:szCs w:val="21"/>
        </w:rPr>
      </w:pPr>
      <w:r w:rsidRPr="00002983">
        <w:rPr>
          <w:rFonts w:ascii="Verdana" w:hAnsi="Verdana" w:cs="Arial"/>
          <w:b/>
          <w:sz w:val="21"/>
          <w:szCs w:val="21"/>
        </w:rPr>
        <w:t>Tabla No. 4</w:t>
      </w:r>
    </w:p>
    <w:tbl>
      <w:tblPr>
        <w:tblW w:w="4870" w:type="pct"/>
        <w:tblCellMar>
          <w:left w:w="70" w:type="dxa"/>
          <w:right w:w="70" w:type="dxa"/>
        </w:tblCellMar>
        <w:tblLook w:val="04A0" w:firstRow="1" w:lastRow="0" w:firstColumn="1" w:lastColumn="0" w:noHBand="0" w:noVBand="1"/>
      </w:tblPr>
      <w:tblGrid>
        <w:gridCol w:w="3382"/>
        <w:gridCol w:w="2315"/>
        <w:gridCol w:w="1450"/>
        <w:gridCol w:w="1451"/>
      </w:tblGrid>
      <w:tr w:rsidR="00443366" w:rsidRPr="006A350B" w14:paraId="6222D6A2" w14:textId="77777777" w:rsidTr="00443366">
        <w:trPr>
          <w:trHeight w:val="276"/>
        </w:trPr>
        <w:tc>
          <w:tcPr>
            <w:tcW w:w="5000" w:type="pct"/>
            <w:gridSpan w:val="4"/>
            <w:vMerge w:val="restart"/>
            <w:tcBorders>
              <w:top w:val="single" w:sz="8" w:space="0" w:color="auto"/>
              <w:left w:val="single" w:sz="8" w:space="0" w:color="auto"/>
              <w:bottom w:val="nil"/>
              <w:right w:val="nil"/>
            </w:tcBorders>
            <w:shd w:val="clear" w:color="000000" w:fill="B48C41"/>
            <w:noWrap/>
            <w:vAlign w:val="center"/>
            <w:hideMark/>
          </w:tcPr>
          <w:p w14:paraId="5EFB1A0A" w14:textId="77777777" w:rsidR="00443366" w:rsidRPr="006A350B" w:rsidRDefault="00443366" w:rsidP="00002983">
            <w:pPr>
              <w:jc w:val="center"/>
              <w:rPr>
                <w:rFonts w:ascii="Arial" w:eastAsia="Times New Roman" w:hAnsi="Arial" w:cs="Arial"/>
                <w:color w:val="FFFFFF"/>
                <w:sz w:val="18"/>
                <w:szCs w:val="18"/>
                <w:lang w:val="es-CO" w:eastAsia="es-CO"/>
              </w:rPr>
            </w:pPr>
            <w:r w:rsidRPr="006A350B">
              <w:rPr>
                <w:rFonts w:ascii="Arial" w:eastAsia="Times New Roman" w:hAnsi="Arial" w:cs="Arial"/>
                <w:color w:val="FFFFFF"/>
                <w:sz w:val="18"/>
                <w:szCs w:val="18"/>
                <w:lang w:val="es-CO" w:eastAsia="es-CO"/>
              </w:rPr>
              <w:t>CALCULO DEL INDICADOR DE ESFUERZO FISCAL Y COFINANCIACION DE LA NACION</w:t>
            </w:r>
          </w:p>
        </w:tc>
      </w:tr>
      <w:tr w:rsidR="00443366" w:rsidRPr="006A350B" w14:paraId="6EA14596" w14:textId="77777777" w:rsidTr="00443366">
        <w:trPr>
          <w:trHeight w:val="276"/>
        </w:trPr>
        <w:tc>
          <w:tcPr>
            <w:tcW w:w="5000" w:type="pct"/>
            <w:gridSpan w:val="4"/>
            <w:vMerge/>
            <w:tcBorders>
              <w:top w:val="single" w:sz="8" w:space="0" w:color="auto"/>
              <w:left w:val="single" w:sz="8" w:space="0" w:color="auto"/>
              <w:bottom w:val="nil"/>
              <w:right w:val="nil"/>
            </w:tcBorders>
            <w:vAlign w:val="center"/>
            <w:hideMark/>
          </w:tcPr>
          <w:p w14:paraId="6D90FF5B" w14:textId="77777777" w:rsidR="00443366" w:rsidRPr="006A350B" w:rsidRDefault="00443366" w:rsidP="00002983">
            <w:pPr>
              <w:rPr>
                <w:rFonts w:ascii="Arial" w:eastAsia="Times New Roman" w:hAnsi="Arial" w:cs="Arial"/>
                <w:color w:val="FFFFFF"/>
                <w:sz w:val="18"/>
                <w:szCs w:val="18"/>
                <w:lang w:val="es-CO" w:eastAsia="es-CO"/>
              </w:rPr>
            </w:pPr>
          </w:p>
        </w:tc>
      </w:tr>
      <w:tr w:rsidR="00443366" w:rsidRPr="006A350B" w14:paraId="4A51D4BC" w14:textId="77777777" w:rsidTr="00443366">
        <w:trPr>
          <w:trHeight w:val="255"/>
        </w:trPr>
        <w:tc>
          <w:tcPr>
            <w:tcW w:w="1967" w:type="pct"/>
            <w:tcBorders>
              <w:top w:val="single" w:sz="4" w:space="0" w:color="auto"/>
              <w:left w:val="single" w:sz="4" w:space="0" w:color="auto"/>
              <w:bottom w:val="single" w:sz="4" w:space="0" w:color="auto"/>
              <w:right w:val="single" w:sz="4" w:space="0" w:color="auto"/>
            </w:tcBorders>
            <w:shd w:val="clear" w:color="000000" w:fill="B48C41"/>
            <w:noWrap/>
            <w:vAlign w:val="bottom"/>
            <w:hideMark/>
          </w:tcPr>
          <w:p w14:paraId="3BF76B53" w14:textId="77777777" w:rsidR="00443366" w:rsidRPr="006A350B" w:rsidRDefault="00443366" w:rsidP="00002983">
            <w:pPr>
              <w:jc w:val="center"/>
              <w:rPr>
                <w:rFonts w:ascii="Arial" w:eastAsia="Times New Roman" w:hAnsi="Arial" w:cs="Arial"/>
                <w:color w:val="FFFFFF"/>
                <w:sz w:val="18"/>
                <w:szCs w:val="18"/>
                <w:lang w:val="es-CO" w:eastAsia="es-CO"/>
              </w:rPr>
            </w:pPr>
            <w:r w:rsidRPr="006A350B">
              <w:rPr>
                <w:rFonts w:ascii="Arial" w:eastAsia="Times New Roman" w:hAnsi="Arial" w:cs="Arial"/>
                <w:color w:val="FFFFFF"/>
                <w:sz w:val="18"/>
                <w:szCs w:val="18"/>
                <w:lang w:val="es-CO" w:eastAsia="es-CO"/>
              </w:rPr>
              <w:t>ENTIDAD TERRITORIAL</w:t>
            </w:r>
          </w:p>
        </w:tc>
        <w:tc>
          <w:tcPr>
            <w:tcW w:w="3032" w:type="pct"/>
            <w:gridSpan w:val="3"/>
            <w:tcBorders>
              <w:top w:val="single" w:sz="4" w:space="0" w:color="auto"/>
              <w:left w:val="nil"/>
              <w:bottom w:val="single" w:sz="4" w:space="0" w:color="auto"/>
              <w:right w:val="single" w:sz="4" w:space="0" w:color="000000"/>
            </w:tcBorders>
            <w:shd w:val="clear" w:color="000000" w:fill="B48C41"/>
            <w:noWrap/>
            <w:vAlign w:val="bottom"/>
            <w:hideMark/>
          </w:tcPr>
          <w:p w14:paraId="1DDD3548" w14:textId="77777777" w:rsidR="00443366" w:rsidRPr="006A350B" w:rsidRDefault="00443366" w:rsidP="00002983">
            <w:pPr>
              <w:jc w:val="center"/>
              <w:rPr>
                <w:rFonts w:ascii="Arial" w:eastAsia="Times New Roman" w:hAnsi="Arial" w:cs="Arial"/>
                <w:color w:val="FFFFFF"/>
                <w:sz w:val="18"/>
                <w:szCs w:val="18"/>
                <w:lang w:val="es-CO" w:eastAsia="es-CO"/>
              </w:rPr>
            </w:pPr>
            <w:r w:rsidRPr="006A350B">
              <w:rPr>
                <w:rFonts w:ascii="Arial" w:eastAsia="Times New Roman" w:hAnsi="Arial" w:cs="Arial"/>
                <w:color w:val="FFFFFF"/>
                <w:sz w:val="18"/>
                <w:szCs w:val="18"/>
                <w:lang w:val="es-CO" w:eastAsia="es-CO"/>
              </w:rPr>
              <w:t>Departamento de Córdoba</w:t>
            </w:r>
          </w:p>
        </w:tc>
      </w:tr>
      <w:tr w:rsidR="00443366" w:rsidRPr="006A350B" w14:paraId="54FB9962" w14:textId="77777777" w:rsidTr="00443366">
        <w:trPr>
          <w:trHeight w:val="255"/>
        </w:trPr>
        <w:tc>
          <w:tcPr>
            <w:tcW w:w="1967" w:type="pct"/>
            <w:tcBorders>
              <w:top w:val="nil"/>
              <w:left w:val="single" w:sz="8" w:space="0" w:color="auto"/>
              <w:bottom w:val="single" w:sz="4" w:space="0" w:color="auto"/>
              <w:right w:val="nil"/>
            </w:tcBorders>
            <w:shd w:val="clear" w:color="000000" w:fill="B48C41"/>
            <w:noWrap/>
            <w:vAlign w:val="bottom"/>
            <w:hideMark/>
          </w:tcPr>
          <w:p w14:paraId="405B185F" w14:textId="77777777" w:rsidR="00443366" w:rsidRPr="006A350B" w:rsidRDefault="00443366" w:rsidP="00002983">
            <w:pPr>
              <w:jc w:val="center"/>
              <w:rPr>
                <w:rFonts w:ascii="Arial" w:eastAsia="Times New Roman" w:hAnsi="Arial" w:cs="Arial"/>
                <w:color w:val="FFFFFF"/>
                <w:sz w:val="18"/>
                <w:szCs w:val="18"/>
                <w:lang w:val="es-CO" w:eastAsia="es-CO"/>
              </w:rPr>
            </w:pPr>
            <w:r w:rsidRPr="006A350B">
              <w:rPr>
                <w:rFonts w:ascii="Arial" w:eastAsia="Times New Roman" w:hAnsi="Arial" w:cs="Arial"/>
                <w:color w:val="FFFFFF"/>
                <w:sz w:val="18"/>
                <w:szCs w:val="18"/>
                <w:lang w:val="es-CO" w:eastAsia="es-CO"/>
              </w:rPr>
              <w:t>FECHA DE CORTE</w:t>
            </w:r>
          </w:p>
        </w:tc>
        <w:tc>
          <w:tcPr>
            <w:tcW w:w="1346" w:type="pct"/>
            <w:tcBorders>
              <w:top w:val="nil"/>
              <w:left w:val="single" w:sz="8" w:space="0" w:color="auto"/>
              <w:bottom w:val="single" w:sz="4" w:space="0" w:color="auto"/>
              <w:right w:val="nil"/>
            </w:tcBorders>
            <w:shd w:val="clear" w:color="000000" w:fill="B48C41"/>
            <w:noWrap/>
            <w:vAlign w:val="bottom"/>
            <w:hideMark/>
          </w:tcPr>
          <w:p w14:paraId="01C2D9D2" w14:textId="77777777" w:rsidR="00443366" w:rsidRPr="006A350B" w:rsidRDefault="00443366" w:rsidP="00002983">
            <w:pPr>
              <w:jc w:val="center"/>
              <w:rPr>
                <w:rFonts w:ascii="Arial" w:eastAsia="Times New Roman" w:hAnsi="Arial" w:cs="Arial"/>
                <w:color w:val="FFFFFF"/>
                <w:sz w:val="18"/>
                <w:szCs w:val="18"/>
                <w:lang w:val="es-CO" w:eastAsia="es-CO"/>
              </w:rPr>
            </w:pPr>
            <w:r w:rsidRPr="006A350B">
              <w:rPr>
                <w:rFonts w:ascii="Arial" w:eastAsia="Times New Roman" w:hAnsi="Arial" w:cs="Arial"/>
                <w:color w:val="FFFFFF"/>
                <w:sz w:val="18"/>
                <w:szCs w:val="18"/>
                <w:lang w:val="es-CO" w:eastAsia="es-CO"/>
              </w:rPr>
              <w:t>31/12/2019</w:t>
            </w:r>
          </w:p>
        </w:tc>
        <w:tc>
          <w:tcPr>
            <w:tcW w:w="843" w:type="pct"/>
            <w:tcBorders>
              <w:top w:val="nil"/>
              <w:left w:val="single" w:sz="8" w:space="0" w:color="auto"/>
              <w:bottom w:val="single" w:sz="4" w:space="0" w:color="auto"/>
              <w:right w:val="nil"/>
            </w:tcBorders>
            <w:shd w:val="clear" w:color="000000" w:fill="B48C41"/>
            <w:noWrap/>
            <w:vAlign w:val="bottom"/>
            <w:hideMark/>
          </w:tcPr>
          <w:p w14:paraId="2B2AF095" w14:textId="77777777" w:rsidR="00443366" w:rsidRPr="006A350B" w:rsidRDefault="006A350B" w:rsidP="00002983">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NA</w:t>
            </w:r>
          </w:p>
        </w:tc>
        <w:tc>
          <w:tcPr>
            <w:tcW w:w="844" w:type="pct"/>
            <w:tcBorders>
              <w:top w:val="nil"/>
              <w:left w:val="single" w:sz="8" w:space="0" w:color="auto"/>
              <w:bottom w:val="single" w:sz="4" w:space="0" w:color="auto"/>
              <w:right w:val="nil"/>
            </w:tcBorders>
            <w:shd w:val="clear" w:color="000000" w:fill="B48C41"/>
            <w:noWrap/>
            <w:vAlign w:val="bottom"/>
            <w:hideMark/>
          </w:tcPr>
          <w:p w14:paraId="295C4CD0" w14:textId="77777777" w:rsidR="00443366" w:rsidRPr="006A350B" w:rsidRDefault="006A350B" w:rsidP="00002983">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NA</w:t>
            </w:r>
          </w:p>
        </w:tc>
      </w:tr>
      <w:tr w:rsidR="00443366" w:rsidRPr="006A350B" w14:paraId="6D1C0E5E" w14:textId="77777777" w:rsidTr="00443366">
        <w:trPr>
          <w:trHeight w:val="255"/>
        </w:trPr>
        <w:tc>
          <w:tcPr>
            <w:tcW w:w="1967" w:type="pct"/>
            <w:tcBorders>
              <w:top w:val="nil"/>
              <w:left w:val="single" w:sz="8" w:space="0" w:color="auto"/>
              <w:bottom w:val="single" w:sz="4" w:space="0" w:color="auto"/>
              <w:right w:val="nil"/>
            </w:tcBorders>
            <w:shd w:val="clear" w:color="000000" w:fill="B48C41"/>
            <w:noWrap/>
            <w:vAlign w:val="bottom"/>
            <w:hideMark/>
          </w:tcPr>
          <w:p w14:paraId="53382BED" w14:textId="77777777" w:rsidR="00443366" w:rsidRPr="006A350B" w:rsidRDefault="00443366" w:rsidP="00002983">
            <w:pPr>
              <w:jc w:val="center"/>
              <w:rPr>
                <w:rFonts w:ascii="Arial" w:eastAsia="Times New Roman" w:hAnsi="Arial" w:cs="Arial"/>
                <w:color w:val="FFFFFF"/>
                <w:sz w:val="18"/>
                <w:szCs w:val="18"/>
                <w:lang w:val="es-CO" w:eastAsia="es-CO"/>
              </w:rPr>
            </w:pPr>
            <w:r w:rsidRPr="006A350B">
              <w:rPr>
                <w:rFonts w:ascii="Arial" w:eastAsia="Times New Roman" w:hAnsi="Arial" w:cs="Arial"/>
                <w:color w:val="FFFFFF"/>
                <w:sz w:val="18"/>
                <w:szCs w:val="18"/>
                <w:lang w:val="es-CO" w:eastAsia="es-CO"/>
              </w:rPr>
              <w:t>Fase</w:t>
            </w:r>
          </w:p>
        </w:tc>
        <w:tc>
          <w:tcPr>
            <w:tcW w:w="1346" w:type="pct"/>
            <w:tcBorders>
              <w:top w:val="nil"/>
              <w:left w:val="single" w:sz="4" w:space="0" w:color="auto"/>
              <w:bottom w:val="single" w:sz="4" w:space="0" w:color="auto"/>
              <w:right w:val="single" w:sz="4" w:space="0" w:color="auto"/>
            </w:tcBorders>
            <w:shd w:val="clear" w:color="000000" w:fill="B48C41"/>
            <w:noWrap/>
            <w:vAlign w:val="bottom"/>
            <w:hideMark/>
          </w:tcPr>
          <w:p w14:paraId="2CFA0F72" w14:textId="77777777" w:rsidR="00443366" w:rsidRPr="006A350B" w:rsidRDefault="00443366" w:rsidP="00002983">
            <w:pPr>
              <w:jc w:val="center"/>
              <w:rPr>
                <w:rFonts w:ascii="Arial" w:eastAsia="Times New Roman" w:hAnsi="Arial" w:cs="Arial"/>
                <w:color w:val="FFFFFF"/>
                <w:sz w:val="18"/>
                <w:szCs w:val="18"/>
                <w:lang w:val="es-CO" w:eastAsia="es-CO"/>
              </w:rPr>
            </w:pPr>
            <w:r w:rsidRPr="006A350B">
              <w:rPr>
                <w:rFonts w:ascii="Arial" w:eastAsia="Times New Roman" w:hAnsi="Arial" w:cs="Arial"/>
                <w:color w:val="FFFFFF"/>
                <w:sz w:val="18"/>
                <w:szCs w:val="18"/>
                <w:lang w:val="es-CO" w:eastAsia="es-CO"/>
              </w:rPr>
              <w:t>1</w:t>
            </w:r>
          </w:p>
        </w:tc>
        <w:tc>
          <w:tcPr>
            <w:tcW w:w="843" w:type="pct"/>
            <w:tcBorders>
              <w:top w:val="nil"/>
              <w:left w:val="nil"/>
              <w:bottom w:val="single" w:sz="4" w:space="0" w:color="auto"/>
              <w:right w:val="single" w:sz="4" w:space="0" w:color="auto"/>
            </w:tcBorders>
            <w:shd w:val="clear" w:color="000000" w:fill="B48C41"/>
            <w:noWrap/>
            <w:vAlign w:val="bottom"/>
            <w:hideMark/>
          </w:tcPr>
          <w:p w14:paraId="102F54EB" w14:textId="77777777" w:rsidR="00443366" w:rsidRPr="006A350B" w:rsidRDefault="00443366" w:rsidP="00002983">
            <w:pPr>
              <w:jc w:val="center"/>
              <w:rPr>
                <w:rFonts w:ascii="Arial" w:eastAsia="Times New Roman" w:hAnsi="Arial" w:cs="Arial"/>
                <w:color w:val="FFFFFF"/>
                <w:sz w:val="18"/>
                <w:szCs w:val="18"/>
                <w:lang w:val="es-CO" w:eastAsia="es-CO"/>
              </w:rPr>
            </w:pPr>
            <w:r w:rsidRPr="006A350B">
              <w:rPr>
                <w:rFonts w:ascii="Arial" w:eastAsia="Times New Roman" w:hAnsi="Arial" w:cs="Arial"/>
                <w:color w:val="FFFFFF"/>
                <w:sz w:val="18"/>
                <w:szCs w:val="18"/>
                <w:lang w:val="es-CO" w:eastAsia="es-CO"/>
              </w:rPr>
              <w:t>2</w:t>
            </w:r>
          </w:p>
        </w:tc>
        <w:tc>
          <w:tcPr>
            <w:tcW w:w="844" w:type="pct"/>
            <w:tcBorders>
              <w:top w:val="nil"/>
              <w:left w:val="nil"/>
              <w:bottom w:val="single" w:sz="4" w:space="0" w:color="auto"/>
              <w:right w:val="single" w:sz="4" w:space="0" w:color="auto"/>
            </w:tcBorders>
            <w:shd w:val="clear" w:color="000000" w:fill="B48C41"/>
            <w:noWrap/>
            <w:vAlign w:val="bottom"/>
            <w:hideMark/>
          </w:tcPr>
          <w:p w14:paraId="02D9804F" w14:textId="77777777" w:rsidR="00443366" w:rsidRPr="006A350B" w:rsidRDefault="00443366" w:rsidP="00002983">
            <w:pPr>
              <w:jc w:val="center"/>
              <w:rPr>
                <w:rFonts w:ascii="Arial" w:eastAsia="Times New Roman" w:hAnsi="Arial" w:cs="Arial"/>
                <w:color w:val="FFFFFF"/>
                <w:sz w:val="18"/>
                <w:szCs w:val="18"/>
                <w:lang w:val="es-CO" w:eastAsia="es-CO"/>
              </w:rPr>
            </w:pPr>
            <w:r w:rsidRPr="006A350B">
              <w:rPr>
                <w:rFonts w:ascii="Arial" w:eastAsia="Times New Roman" w:hAnsi="Arial" w:cs="Arial"/>
                <w:color w:val="FFFFFF"/>
                <w:sz w:val="18"/>
                <w:szCs w:val="18"/>
                <w:lang w:val="es-CO" w:eastAsia="es-CO"/>
              </w:rPr>
              <w:t>3</w:t>
            </w:r>
          </w:p>
        </w:tc>
      </w:tr>
      <w:tr w:rsidR="00443366" w:rsidRPr="006A350B" w14:paraId="1D8F8DE1" w14:textId="77777777" w:rsidTr="006A350B">
        <w:trPr>
          <w:trHeight w:val="175"/>
        </w:trPr>
        <w:tc>
          <w:tcPr>
            <w:tcW w:w="1967" w:type="pct"/>
            <w:tcBorders>
              <w:top w:val="nil"/>
              <w:left w:val="single" w:sz="4" w:space="0" w:color="auto"/>
              <w:bottom w:val="single" w:sz="4" w:space="0" w:color="auto"/>
              <w:right w:val="single" w:sz="4" w:space="0" w:color="auto"/>
            </w:tcBorders>
            <w:shd w:val="clear" w:color="000000" w:fill="FFFFFF"/>
            <w:noWrap/>
            <w:vAlign w:val="bottom"/>
            <w:hideMark/>
          </w:tcPr>
          <w:p w14:paraId="68602AC7" w14:textId="77777777" w:rsidR="00443366" w:rsidRPr="006A350B" w:rsidRDefault="00443366" w:rsidP="00002983">
            <w:pPr>
              <w:rPr>
                <w:rFonts w:ascii="Arial" w:eastAsia="Times New Roman" w:hAnsi="Arial" w:cs="Arial"/>
                <w:color w:val="000000"/>
                <w:sz w:val="18"/>
                <w:szCs w:val="18"/>
                <w:lang w:val="es-CO" w:eastAsia="es-CO"/>
              </w:rPr>
            </w:pPr>
            <w:r w:rsidRPr="006A350B">
              <w:rPr>
                <w:rFonts w:ascii="Arial" w:eastAsia="Times New Roman" w:hAnsi="Arial" w:cs="Arial"/>
                <w:color w:val="000000"/>
                <w:sz w:val="18"/>
                <w:szCs w:val="18"/>
                <w:lang w:val="es-CO" w:eastAsia="es-CO"/>
              </w:rPr>
              <w:t>Pagos No UPC</w:t>
            </w:r>
          </w:p>
        </w:tc>
        <w:tc>
          <w:tcPr>
            <w:tcW w:w="1346" w:type="pct"/>
            <w:tcBorders>
              <w:top w:val="nil"/>
              <w:left w:val="nil"/>
              <w:bottom w:val="single" w:sz="8" w:space="0" w:color="auto"/>
              <w:right w:val="single" w:sz="8" w:space="0" w:color="auto"/>
            </w:tcBorders>
            <w:shd w:val="clear" w:color="000000" w:fill="FFFFFF"/>
            <w:noWrap/>
            <w:vAlign w:val="center"/>
            <w:hideMark/>
          </w:tcPr>
          <w:p w14:paraId="4C560429" w14:textId="77777777" w:rsidR="00443366" w:rsidRPr="006A350B" w:rsidRDefault="00443366" w:rsidP="00002983">
            <w:pPr>
              <w:jc w:val="center"/>
              <w:rPr>
                <w:rFonts w:ascii="Arial" w:eastAsia="Times New Roman" w:hAnsi="Arial" w:cs="Arial"/>
                <w:color w:val="000000"/>
                <w:sz w:val="18"/>
                <w:szCs w:val="18"/>
                <w:lang w:val="es-CO" w:eastAsia="es-CO"/>
              </w:rPr>
            </w:pPr>
            <w:r w:rsidRPr="006A350B">
              <w:rPr>
                <w:rFonts w:ascii="Arial" w:eastAsia="Times New Roman" w:hAnsi="Arial" w:cs="Arial"/>
                <w:color w:val="000000"/>
                <w:sz w:val="18"/>
                <w:szCs w:val="18"/>
                <w:lang w:val="es-CO" w:eastAsia="es-CO"/>
              </w:rPr>
              <w:t>$0</w:t>
            </w:r>
          </w:p>
        </w:tc>
        <w:tc>
          <w:tcPr>
            <w:tcW w:w="843" w:type="pct"/>
            <w:tcBorders>
              <w:top w:val="nil"/>
              <w:left w:val="single" w:sz="4" w:space="0" w:color="auto"/>
              <w:bottom w:val="single" w:sz="8" w:space="0" w:color="auto"/>
              <w:right w:val="single" w:sz="8" w:space="0" w:color="auto"/>
            </w:tcBorders>
            <w:shd w:val="clear" w:color="000000" w:fill="FFFFFF"/>
            <w:noWrap/>
            <w:vAlign w:val="center"/>
            <w:hideMark/>
          </w:tcPr>
          <w:p w14:paraId="1AEA7A01" w14:textId="77777777" w:rsidR="00443366" w:rsidRPr="006A350B" w:rsidRDefault="00443366" w:rsidP="00002983">
            <w:pPr>
              <w:jc w:val="center"/>
              <w:rPr>
                <w:rFonts w:ascii="Arial" w:eastAsia="Times New Roman" w:hAnsi="Arial" w:cs="Arial"/>
                <w:color w:val="000000"/>
                <w:sz w:val="18"/>
                <w:szCs w:val="18"/>
                <w:lang w:val="es-CO" w:eastAsia="es-CO"/>
              </w:rPr>
            </w:pPr>
            <w:r w:rsidRPr="006A350B">
              <w:rPr>
                <w:rFonts w:ascii="Arial" w:eastAsia="Times New Roman" w:hAnsi="Arial" w:cs="Arial"/>
                <w:color w:val="000000"/>
                <w:sz w:val="18"/>
                <w:szCs w:val="18"/>
                <w:lang w:val="es-CO" w:eastAsia="es-CO"/>
              </w:rPr>
              <w:t>$0</w:t>
            </w:r>
          </w:p>
        </w:tc>
        <w:tc>
          <w:tcPr>
            <w:tcW w:w="844" w:type="pct"/>
            <w:tcBorders>
              <w:top w:val="nil"/>
              <w:left w:val="single" w:sz="4" w:space="0" w:color="auto"/>
              <w:bottom w:val="single" w:sz="8" w:space="0" w:color="auto"/>
              <w:right w:val="single" w:sz="8" w:space="0" w:color="auto"/>
            </w:tcBorders>
            <w:shd w:val="clear" w:color="000000" w:fill="FFFFFF"/>
            <w:noWrap/>
            <w:vAlign w:val="center"/>
            <w:hideMark/>
          </w:tcPr>
          <w:p w14:paraId="30573B6D" w14:textId="77777777" w:rsidR="00443366" w:rsidRPr="006A350B" w:rsidRDefault="00443366" w:rsidP="00002983">
            <w:pPr>
              <w:jc w:val="center"/>
              <w:rPr>
                <w:rFonts w:ascii="Arial" w:eastAsia="Times New Roman" w:hAnsi="Arial" w:cs="Arial"/>
                <w:color w:val="000000"/>
                <w:sz w:val="18"/>
                <w:szCs w:val="18"/>
                <w:lang w:val="es-CO" w:eastAsia="es-CO"/>
              </w:rPr>
            </w:pPr>
            <w:r w:rsidRPr="006A350B">
              <w:rPr>
                <w:rFonts w:ascii="Arial" w:eastAsia="Times New Roman" w:hAnsi="Arial" w:cs="Arial"/>
                <w:color w:val="000000"/>
                <w:sz w:val="18"/>
                <w:szCs w:val="18"/>
                <w:lang w:val="es-CO" w:eastAsia="es-CO"/>
              </w:rPr>
              <w:t>$0</w:t>
            </w:r>
          </w:p>
        </w:tc>
      </w:tr>
      <w:tr w:rsidR="00443366" w:rsidRPr="006A350B" w14:paraId="5384205E" w14:textId="77777777" w:rsidTr="006A350B">
        <w:trPr>
          <w:trHeight w:val="212"/>
        </w:trPr>
        <w:tc>
          <w:tcPr>
            <w:tcW w:w="1967" w:type="pct"/>
            <w:tcBorders>
              <w:top w:val="nil"/>
              <w:left w:val="single" w:sz="8" w:space="0" w:color="auto"/>
              <w:bottom w:val="nil"/>
              <w:right w:val="single" w:sz="4" w:space="0" w:color="auto"/>
            </w:tcBorders>
            <w:shd w:val="clear" w:color="000000" w:fill="FFFFFF"/>
            <w:noWrap/>
            <w:vAlign w:val="center"/>
            <w:hideMark/>
          </w:tcPr>
          <w:p w14:paraId="2742BCF1" w14:textId="77777777" w:rsidR="00443366" w:rsidRPr="006A350B" w:rsidRDefault="00443366" w:rsidP="00002983">
            <w:pPr>
              <w:rPr>
                <w:rFonts w:ascii="Arial" w:eastAsia="Times New Roman" w:hAnsi="Arial" w:cs="Arial"/>
                <w:color w:val="000000"/>
                <w:sz w:val="18"/>
                <w:szCs w:val="18"/>
                <w:lang w:val="es-CO" w:eastAsia="es-CO"/>
              </w:rPr>
            </w:pPr>
            <w:r w:rsidRPr="006A350B">
              <w:rPr>
                <w:rFonts w:ascii="Arial" w:eastAsia="Times New Roman" w:hAnsi="Arial" w:cs="Arial"/>
                <w:color w:val="000000"/>
                <w:sz w:val="18"/>
                <w:szCs w:val="18"/>
                <w:lang w:val="es-CO" w:eastAsia="es-CO"/>
              </w:rPr>
              <w:t>Fuentes obligatorias</w:t>
            </w:r>
          </w:p>
        </w:tc>
        <w:tc>
          <w:tcPr>
            <w:tcW w:w="1346" w:type="pct"/>
            <w:tcBorders>
              <w:top w:val="single" w:sz="4" w:space="0" w:color="auto"/>
              <w:left w:val="nil"/>
              <w:bottom w:val="single" w:sz="8" w:space="0" w:color="auto"/>
              <w:right w:val="single" w:sz="8" w:space="0" w:color="auto"/>
            </w:tcBorders>
            <w:shd w:val="clear" w:color="000000" w:fill="FFFFFF"/>
            <w:noWrap/>
            <w:vAlign w:val="center"/>
            <w:hideMark/>
          </w:tcPr>
          <w:p w14:paraId="465738FA" w14:textId="77777777" w:rsidR="00443366" w:rsidRPr="006A350B" w:rsidRDefault="00443366" w:rsidP="00002983">
            <w:pPr>
              <w:jc w:val="center"/>
              <w:rPr>
                <w:rFonts w:ascii="Arial" w:eastAsia="Times New Roman" w:hAnsi="Arial" w:cs="Arial"/>
                <w:color w:val="000000"/>
                <w:sz w:val="18"/>
                <w:szCs w:val="18"/>
                <w:lang w:val="es-CO" w:eastAsia="es-CO"/>
              </w:rPr>
            </w:pPr>
            <w:r w:rsidRPr="006A350B">
              <w:rPr>
                <w:rFonts w:ascii="Arial" w:eastAsia="Times New Roman" w:hAnsi="Arial" w:cs="Arial"/>
                <w:color w:val="000000"/>
                <w:sz w:val="18"/>
                <w:szCs w:val="18"/>
                <w:lang w:val="es-CO" w:eastAsia="es-CO"/>
              </w:rPr>
              <w:t>$86.767.940.726</w:t>
            </w:r>
          </w:p>
        </w:tc>
        <w:tc>
          <w:tcPr>
            <w:tcW w:w="843"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1B3196FB" w14:textId="77777777" w:rsidR="00443366" w:rsidRPr="006A350B" w:rsidRDefault="00443366" w:rsidP="00002983">
            <w:pPr>
              <w:jc w:val="center"/>
              <w:rPr>
                <w:rFonts w:ascii="Arial" w:eastAsia="Times New Roman" w:hAnsi="Arial" w:cs="Arial"/>
                <w:color w:val="000000"/>
                <w:sz w:val="18"/>
                <w:szCs w:val="18"/>
                <w:lang w:val="es-CO" w:eastAsia="es-CO"/>
              </w:rPr>
            </w:pPr>
            <w:r w:rsidRPr="006A350B">
              <w:rPr>
                <w:rFonts w:ascii="Arial" w:eastAsia="Times New Roman" w:hAnsi="Arial" w:cs="Arial"/>
                <w:color w:val="000000"/>
                <w:sz w:val="18"/>
                <w:szCs w:val="18"/>
                <w:lang w:val="es-CO" w:eastAsia="es-CO"/>
              </w:rPr>
              <w:t>$0</w:t>
            </w:r>
          </w:p>
        </w:tc>
        <w:tc>
          <w:tcPr>
            <w:tcW w:w="844"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5879CB96" w14:textId="77777777" w:rsidR="00443366" w:rsidRPr="006A350B" w:rsidRDefault="00443366" w:rsidP="00002983">
            <w:pPr>
              <w:jc w:val="center"/>
              <w:rPr>
                <w:rFonts w:ascii="Arial" w:eastAsia="Times New Roman" w:hAnsi="Arial" w:cs="Arial"/>
                <w:color w:val="000000"/>
                <w:sz w:val="18"/>
                <w:szCs w:val="18"/>
                <w:lang w:val="es-CO" w:eastAsia="es-CO"/>
              </w:rPr>
            </w:pPr>
            <w:r w:rsidRPr="006A350B">
              <w:rPr>
                <w:rFonts w:ascii="Arial" w:eastAsia="Times New Roman" w:hAnsi="Arial" w:cs="Arial"/>
                <w:color w:val="000000"/>
                <w:sz w:val="18"/>
                <w:szCs w:val="18"/>
                <w:lang w:val="es-CO" w:eastAsia="es-CO"/>
              </w:rPr>
              <w:t>$0</w:t>
            </w:r>
          </w:p>
        </w:tc>
      </w:tr>
      <w:tr w:rsidR="00443366" w:rsidRPr="006A350B" w14:paraId="1B218029" w14:textId="77777777" w:rsidTr="006A350B">
        <w:trPr>
          <w:trHeight w:val="129"/>
        </w:trPr>
        <w:tc>
          <w:tcPr>
            <w:tcW w:w="1967" w:type="pct"/>
            <w:tcBorders>
              <w:top w:val="single" w:sz="4" w:space="0" w:color="auto"/>
              <w:left w:val="single" w:sz="8" w:space="0" w:color="auto"/>
              <w:bottom w:val="single" w:sz="4" w:space="0" w:color="auto"/>
              <w:right w:val="single" w:sz="4" w:space="0" w:color="auto"/>
            </w:tcBorders>
            <w:shd w:val="clear" w:color="000000" w:fill="B48C41"/>
            <w:noWrap/>
            <w:vAlign w:val="center"/>
            <w:hideMark/>
          </w:tcPr>
          <w:p w14:paraId="0EDA9F0D" w14:textId="77777777" w:rsidR="00443366" w:rsidRPr="006A350B" w:rsidRDefault="00443366" w:rsidP="00002983">
            <w:pPr>
              <w:rPr>
                <w:rFonts w:ascii="Arial" w:eastAsia="Times New Roman" w:hAnsi="Arial" w:cs="Arial"/>
                <w:b/>
                <w:bCs/>
                <w:color w:val="FFFFFF"/>
                <w:sz w:val="18"/>
                <w:szCs w:val="18"/>
                <w:lang w:val="es-CO" w:eastAsia="es-CO"/>
              </w:rPr>
            </w:pPr>
            <w:r w:rsidRPr="006A350B">
              <w:rPr>
                <w:rFonts w:ascii="Arial" w:eastAsia="Times New Roman" w:hAnsi="Arial" w:cs="Arial"/>
                <w:b/>
                <w:bCs/>
                <w:color w:val="FFFFFF"/>
                <w:sz w:val="18"/>
                <w:szCs w:val="18"/>
                <w:lang w:val="es-CO" w:eastAsia="es-CO"/>
              </w:rPr>
              <w:t>Esfuerzo Fiscal</w:t>
            </w:r>
          </w:p>
        </w:tc>
        <w:tc>
          <w:tcPr>
            <w:tcW w:w="1346" w:type="pct"/>
            <w:tcBorders>
              <w:top w:val="single" w:sz="4" w:space="0" w:color="auto"/>
              <w:left w:val="nil"/>
              <w:bottom w:val="single" w:sz="4" w:space="0" w:color="auto"/>
              <w:right w:val="single" w:sz="8" w:space="0" w:color="auto"/>
            </w:tcBorders>
            <w:shd w:val="clear" w:color="000000" w:fill="B48C41"/>
            <w:noWrap/>
            <w:vAlign w:val="center"/>
            <w:hideMark/>
          </w:tcPr>
          <w:p w14:paraId="74147496" w14:textId="77777777" w:rsidR="00443366" w:rsidRPr="006A350B" w:rsidRDefault="00443366" w:rsidP="00002983">
            <w:pPr>
              <w:jc w:val="center"/>
              <w:rPr>
                <w:rFonts w:ascii="Arial" w:eastAsia="Times New Roman" w:hAnsi="Arial" w:cs="Arial"/>
                <w:b/>
                <w:bCs/>
                <w:color w:val="FFFFFF"/>
                <w:sz w:val="18"/>
                <w:szCs w:val="18"/>
                <w:lang w:val="es-CO" w:eastAsia="es-CO"/>
              </w:rPr>
            </w:pPr>
            <w:r w:rsidRPr="006A350B">
              <w:rPr>
                <w:rFonts w:ascii="Arial" w:eastAsia="Times New Roman" w:hAnsi="Arial" w:cs="Arial"/>
                <w:b/>
                <w:bCs/>
                <w:color w:val="FFFFFF"/>
                <w:sz w:val="18"/>
                <w:szCs w:val="18"/>
                <w:lang w:val="es-CO" w:eastAsia="es-CO"/>
              </w:rPr>
              <w:t>0,00</w:t>
            </w:r>
          </w:p>
        </w:tc>
        <w:tc>
          <w:tcPr>
            <w:tcW w:w="843" w:type="pct"/>
            <w:tcBorders>
              <w:top w:val="single" w:sz="4" w:space="0" w:color="auto"/>
              <w:left w:val="single" w:sz="4" w:space="0" w:color="auto"/>
              <w:bottom w:val="single" w:sz="4" w:space="0" w:color="auto"/>
              <w:right w:val="single" w:sz="8" w:space="0" w:color="auto"/>
            </w:tcBorders>
            <w:shd w:val="clear" w:color="000000" w:fill="B48C41"/>
            <w:noWrap/>
            <w:vAlign w:val="center"/>
            <w:hideMark/>
          </w:tcPr>
          <w:p w14:paraId="4FC9878B" w14:textId="77777777" w:rsidR="00443366" w:rsidRPr="006A350B" w:rsidRDefault="006A350B" w:rsidP="00002983">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0</w:t>
            </w:r>
          </w:p>
        </w:tc>
        <w:tc>
          <w:tcPr>
            <w:tcW w:w="844" w:type="pct"/>
            <w:tcBorders>
              <w:top w:val="single" w:sz="4" w:space="0" w:color="auto"/>
              <w:left w:val="single" w:sz="4" w:space="0" w:color="auto"/>
              <w:bottom w:val="single" w:sz="4" w:space="0" w:color="auto"/>
              <w:right w:val="single" w:sz="8" w:space="0" w:color="auto"/>
            </w:tcBorders>
            <w:shd w:val="clear" w:color="000000" w:fill="B48C41"/>
            <w:noWrap/>
            <w:vAlign w:val="center"/>
            <w:hideMark/>
          </w:tcPr>
          <w:p w14:paraId="0161AC74" w14:textId="77777777" w:rsidR="00443366" w:rsidRPr="006A350B" w:rsidRDefault="006A350B" w:rsidP="00002983">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0</w:t>
            </w:r>
          </w:p>
        </w:tc>
      </w:tr>
      <w:tr w:rsidR="00443366" w:rsidRPr="006A350B" w14:paraId="46163326" w14:textId="77777777" w:rsidTr="006A350B">
        <w:trPr>
          <w:trHeight w:val="327"/>
        </w:trPr>
        <w:tc>
          <w:tcPr>
            <w:tcW w:w="1967" w:type="pct"/>
            <w:tcBorders>
              <w:top w:val="nil"/>
              <w:left w:val="single" w:sz="8" w:space="0" w:color="auto"/>
              <w:bottom w:val="nil"/>
              <w:right w:val="single" w:sz="4" w:space="0" w:color="auto"/>
            </w:tcBorders>
            <w:shd w:val="clear" w:color="000000" w:fill="FFFFFF"/>
            <w:noWrap/>
            <w:vAlign w:val="center"/>
            <w:hideMark/>
          </w:tcPr>
          <w:p w14:paraId="6F3E6A34" w14:textId="77777777" w:rsidR="00443366" w:rsidRPr="006A350B" w:rsidRDefault="00443366" w:rsidP="00002983">
            <w:pPr>
              <w:rPr>
                <w:rFonts w:ascii="Arial" w:eastAsia="Times New Roman" w:hAnsi="Arial" w:cs="Arial"/>
                <w:color w:val="000000"/>
                <w:sz w:val="18"/>
                <w:szCs w:val="18"/>
                <w:lang w:val="es-CO" w:eastAsia="es-CO"/>
              </w:rPr>
            </w:pPr>
            <w:r w:rsidRPr="006A350B">
              <w:rPr>
                <w:rFonts w:ascii="Arial" w:eastAsia="Times New Roman" w:hAnsi="Arial" w:cs="Arial"/>
                <w:color w:val="000000"/>
                <w:sz w:val="18"/>
                <w:szCs w:val="18"/>
                <w:lang w:val="es-CO" w:eastAsia="es-CO"/>
              </w:rPr>
              <w:t>Deuda Reportada</w:t>
            </w:r>
          </w:p>
        </w:tc>
        <w:tc>
          <w:tcPr>
            <w:tcW w:w="1346" w:type="pct"/>
            <w:tcBorders>
              <w:top w:val="nil"/>
              <w:left w:val="nil"/>
              <w:bottom w:val="single" w:sz="8" w:space="0" w:color="auto"/>
              <w:right w:val="single" w:sz="8" w:space="0" w:color="auto"/>
            </w:tcBorders>
            <w:shd w:val="clear" w:color="000000" w:fill="FFFFFF"/>
            <w:noWrap/>
            <w:vAlign w:val="center"/>
            <w:hideMark/>
          </w:tcPr>
          <w:p w14:paraId="487D32E8" w14:textId="77777777" w:rsidR="00443366" w:rsidRPr="006A350B" w:rsidRDefault="00443366" w:rsidP="00002983">
            <w:pPr>
              <w:jc w:val="center"/>
              <w:rPr>
                <w:rFonts w:ascii="Arial" w:eastAsia="Times New Roman" w:hAnsi="Arial" w:cs="Arial"/>
                <w:color w:val="000000"/>
                <w:sz w:val="18"/>
                <w:szCs w:val="18"/>
                <w:lang w:val="es-CO" w:eastAsia="es-CO"/>
              </w:rPr>
            </w:pPr>
            <w:r w:rsidRPr="006A350B">
              <w:rPr>
                <w:rFonts w:ascii="Arial" w:eastAsia="Times New Roman" w:hAnsi="Arial" w:cs="Arial"/>
                <w:color w:val="000000"/>
                <w:sz w:val="18"/>
                <w:szCs w:val="18"/>
                <w:lang w:val="es-CO" w:eastAsia="es-CO"/>
              </w:rPr>
              <w:t>$14.941.906.462</w:t>
            </w:r>
          </w:p>
        </w:tc>
        <w:tc>
          <w:tcPr>
            <w:tcW w:w="843" w:type="pct"/>
            <w:tcBorders>
              <w:top w:val="nil"/>
              <w:left w:val="single" w:sz="4" w:space="0" w:color="auto"/>
              <w:bottom w:val="single" w:sz="8" w:space="0" w:color="auto"/>
              <w:right w:val="single" w:sz="8" w:space="0" w:color="auto"/>
            </w:tcBorders>
            <w:shd w:val="clear" w:color="000000" w:fill="FFFFFF"/>
            <w:noWrap/>
            <w:vAlign w:val="center"/>
            <w:hideMark/>
          </w:tcPr>
          <w:p w14:paraId="0616C0A2" w14:textId="77777777" w:rsidR="00443366" w:rsidRPr="006A350B" w:rsidRDefault="00443366" w:rsidP="00002983">
            <w:pPr>
              <w:jc w:val="center"/>
              <w:rPr>
                <w:rFonts w:ascii="Arial" w:eastAsia="Times New Roman" w:hAnsi="Arial" w:cs="Arial"/>
                <w:color w:val="000000"/>
                <w:sz w:val="18"/>
                <w:szCs w:val="18"/>
                <w:lang w:val="es-CO" w:eastAsia="es-CO"/>
              </w:rPr>
            </w:pPr>
            <w:r w:rsidRPr="006A350B">
              <w:rPr>
                <w:rFonts w:ascii="Arial" w:eastAsia="Times New Roman" w:hAnsi="Arial" w:cs="Arial"/>
                <w:color w:val="000000"/>
                <w:sz w:val="18"/>
                <w:szCs w:val="18"/>
                <w:lang w:val="es-CO" w:eastAsia="es-CO"/>
              </w:rPr>
              <w:t>$0</w:t>
            </w:r>
          </w:p>
        </w:tc>
        <w:tc>
          <w:tcPr>
            <w:tcW w:w="844" w:type="pct"/>
            <w:tcBorders>
              <w:top w:val="nil"/>
              <w:left w:val="single" w:sz="4" w:space="0" w:color="auto"/>
              <w:bottom w:val="single" w:sz="8" w:space="0" w:color="auto"/>
              <w:right w:val="single" w:sz="8" w:space="0" w:color="auto"/>
            </w:tcBorders>
            <w:shd w:val="clear" w:color="000000" w:fill="FFFFFF"/>
            <w:noWrap/>
            <w:vAlign w:val="center"/>
            <w:hideMark/>
          </w:tcPr>
          <w:p w14:paraId="31E8ABDE" w14:textId="77777777" w:rsidR="00443366" w:rsidRPr="006A350B" w:rsidRDefault="00443366" w:rsidP="00002983">
            <w:pPr>
              <w:jc w:val="center"/>
              <w:rPr>
                <w:rFonts w:ascii="Arial" w:eastAsia="Times New Roman" w:hAnsi="Arial" w:cs="Arial"/>
                <w:color w:val="000000"/>
                <w:sz w:val="18"/>
                <w:szCs w:val="18"/>
                <w:lang w:val="es-CO" w:eastAsia="es-CO"/>
              </w:rPr>
            </w:pPr>
            <w:r w:rsidRPr="006A350B">
              <w:rPr>
                <w:rFonts w:ascii="Arial" w:eastAsia="Times New Roman" w:hAnsi="Arial" w:cs="Arial"/>
                <w:color w:val="000000"/>
                <w:sz w:val="18"/>
                <w:szCs w:val="18"/>
                <w:lang w:val="es-CO" w:eastAsia="es-CO"/>
              </w:rPr>
              <w:t>$0</w:t>
            </w:r>
          </w:p>
        </w:tc>
      </w:tr>
      <w:tr w:rsidR="00443366" w:rsidRPr="006A350B" w14:paraId="15F09CA4" w14:textId="77777777" w:rsidTr="006A350B">
        <w:trPr>
          <w:trHeight w:val="279"/>
        </w:trPr>
        <w:tc>
          <w:tcPr>
            <w:tcW w:w="1967" w:type="pct"/>
            <w:tcBorders>
              <w:top w:val="single" w:sz="4" w:space="0" w:color="auto"/>
              <w:left w:val="single" w:sz="8" w:space="0" w:color="auto"/>
              <w:bottom w:val="nil"/>
              <w:right w:val="single" w:sz="4" w:space="0" w:color="auto"/>
            </w:tcBorders>
            <w:shd w:val="clear" w:color="000000" w:fill="FFFFFF"/>
            <w:noWrap/>
            <w:vAlign w:val="center"/>
            <w:hideMark/>
          </w:tcPr>
          <w:p w14:paraId="5CB507ED" w14:textId="77777777" w:rsidR="00443366" w:rsidRPr="006A350B" w:rsidRDefault="00443366" w:rsidP="00002983">
            <w:pPr>
              <w:rPr>
                <w:rFonts w:ascii="Arial" w:eastAsia="Times New Roman" w:hAnsi="Arial" w:cs="Arial"/>
                <w:color w:val="000000"/>
                <w:sz w:val="18"/>
                <w:szCs w:val="18"/>
                <w:lang w:val="es-CO" w:eastAsia="es-CO"/>
              </w:rPr>
            </w:pPr>
            <w:r w:rsidRPr="006A350B">
              <w:rPr>
                <w:rFonts w:ascii="Arial" w:eastAsia="Times New Roman" w:hAnsi="Arial" w:cs="Arial"/>
                <w:color w:val="000000"/>
                <w:sz w:val="18"/>
                <w:szCs w:val="18"/>
                <w:lang w:val="es-CO" w:eastAsia="es-CO"/>
              </w:rPr>
              <w:t>Fuentes Disponibles E.T.</w:t>
            </w:r>
          </w:p>
        </w:tc>
        <w:tc>
          <w:tcPr>
            <w:tcW w:w="1346" w:type="pct"/>
            <w:tcBorders>
              <w:top w:val="single" w:sz="4" w:space="0" w:color="auto"/>
              <w:left w:val="nil"/>
              <w:bottom w:val="single" w:sz="8" w:space="0" w:color="auto"/>
              <w:right w:val="single" w:sz="8" w:space="0" w:color="auto"/>
            </w:tcBorders>
            <w:shd w:val="clear" w:color="000000" w:fill="FFFFFF"/>
            <w:noWrap/>
            <w:vAlign w:val="center"/>
            <w:hideMark/>
          </w:tcPr>
          <w:p w14:paraId="27FE081C" w14:textId="77777777" w:rsidR="00443366" w:rsidRPr="006A350B" w:rsidRDefault="00443366" w:rsidP="00002983">
            <w:pPr>
              <w:jc w:val="center"/>
              <w:rPr>
                <w:rFonts w:ascii="Arial" w:eastAsia="Times New Roman" w:hAnsi="Arial" w:cs="Arial"/>
                <w:color w:val="000000"/>
                <w:sz w:val="18"/>
                <w:szCs w:val="18"/>
                <w:lang w:val="es-CO" w:eastAsia="es-CO"/>
              </w:rPr>
            </w:pPr>
            <w:r w:rsidRPr="006A350B">
              <w:rPr>
                <w:rFonts w:ascii="Arial" w:eastAsia="Times New Roman" w:hAnsi="Arial" w:cs="Arial"/>
                <w:color w:val="000000"/>
                <w:sz w:val="18"/>
                <w:szCs w:val="18"/>
                <w:lang w:val="es-CO" w:eastAsia="es-CO"/>
              </w:rPr>
              <w:t>$14.941.906.462</w:t>
            </w:r>
          </w:p>
        </w:tc>
        <w:tc>
          <w:tcPr>
            <w:tcW w:w="843"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5789DB0F" w14:textId="77777777" w:rsidR="00443366" w:rsidRPr="006A350B" w:rsidRDefault="00443366" w:rsidP="00002983">
            <w:pPr>
              <w:jc w:val="center"/>
              <w:rPr>
                <w:rFonts w:ascii="Arial" w:eastAsia="Times New Roman" w:hAnsi="Arial" w:cs="Arial"/>
                <w:color w:val="000000"/>
                <w:sz w:val="18"/>
                <w:szCs w:val="18"/>
                <w:lang w:val="es-CO" w:eastAsia="es-CO"/>
              </w:rPr>
            </w:pPr>
            <w:r w:rsidRPr="006A350B">
              <w:rPr>
                <w:rFonts w:ascii="Arial" w:eastAsia="Times New Roman" w:hAnsi="Arial" w:cs="Arial"/>
                <w:color w:val="000000"/>
                <w:sz w:val="18"/>
                <w:szCs w:val="18"/>
                <w:lang w:val="es-CO" w:eastAsia="es-CO"/>
              </w:rPr>
              <w:t>$0</w:t>
            </w:r>
          </w:p>
        </w:tc>
        <w:tc>
          <w:tcPr>
            <w:tcW w:w="844"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5EA5B3D3" w14:textId="77777777" w:rsidR="00443366" w:rsidRPr="006A350B" w:rsidRDefault="00443366" w:rsidP="00002983">
            <w:pPr>
              <w:jc w:val="center"/>
              <w:rPr>
                <w:rFonts w:ascii="Arial" w:eastAsia="Times New Roman" w:hAnsi="Arial" w:cs="Arial"/>
                <w:color w:val="000000"/>
                <w:sz w:val="18"/>
                <w:szCs w:val="18"/>
                <w:lang w:val="es-CO" w:eastAsia="es-CO"/>
              </w:rPr>
            </w:pPr>
            <w:r w:rsidRPr="006A350B">
              <w:rPr>
                <w:rFonts w:ascii="Arial" w:eastAsia="Times New Roman" w:hAnsi="Arial" w:cs="Arial"/>
                <w:color w:val="000000"/>
                <w:sz w:val="18"/>
                <w:szCs w:val="18"/>
                <w:lang w:val="es-CO" w:eastAsia="es-CO"/>
              </w:rPr>
              <w:t>$0</w:t>
            </w:r>
          </w:p>
        </w:tc>
      </w:tr>
      <w:tr w:rsidR="00443366" w:rsidRPr="006A350B" w14:paraId="73AA2F41" w14:textId="77777777" w:rsidTr="006A350B">
        <w:trPr>
          <w:trHeight w:val="114"/>
        </w:trPr>
        <w:tc>
          <w:tcPr>
            <w:tcW w:w="1967" w:type="pct"/>
            <w:tcBorders>
              <w:top w:val="single" w:sz="4" w:space="0" w:color="auto"/>
              <w:left w:val="single" w:sz="8" w:space="0" w:color="auto"/>
              <w:bottom w:val="single" w:sz="8" w:space="0" w:color="auto"/>
              <w:right w:val="single" w:sz="4" w:space="0" w:color="auto"/>
            </w:tcBorders>
            <w:shd w:val="clear" w:color="000000" w:fill="B48C41"/>
            <w:noWrap/>
            <w:vAlign w:val="center"/>
            <w:hideMark/>
          </w:tcPr>
          <w:p w14:paraId="4AB60423" w14:textId="77777777" w:rsidR="00443366" w:rsidRPr="006A350B" w:rsidRDefault="00443366" w:rsidP="00002983">
            <w:pPr>
              <w:rPr>
                <w:rFonts w:ascii="Arial" w:eastAsia="Times New Roman" w:hAnsi="Arial" w:cs="Arial"/>
                <w:b/>
                <w:bCs/>
                <w:color w:val="FFFFFF"/>
                <w:sz w:val="18"/>
                <w:szCs w:val="18"/>
                <w:lang w:val="es-CO" w:eastAsia="es-CO"/>
              </w:rPr>
            </w:pPr>
            <w:r w:rsidRPr="006A350B">
              <w:rPr>
                <w:rFonts w:ascii="Arial" w:eastAsia="Times New Roman" w:hAnsi="Arial" w:cs="Arial"/>
                <w:b/>
                <w:bCs/>
                <w:color w:val="FFFFFF"/>
                <w:sz w:val="18"/>
                <w:szCs w:val="18"/>
                <w:lang w:val="es-CO" w:eastAsia="es-CO"/>
              </w:rPr>
              <w:t xml:space="preserve">Cofinanciación </w:t>
            </w:r>
          </w:p>
        </w:tc>
        <w:tc>
          <w:tcPr>
            <w:tcW w:w="1346" w:type="pct"/>
            <w:tcBorders>
              <w:top w:val="single" w:sz="4" w:space="0" w:color="auto"/>
              <w:left w:val="nil"/>
              <w:bottom w:val="single" w:sz="8" w:space="0" w:color="auto"/>
              <w:right w:val="single" w:sz="8" w:space="0" w:color="auto"/>
            </w:tcBorders>
            <w:shd w:val="clear" w:color="000000" w:fill="B48C41"/>
            <w:noWrap/>
            <w:vAlign w:val="center"/>
            <w:hideMark/>
          </w:tcPr>
          <w:p w14:paraId="43C99446" w14:textId="77777777" w:rsidR="00443366" w:rsidRPr="006A350B" w:rsidRDefault="00443366" w:rsidP="00002983">
            <w:pPr>
              <w:jc w:val="center"/>
              <w:rPr>
                <w:rFonts w:ascii="Arial" w:eastAsia="Times New Roman" w:hAnsi="Arial" w:cs="Arial"/>
                <w:b/>
                <w:bCs/>
                <w:color w:val="FFFFFF"/>
                <w:sz w:val="18"/>
                <w:szCs w:val="18"/>
                <w:lang w:val="es-CO" w:eastAsia="es-CO"/>
              </w:rPr>
            </w:pPr>
            <w:r w:rsidRPr="006A350B">
              <w:rPr>
                <w:rFonts w:ascii="Arial" w:eastAsia="Times New Roman" w:hAnsi="Arial" w:cs="Arial"/>
                <w:b/>
                <w:bCs/>
                <w:color w:val="FFFFFF"/>
                <w:sz w:val="18"/>
                <w:szCs w:val="18"/>
                <w:lang w:val="es-CO" w:eastAsia="es-CO"/>
              </w:rPr>
              <w:t>$0</w:t>
            </w:r>
          </w:p>
        </w:tc>
        <w:tc>
          <w:tcPr>
            <w:tcW w:w="843" w:type="pct"/>
            <w:tcBorders>
              <w:top w:val="single" w:sz="4" w:space="0" w:color="auto"/>
              <w:left w:val="single" w:sz="4" w:space="0" w:color="auto"/>
              <w:bottom w:val="single" w:sz="8" w:space="0" w:color="auto"/>
              <w:right w:val="single" w:sz="8" w:space="0" w:color="auto"/>
            </w:tcBorders>
            <w:shd w:val="clear" w:color="000000" w:fill="B48C41"/>
            <w:noWrap/>
            <w:vAlign w:val="center"/>
            <w:hideMark/>
          </w:tcPr>
          <w:p w14:paraId="274A07F0" w14:textId="77777777" w:rsidR="00443366" w:rsidRPr="006A350B" w:rsidRDefault="00443366" w:rsidP="00002983">
            <w:pPr>
              <w:jc w:val="center"/>
              <w:rPr>
                <w:rFonts w:ascii="Arial" w:eastAsia="Times New Roman" w:hAnsi="Arial" w:cs="Arial"/>
                <w:b/>
                <w:bCs/>
                <w:color w:val="FFFFFF"/>
                <w:sz w:val="18"/>
                <w:szCs w:val="18"/>
                <w:lang w:val="es-CO" w:eastAsia="es-CO"/>
              </w:rPr>
            </w:pPr>
            <w:r w:rsidRPr="006A350B">
              <w:rPr>
                <w:rFonts w:ascii="Arial" w:eastAsia="Times New Roman" w:hAnsi="Arial" w:cs="Arial"/>
                <w:b/>
                <w:bCs/>
                <w:color w:val="FFFFFF"/>
                <w:sz w:val="18"/>
                <w:szCs w:val="18"/>
                <w:lang w:val="es-CO" w:eastAsia="es-CO"/>
              </w:rPr>
              <w:t>$0</w:t>
            </w:r>
          </w:p>
        </w:tc>
        <w:tc>
          <w:tcPr>
            <w:tcW w:w="844" w:type="pct"/>
            <w:tcBorders>
              <w:top w:val="single" w:sz="4" w:space="0" w:color="auto"/>
              <w:left w:val="single" w:sz="4" w:space="0" w:color="auto"/>
              <w:bottom w:val="single" w:sz="8" w:space="0" w:color="auto"/>
              <w:right w:val="single" w:sz="8" w:space="0" w:color="auto"/>
            </w:tcBorders>
            <w:shd w:val="clear" w:color="000000" w:fill="B48C41"/>
            <w:noWrap/>
            <w:vAlign w:val="center"/>
            <w:hideMark/>
          </w:tcPr>
          <w:p w14:paraId="5E1F591A" w14:textId="77777777" w:rsidR="00443366" w:rsidRPr="006A350B" w:rsidRDefault="00443366" w:rsidP="00002983">
            <w:pPr>
              <w:jc w:val="center"/>
              <w:rPr>
                <w:rFonts w:ascii="Arial" w:eastAsia="Times New Roman" w:hAnsi="Arial" w:cs="Arial"/>
                <w:b/>
                <w:bCs/>
                <w:color w:val="FFFFFF"/>
                <w:sz w:val="18"/>
                <w:szCs w:val="18"/>
                <w:lang w:val="es-CO" w:eastAsia="es-CO"/>
              </w:rPr>
            </w:pPr>
            <w:r w:rsidRPr="006A350B">
              <w:rPr>
                <w:rFonts w:ascii="Arial" w:eastAsia="Times New Roman" w:hAnsi="Arial" w:cs="Arial"/>
                <w:b/>
                <w:bCs/>
                <w:color w:val="FFFFFF"/>
                <w:sz w:val="18"/>
                <w:szCs w:val="18"/>
                <w:lang w:val="es-CO" w:eastAsia="es-CO"/>
              </w:rPr>
              <w:t>$0</w:t>
            </w:r>
          </w:p>
        </w:tc>
      </w:tr>
    </w:tbl>
    <w:p w14:paraId="62E3D7A2" w14:textId="77777777" w:rsidR="00443366" w:rsidRPr="00002983" w:rsidRDefault="00443366" w:rsidP="00002983">
      <w:pPr>
        <w:jc w:val="center"/>
        <w:rPr>
          <w:rFonts w:ascii="Arial" w:hAnsi="Arial" w:cs="Arial"/>
          <w:sz w:val="21"/>
          <w:szCs w:val="21"/>
        </w:rPr>
      </w:pPr>
      <w:r w:rsidRPr="00002983">
        <w:rPr>
          <w:rFonts w:ascii="Arial" w:hAnsi="Arial" w:cs="Arial"/>
          <w:sz w:val="21"/>
          <w:szCs w:val="21"/>
        </w:rPr>
        <w:t>Fuente: DAF- informe de ley de punto final.</w:t>
      </w:r>
    </w:p>
    <w:p w14:paraId="59D447FA" w14:textId="77777777" w:rsidR="00443366" w:rsidRPr="00002983" w:rsidRDefault="00443366" w:rsidP="00002983">
      <w:pPr>
        <w:jc w:val="both"/>
        <w:rPr>
          <w:rFonts w:ascii="Arial" w:hAnsi="Arial" w:cs="Arial"/>
          <w:sz w:val="21"/>
          <w:szCs w:val="21"/>
        </w:rPr>
      </w:pPr>
    </w:p>
    <w:p w14:paraId="3FDA31C3" w14:textId="77777777" w:rsidR="00443366" w:rsidRPr="00002983" w:rsidRDefault="00443366" w:rsidP="00002983">
      <w:pPr>
        <w:jc w:val="both"/>
        <w:rPr>
          <w:rFonts w:ascii="Verdana" w:hAnsi="Verdana"/>
          <w:sz w:val="21"/>
          <w:szCs w:val="21"/>
        </w:rPr>
      </w:pPr>
      <w:r w:rsidRPr="00002983">
        <w:rPr>
          <w:rFonts w:ascii="Verdana" w:hAnsi="Verdana"/>
          <w:sz w:val="21"/>
          <w:szCs w:val="21"/>
        </w:rPr>
        <w:t xml:space="preserve">De acuerdo con la Tabla No. 4, los recursos dispuestos por de la </w:t>
      </w:r>
      <w:r w:rsidR="006A350B">
        <w:rPr>
          <w:rFonts w:ascii="Verdana" w:hAnsi="Verdana"/>
          <w:sz w:val="21"/>
          <w:szCs w:val="21"/>
        </w:rPr>
        <w:t>E</w:t>
      </w:r>
      <w:r w:rsidRPr="00002983">
        <w:rPr>
          <w:rFonts w:ascii="Verdana" w:hAnsi="Verdana"/>
          <w:sz w:val="21"/>
          <w:szCs w:val="21"/>
        </w:rPr>
        <w:t xml:space="preserve">ntidad </w:t>
      </w:r>
      <w:r w:rsidR="006A350B">
        <w:rPr>
          <w:rFonts w:ascii="Verdana" w:hAnsi="Verdana"/>
          <w:sz w:val="21"/>
          <w:szCs w:val="21"/>
        </w:rPr>
        <w:t>T</w:t>
      </w:r>
      <w:r w:rsidRPr="00002983">
        <w:rPr>
          <w:rFonts w:ascii="Verdana" w:hAnsi="Verdana"/>
          <w:sz w:val="21"/>
          <w:szCs w:val="21"/>
        </w:rPr>
        <w:t xml:space="preserve">erritorial para el saneamiento de la deuda correspondieron a la suma de $14.941 millones y se cancelaron deudas por el mismo valor. En lo que respecta a la </w:t>
      </w:r>
      <w:r w:rsidR="006A350B">
        <w:rPr>
          <w:rFonts w:ascii="Verdana" w:hAnsi="Verdana"/>
          <w:sz w:val="21"/>
          <w:szCs w:val="21"/>
        </w:rPr>
        <w:t>N</w:t>
      </w:r>
      <w:r w:rsidRPr="00002983">
        <w:rPr>
          <w:rFonts w:ascii="Verdana" w:hAnsi="Verdana"/>
          <w:sz w:val="21"/>
          <w:szCs w:val="21"/>
        </w:rPr>
        <w:t>ación, en este caso no hubo cofinanciación.</w:t>
      </w:r>
    </w:p>
    <w:p w14:paraId="30B3EDEB" w14:textId="77777777" w:rsidR="00443366" w:rsidRPr="00002983" w:rsidRDefault="00443366" w:rsidP="00002983">
      <w:pPr>
        <w:jc w:val="both"/>
        <w:rPr>
          <w:rFonts w:ascii="Arial" w:hAnsi="Arial" w:cs="Arial"/>
          <w:sz w:val="21"/>
          <w:szCs w:val="21"/>
        </w:rPr>
      </w:pPr>
    </w:p>
    <w:p w14:paraId="01BB0F51" w14:textId="77777777" w:rsidR="00443366" w:rsidRPr="00002983" w:rsidRDefault="00443366" w:rsidP="00002983">
      <w:pPr>
        <w:numPr>
          <w:ilvl w:val="0"/>
          <w:numId w:val="3"/>
        </w:numPr>
        <w:jc w:val="both"/>
        <w:rPr>
          <w:rFonts w:ascii="Verdana" w:hAnsi="Verdana"/>
          <w:sz w:val="21"/>
          <w:szCs w:val="21"/>
        </w:rPr>
      </w:pPr>
      <w:r w:rsidRPr="00002983">
        <w:rPr>
          <w:rFonts w:ascii="Verdana" w:hAnsi="Verdana"/>
          <w:b/>
          <w:sz w:val="21"/>
          <w:szCs w:val="21"/>
        </w:rPr>
        <w:t xml:space="preserve">ANÁLISIS FINANCIERO </w:t>
      </w:r>
    </w:p>
    <w:p w14:paraId="004739B9" w14:textId="77777777" w:rsidR="00443366" w:rsidRPr="00002983" w:rsidRDefault="00443366" w:rsidP="00002983">
      <w:pPr>
        <w:pStyle w:val="Prrafodelista"/>
        <w:numPr>
          <w:ilvl w:val="3"/>
          <w:numId w:val="3"/>
        </w:numPr>
        <w:ind w:left="851" w:hanging="284"/>
        <w:jc w:val="both"/>
        <w:rPr>
          <w:rFonts w:ascii="Verdana" w:hAnsi="Verdana"/>
          <w:sz w:val="21"/>
          <w:szCs w:val="21"/>
        </w:rPr>
      </w:pPr>
      <w:r w:rsidRPr="00002983">
        <w:rPr>
          <w:rFonts w:ascii="Verdana" w:hAnsi="Verdana"/>
          <w:b/>
          <w:sz w:val="21"/>
          <w:szCs w:val="21"/>
        </w:rPr>
        <w:t>Ingresos.</w:t>
      </w:r>
    </w:p>
    <w:p w14:paraId="477E1087" w14:textId="77777777" w:rsidR="006A350B" w:rsidRDefault="006A350B" w:rsidP="00002983">
      <w:pPr>
        <w:jc w:val="both"/>
        <w:rPr>
          <w:rFonts w:ascii="Verdana" w:hAnsi="Verdana"/>
          <w:sz w:val="21"/>
          <w:szCs w:val="21"/>
        </w:rPr>
      </w:pPr>
    </w:p>
    <w:p w14:paraId="4A4CDCDC" w14:textId="77777777" w:rsidR="00EF331C" w:rsidRPr="00002983" w:rsidRDefault="00EF331C" w:rsidP="00002983">
      <w:pPr>
        <w:jc w:val="both"/>
        <w:rPr>
          <w:rFonts w:ascii="Verdana" w:hAnsi="Verdana"/>
          <w:sz w:val="21"/>
          <w:szCs w:val="21"/>
        </w:rPr>
      </w:pPr>
      <w:r w:rsidRPr="00002983">
        <w:rPr>
          <w:rFonts w:ascii="Verdana" w:hAnsi="Verdana"/>
          <w:sz w:val="21"/>
          <w:szCs w:val="21"/>
        </w:rPr>
        <w:t xml:space="preserve">Los ingresos reportados por la </w:t>
      </w:r>
      <w:r w:rsidR="006A350B">
        <w:rPr>
          <w:rFonts w:ascii="Verdana" w:hAnsi="Verdana"/>
          <w:sz w:val="21"/>
          <w:szCs w:val="21"/>
        </w:rPr>
        <w:t>E</w:t>
      </w:r>
      <w:r w:rsidRPr="00002983">
        <w:rPr>
          <w:rFonts w:ascii="Verdana" w:hAnsi="Verdana"/>
          <w:sz w:val="21"/>
          <w:szCs w:val="21"/>
        </w:rPr>
        <w:t>ntidad en las vigencias 2021 y 2022 fueron:</w:t>
      </w:r>
    </w:p>
    <w:p w14:paraId="01C1BAFE" w14:textId="77777777" w:rsidR="00EF331C" w:rsidRPr="00002983" w:rsidRDefault="00EF331C" w:rsidP="00002983">
      <w:pPr>
        <w:jc w:val="both"/>
        <w:rPr>
          <w:rFonts w:ascii="Verdana" w:hAnsi="Verdana"/>
          <w:sz w:val="21"/>
          <w:szCs w:val="21"/>
        </w:rPr>
      </w:pPr>
    </w:p>
    <w:p w14:paraId="002F584D" w14:textId="77777777" w:rsidR="00EF331C" w:rsidRPr="00002983" w:rsidRDefault="00EF331C" w:rsidP="00002983">
      <w:pPr>
        <w:jc w:val="center"/>
        <w:rPr>
          <w:rFonts w:ascii="Arial" w:hAnsi="Arial" w:cs="Arial"/>
          <w:sz w:val="21"/>
          <w:szCs w:val="21"/>
        </w:rPr>
      </w:pPr>
      <w:r w:rsidRPr="00002983">
        <w:rPr>
          <w:rFonts w:ascii="Arial" w:hAnsi="Arial" w:cs="Arial"/>
          <w:b/>
          <w:sz w:val="21"/>
          <w:szCs w:val="21"/>
        </w:rPr>
        <w:t>Tabla No. 5.</w:t>
      </w:r>
    </w:p>
    <w:p w14:paraId="335B3407" w14:textId="77777777" w:rsidR="00EF331C" w:rsidRPr="00002983" w:rsidRDefault="00EF331C" w:rsidP="00002983">
      <w:pPr>
        <w:jc w:val="both"/>
        <w:rPr>
          <w:rFonts w:ascii="Verdana" w:hAnsi="Verdana" w:cstheme="minorBidi"/>
          <w:sz w:val="21"/>
          <w:szCs w:val="21"/>
        </w:rPr>
      </w:pPr>
      <w:r w:rsidRPr="00002983">
        <w:rPr>
          <w:noProof/>
          <w:sz w:val="21"/>
          <w:szCs w:val="21"/>
          <w:lang w:val="es-CO" w:eastAsia="es-CO"/>
        </w:rPr>
        <w:drawing>
          <wp:inline distT="0" distB="0" distL="0" distR="0" wp14:anchorId="4895C89A" wp14:editId="353D9749">
            <wp:extent cx="5619750" cy="18859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0" cy="1885950"/>
                    </a:xfrm>
                    <a:prstGeom prst="rect">
                      <a:avLst/>
                    </a:prstGeom>
                    <a:noFill/>
                    <a:ln>
                      <a:noFill/>
                    </a:ln>
                  </pic:spPr>
                </pic:pic>
              </a:graphicData>
            </a:graphic>
          </wp:inline>
        </w:drawing>
      </w:r>
    </w:p>
    <w:p w14:paraId="4CE7C7E7" w14:textId="77777777" w:rsidR="00EF331C" w:rsidRPr="00002983" w:rsidRDefault="00EF331C" w:rsidP="006A350B">
      <w:pPr>
        <w:jc w:val="center"/>
        <w:rPr>
          <w:rFonts w:ascii="Verdana" w:hAnsi="Verdana"/>
          <w:sz w:val="21"/>
          <w:szCs w:val="21"/>
        </w:rPr>
      </w:pPr>
      <w:r w:rsidRPr="00002983">
        <w:rPr>
          <w:rFonts w:ascii="Verdana" w:hAnsi="Verdana"/>
          <w:sz w:val="21"/>
          <w:szCs w:val="21"/>
        </w:rPr>
        <w:t>Elaboración: DAF con información de la E.T.</w:t>
      </w:r>
    </w:p>
    <w:p w14:paraId="72ECD0EA" w14:textId="77777777" w:rsidR="00EF331C" w:rsidRPr="00002983" w:rsidRDefault="00EF331C" w:rsidP="00002983">
      <w:pPr>
        <w:jc w:val="both"/>
        <w:rPr>
          <w:rFonts w:ascii="Verdana" w:hAnsi="Verdana"/>
          <w:sz w:val="21"/>
          <w:szCs w:val="21"/>
        </w:rPr>
      </w:pPr>
    </w:p>
    <w:p w14:paraId="0217A5B6" w14:textId="77777777" w:rsidR="00EF331C" w:rsidRPr="00002983" w:rsidRDefault="00EF331C" w:rsidP="00002983">
      <w:pPr>
        <w:pStyle w:val="Prrafodelista"/>
        <w:numPr>
          <w:ilvl w:val="0"/>
          <w:numId w:val="10"/>
        </w:numPr>
        <w:jc w:val="both"/>
        <w:rPr>
          <w:rFonts w:ascii="Verdana" w:hAnsi="Verdana"/>
          <w:sz w:val="21"/>
          <w:szCs w:val="21"/>
        </w:rPr>
      </w:pPr>
      <w:r w:rsidRPr="00002983">
        <w:rPr>
          <w:rFonts w:ascii="Verdana" w:hAnsi="Verdana"/>
          <w:sz w:val="21"/>
          <w:szCs w:val="21"/>
        </w:rPr>
        <w:lastRenderedPageBreak/>
        <w:t xml:space="preserve">Frente al recaudo de los ingresos se desataca el crecimiento de 19% en el 2022, para la vigencia 2021 se recaudaron recursos por $180.540 millones, frente a $215.623 millones recaudados en el 2022. Ahora frente a las transferencias de la nación se observó una disminución del 19%, como consecuencia de la finalización de la pandemia </w:t>
      </w:r>
      <w:proofErr w:type="spellStart"/>
      <w:r w:rsidRPr="00002983">
        <w:rPr>
          <w:rFonts w:ascii="Verdana" w:hAnsi="Verdana"/>
          <w:sz w:val="21"/>
          <w:szCs w:val="21"/>
        </w:rPr>
        <w:t>Covid</w:t>
      </w:r>
      <w:proofErr w:type="spellEnd"/>
      <w:r w:rsidRPr="00002983">
        <w:rPr>
          <w:rFonts w:ascii="Verdana" w:hAnsi="Verdana"/>
          <w:sz w:val="21"/>
          <w:szCs w:val="21"/>
        </w:rPr>
        <w:t xml:space="preserve"> 19.</w:t>
      </w:r>
    </w:p>
    <w:p w14:paraId="603CDE9A" w14:textId="77777777" w:rsidR="00EF331C" w:rsidRPr="00002983" w:rsidRDefault="00EF331C" w:rsidP="00002983">
      <w:pPr>
        <w:jc w:val="both"/>
        <w:rPr>
          <w:rFonts w:ascii="Verdana" w:hAnsi="Verdana"/>
          <w:sz w:val="21"/>
          <w:szCs w:val="21"/>
        </w:rPr>
      </w:pPr>
    </w:p>
    <w:p w14:paraId="1A34AF96" w14:textId="77777777" w:rsidR="00EF331C" w:rsidRPr="00002983" w:rsidRDefault="00EF331C" w:rsidP="00002983">
      <w:pPr>
        <w:pStyle w:val="Prrafodelista"/>
        <w:numPr>
          <w:ilvl w:val="0"/>
          <w:numId w:val="10"/>
        </w:numPr>
        <w:jc w:val="both"/>
        <w:rPr>
          <w:rFonts w:ascii="Verdana" w:hAnsi="Verdana"/>
          <w:sz w:val="21"/>
          <w:szCs w:val="21"/>
        </w:rPr>
      </w:pPr>
      <w:r w:rsidRPr="00002983">
        <w:rPr>
          <w:rFonts w:ascii="Verdana" w:hAnsi="Verdana"/>
          <w:sz w:val="21"/>
          <w:szCs w:val="21"/>
        </w:rPr>
        <w:t xml:space="preserve">En cuanto a los recursos de capital se tiene que para la vigencia 2021 se recaudaron $44.617 millones frente a $56.089 millones en 2022 lo que representó un crecimiento de 26%, lo anterior como consecuencia de la incorporación de los recursos del balance proveniente de recursos no ejecutados en medio de la pandemia. </w:t>
      </w:r>
    </w:p>
    <w:p w14:paraId="7240DEB6" w14:textId="77777777" w:rsidR="00EF331C" w:rsidRPr="00002983" w:rsidRDefault="00EF331C" w:rsidP="00002983">
      <w:pPr>
        <w:jc w:val="both"/>
        <w:rPr>
          <w:rFonts w:ascii="Verdana" w:hAnsi="Verdana"/>
          <w:sz w:val="21"/>
          <w:szCs w:val="21"/>
        </w:rPr>
      </w:pPr>
    </w:p>
    <w:p w14:paraId="3DACE86C" w14:textId="77777777" w:rsidR="00EF331C" w:rsidRPr="00002983" w:rsidRDefault="00EF331C" w:rsidP="00002983">
      <w:pPr>
        <w:pStyle w:val="Prrafodelista"/>
        <w:numPr>
          <w:ilvl w:val="0"/>
          <w:numId w:val="10"/>
        </w:numPr>
        <w:jc w:val="both"/>
        <w:rPr>
          <w:rFonts w:ascii="Verdana" w:hAnsi="Verdana"/>
          <w:sz w:val="21"/>
          <w:szCs w:val="21"/>
        </w:rPr>
      </w:pPr>
      <w:r w:rsidRPr="00002983">
        <w:rPr>
          <w:rFonts w:ascii="Verdana" w:hAnsi="Verdana"/>
          <w:sz w:val="21"/>
          <w:szCs w:val="21"/>
        </w:rPr>
        <w:t>Finalmente, se observó que en el 2022 el recaudó supero el presupuesto definitivo, en 4 puntos porcentuales.</w:t>
      </w:r>
    </w:p>
    <w:p w14:paraId="2D5D5E43" w14:textId="77777777" w:rsidR="00EF331C" w:rsidRPr="00002983" w:rsidRDefault="00EF331C" w:rsidP="00002983">
      <w:pPr>
        <w:jc w:val="both"/>
        <w:rPr>
          <w:rFonts w:ascii="Verdana" w:hAnsi="Verdana"/>
          <w:b/>
          <w:sz w:val="21"/>
          <w:szCs w:val="21"/>
        </w:rPr>
      </w:pPr>
    </w:p>
    <w:p w14:paraId="71F600CF" w14:textId="77777777" w:rsidR="00EF331C" w:rsidRPr="00002983" w:rsidRDefault="00EF331C" w:rsidP="00002983">
      <w:pPr>
        <w:ind w:firstLine="709"/>
        <w:jc w:val="both"/>
        <w:rPr>
          <w:rFonts w:ascii="Verdana" w:hAnsi="Verdana"/>
          <w:b/>
          <w:sz w:val="21"/>
          <w:szCs w:val="21"/>
        </w:rPr>
      </w:pPr>
      <w:r w:rsidRPr="00002983">
        <w:rPr>
          <w:rFonts w:ascii="Verdana" w:hAnsi="Verdana"/>
          <w:b/>
          <w:sz w:val="21"/>
          <w:szCs w:val="21"/>
        </w:rPr>
        <w:t>2. Gastos.</w:t>
      </w:r>
    </w:p>
    <w:p w14:paraId="058A088D" w14:textId="77777777" w:rsidR="00DE41A5" w:rsidRDefault="00DE41A5" w:rsidP="00002983">
      <w:pPr>
        <w:jc w:val="both"/>
        <w:rPr>
          <w:rFonts w:ascii="Verdana" w:hAnsi="Verdana"/>
          <w:sz w:val="21"/>
          <w:szCs w:val="21"/>
        </w:rPr>
      </w:pPr>
    </w:p>
    <w:p w14:paraId="1B76CCBC" w14:textId="77777777" w:rsidR="00EF331C" w:rsidRPr="00002983" w:rsidRDefault="00EF331C" w:rsidP="00002983">
      <w:pPr>
        <w:jc w:val="both"/>
        <w:rPr>
          <w:rFonts w:ascii="Arial" w:hAnsi="Arial" w:cs="Arial"/>
          <w:b/>
          <w:sz w:val="21"/>
          <w:szCs w:val="21"/>
        </w:rPr>
      </w:pPr>
      <w:r w:rsidRPr="00002983">
        <w:rPr>
          <w:rFonts w:ascii="Verdana" w:hAnsi="Verdana"/>
          <w:sz w:val="21"/>
          <w:szCs w:val="21"/>
        </w:rPr>
        <w:t xml:space="preserve">En cuanto a los compromisos adquiridos por la </w:t>
      </w:r>
      <w:r w:rsidR="00DE41A5">
        <w:rPr>
          <w:rFonts w:ascii="Verdana" w:hAnsi="Verdana"/>
          <w:sz w:val="21"/>
          <w:szCs w:val="21"/>
        </w:rPr>
        <w:t>E</w:t>
      </w:r>
      <w:r w:rsidRPr="00002983">
        <w:rPr>
          <w:rFonts w:ascii="Verdana" w:hAnsi="Verdana"/>
          <w:sz w:val="21"/>
          <w:szCs w:val="21"/>
        </w:rPr>
        <w:t>ntidad se observó que en la vigencia 2021 se registraron compromisos por $79.278 millones, mientras que en 2022 fueron de $115.104 millones distribuidos así:</w:t>
      </w:r>
      <w:r w:rsidRPr="00002983">
        <w:rPr>
          <w:rFonts w:ascii="Arial" w:hAnsi="Arial" w:cs="Arial"/>
          <w:b/>
          <w:sz w:val="21"/>
          <w:szCs w:val="21"/>
        </w:rPr>
        <w:t xml:space="preserve"> </w:t>
      </w:r>
    </w:p>
    <w:p w14:paraId="37991506" w14:textId="77777777" w:rsidR="00EF331C" w:rsidRPr="00002983" w:rsidRDefault="00EF331C" w:rsidP="00002983">
      <w:pPr>
        <w:jc w:val="center"/>
        <w:rPr>
          <w:rFonts w:ascii="Arial" w:hAnsi="Arial" w:cs="Arial"/>
          <w:b/>
          <w:sz w:val="21"/>
          <w:szCs w:val="21"/>
        </w:rPr>
      </w:pPr>
    </w:p>
    <w:p w14:paraId="06C86106" w14:textId="77777777" w:rsidR="00EF331C" w:rsidRPr="00002983" w:rsidRDefault="00EF331C" w:rsidP="00002983">
      <w:pPr>
        <w:jc w:val="center"/>
        <w:rPr>
          <w:rFonts w:ascii="Arial" w:hAnsi="Arial" w:cs="Arial"/>
          <w:sz w:val="21"/>
          <w:szCs w:val="21"/>
        </w:rPr>
      </w:pPr>
      <w:r w:rsidRPr="00002983">
        <w:rPr>
          <w:rFonts w:ascii="Arial" w:hAnsi="Arial" w:cs="Arial"/>
          <w:b/>
          <w:sz w:val="21"/>
          <w:szCs w:val="21"/>
        </w:rPr>
        <w:t>Tabla No. 6.</w:t>
      </w:r>
    </w:p>
    <w:p w14:paraId="503ECE7D" w14:textId="77777777" w:rsidR="00EF331C" w:rsidRPr="00002983" w:rsidRDefault="00EF331C" w:rsidP="00002983">
      <w:pPr>
        <w:jc w:val="both"/>
        <w:rPr>
          <w:rFonts w:ascii="Verdana" w:hAnsi="Verdana" w:cstheme="minorBidi"/>
          <w:b/>
          <w:sz w:val="21"/>
          <w:szCs w:val="21"/>
        </w:rPr>
      </w:pPr>
      <w:r w:rsidRPr="00002983">
        <w:rPr>
          <w:noProof/>
          <w:sz w:val="21"/>
          <w:szCs w:val="21"/>
          <w:lang w:val="es-CO" w:eastAsia="es-CO"/>
        </w:rPr>
        <w:drawing>
          <wp:inline distT="0" distB="0" distL="0" distR="0" wp14:anchorId="16E18F1C" wp14:editId="663BD280">
            <wp:extent cx="5610225" cy="16002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225" cy="1600200"/>
                    </a:xfrm>
                    <a:prstGeom prst="rect">
                      <a:avLst/>
                    </a:prstGeom>
                    <a:noFill/>
                    <a:ln>
                      <a:noFill/>
                    </a:ln>
                  </pic:spPr>
                </pic:pic>
              </a:graphicData>
            </a:graphic>
          </wp:inline>
        </w:drawing>
      </w:r>
    </w:p>
    <w:p w14:paraId="14846ACD" w14:textId="77777777" w:rsidR="00EF331C" w:rsidRPr="00002983" w:rsidRDefault="00EF331C" w:rsidP="00002983">
      <w:pPr>
        <w:jc w:val="both"/>
        <w:rPr>
          <w:rFonts w:ascii="Verdana" w:hAnsi="Verdana"/>
          <w:sz w:val="21"/>
          <w:szCs w:val="21"/>
        </w:rPr>
      </w:pPr>
      <w:r w:rsidRPr="00002983">
        <w:rPr>
          <w:rFonts w:ascii="Verdana" w:hAnsi="Verdana"/>
          <w:sz w:val="21"/>
          <w:szCs w:val="21"/>
        </w:rPr>
        <w:t>Elaboración: DAF con información de la E.T.</w:t>
      </w:r>
    </w:p>
    <w:p w14:paraId="370208B3" w14:textId="77777777" w:rsidR="00EF331C" w:rsidRPr="00002983" w:rsidRDefault="00EF331C" w:rsidP="00002983">
      <w:pPr>
        <w:jc w:val="both"/>
        <w:rPr>
          <w:rFonts w:ascii="Verdana" w:hAnsi="Verdana"/>
          <w:sz w:val="21"/>
          <w:szCs w:val="21"/>
        </w:rPr>
      </w:pPr>
    </w:p>
    <w:p w14:paraId="641486C7" w14:textId="77777777" w:rsidR="00EF331C" w:rsidRPr="00002983" w:rsidRDefault="00EF331C" w:rsidP="00002983">
      <w:pPr>
        <w:pStyle w:val="Prrafodelista"/>
        <w:numPr>
          <w:ilvl w:val="0"/>
          <w:numId w:val="11"/>
        </w:numPr>
        <w:jc w:val="both"/>
        <w:rPr>
          <w:rFonts w:ascii="Verdana" w:hAnsi="Verdana"/>
          <w:sz w:val="21"/>
          <w:szCs w:val="21"/>
        </w:rPr>
      </w:pPr>
      <w:r w:rsidRPr="00002983">
        <w:rPr>
          <w:rFonts w:ascii="Verdana" w:hAnsi="Verdana"/>
          <w:sz w:val="21"/>
          <w:szCs w:val="21"/>
        </w:rPr>
        <w:t xml:space="preserve">En cuanto al Régimen subsidiado, su ejecución en las dos vigencias fue del 100%, con un crecimiento del 47% para 2022. </w:t>
      </w:r>
    </w:p>
    <w:p w14:paraId="028372A3" w14:textId="77777777" w:rsidR="00EF331C" w:rsidRPr="00002983" w:rsidRDefault="00EF331C" w:rsidP="00002983">
      <w:pPr>
        <w:jc w:val="both"/>
        <w:rPr>
          <w:rFonts w:ascii="Verdana" w:hAnsi="Verdana"/>
          <w:sz w:val="21"/>
          <w:szCs w:val="21"/>
        </w:rPr>
      </w:pPr>
    </w:p>
    <w:p w14:paraId="07D191BD" w14:textId="77777777" w:rsidR="00EF331C" w:rsidRPr="00002983" w:rsidRDefault="00EF331C" w:rsidP="00002983">
      <w:pPr>
        <w:pStyle w:val="Prrafodelista"/>
        <w:numPr>
          <w:ilvl w:val="0"/>
          <w:numId w:val="11"/>
        </w:numPr>
        <w:jc w:val="both"/>
        <w:rPr>
          <w:rFonts w:ascii="Verdana" w:hAnsi="Verdana"/>
          <w:sz w:val="21"/>
          <w:szCs w:val="21"/>
        </w:rPr>
      </w:pPr>
      <w:r w:rsidRPr="00002983">
        <w:rPr>
          <w:rFonts w:ascii="Verdana" w:hAnsi="Verdana"/>
          <w:sz w:val="21"/>
          <w:szCs w:val="21"/>
        </w:rPr>
        <w:t>En cuanto a los recursos de Salud Pública la ejecución disminuyó 4 puntos porcentuales, paso de 75% en 2021 a 71% en 2022. Frente a los recursos de oferta se observó una ejecución del 100%.</w:t>
      </w:r>
    </w:p>
    <w:p w14:paraId="0DD0ADD2" w14:textId="77777777" w:rsidR="00EF331C" w:rsidRPr="00002983" w:rsidRDefault="00EF331C" w:rsidP="00002983">
      <w:pPr>
        <w:jc w:val="both"/>
        <w:rPr>
          <w:rFonts w:ascii="Verdana" w:hAnsi="Verdana"/>
          <w:sz w:val="21"/>
          <w:szCs w:val="21"/>
        </w:rPr>
      </w:pPr>
    </w:p>
    <w:p w14:paraId="19A91791" w14:textId="77777777" w:rsidR="00EF331C" w:rsidRPr="00002983" w:rsidRDefault="00EF331C" w:rsidP="00002983">
      <w:pPr>
        <w:pStyle w:val="Prrafodelista"/>
        <w:numPr>
          <w:ilvl w:val="0"/>
          <w:numId w:val="11"/>
        </w:numPr>
        <w:jc w:val="both"/>
        <w:rPr>
          <w:rFonts w:ascii="Verdana" w:hAnsi="Verdana"/>
          <w:sz w:val="21"/>
          <w:szCs w:val="21"/>
        </w:rPr>
      </w:pPr>
      <w:r w:rsidRPr="00002983">
        <w:rPr>
          <w:rFonts w:ascii="Verdana" w:hAnsi="Verdana"/>
          <w:sz w:val="21"/>
          <w:szCs w:val="21"/>
        </w:rPr>
        <w:t xml:space="preserve">Con respecto a los otros gastos en salud entre los que se encuentran los gastos de funcionamiento asociados a la secretaria de salud departamental, se tiene un crecimiento del 50%, con recursos ejecutados por $63.455 millones en 2021 y $95.241 millones en 2022, lo que implicó una ejecución de 45%, situación que denota, la problemática de la </w:t>
      </w:r>
      <w:r w:rsidR="00DE41A5">
        <w:rPr>
          <w:rFonts w:ascii="Verdana" w:hAnsi="Verdana"/>
          <w:sz w:val="21"/>
          <w:szCs w:val="21"/>
        </w:rPr>
        <w:t>E</w:t>
      </w:r>
      <w:r w:rsidRPr="00002983">
        <w:rPr>
          <w:rFonts w:ascii="Verdana" w:hAnsi="Verdana"/>
          <w:sz w:val="21"/>
          <w:szCs w:val="21"/>
        </w:rPr>
        <w:t xml:space="preserve">ntidad en la ejecución de los recursos. De igual forma, el total de recursos ejecutados en el FLS fue del 64% lo que corresponde a un crecimiento de 12 puntos porcentuales </w:t>
      </w:r>
      <w:r w:rsidRPr="00002983">
        <w:rPr>
          <w:rFonts w:ascii="Verdana" w:hAnsi="Verdana"/>
          <w:sz w:val="21"/>
          <w:szCs w:val="21"/>
        </w:rPr>
        <w:lastRenderedPageBreak/>
        <w:t xml:space="preserve">frente a 2021, aunque la </w:t>
      </w:r>
      <w:r w:rsidR="00DE41A5">
        <w:rPr>
          <w:rFonts w:ascii="Verdana" w:hAnsi="Verdana"/>
          <w:sz w:val="21"/>
          <w:szCs w:val="21"/>
        </w:rPr>
        <w:t>E</w:t>
      </w:r>
      <w:r w:rsidRPr="00002983">
        <w:rPr>
          <w:rFonts w:ascii="Verdana" w:hAnsi="Verdana"/>
          <w:sz w:val="21"/>
          <w:szCs w:val="21"/>
        </w:rPr>
        <w:t>ntidad mejoró en la ejecución, al revisar los pagos efectuados la situación es crítica, con un porcentaje de pagos de 45%.</w:t>
      </w:r>
    </w:p>
    <w:p w14:paraId="06F9C872" w14:textId="77777777" w:rsidR="00EF331C" w:rsidRPr="00002983" w:rsidRDefault="00EF331C" w:rsidP="00002983">
      <w:pPr>
        <w:jc w:val="both"/>
        <w:rPr>
          <w:rFonts w:ascii="Verdana" w:hAnsi="Verdana"/>
          <w:sz w:val="21"/>
          <w:szCs w:val="21"/>
        </w:rPr>
      </w:pPr>
    </w:p>
    <w:p w14:paraId="378B6012" w14:textId="77777777" w:rsidR="00EF331C" w:rsidRPr="00002983" w:rsidRDefault="00EF331C" w:rsidP="00002983">
      <w:pPr>
        <w:jc w:val="both"/>
        <w:rPr>
          <w:rFonts w:ascii="Verdana" w:hAnsi="Verdana"/>
          <w:sz w:val="21"/>
          <w:szCs w:val="21"/>
        </w:rPr>
      </w:pPr>
      <w:r w:rsidRPr="00002983">
        <w:rPr>
          <w:rFonts w:ascii="Verdana" w:hAnsi="Verdana"/>
          <w:b/>
          <w:sz w:val="21"/>
          <w:szCs w:val="21"/>
        </w:rPr>
        <w:t xml:space="preserve">Cierre Fiscal </w:t>
      </w:r>
    </w:p>
    <w:p w14:paraId="78F15988" w14:textId="77777777" w:rsidR="00EF331C" w:rsidRPr="00002983" w:rsidRDefault="00EF331C" w:rsidP="00002983">
      <w:pPr>
        <w:pStyle w:val="Sinespaciado"/>
        <w:jc w:val="both"/>
        <w:rPr>
          <w:rFonts w:ascii="Verdana" w:hAnsi="Verdana"/>
          <w:sz w:val="21"/>
          <w:szCs w:val="21"/>
        </w:rPr>
      </w:pPr>
    </w:p>
    <w:p w14:paraId="5E04A766" w14:textId="77777777" w:rsidR="00EF331C" w:rsidRPr="00002983" w:rsidRDefault="00EF331C" w:rsidP="00002983">
      <w:pPr>
        <w:pStyle w:val="Sinespaciado"/>
        <w:jc w:val="both"/>
        <w:rPr>
          <w:rFonts w:ascii="Verdana" w:hAnsi="Verdana"/>
          <w:sz w:val="21"/>
          <w:szCs w:val="21"/>
        </w:rPr>
      </w:pPr>
      <w:r w:rsidRPr="00002983">
        <w:rPr>
          <w:rFonts w:ascii="Verdana" w:hAnsi="Verdana"/>
          <w:sz w:val="21"/>
          <w:szCs w:val="21"/>
        </w:rPr>
        <w:t>El cierre presupuestal y de tesorería del Fondo Local de Salud para la vigencia 2021 y 2022 mostró lo siguiente:</w:t>
      </w:r>
    </w:p>
    <w:p w14:paraId="7396CA98" w14:textId="77777777" w:rsidR="00EF331C" w:rsidRPr="00002983" w:rsidRDefault="00EF331C" w:rsidP="00002983">
      <w:pPr>
        <w:pStyle w:val="Sinespaciado"/>
        <w:jc w:val="both"/>
        <w:rPr>
          <w:rFonts w:ascii="Verdana" w:hAnsi="Verdana"/>
          <w:sz w:val="21"/>
          <w:szCs w:val="21"/>
        </w:rPr>
      </w:pPr>
    </w:p>
    <w:p w14:paraId="7AE7218D" w14:textId="77777777" w:rsidR="00EF331C" w:rsidRPr="00002983" w:rsidRDefault="00EF331C" w:rsidP="00002983">
      <w:pPr>
        <w:jc w:val="center"/>
        <w:rPr>
          <w:rFonts w:ascii="Arial" w:hAnsi="Arial" w:cs="Arial"/>
          <w:sz w:val="21"/>
          <w:szCs w:val="21"/>
        </w:rPr>
      </w:pPr>
      <w:r w:rsidRPr="00002983">
        <w:rPr>
          <w:rFonts w:ascii="Arial" w:hAnsi="Arial" w:cs="Arial"/>
          <w:b/>
          <w:sz w:val="21"/>
          <w:szCs w:val="21"/>
        </w:rPr>
        <w:t>Tabla No. 7.</w:t>
      </w:r>
    </w:p>
    <w:p w14:paraId="0FFF13A3" w14:textId="77777777" w:rsidR="00EF331C" w:rsidRPr="00002983" w:rsidRDefault="00EF331C" w:rsidP="00002983">
      <w:pPr>
        <w:pStyle w:val="Sinespaciado"/>
        <w:jc w:val="center"/>
        <w:rPr>
          <w:rFonts w:ascii="Verdana" w:hAnsi="Verdana"/>
          <w:sz w:val="21"/>
          <w:szCs w:val="21"/>
        </w:rPr>
      </w:pPr>
      <w:r w:rsidRPr="00002983">
        <w:rPr>
          <w:noProof/>
          <w:sz w:val="21"/>
          <w:szCs w:val="21"/>
          <w:lang w:eastAsia="es-CO"/>
        </w:rPr>
        <w:drawing>
          <wp:inline distT="0" distB="0" distL="0" distR="0" wp14:anchorId="20077495" wp14:editId="59104A2D">
            <wp:extent cx="5610225" cy="22860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0225" cy="2286000"/>
                    </a:xfrm>
                    <a:prstGeom prst="rect">
                      <a:avLst/>
                    </a:prstGeom>
                    <a:noFill/>
                    <a:ln>
                      <a:noFill/>
                    </a:ln>
                  </pic:spPr>
                </pic:pic>
              </a:graphicData>
            </a:graphic>
          </wp:inline>
        </w:drawing>
      </w:r>
    </w:p>
    <w:p w14:paraId="47A11FF8" w14:textId="77777777" w:rsidR="00EF331C" w:rsidRPr="00002983" w:rsidRDefault="00EF331C" w:rsidP="00DE41A5">
      <w:pPr>
        <w:ind w:firstLine="709"/>
        <w:jc w:val="center"/>
        <w:rPr>
          <w:rFonts w:ascii="Verdana" w:hAnsi="Verdana"/>
          <w:sz w:val="21"/>
          <w:szCs w:val="21"/>
        </w:rPr>
      </w:pPr>
      <w:r w:rsidRPr="00002983">
        <w:rPr>
          <w:rFonts w:ascii="Verdana" w:hAnsi="Verdana"/>
          <w:sz w:val="21"/>
          <w:szCs w:val="21"/>
        </w:rPr>
        <w:t>Elaboración: DAF con información de la E.T.</w:t>
      </w:r>
    </w:p>
    <w:p w14:paraId="0B543913" w14:textId="77777777" w:rsidR="00EF331C" w:rsidRPr="00002983" w:rsidRDefault="00EF331C" w:rsidP="00002983">
      <w:pPr>
        <w:jc w:val="center"/>
        <w:rPr>
          <w:rFonts w:ascii="Arial" w:hAnsi="Arial" w:cs="Arial"/>
          <w:sz w:val="21"/>
          <w:szCs w:val="21"/>
        </w:rPr>
      </w:pPr>
    </w:p>
    <w:p w14:paraId="391E486C" w14:textId="77777777" w:rsidR="00EF331C" w:rsidRPr="00002983" w:rsidRDefault="00EF331C" w:rsidP="00002983">
      <w:pPr>
        <w:pStyle w:val="Prrafodelista"/>
        <w:numPr>
          <w:ilvl w:val="0"/>
          <w:numId w:val="12"/>
        </w:numPr>
        <w:jc w:val="both"/>
        <w:rPr>
          <w:rFonts w:ascii="Verdana" w:hAnsi="Verdana"/>
          <w:sz w:val="21"/>
          <w:szCs w:val="21"/>
        </w:rPr>
      </w:pPr>
      <w:r w:rsidRPr="00002983">
        <w:rPr>
          <w:rFonts w:ascii="Verdana" w:hAnsi="Verdana"/>
          <w:sz w:val="21"/>
          <w:szCs w:val="21"/>
        </w:rPr>
        <w:t xml:space="preserve">Del cierre fiscal y de tesorería se tiene que la </w:t>
      </w:r>
      <w:r w:rsidR="00DE41A5">
        <w:rPr>
          <w:rFonts w:ascii="Verdana" w:hAnsi="Verdana"/>
          <w:sz w:val="21"/>
          <w:szCs w:val="21"/>
        </w:rPr>
        <w:t>E</w:t>
      </w:r>
      <w:r w:rsidRPr="00002983">
        <w:rPr>
          <w:rFonts w:ascii="Verdana" w:hAnsi="Verdana"/>
          <w:sz w:val="21"/>
          <w:szCs w:val="21"/>
        </w:rPr>
        <w:t xml:space="preserve">ntidad, redujo el superávit 26%, sin embargo, como se mencionó anteriormente, la </w:t>
      </w:r>
      <w:r w:rsidR="004A14B6">
        <w:rPr>
          <w:rFonts w:ascii="Verdana" w:hAnsi="Verdana"/>
          <w:sz w:val="21"/>
          <w:szCs w:val="21"/>
        </w:rPr>
        <w:t>E</w:t>
      </w:r>
      <w:r w:rsidRPr="00002983">
        <w:rPr>
          <w:rFonts w:ascii="Verdana" w:hAnsi="Verdana"/>
          <w:sz w:val="21"/>
          <w:szCs w:val="21"/>
        </w:rPr>
        <w:t xml:space="preserve">ntidad está comprometiendo los recursos por los bienes y </w:t>
      </w:r>
      <w:proofErr w:type="gramStart"/>
      <w:r w:rsidRPr="00002983">
        <w:rPr>
          <w:rFonts w:ascii="Verdana" w:hAnsi="Verdana"/>
          <w:sz w:val="21"/>
          <w:szCs w:val="21"/>
        </w:rPr>
        <w:t>servicios</w:t>
      </w:r>
      <w:proofErr w:type="gramEnd"/>
      <w:r w:rsidRPr="00002983">
        <w:rPr>
          <w:rFonts w:ascii="Verdana" w:hAnsi="Verdana"/>
          <w:sz w:val="21"/>
          <w:szCs w:val="21"/>
        </w:rPr>
        <w:t xml:space="preserve"> pero al cierre de la vigencia no son entregados, por lo que crecieron de manera considerable tanto las reservas, como las cuentas por pagar.</w:t>
      </w:r>
    </w:p>
    <w:p w14:paraId="59CD2BC1" w14:textId="77777777" w:rsidR="00EF331C" w:rsidRPr="00002983" w:rsidRDefault="00EF331C" w:rsidP="00002983">
      <w:pPr>
        <w:jc w:val="both"/>
        <w:rPr>
          <w:rFonts w:ascii="Verdana" w:hAnsi="Verdana"/>
          <w:sz w:val="21"/>
          <w:szCs w:val="21"/>
        </w:rPr>
      </w:pPr>
    </w:p>
    <w:p w14:paraId="2F1460C2" w14:textId="77777777" w:rsidR="00EF331C" w:rsidRPr="00002983" w:rsidRDefault="00EF331C" w:rsidP="00002983">
      <w:pPr>
        <w:pStyle w:val="Prrafodelista"/>
        <w:numPr>
          <w:ilvl w:val="0"/>
          <w:numId w:val="12"/>
        </w:numPr>
        <w:jc w:val="both"/>
        <w:rPr>
          <w:rFonts w:ascii="Verdana" w:hAnsi="Verdana"/>
          <w:sz w:val="21"/>
          <w:szCs w:val="21"/>
        </w:rPr>
      </w:pPr>
      <w:r w:rsidRPr="00002983">
        <w:rPr>
          <w:rFonts w:ascii="Verdana" w:hAnsi="Verdana"/>
          <w:sz w:val="21"/>
          <w:szCs w:val="21"/>
        </w:rPr>
        <w:t xml:space="preserve">Frente al saldo mínimo en </w:t>
      </w:r>
      <w:proofErr w:type="gramStart"/>
      <w:r w:rsidRPr="00002983">
        <w:rPr>
          <w:rFonts w:ascii="Verdana" w:hAnsi="Verdana"/>
          <w:sz w:val="21"/>
          <w:szCs w:val="21"/>
        </w:rPr>
        <w:t>caja</w:t>
      </w:r>
      <w:proofErr w:type="gramEnd"/>
      <w:r w:rsidRPr="00002983">
        <w:rPr>
          <w:rFonts w:ascii="Verdana" w:hAnsi="Verdana"/>
          <w:sz w:val="21"/>
          <w:szCs w:val="21"/>
        </w:rPr>
        <w:t xml:space="preserve"> se observa la acumulación de saldos de manera recurrentes, explicados por la baja ejecución que presentó la entidad, de tal forma que en la vigencia 2022 creció el saldo 12%.</w:t>
      </w:r>
    </w:p>
    <w:p w14:paraId="3BD0BD8E" w14:textId="77777777" w:rsidR="00443366" w:rsidRPr="00002983" w:rsidRDefault="00443366" w:rsidP="00002983">
      <w:pPr>
        <w:jc w:val="both"/>
        <w:rPr>
          <w:rFonts w:ascii="Verdana" w:hAnsi="Verdana"/>
          <w:sz w:val="21"/>
          <w:szCs w:val="21"/>
        </w:rPr>
      </w:pPr>
    </w:p>
    <w:p w14:paraId="5204CA93" w14:textId="77777777" w:rsidR="00443366" w:rsidRPr="00002983" w:rsidRDefault="00443366" w:rsidP="00002983">
      <w:pPr>
        <w:numPr>
          <w:ilvl w:val="0"/>
          <w:numId w:val="3"/>
        </w:numPr>
        <w:jc w:val="both"/>
        <w:rPr>
          <w:rFonts w:ascii="Verdana" w:hAnsi="Verdana"/>
          <w:sz w:val="21"/>
          <w:szCs w:val="21"/>
        </w:rPr>
      </w:pPr>
      <w:r w:rsidRPr="00002983">
        <w:rPr>
          <w:rFonts w:ascii="Verdana" w:hAnsi="Verdana"/>
          <w:b/>
          <w:sz w:val="21"/>
          <w:szCs w:val="21"/>
        </w:rPr>
        <w:t xml:space="preserve">RESULTADO DE EVALUACIÓN DE LA MEDIDA </w:t>
      </w:r>
    </w:p>
    <w:p w14:paraId="1CDC4903" w14:textId="77777777" w:rsidR="004A14B6" w:rsidRDefault="004A14B6" w:rsidP="00002983">
      <w:pPr>
        <w:jc w:val="both"/>
        <w:rPr>
          <w:rFonts w:ascii="Verdana" w:eastAsia="Calibri" w:hAnsi="Verdana" w:cs="Arial"/>
          <w:sz w:val="21"/>
          <w:szCs w:val="21"/>
          <w:lang w:val="es-CO" w:eastAsia="en-US"/>
        </w:rPr>
      </w:pPr>
    </w:p>
    <w:p w14:paraId="49E9C93D"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 xml:space="preserve">La siguiente evaluación tiene en cuenta la información remitida por la oficina asesora de control interno del Departamento de Córdoba denominado informe 16 mediante comunicación con radicado No. 1-2023-0102480 del 20 de noviembre de 2023. </w:t>
      </w:r>
    </w:p>
    <w:p w14:paraId="28D9F823" w14:textId="77777777" w:rsidR="00443366" w:rsidRPr="00002983" w:rsidRDefault="00443366" w:rsidP="00002983">
      <w:pPr>
        <w:jc w:val="both"/>
        <w:rPr>
          <w:rFonts w:ascii="Verdana" w:eastAsia="Calibri" w:hAnsi="Verdana" w:cs="Arial"/>
          <w:sz w:val="21"/>
          <w:szCs w:val="21"/>
          <w:lang w:val="es-CO" w:eastAsia="en-US"/>
        </w:rPr>
      </w:pPr>
    </w:p>
    <w:p w14:paraId="4D111B6C"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El Departamento con corte a noviembre de 2023 no ha remitido información de manera oficial que soporte el cumplimiento o avance a las obligaciones previstas, a pesar de las recomendaciones que la Dirección General de Apoyo Fiscal efectuó en las asistencias técnicas realizadas el día 25 de mayo de 2023 y 26 de septiembre de 2023.</w:t>
      </w:r>
    </w:p>
    <w:p w14:paraId="2455EDBB" w14:textId="77777777" w:rsidR="00443366" w:rsidRPr="00002983" w:rsidRDefault="00443366" w:rsidP="00002983">
      <w:pPr>
        <w:jc w:val="both"/>
        <w:rPr>
          <w:rFonts w:ascii="Verdana" w:eastAsia="Calibri" w:hAnsi="Verdana" w:cs="Arial"/>
          <w:b/>
          <w:sz w:val="21"/>
          <w:szCs w:val="21"/>
          <w:lang w:val="es-CO" w:eastAsia="en-US"/>
        </w:rPr>
      </w:pPr>
    </w:p>
    <w:p w14:paraId="0F8DDD34"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b/>
          <w:sz w:val="21"/>
          <w:szCs w:val="21"/>
          <w:lang w:val="es-CO" w:eastAsia="en-US"/>
        </w:rPr>
        <w:t>Obligación 1</w:t>
      </w:r>
    </w:p>
    <w:p w14:paraId="506BC531" w14:textId="77777777" w:rsidR="00443366" w:rsidRPr="00002983" w:rsidRDefault="00443366" w:rsidP="00002983">
      <w:pPr>
        <w:jc w:val="both"/>
        <w:rPr>
          <w:rFonts w:ascii="Verdana" w:eastAsia="Calibri" w:hAnsi="Verdana" w:cs="Arial"/>
          <w:b/>
          <w:sz w:val="21"/>
          <w:szCs w:val="21"/>
          <w:lang w:val="es-CO" w:eastAsia="en-US"/>
        </w:rPr>
      </w:pPr>
    </w:p>
    <w:p w14:paraId="5178D692"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 xml:space="preserve">Creación y puesta en funcionamiento de un Comité de Seguimiento, el cual estará conformado por el Gobernador, </w:t>
      </w:r>
      <w:proofErr w:type="gramStart"/>
      <w:r w:rsidRPr="00002983">
        <w:rPr>
          <w:rFonts w:ascii="Verdana" w:eastAsia="Calibri" w:hAnsi="Verdana" w:cs="Arial"/>
          <w:sz w:val="21"/>
          <w:szCs w:val="21"/>
          <w:lang w:val="es-CO" w:eastAsia="en-US"/>
        </w:rPr>
        <w:t>Secretario</w:t>
      </w:r>
      <w:proofErr w:type="gramEnd"/>
      <w:r w:rsidRPr="00002983">
        <w:rPr>
          <w:rFonts w:ascii="Verdana" w:eastAsia="Calibri" w:hAnsi="Verdana" w:cs="Arial"/>
          <w:sz w:val="21"/>
          <w:szCs w:val="21"/>
          <w:lang w:val="es-CO" w:eastAsia="en-US"/>
        </w:rPr>
        <w:t xml:space="preserve"> de Desarrollo de la Salud, Secretario de Hacienda, Tesorero, Jefe de Presupuesto, Contador Departamental, Secretario de Planeación, Jefe de la Oficina Asesora Jurídica, o quien haga sus veces y cuya participación será indelegable, y el Jefe de la Oficina Asesora de Control Interno quien actuará en calidad de invitado permanente. Este Comité será creado con el fin de verificar la articulación entre el proceso de planeación y la ejecución presupuestal de los recursos del Fondo Local de Salud, la consistencia en la ejecución de los recursos, la identificación de riesgos para la ejecución de </w:t>
      </w:r>
      <w:proofErr w:type="gramStart"/>
      <w:r w:rsidRPr="00002983">
        <w:rPr>
          <w:rFonts w:ascii="Verdana" w:eastAsia="Calibri" w:hAnsi="Verdana" w:cs="Arial"/>
          <w:sz w:val="21"/>
          <w:szCs w:val="21"/>
          <w:lang w:val="es-CO" w:eastAsia="en-US"/>
        </w:rPr>
        <w:t>los mismos</w:t>
      </w:r>
      <w:proofErr w:type="gramEnd"/>
      <w:r w:rsidRPr="00002983">
        <w:rPr>
          <w:rFonts w:ascii="Verdana" w:eastAsia="Calibri" w:hAnsi="Verdana" w:cs="Arial"/>
          <w:sz w:val="21"/>
          <w:szCs w:val="21"/>
          <w:lang w:val="es-CO" w:eastAsia="en-US"/>
        </w:rPr>
        <w:t xml:space="preserve"> y la conciliación entre las ejecuciones presupuestales y el registro contable.</w:t>
      </w:r>
    </w:p>
    <w:p w14:paraId="23CC7CDA" w14:textId="77777777" w:rsidR="00443366" w:rsidRPr="00002983" w:rsidRDefault="00443366" w:rsidP="00002983">
      <w:pPr>
        <w:jc w:val="both"/>
        <w:rPr>
          <w:rFonts w:ascii="Verdana" w:eastAsia="Calibri" w:hAnsi="Verdana" w:cs="Arial"/>
          <w:b/>
          <w:sz w:val="21"/>
          <w:szCs w:val="21"/>
          <w:lang w:val="es-CO" w:eastAsia="en-US"/>
        </w:rPr>
      </w:pPr>
    </w:p>
    <w:p w14:paraId="76DE7A8E"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b/>
          <w:sz w:val="21"/>
          <w:szCs w:val="21"/>
          <w:lang w:val="es-CO" w:eastAsia="en-US"/>
        </w:rPr>
        <w:t xml:space="preserve">Producto 1. </w:t>
      </w:r>
      <w:r w:rsidRPr="00002983">
        <w:rPr>
          <w:rFonts w:ascii="Verdana" w:eastAsia="Calibri" w:hAnsi="Verdana" w:cs="Arial"/>
          <w:sz w:val="21"/>
          <w:szCs w:val="21"/>
          <w:lang w:val="es-CO" w:eastAsia="en-US"/>
        </w:rPr>
        <w:t>Ordenanza departamental mediante la cual se crea el Comité de Seguimiento a los recursos del Fondo Local de Salud, en la cual se describan los integrantes, las funciones del Comité y las condiciones de operación.</w:t>
      </w:r>
    </w:p>
    <w:p w14:paraId="50107EBD" w14:textId="77777777" w:rsidR="00443366" w:rsidRPr="00002983" w:rsidRDefault="00443366" w:rsidP="00002983">
      <w:pPr>
        <w:jc w:val="both"/>
        <w:rPr>
          <w:rFonts w:ascii="Verdana" w:eastAsia="Calibri" w:hAnsi="Verdana" w:cs="Arial"/>
          <w:sz w:val="21"/>
          <w:szCs w:val="21"/>
          <w:lang w:val="es-CO" w:eastAsia="en-US"/>
        </w:rPr>
      </w:pPr>
    </w:p>
    <w:p w14:paraId="23DAFAE5"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b/>
          <w:sz w:val="21"/>
          <w:szCs w:val="21"/>
          <w:lang w:val="es-CO" w:eastAsia="en-US"/>
        </w:rPr>
        <w:t xml:space="preserve">Producto 2. </w:t>
      </w:r>
      <w:r w:rsidRPr="00002983">
        <w:rPr>
          <w:rFonts w:ascii="Verdana" w:eastAsia="Calibri" w:hAnsi="Verdana" w:cs="Arial"/>
          <w:sz w:val="21"/>
          <w:szCs w:val="21"/>
          <w:lang w:val="es-CO" w:eastAsia="en-US"/>
        </w:rPr>
        <w:t>Enlace directo del sitio en la página web de la Entidad Territorial en la cual publicará las actas de reunión de comité, una vez entre en funcionamiento.</w:t>
      </w:r>
    </w:p>
    <w:p w14:paraId="22D7DBB0" w14:textId="77777777" w:rsidR="00443366" w:rsidRPr="00002983" w:rsidRDefault="00443366" w:rsidP="00002983">
      <w:pPr>
        <w:jc w:val="both"/>
        <w:rPr>
          <w:rFonts w:ascii="Verdana" w:eastAsia="Calibri" w:hAnsi="Verdana" w:cs="Arial"/>
          <w:sz w:val="21"/>
          <w:szCs w:val="21"/>
          <w:lang w:val="es-CO" w:eastAsia="en-US"/>
        </w:rPr>
      </w:pPr>
    </w:p>
    <w:p w14:paraId="4E13C721"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b/>
          <w:sz w:val="21"/>
          <w:szCs w:val="21"/>
          <w:lang w:val="es-CO" w:eastAsia="en-US"/>
        </w:rPr>
        <w:t>Evaluación: Cumple</w:t>
      </w:r>
    </w:p>
    <w:p w14:paraId="67CB0ECF" w14:textId="77777777" w:rsidR="00443366" w:rsidRPr="00002983" w:rsidRDefault="00443366" w:rsidP="00002983">
      <w:pPr>
        <w:jc w:val="both"/>
        <w:rPr>
          <w:rFonts w:ascii="Verdana" w:eastAsia="Calibri" w:hAnsi="Verdana" w:cs="Arial"/>
          <w:b/>
          <w:sz w:val="21"/>
          <w:szCs w:val="21"/>
          <w:lang w:val="es-CO" w:eastAsia="en-US"/>
        </w:rPr>
      </w:pPr>
    </w:p>
    <w:p w14:paraId="74040286"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Sobre el particular la oficina de control interno (OCI) en su informe no hace referencia a este punto. No obstante, cabe precisar en el informe de seguimiento efectuado por esta Dirección en el mes de julio de 2021, se le había dado cumplimiento a la obligación y se recomendaba dar continuar con la publicación de las actas de cada reunión del comité, situación que fue efectivamente evidenciada en la página web del Departamento.</w:t>
      </w:r>
    </w:p>
    <w:p w14:paraId="58E1BB06" w14:textId="77777777" w:rsidR="00443366" w:rsidRPr="00002983" w:rsidRDefault="00443366" w:rsidP="00002983">
      <w:pPr>
        <w:jc w:val="both"/>
        <w:rPr>
          <w:rFonts w:ascii="Verdana" w:eastAsia="Calibri" w:hAnsi="Verdana" w:cs="Arial"/>
          <w:sz w:val="21"/>
          <w:szCs w:val="21"/>
          <w:lang w:val="es-CO" w:eastAsia="en-US"/>
        </w:rPr>
      </w:pPr>
    </w:p>
    <w:p w14:paraId="66D0C831"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b/>
          <w:sz w:val="21"/>
          <w:szCs w:val="21"/>
          <w:lang w:val="es-CO" w:eastAsia="en-US"/>
        </w:rPr>
        <w:t xml:space="preserve">Obligación 2. </w:t>
      </w:r>
    </w:p>
    <w:p w14:paraId="729CF908" w14:textId="77777777" w:rsidR="00443366" w:rsidRPr="00002983" w:rsidRDefault="00443366" w:rsidP="00002983">
      <w:pPr>
        <w:jc w:val="both"/>
        <w:rPr>
          <w:rFonts w:ascii="Verdana" w:eastAsia="Calibri" w:hAnsi="Verdana" w:cs="Arial"/>
          <w:b/>
          <w:sz w:val="21"/>
          <w:szCs w:val="21"/>
          <w:lang w:val="es-CO" w:eastAsia="en-US"/>
        </w:rPr>
      </w:pPr>
    </w:p>
    <w:p w14:paraId="0B0AA411"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Realizar el reporte de información requerida por las entidades del orden nacional en las condiciones y tiempos establecidos, bajo parámetros de calidad, oportunidad y completitud.</w:t>
      </w:r>
    </w:p>
    <w:p w14:paraId="3244D2E7" w14:textId="77777777" w:rsidR="00443366" w:rsidRPr="00002983" w:rsidRDefault="00443366" w:rsidP="00002983">
      <w:pPr>
        <w:jc w:val="both"/>
        <w:rPr>
          <w:rFonts w:ascii="Verdana" w:eastAsia="Calibri" w:hAnsi="Verdana" w:cs="Arial"/>
          <w:sz w:val="21"/>
          <w:szCs w:val="21"/>
          <w:lang w:val="es-CO" w:eastAsia="en-US"/>
        </w:rPr>
      </w:pPr>
    </w:p>
    <w:p w14:paraId="155BC0A3"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b/>
          <w:sz w:val="21"/>
          <w:szCs w:val="21"/>
          <w:lang w:val="es-CO" w:eastAsia="en-US"/>
        </w:rPr>
        <w:t xml:space="preserve">Producto. </w:t>
      </w:r>
      <w:r w:rsidRPr="00002983">
        <w:rPr>
          <w:rFonts w:ascii="Verdana" w:eastAsia="Calibri" w:hAnsi="Verdana" w:cs="Arial"/>
          <w:sz w:val="21"/>
          <w:szCs w:val="21"/>
          <w:lang w:val="es-CO" w:eastAsia="en-US"/>
        </w:rPr>
        <w:t>Evidencia de los reportes y análisis de consistencia de la información reportada.</w:t>
      </w:r>
    </w:p>
    <w:p w14:paraId="7BF9E316" w14:textId="77777777" w:rsidR="00443366" w:rsidRPr="00002983" w:rsidRDefault="00443366" w:rsidP="00002983">
      <w:pPr>
        <w:jc w:val="both"/>
        <w:rPr>
          <w:rFonts w:ascii="Verdana" w:eastAsia="Calibri" w:hAnsi="Verdana" w:cs="Arial"/>
          <w:sz w:val="21"/>
          <w:szCs w:val="21"/>
          <w:lang w:val="es-CO" w:eastAsia="en-US"/>
        </w:rPr>
      </w:pPr>
    </w:p>
    <w:p w14:paraId="3C89B3D6"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b/>
          <w:sz w:val="21"/>
          <w:szCs w:val="21"/>
          <w:lang w:val="es-CO" w:eastAsia="en-US"/>
        </w:rPr>
        <w:t>Evaluación: Cumple</w:t>
      </w:r>
    </w:p>
    <w:p w14:paraId="09C4E180" w14:textId="77777777" w:rsidR="00443366" w:rsidRPr="00002983" w:rsidRDefault="00443366" w:rsidP="00002983">
      <w:pPr>
        <w:jc w:val="both"/>
        <w:rPr>
          <w:rFonts w:ascii="Verdana" w:eastAsia="Calibri" w:hAnsi="Verdana" w:cs="Arial"/>
          <w:sz w:val="21"/>
          <w:szCs w:val="21"/>
          <w:lang w:val="es-CO" w:eastAsia="en-US"/>
        </w:rPr>
      </w:pPr>
    </w:p>
    <w:p w14:paraId="610BAD49"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Respecto a los reportes realizados en el marco de la ejecución de recursos de salud, tales como SIHO, Circular 030 de 2013, SISPRO, PISIS, REPS y los reportes establecidos en las Resoluciones 1479 de 2015, 4624 de 2016, 6348 de 2016 y la Circular Única, esta Dirección solicitó al Ministerio de Salud y Protección Social, certificación del reporte en las condiciones y plazos establecidos, bajo parámetros de calidad, oportunidad y completitud por parte del Departamento de Córdoba.</w:t>
      </w:r>
    </w:p>
    <w:p w14:paraId="1803B5CB" w14:textId="77777777" w:rsidR="00443366" w:rsidRPr="00002983" w:rsidRDefault="00443366" w:rsidP="00002983">
      <w:pPr>
        <w:jc w:val="both"/>
        <w:rPr>
          <w:rFonts w:ascii="Verdana" w:eastAsia="Calibri" w:hAnsi="Verdana" w:cs="Arial"/>
          <w:sz w:val="21"/>
          <w:szCs w:val="21"/>
          <w:lang w:val="es-CO" w:eastAsia="en-US"/>
        </w:rPr>
      </w:pPr>
    </w:p>
    <w:p w14:paraId="6161F247" w14:textId="77777777" w:rsidR="00443366" w:rsidRPr="00002983" w:rsidRDefault="00443366" w:rsidP="00002983">
      <w:pPr>
        <w:pStyle w:val="Sinespaciado"/>
        <w:jc w:val="both"/>
        <w:rPr>
          <w:rFonts w:ascii="Verdana" w:eastAsia="Calibri" w:hAnsi="Verdana" w:cs="Arial"/>
          <w:sz w:val="21"/>
          <w:szCs w:val="21"/>
        </w:rPr>
      </w:pPr>
      <w:r w:rsidRPr="00002983">
        <w:rPr>
          <w:rFonts w:ascii="Verdana" w:eastAsia="Calibri" w:hAnsi="Verdana" w:cs="Arial"/>
          <w:sz w:val="21"/>
          <w:szCs w:val="21"/>
        </w:rPr>
        <w:t>Por su parte, el Informe remitido por la OCI menciona que:</w:t>
      </w:r>
    </w:p>
    <w:p w14:paraId="05987D37" w14:textId="77777777" w:rsidR="00443366" w:rsidRPr="00002983" w:rsidRDefault="00443366" w:rsidP="00002983">
      <w:pPr>
        <w:pStyle w:val="Sinespaciado"/>
        <w:jc w:val="both"/>
        <w:rPr>
          <w:rFonts w:ascii="Verdana" w:eastAsia="Calibri" w:hAnsi="Verdana" w:cs="Arial"/>
          <w:sz w:val="21"/>
          <w:szCs w:val="21"/>
        </w:rPr>
      </w:pPr>
    </w:p>
    <w:p w14:paraId="46085E47" w14:textId="77777777" w:rsidR="00443366" w:rsidRPr="004A14B6" w:rsidRDefault="00443366" w:rsidP="004A14B6">
      <w:pPr>
        <w:pStyle w:val="Sinespaciado"/>
        <w:ind w:left="567"/>
        <w:jc w:val="both"/>
        <w:rPr>
          <w:rFonts w:ascii="Verdana" w:hAnsi="Verdana" w:cs="Arial"/>
          <w:i/>
          <w:sz w:val="18"/>
          <w:szCs w:val="18"/>
          <w:lang w:val="es-ES"/>
        </w:rPr>
      </w:pPr>
      <w:r w:rsidRPr="004A14B6">
        <w:rPr>
          <w:rFonts w:ascii="Verdana" w:eastAsia="Calibri" w:hAnsi="Verdana" w:cs="Arial"/>
          <w:i/>
          <w:sz w:val="18"/>
          <w:szCs w:val="18"/>
        </w:rPr>
        <w:lastRenderedPageBreak/>
        <w:t>“[...]</w:t>
      </w:r>
      <w:r w:rsidR="004A14B6" w:rsidRPr="004A14B6">
        <w:rPr>
          <w:rFonts w:ascii="Verdana" w:eastAsia="Calibri" w:hAnsi="Verdana" w:cs="Arial"/>
          <w:i/>
          <w:sz w:val="18"/>
          <w:szCs w:val="18"/>
        </w:rPr>
        <w:t xml:space="preserve"> </w:t>
      </w:r>
      <w:r w:rsidRPr="004A14B6">
        <w:rPr>
          <w:rFonts w:ascii="Verdana" w:hAnsi="Verdana" w:cs="Arial"/>
          <w:i/>
          <w:sz w:val="18"/>
          <w:szCs w:val="18"/>
          <w:lang w:val="es-ES"/>
        </w:rPr>
        <w:t xml:space="preserve">Según lo expuesto, durante mesa de trabajo llevada a cabo el 17 de octubre de 2023, tal como quedó plasmado en el acta No. 160 del 2023, la contratista, Dra. Angi Pacheco, expresó que la Secretaría de Desarrollo de la Salud está cumpliendo con la obligación número 2, que consiste en </w:t>
      </w:r>
      <w:r w:rsidRPr="004A14B6">
        <w:rPr>
          <w:rFonts w:ascii="Verdana" w:hAnsi="Verdana" w:cs="Arial"/>
          <w:i/>
          <w:iCs/>
          <w:sz w:val="18"/>
          <w:szCs w:val="18"/>
          <w:lang w:val="es-ES"/>
        </w:rPr>
        <w:t>"Realizar el reporte de información requerida por las entidades del orden nacional en las condiciones y tiempos establecidos bajo parámetros de calidad, oportunidad y completitud"</w:t>
      </w:r>
      <w:r w:rsidRPr="004A14B6">
        <w:rPr>
          <w:rFonts w:ascii="Verdana" w:hAnsi="Verdana" w:cs="Arial"/>
          <w:i/>
          <w:sz w:val="18"/>
          <w:szCs w:val="18"/>
          <w:lang w:val="es-ES"/>
        </w:rPr>
        <w:t>.</w:t>
      </w:r>
    </w:p>
    <w:p w14:paraId="4A15A594" w14:textId="77777777" w:rsidR="00443366" w:rsidRPr="004A14B6" w:rsidRDefault="00443366" w:rsidP="004A14B6">
      <w:pPr>
        <w:pStyle w:val="Sinespaciado"/>
        <w:ind w:left="567"/>
        <w:jc w:val="both"/>
        <w:rPr>
          <w:rFonts w:ascii="Verdana" w:hAnsi="Verdana" w:cs="Arial"/>
          <w:i/>
          <w:sz w:val="18"/>
          <w:szCs w:val="18"/>
          <w:lang w:val="es-ES"/>
        </w:rPr>
      </w:pPr>
    </w:p>
    <w:p w14:paraId="3B7E0C29" w14:textId="77777777" w:rsidR="00443366" w:rsidRPr="004A14B6" w:rsidRDefault="00443366" w:rsidP="004A14B6">
      <w:pPr>
        <w:ind w:left="567"/>
        <w:jc w:val="both"/>
        <w:rPr>
          <w:rFonts w:ascii="Verdana" w:eastAsia="Calibri" w:hAnsi="Verdana" w:cs="Arial"/>
          <w:i/>
          <w:sz w:val="18"/>
          <w:szCs w:val="18"/>
          <w:lang w:val="es-CO" w:eastAsia="en-US"/>
        </w:rPr>
      </w:pPr>
      <w:r w:rsidRPr="004A14B6">
        <w:rPr>
          <w:rFonts w:ascii="Verdana" w:hAnsi="Verdana" w:cs="Arial"/>
          <w:i/>
          <w:sz w:val="18"/>
          <w:szCs w:val="18"/>
        </w:rPr>
        <w:t>Se mencionó que, la Secretaría de Desarrollo de la Salud, ha cumplido con el reporte y el cargue oportuno de los informes requeridos, enviando la información correspondiente al segundo trimestre terminado del año 2023, en el mes de julio del adiado. Esta información comprende los informes de Alto Costo, Circular 030, Circular Única, Resolución 2361 de 2016 y Decreto 2193 de 2013.</w:t>
      </w:r>
      <w:r w:rsidRPr="004A14B6">
        <w:rPr>
          <w:rFonts w:ascii="Verdana" w:eastAsia="Calibri" w:hAnsi="Verdana" w:cs="Arial"/>
          <w:i/>
          <w:sz w:val="18"/>
          <w:szCs w:val="18"/>
          <w:lang w:val="es-CO" w:eastAsia="en-US"/>
        </w:rPr>
        <w:t>”</w:t>
      </w:r>
    </w:p>
    <w:p w14:paraId="6DA56239" w14:textId="77777777" w:rsidR="00443366" w:rsidRPr="00002983" w:rsidRDefault="00443366" w:rsidP="00002983">
      <w:pPr>
        <w:jc w:val="both"/>
        <w:rPr>
          <w:rFonts w:ascii="Verdana" w:eastAsia="Calibri" w:hAnsi="Verdana" w:cs="Arial"/>
          <w:sz w:val="21"/>
          <w:szCs w:val="21"/>
          <w:lang w:val="es-CO" w:eastAsia="en-US"/>
        </w:rPr>
      </w:pPr>
    </w:p>
    <w:p w14:paraId="7CB62308"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Por lo anterior, se reitera lo expuesto en el informe elaborado en noviembre de 2022 en el que se menciona:</w:t>
      </w:r>
    </w:p>
    <w:p w14:paraId="726AF3B2" w14:textId="77777777" w:rsidR="00443366" w:rsidRPr="00002983" w:rsidRDefault="00443366" w:rsidP="00002983">
      <w:pPr>
        <w:jc w:val="both"/>
        <w:rPr>
          <w:rFonts w:ascii="Verdana" w:eastAsia="Calibri" w:hAnsi="Verdana" w:cs="Arial"/>
          <w:sz w:val="21"/>
          <w:szCs w:val="21"/>
          <w:lang w:val="es-CO" w:eastAsia="en-US"/>
        </w:rPr>
      </w:pPr>
    </w:p>
    <w:p w14:paraId="0C13F55E" w14:textId="77777777" w:rsidR="00443366" w:rsidRPr="004A14B6" w:rsidRDefault="00443366" w:rsidP="004A14B6">
      <w:pPr>
        <w:ind w:left="567"/>
        <w:jc w:val="both"/>
        <w:rPr>
          <w:rFonts w:ascii="Verdana" w:eastAsia="Calibri" w:hAnsi="Verdana" w:cs="Arial"/>
          <w:i/>
          <w:sz w:val="18"/>
          <w:szCs w:val="18"/>
          <w:lang w:val="es-CO" w:eastAsia="en-US"/>
        </w:rPr>
      </w:pPr>
      <w:proofErr w:type="gramStart"/>
      <w:r w:rsidRPr="004A14B6">
        <w:rPr>
          <w:rFonts w:ascii="Verdana" w:eastAsia="Calibri" w:hAnsi="Verdana" w:cs="Arial"/>
          <w:sz w:val="18"/>
          <w:szCs w:val="18"/>
          <w:lang w:val="es-CO" w:eastAsia="en-US"/>
        </w:rPr>
        <w:t>”</w:t>
      </w:r>
      <w:r w:rsidRPr="004A14B6">
        <w:rPr>
          <w:rFonts w:ascii="Verdana" w:eastAsia="Calibri" w:hAnsi="Verdana" w:cs="Arial"/>
          <w:i/>
          <w:iCs/>
          <w:sz w:val="18"/>
          <w:szCs w:val="18"/>
          <w:lang w:val="es-CO" w:eastAsia="en-US"/>
        </w:rPr>
        <w:t>[</w:t>
      </w:r>
      <w:proofErr w:type="gramEnd"/>
      <w:r w:rsidRPr="004A14B6">
        <w:rPr>
          <w:rFonts w:ascii="Verdana" w:eastAsia="Calibri" w:hAnsi="Verdana" w:cs="Arial"/>
          <w:i/>
          <w:iCs/>
          <w:sz w:val="18"/>
          <w:szCs w:val="18"/>
          <w:lang w:val="es-CO" w:eastAsia="en-US"/>
        </w:rPr>
        <w:t>…]</w:t>
      </w:r>
      <w:r w:rsidRPr="004A14B6">
        <w:rPr>
          <w:rFonts w:ascii="Verdana" w:eastAsia="Calibri" w:hAnsi="Verdana" w:cs="Arial"/>
          <w:sz w:val="18"/>
          <w:szCs w:val="18"/>
          <w:lang w:val="es-CO" w:eastAsia="en-US"/>
        </w:rPr>
        <w:t xml:space="preserve"> </w:t>
      </w:r>
      <w:r w:rsidRPr="004A14B6">
        <w:rPr>
          <w:rFonts w:ascii="Verdana" w:eastAsia="Calibri" w:hAnsi="Verdana" w:cs="Arial"/>
          <w:i/>
          <w:sz w:val="18"/>
          <w:szCs w:val="18"/>
          <w:lang w:val="es-CO" w:eastAsia="en-US"/>
        </w:rPr>
        <w:t>si bien, continúan algunas debilidades en la calidad del reporte, ha sido fundamental el acompañamiento que ha hecho el MSPS, el cual se debe mantener hasta lograr que la entidad cumpla con porcentajes superiores al 90% cada uno de los indicadores. Por lo tanto, con el avance alcanzado y el continuo acompañamiento del MSPS, es posible dar cumplimiento a la actividad.”</w:t>
      </w:r>
    </w:p>
    <w:p w14:paraId="74B8DACE" w14:textId="77777777" w:rsidR="00443366" w:rsidRPr="00002983" w:rsidRDefault="00443366" w:rsidP="00002983">
      <w:pPr>
        <w:jc w:val="both"/>
        <w:rPr>
          <w:rFonts w:ascii="Verdana" w:eastAsia="Calibri" w:hAnsi="Verdana" w:cs="Arial"/>
          <w:sz w:val="21"/>
          <w:szCs w:val="21"/>
          <w:lang w:val="es-CO" w:eastAsia="en-US"/>
        </w:rPr>
      </w:pPr>
    </w:p>
    <w:p w14:paraId="72AF11DC"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 xml:space="preserve">Finalmente, se recuerda que teniendo en cuenta que esta actividad es continua, los soportes del reporte oportuno y en términos de calidad y suficiencia de la información solicitada por el Gobierno Nacional, deben remitirse periódicamente hasta que se realice el levantamiento de la Medida Correctiva de Suspensión de Giros. </w:t>
      </w:r>
    </w:p>
    <w:p w14:paraId="414D1D08" w14:textId="77777777" w:rsidR="00443366" w:rsidRPr="00002983" w:rsidRDefault="00443366" w:rsidP="00002983">
      <w:pPr>
        <w:jc w:val="both"/>
        <w:rPr>
          <w:rFonts w:ascii="Verdana" w:eastAsia="Calibri" w:hAnsi="Verdana" w:cs="Arial"/>
          <w:sz w:val="21"/>
          <w:szCs w:val="21"/>
          <w:lang w:val="es-CO" w:eastAsia="en-US"/>
        </w:rPr>
      </w:pPr>
    </w:p>
    <w:p w14:paraId="465F9C57"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b/>
          <w:sz w:val="21"/>
          <w:szCs w:val="21"/>
          <w:lang w:val="es-CO" w:eastAsia="en-US"/>
        </w:rPr>
        <w:t xml:space="preserve">Evidencia:  </w:t>
      </w:r>
    </w:p>
    <w:p w14:paraId="5CFD86AD" w14:textId="77777777" w:rsidR="00443366" w:rsidRPr="00002983" w:rsidRDefault="00443366" w:rsidP="00002983">
      <w:pPr>
        <w:jc w:val="both"/>
        <w:rPr>
          <w:rFonts w:ascii="Verdana" w:eastAsia="Calibri" w:hAnsi="Verdana" w:cs="Arial"/>
          <w:b/>
          <w:sz w:val="21"/>
          <w:szCs w:val="21"/>
          <w:lang w:val="es-CO" w:eastAsia="en-US"/>
        </w:rPr>
      </w:pPr>
    </w:p>
    <w:p w14:paraId="05248939"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OBLIGACIÓN No 2. Décimo sexto Informe de la oficina de Control Interno. Sector Salud. Departamento de Córdoba. Historial de seguimiento y control a los recursos del sistema general de participaciones. Expediente digital No 54/2018/D028-PREDI. Radicado No 1-2023- 0102480.</w:t>
      </w:r>
      <w:r w:rsidRPr="00002983">
        <w:rPr>
          <w:sz w:val="21"/>
          <w:szCs w:val="21"/>
        </w:rPr>
        <w:t xml:space="preserve"> </w:t>
      </w:r>
      <w:hyperlink r:id="rId15" w:history="1">
        <w:r w:rsidRPr="00002983">
          <w:rPr>
            <w:rStyle w:val="Hipervnculo"/>
            <w:rFonts w:ascii="Verdana" w:eastAsia="Calibri" w:hAnsi="Verdana" w:cs="Arial"/>
            <w:sz w:val="21"/>
            <w:szCs w:val="21"/>
            <w:lang w:val="es-CO" w:eastAsia="en-US"/>
          </w:rPr>
          <w:t>https://lc.cx/0WeyO-</w:t>
        </w:r>
      </w:hyperlink>
    </w:p>
    <w:p w14:paraId="65B0F22C"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sz w:val="21"/>
          <w:szCs w:val="21"/>
          <w:lang w:val="es-CO" w:eastAsia="en-US"/>
        </w:rPr>
        <w:t xml:space="preserve"> </w:t>
      </w:r>
    </w:p>
    <w:p w14:paraId="5047711A"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b/>
          <w:sz w:val="21"/>
          <w:szCs w:val="21"/>
          <w:lang w:val="es-CO" w:eastAsia="en-US"/>
        </w:rPr>
        <w:t>Obligación 3.</w:t>
      </w:r>
    </w:p>
    <w:p w14:paraId="5FCADA98" w14:textId="77777777" w:rsidR="00443366" w:rsidRPr="00002983" w:rsidRDefault="00443366" w:rsidP="00002983">
      <w:pPr>
        <w:jc w:val="both"/>
        <w:rPr>
          <w:rFonts w:ascii="Verdana" w:eastAsia="Calibri" w:hAnsi="Verdana" w:cs="Arial"/>
          <w:b/>
          <w:sz w:val="21"/>
          <w:szCs w:val="21"/>
          <w:lang w:val="es-CO" w:eastAsia="en-US"/>
        </w:rPr>
      </w:pPr>
    </w:p>
    <w:p w14:paraId="0430E57E"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Creación y puesta en funcionamiento de un Comité de Contratación del Sector Salud, el cual estará conformado por el Gobernador, el Secretario de Desarrollo de la Salud, Secretario de Hacienda, Secretario de Planeación, Jefe de la Oficina Asesora Jurídica, Director Unidad de Contratación, un (1) representante de la Red Pública y un (1) representante de la Red Privada y dos (2) delegados del Consejo Territorial de Planeación; o quien haga sus veces y cuya participación será indelegable, y jefe de la Oficina Asesora de Control Interno quien actuará en calidad de invitado permanente. El Comité recomendará los procesos de contratación que se van a adelantar, los contratistas a seleccionar, los pagos a realizar por concepto de la ejecución de los contratos celebrados, entre otros. Así mismo, la verificación de la facturación reconocida y autorizada para pago, cumplimiento de los requisitos del modelo adoptado en virtud de lo dispuesto en la Resolución 1479 de 2015 (o la norma que la modifique).</w:t>
      </w:r>
    </w:p>
    <w:p w14:paraId="62E0D84E" w14:textId="77777777" w:rsidR="00443366" w:rsidRPr="00002983" w:rsidRDefault="00443366" w:rsidP="00002983">
      <w:pPr>
        <w:jc w:val="both"/>
        <w:rPr>
          <w:rFonts w:ascii="Verdana" w:eastAsia="Calibri" w:hAnsi="Verdana" w:cs="Arial"/>
          <w:sz w:val="21"/>
          <w:szCs w:val="21"/>
          <w:lang w:val="es-CO" w:eastAsia="en-US"/>
        </w:rPr>
      </w:pPr>
    </w:p>
    <w:p w14:paraId="66D717C1"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b/>
          <w:sz w:val="21"/>
          <w:szCs w:val="21"/>
          <w:lang w:val="es-CO" w:eastAsia="en-US"/>
        </w:rPr>
        <w:t xml:space="preserve">Producto 1. </w:t>
      </w:r>
      <w:r w:rsidRPr="00002983">
        <w:rPr>
          <w:rFonts w:ascii="Verdana" w:eastAsia="Calibri" w:hAnsi="Verdana" w:cs="Arial"/>
          <w:sz w:val="21"/>
          <w:szCs w:val="21"/>
          <w:lang w:val="es-CO" w:eastAsia="en-US"/>
        </w:rPr>
        <w:t>Ordenanza departamental mediante la cual se cree el Comité de Seguimiento a los recursos del Fondo Local de Salud, en la cual se describan los integrantes, las funciones del comité y condiciones de operación.</w:t>
      </w:r>
    </w:p>
    <w:p w14:paraId="64B724C6" w14:textId="77777777" w:rsidR="00443366" w:rsidRPr="00002983" w:rsidRDefault="00443366" w:rsidP="00002983">
      <w:pPr>
        <w:jc w:val="both"/>
        <w:rPr>
          <w:rFonts w:ascii="Verdana" w:eastAsia="Calibri" w:hAnsi="Verdana" w:cs="Arial"/>
          <w:sz w:val="21"/>
          <w:szCs w:val="21"/>
          <w:lang w:val="es-CO" w:eastAsia="en-US"/>
        </w:rPr>
      </w:pPr>
    </w:p>
    <w:p w14:paraId="610A9BB7"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b/>
          <w:sz w:val="21"/>
          <w:szCs w:val="21"/>
          <w:lang w:val="es-CO" w:eastAsia="en-US"/>
        </w:rPr>
        <w:t xml:space="preserve">Producto 2. </w:t>
      </w:r>
      <w:r w:rsidRPr="00002983">
        <w:rPr>
          <w:rFonts w:ascii="Verdana" w:eastAsia="Calibri" w:hAnsi="Verdana" w:cs="Arial"/>
          <w:sz w:val="21"/>
          <w:szCs w:val="21"/>
          <w:lang w:val="es-CO" w:eastAsia="en-US"/>
        </w:rPr>
        <w:t>Enlace directo del sitio en la página web de la Entidad Territorial en la cual publicará las actas de reunión del Comité, una vez entre en funcionamiento.</w:t>
      </w:r>
    </w:p>
    <w:p w14:paraId="6F04A8E0" w14:textId="77777777" w:rsidR="00443366" w:rsidRPr="00002983" w:rsidRDefault="00443366" w:rsidP="00002983">
      <w:pPr>
        <w:jc w:val="both"/>
        <w:rPr>
          <w:rFonts w:ascii="Verdana" w:eastAsia="Calibri" w:hAnsi="Verdana" w:cs="Arial"/>
          <w:sz w:val="21"/>
          <w:szCs w:val="21"/>
          <w:lang w:val="es-CO" w:eastAsia="en-US"/>
        </w:rPr>
      </w:pPr>
    </w:p>
    <w:p w14:paraId="20CF7AB6"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b/>
          <w:sz w:val="21"/>
          <w:szCs w:val="21"/>
          <w:lang w:val="es-CO" w:eastAsia="en-US"/>
        </w:rPr>
        <w:t xml:space="preserve">Producto 3. </w:t>
      </w:r>
      <w:r w:rsidRPr="00002983">
        <w:rPr>
          <w:rFonts w:ascii="Verdana" w:eastAsia="Calibri" w:hAnsi="Verdana" w:cs="Arial"/>
          <w:sz w:val="21"/>
          <w:szCs w:val="21"/>
          <w:lang w:val="es-CO" w:eastAsia="en-US"/>
        </w:rPr>
        <w:t>Actas del Comité.</w:t>
      </w:r>
    </w:p>
    <w:p w14:paraId="52A349CB" w14:textId="77777777" w:rsidR="00443366" w:rsidRPr="00002983" w:rsidRDefault="00443366" w:rsidP="00002983">
      <w:pPr>
        <w:jc w:val="both"/>
        <w:rPr>
          <w:rFonts w:ascii="Verdana" w:eastAsia="Calibri" w:hAnsi="Verdana" w:cs="Arial"/>
          <w:sz w:val="21"/>
          <w:szCs w:val="21"/>
          <w:lang w:val="es-CO" w:eastAsia="en-US"/>
        </w:rPr>
      </w:pPr>
    </w:p>
    <w:p w14:paraId="5D52DAFE"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b/>
          <w:sz w:val="21"/>
          <w:szCs w:val="21"/>
          <w:lang w:val="es-CO" w:eastAsia="en-US"/>
        </w:rPr>
        <w:t xml:space="preserve">Evaluación: </w:t>
      </w:r>
      <w:r w:rsidRPr="004A14B6">
        <w:rPr>
          <w:rFonts w:ascii="Verdana" w:eastAsia="Calibri" w:hAnsi="Verdana" w:cs="Arial"/>
          <w:bCs/>
          <w:sz w:val="21"/>
          <w:szCs w:val="21"/>
          <w:lang w:val="es-CO" w:eastAsia="en-US"/>
        </w:rPr>
        <w:t>Cumple</w:t>
      </w:r>
    </w:p>
    <w:p w14:paraId="4EA831D7" w14:textId="77777777" w:rsidR="00443366" w:rsidRPr="00002983" w:rsidRDefault="00443366" w:rsidP="00002983">
      <w:pPr>
        <w:jc w:val="both"/>
        <w:rPr>
          <w:rFonts w:ascii="Verdana" w:eastAsia="Calibri" w:hAnsi="Verdana" w:cs="Arial"/>
          <w:b/>
          <w:sz w:val="21"/>
          <w:szCs w:val="21"/>
          <w:lang w:val="es-CO" w:eastAsia="en-US"/>
        </w:rPr>
      </w:pPr>
    </w:p>
    <w:p w14:paraId="258CF0B4" w14:textId="77777777" w:rsidR="00443366" w:rsidRPr="00002983" w:rsidRDefault="00443366" w:rsidP="00002983">
      <w:pPr>
        <w:pStyle w:val="Sinespaciado"/>
        <w:jc w:val="both"/>
        <w:rPr>
          <w:rFonts w:ascii="Verdana" w:eastAsia="Calibri" w:hAnsi="Verdana" w:cs="Arial"/>
          <w:sz w:val="21"/>
          <w:szCs w:val="21"/>
        </w:rPr>
      </w:pPr>
      <w:r w:rsidRPr="00002983">
        <w:rPr>
          <w:rFonts w:ascii="Verdana" w:eastAsia="Calibri" w:hAnsi="Verdana" w:cs="Arial"/>
          <w:sz w:val="21"/>
          <w:szCs w:val="21"/>
        </w:rPr>
        <w:t xml:space="preserve">Respecto a esta obligación, cabe señalar que esta Dirección emitió su cumplimiento en la evaluación realizada en el mes de julio de 2021. </w:t>
      </w:r>
    </w:p>
    <w:p w14:paraId="2AFAFCF0" w14:textId="77777777" w:rsidR="00443366" w:rsidRPr="00002983" w:rsidRDefault="00443366" w:rsidP="00002983">
      <w:pPr>
        <w:pStyle w:val="Sinespaciado"/>
        <w:jc w:val="both"/>
        <w:rPr>
          <w:rFonts w:ascii="Verdana" w:eastAsia="Calibri" w:hAnsi="Verdana" w:cs="Arial"/>
          <w:sz w:val="21"/>
          <w:szCs w:val="21"/>
        </w:rPr>
      </w:pPr>
    </w:p>
    <w:p w14:paraId="79C64AF7" w14:textId="77777777" w:rsidR="00443366" w:rsidRPr="00002983" w:rsidRDefault="00443366" w:rsidP="00002983">
      <w:pPr>
        <w:pStyle w:val="Sinespaciado"/>
        <w:jc w:val="both"/>
        <w:rPr>
          <w:rFonts w:ascii="Verdana" w:eastAsia="Calibri" w:hAnsi="Verdana" w:cs="Arial"/>
          <w:sz w:val="21"/>
          <w:szCs w:val="21"/>
        </w:rPr>
      </w:pPr>
      <w:r w:rsidRPr="00002983">
        <w:rPr>
          <w:rFonts w:ascii="Verdana" w:eastAsia="Calibri" w:hAnsi="Verdana" w:cs="Arial"/>
          <w:sz w:val="21"/>
          <w:szCs w:val="21"/>
        </w:rPr>
        <w:t xml:space="preserve">No obstante, en cumplimiento de sus competencias, la oficina de control interno en esta oportunidad manifiesta: </w:t>
      </w:r>
    </w:p>
    <w:p w14:paraId="4736E662" w14:textId="77777777" w:rsidR="00443366" w:rsidRPr="00002983" w:rsidRDefault="00443366" w:rsidP="00002983">
      <w:pPr>
        <w:pStyle w:val="Sinespaciado"/>
        <w:jc w:val="both"/>
        <w:rPr>
          <w:rFonts w:ascii="Verdana" w:eastAsia="Calibri" w:hAnsi="Verdana" w:cs="Arial"/>
          <w:sz w:val="21"/>
          <w:szCs w:val="21"/>
        </w:rPr>
      </w:pPr>
    </w:p>
    <w:p w14:paraId="203112CC" w14:textId="77777777" w:rsidR="00443366" w:rsidRPr="004A14B6" w:rsidRDefault="00443366" w:rsidP="004A14B6">
      <w:pPr>
        <w:pStyle w:val="Sinespaciado"/>
        <w:ind w:left="567"/>
        <w:jc w:val="both"/>
        <w:rPr>
          <w:rFonts w:ascii="Verdana" w:eastAsia="Calibri" w:hAnsi="Verdana" w:cs="Arial"/>
          <w:i/>
          <w:sz w:val="18"/>
          <w:szCs w:val="18"/>
        </w:rPr>
      </w:pPr>
      <w:r w:rsidRPr="004A14B6">
        <w:rPr>
          <w:rFonts w:ascii="Verdana" w:eastAsia="Calibri" w:hAnsi="Verdana" w:cs="Arial"/>
          <w:i/>
          <w:sz w:val="18"/>
          <w:szCs w:val="18"/>
        </w:rPr>
        <w:t xml:space="preserve">”[…] Conforme al rol de seguimiento al cumplimiento de estas obligaciones por parte de la Oficina de Control interno, nos permitimos señalar que este producto fue avalado por medio de informe de fecha julio de 2021 emitido por el Ministerio de Hacienda y Crédito Público, en cuanto a la creación y puesta en funcionamiento de un comité de Seguimiento, así mismo se pudo verificar la continuidad de la realización de estos, toda vez que, se llevó a cabo la reunión contemplada en el acta N°1 de fecha 7 de febrero de 2023, Así como también, las consignadas en acta N°2 del 16 de marzo y acta N° 3 del 19 de mayo del mismo año, todas estas, como sesiones ordinarias del Comité de Seguimiento a los Recursos de Salud. Lo anterior, en cumplimiento de la ordenanza 02 de 11 de abril de 2018 y el decreto 0241 del 11 de julio de 2018. </w:t>
      </w:r>
    </w:p>
    <w:p w14:paraId="15AAE3BE" w14:textId="77777777" w:rsidR="00443366" w:rsidRPr="004A14B6" w:rsidRDefault="00443366" w:rsidP="004A14B6">
      <w:pPr>
        <w:pStyle w:val="Sinespaciado"/>
        <w:ind w:left="567"/>
        <w:jc w:val="both"/>
        <w:rPr>
          <w:rFonts w:ascii="Verdana" w:eastAsia="Calibri" w:hAnsi="Verdana" w:cs="Arial"/>
          <w:i/>
          <w:sz w:val="18"/>
          <w:szCs w:val="18"/>
        </w:rPr>
      </w:pPr>
    </w:p>
    <w:p w14:paraId="57EFBC60" w14:textId="77777777" w:rsidR="00443366" w:rsidRPr="004A14B6" w:rsidRDefault="00443366" w:rsidP="004A14B6">
      <w:pPr>
        <w:pStyle w:val="Sinespaciado"/>
        <w:ind w:left="567"/>
        <w:jc w:val="both"/>
        <w:rPr>
          <w:rFonts w:ascii="Verdana" w:eastAsia="Calibri" w:hAnsi="Verdana" w:cs="Arial"/>
          <w:i/>
          <w:sz w:val="18"/>
          <w:szCs w:val="18"/>
        </w:rPr>
      </w:pPr>
      <w:r w:rsidRPr="004A14B6">
        <w:rPr>
          <w:rFonts w:ascii="Verdana" w:eastAsia="Calibri" w:hAnsi="Verdana" w:cs="Arial"/>
          <w:i/>
          <w:sz w:val="18"/>
          <w:szCs w:val="18"/>
        </w:rPr>
        <w:t xml:space="preserve">Es de anotar que, en virtud del cumplimiento de esta obligación, la Oficina de Control Interno solicitó las actas de las sesiones de los Comités de Seguimiento a los Recursos del Fondo Local de Salud y de Contratación del Sector Salud, por medio de Oficios No. 315 del 03 de mayo de 2023, No. 502 del 5 de Julio de 2023. La </w:t>
      </w:r>
      <w:proofErr w:type="gramStart"/>
      <w:r w:rsidRPr="004A14B6">
        <w:rPr>
          <w:rFonts w:ascii="Verdana" w:eastAsia="Calibri" w:hAnsi="Verdana" w:cs="Arial"/>
          <w:i/>
          <w:sz w:val="18"/>
          <w:szCs w:val="18"/>
        </w:rPr>
        <w:t>Secretaria</w:t>
      </w:r>
      <w:proofErr w:type="gramEnd"/>
      <w:r w:rsidRPr="004A14B6">
        <w:rPr>
          <w:rFonts w:ascii="Verdana" w:eastAsia="Calibri" w:hAnsi="Verdana" w:cs="Arial"/>
          <w:i/>
          <w:sz w:val="18"/>
          <w:szCs w:val="18"/>
        </w:rPr>
        <w:t xml:space="preserve"> de Desarrollo de la Salud, allega las actas en mención el día 5 de mayo de la vigencia, al correo institucional oficina.controlinterno@cordoba.gov.co. Es de considerar que los comités tanto de Contratación y de Seguimiento a los Recursos de la Salud, se llevaron a cabo conforme a la necesidad del cumplimiento de sus funciones, en consideración de las obligaciones 1 y 3, no fueron aportadas actas de estos en el conjunto de evidencias solicitadas para la elaboración del informe producto del seguimiento.    </w:t>
      </w:r>
    </w:p>
    <w:p w14:paraId="231A8C3D" w14:textId="77777777" w:rsidR="00443366" w:rsidRPr="004A14B6" w:rsidRDefault="00443366" w:rsidP="004A14B6">
      <w:pPr>
        <w:pStyle w:val="Sinespaciado"/>
        <w:ind w:left="567"/>
        <w:jc w:val="both"/>
        <w:rPr>
          <w:rFonts w:ascii="Verdana" w:eastAsia="Calibri" w:hAnsi="Verdana" w:cs="Arial"/>
          <w:i/>
          <w:sz w:val="18"/>
          <w:szCs w:val="18"/>
        </w:rPr>
      </w:pPr>
    </w:p>
    <w:p w14:paraId="4C82C013" w14:textId="77777777" w:rsidR="00443366" w:rsidRPr="004A14B6" w:rsidRDefault="00443366" w:rsidP="004A14B6">
      <w:pPr>
        <w:pStyle w:val="Sinespaciado"/>
        <w:ind w:left="567"/>
        <w:jc w:val="both"/>
        <w:rPr>
          <w:rFonts w:ascii="Verdana" w:eastAsia="Calibri" w:hAnsi="Verdana" w:cs="Arial"/>
          <w:i/>
          <w:sz w:val="18"/>
          <w:szCs w:val="18"/>
        </w:rPr>
      </w:pPr>
      <w:r w:rsidRPr="004A14B6">
        <w:rPr>
          <w:rFonts w:ascii="Verdana" w:eastAsia="Calibri" w:hAnsi="Verdana" w:cs="Arial"/>
          <w:i/>
          <w:sz w:val="18"/>
          <w:szCs w:val="18"/>
        </w:rPr>
        <w:t xml:space="preserve">Se evidenció en las actas aportadas como soporte de cumplimiento que los temas tratados corresponden a: </w:t>
      </w:r>
    </w:p>
    <w:p w14:paraId="4F0F706B" w14:textId="77777777" w:rsidR="00443366" w:rsidRPr="004A14B6" w:rsidRDefault="00443366" w:rsidP="004A14B6">
      <w:pPr>
        <w:pStyle w:val="Sinespaciado"/>
        <w:ind w:left="567"/>
        <w:jc w:val="both"/>
        <w:rPr>
          <w:rFonts w:ascii="Verdana" w:eastAsia="Calibri" w:hAnsi="Verdana" w:cs="Arial"/>
          <w:i/>
          <w:sz w:val="18"/>
          <w:szCs w:val="18"/>
        </w:rPr>
      </w:pPr>
    </w:p>
    <w:p w14:paraId="1E5898B5" w14:textId="77777777" w:rsidR="00443366" w:rsidRPr="004A14B6" w:rsidRDefault="00443366" w:rsidP="004A14B6">
      <w:pPr>
        <w:pStyle w:val="Sinespaciado"/>
        <w:numPr>
          <w:ilvl w:val="0"/>
          <w:numId w:val="5"/>
        </w:numPr>
        <w:ind w:left="993"/>
        <w:jc w:val="both"/>
        <w:rPr>
          <w:rFonts w:ascii="Verdana" w:eastAsia="Calibri" w:hAnsi="Verdana" w:cs="Arial"/>
          <w:i/>
          <w:sz w:val="18"/>
          <w:szCs w:val="18"/>
        </w:rPr>
      </w:pPr>
      <w:r w:rsidRPr="004A14B6">
        <w:rPr>
          <w:rFonts w:ascii="Verdana" w:eastAsia="Calibri" w:hAnsi="Verdana" w:cs="Arial"/>
          <w:i/>
          <w:sz w:val="18"/>
          <w:szCs w:val="18"/>
        </w:rPr>
        <w:t xml:space="preserve">Reintegros Aportes del Gobierno Nacional Ministerio de Salud </w:t>
      </w:r>
    </w:p>
    <w:p w14:paraId="47E71771" w14:textId="77777777" w:rsidR="00443366" w:rsidRPr="004A14B6" w:rsidRDefault="00443366" w:rsidP="004A14B6">
      <w:pPr>
        <w:pStyle w:val="Sinespaciado"/>
        <w:numPr>
          <w:ilvl w:val="0"/>
          <w:numId w:val="5"/>
        </w:numPr>
        <w:ind w:left="993"/>
        <w:jc w:val="both"/>
        <w:rPr>
          <w:rFonts w:ascii="Verdana" w:eastAsia="Calibri" w:hAnsi="Verdana" w:cs="Arial"/>
          <w:i/>
          <w:sz w:val="18"/>
          <w:szCs w:val="18"/>
        </w:rPr>
      </w:pPr>
      <w:r w:rsidRPr="004A14B6">
        <w:rPr>
          <w:rFonts w:ascii="Verdana" w:eastAsia="Calibri" w:hAnsi="Verdana" w:cs="Arial"/>
          <w:i/>
          <w:sz w:val="18"/>
          <w:szCs w:val="18"/>
        </w:rPr>
        <w:t xml:space="preserve">Ejecución de Ingresos y Gastos 2023 </w:t>
      </w:r>
    </w:p>
    <w:p w14:paraId="077B3307" w14:textId="77777777" w:rsidR="00443366" w:rsidRPr="004A14B6" w:rsidRDefault="00443366" w:rsidP="004A14B6">
      <w:pPr>
        <w:pStyle w:val="Sinespaciado"/>
        <w:numPr>
          <w:ilvl w:val="0"/>
          <w:numId w:val="5"/>
        </w:numPr>
        <w:ind w:left="993"/>
        <w:jc w:val="both"/>
        <w:rPr>
          <w:rFonts w:ascii="Verdana" w:eastAsia="Calibri" w:hAnsi="Verdana" w:cs="Arial"/>
          <w:i/>
          <w:sz w:val="18"/>
          <w:szCs w:val="18"/>
        </w:rPr>
      </w:pPr>
      <w:r w:rsidRPr="004A14B6">
        <w:rPr>
          <w:rFonts w:ascii="Verdana" w:eastAsia="Calibri" w:hAnsi="Verdana" w:cs="Arial"/>
          <w:i/>
          <w:sz w:val="18"/>
          <w:szCs w:val="18"/>
        </w:rPr>
        <w:t xml:space="preserve">Planeación y Presupuesto </w:t>
      </w:r>
    </w:p>
    <w:p w14:paraId="1C615961" w14:textId="77777777" w:rsidR="00443366" w:rsidRPr="004A14B6" w:rsidRDefault="00443366" w:rsidP="004A14B6">
      <w:pPr>
        <w:pStyle w:val="Sinespaciado"/>
        <w:numPr>
          <w:ilvl w:val="0"/>
          <w:numId w:val="5"/>
        </w:numPr>
        <w:ind w:left="993"/>
        <w:jc w:val="both"/>
        <w:rPr>
          <w:rFonts w:ascii="Verdana" w:eastAsia="Calibri" w:hAnsi="Verdana" w:cs="Arial"/>
          <w:i/>
          <w:sz w:val="18"/>
          <w:szCs w:val="18"/>
        </w:rPr>
      </w:pPr>
      <w:r w:rsidRPr="004A14B6">
        <w:rPr>
          <w:rFonts w:ascii="Verdana" w:eastAsia="Calibri" w:hAnsi="Verdana" w:cs="Arial"/>
          <w:i/>
          <w:sz w:val="18"/>
          <w:szCs w:val="18"/>
        </w:rPr>
        <w:t>Contabilización oportuna de las facturas radicadas en la Secretaría de Salud</w:t>
      </w:r>
    </w:p>
    <w:p w14:paraId="5DAE9CCD" w14:textId="77777777" w:rsidR="00443366" w:rsidRPr="004A14B6" w:rsidRDefault="00443366" w:rsidP="004A14B6">
      <w:pPr>
        <w:pStyle w:val="Sinespaciado"/>
        <w:numPr>
          <w:ilvl w:val="0"/>
          <w:numId w:val="5"/>
        </w:numPr>
        <w:ind w:left="993"/>
        <w:jc w:val="both"/>
        <w:rPr>
          <w:rFonts w:ascii="Verdana" w:eastAsia="Calibri" w:hAnsi="Verdana" w:cs="Arial"/>
          <w:i/>
          <w:sz w:val="18"/>
          <w:szCs w:val="18"/>
        </w:rPr>
      </w:pPr>
      <w:r w:rsidRPr="004A14B6">
        <w:rPr>
          <w:rFonts w:ascii="Verdana" w:eastAsia="Calibri" w:hAnsi="Verdana" w:cs="Arial"/>
          <w:i/>
          <w:sz w:val="18"/>
          <w:szCs w:val="18"/>
        </w:rPr>
        <w:t>Cuentas por pagar</w:t>
      </w:r>
    </w:p>
    <w:p w14:paraId="0EC25804" w14:textId="77777777" w:rsidR="00443366" w:rsidRPr="004A14B6" w:rsidRDefault="00443366" w:rsidP="004A14B6">
      <w:pPr>
        <w:pStyle w:val="Sinespaciado"/>
        <w:numPr>
          <w:ilvl w:val="0"/>
          <w:numId w:val="5"/>
        </w:numPr>
        <w:ind w:left="993"/>
        <w:jc w:val="both"/>
        <w:rPr>
          <w:rFonts w:ascii="Verdana" w:eastAsia="Calibri" w:hAnsi="Verdana" w:cs="Arial"/>
          <w:i/>
          <w:sz w:val="18"/>
          <w:szCs w:val="18"/>
        </w:rPr>
      </w:pPr>
      <w:r w:rsidRPr="004A14B6">
        <w:rPr>
          <w:rFonts w:ascii="Verdana" w:eastAsia="Calibri" w:hAnsi="Verdana" w:cs="Arial"/>
          <w:i/>
          <w:sz w:val="18"/>
          <w:szCs w:val="18"/>
        </w:rPr>
        <w:t xml:space="preserve">Reintegros Tesoro </w:t>
      </w:r>
    </w:p>
    <w:p w14:paraId="50B74860" w14:textId="77777777" w:rsidR="00443366" w:rsidRPr="004A14B6" w:rsidRDefault="00443366" w:rsidP="004A14B6">
      <w:pPr>
        <w:pStyle w:val="Sinespaciado"/>
        <w:numPr>
          <w:ilvl w:val="0"/>
          <w:numId w:val="5"/>
        </w:numPr>
        <w:ind w:left="993"/>
        <w:jc w:val="both"/>
        <w:rPr>
          <w:rFonts w:ascii="Verdana" w:eastAsia="Calibri" w:hAnsi="Verdana" w:cs="Arial"/>
          <w:i/>
          <w:sz w:val="18"/>
          <w:szCs w:val="18"/>
        </w:rPr>
      </w:pPr>
      <w:r w:rsidRPr="004A14B6">
        <w:rPr>
          <w:rFonts w:ascii="Verdana" w:eastAsia="Calibri" w:hAnsi="Verdana" w:cs="Arial"/>
          <w:i/>
          <w:sz w:val="18"/>
          <w:szCs w:val="18"/>
        </w:rPr>
        <w:t>Informe Auditoria Salud.</w:t>
      </w:r>
    </w:p>
    <w:p w14:paraId="22606A30" w14:textId="77777777" w:rsidR="006E741A" w:rsidRPr="004A14B6" w:rsidRDefault="006E741A" w:rsidP="004A14B6">
      <w:pPr>
        <w:pStyle w:val="Sinespaciado"/>
        <w:ind w:left="567"/>
        <w:jc w:val="both"/>
        <w:rPr>
          <w:rFonts w:ascii="Verdana" w:eastAsia="Calibri" w:hAnsi="Verdana" w:cs="Arial"/>
          <w:i/>
          <w:sz w:val="18"/>
          <w:szCs w:val="18"/>
        </w:rPr>
      </w:pPr>
    </w:p>
    <w:p w14:paraId="67D668B6" w14:textId="77777777" w:rsidR="00443366" w:rsidRPr="004A14B6" w:rsidRDefault="00443366" w:rsidP="004A14B6">
      <w:pPr>
        <w:pStyle w:val="Sinespaciado"/>
        <w:ind w:left="567"/>
        <w:jc w:val="both"/>
        <w:rPr>
          <w:rFonts w:ascii="Verdana" w:eastAsia="Calibri" w:hAnsi="Verdana" w:cs="Arial"/>
          <w:i/>
          <w:sz w:val="18"/>
          <w:szCs w:val="18"/>
        </w:rPr>
      </w:pPr>
      <w:r w:rsidRPr="004A14B6">
        <w:rPr>
          <w:rFonts w:ascii="Verdana" w:eastAsia="Calibri" w:hAnsi="Verdana" w:cs="Arial"/>
          <w:i/>
          <w:sz w:val="18"/>
          <w:szCs w:val="18"/>
        </w:rPr>
        <w:lastRenderedPageBreak/>
        <w:t>En todas estas sesiones se ha contado con el acompañamiento de la Oficina de Control Interno como invitado permanente y en cumplimiento de sus funciones como garante del seguimiento en cada una de las actuaciones llevadas a cabo por el comité.”</w:t>
      </w:r>
    </w:p>
    <w:p w14:paraId="277BED94" w14:textId="77777777" w:rsidR="00443366" w:rsidRPr="00002983" w:rsidRDefault="00443366" w:rsidP="00002983">
      <w:pPr>
        <w:pStyle w:val="Sinespaciado"/>
        <w:jc w:val="both"/>
        <w:rPr>
          <w:rFonts w:ascii="Verdana" w:eastAsia="Calibri" w:hAnsi="Verdana" w:cs="Arial"/>
          <w:sz w:val="21"/>
          <w:szCs w:val="21"/>
        </w:rPr>
      </w:pPr>
    </w:p>
    <w:p w14:paraId="585609FA" w14:textId="77777777" w:rsidR="00443366" w:rsidRPr="00002983" w:rsidRDefault="00443366" w:rsidP="00002983">
      <w:pPr>
        <w:pStyle w:val="Sinespaciado"/>
        <w:jc w:val="both"/>
        <w:rPr>
          <w:rFonts w:ascii="Verdana" w:eastAsia="Calibri" w:hAnsi="Verdana" w:cs="Arial"/>
          <w:sz w:val="21"/>
          <w:szCs w:val="21"/>
        </w:rPr>
      </w:pPr>
      <w:r w:rsidRPr="00002983">
        <w:rPr>
          <w:rFonts w:ascii="Verdana" w:eastAsia="Calibri" w:hAnsi="Verdana" w:cs="Arial"/>
          <w:sz w:val="21"/>
          <w:szCs w:val="21"/>
        </w:rPr>
        <w:t>Por lo anterior, se ratifica el cumplimiento de la obligación.</w:t>
      </w:r>
    </w:p>
    <w:p w14:paraId="77C99309" w14:textId="77777777" w:rsidR="00443366" w:rsidRPr="00002983" w:rsidRDefault="00443366" w:rsidP="00002983">
      <w:pPr>
        <w:jc w:val="both"/>
        <w:rPr>
          <w:rFonts w:ascii="Verdana" w:eastAsia="Calibri" w:hAnsi="Verdana" w:cs="Arial"/>
          <w:sz w:val="21"/>
          <w:szCs w:val="21"/>
          <w:lang w:val="es-CO" w:eastAsia="en-US"/>
        </w:rPr>
      </w:pPr>
    </w:p>
    <w:p w14:paraId="0B1AAA99"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b/>
          <w:sz w:val="21"/>
          <w:szCs w:val="21"/>
          <w:lang w:val="es-CO" w:eastAsia="en-US"/>
        </w:rPr>
        <w:t>EVIDENCIA</w:t>
      </w:r>
      <w:r w:rsidRPr="00002983">
        <w:rPr>
          <w:rFonts w:ascii="Verdana" w:eastAsia="Calibri" w:hAnsi="Verdana" w:cs="Arial"/>
          <w:sz w:val="21"/>
          <w:szCs w:val="21"/>
          <w:lang w:val="es-CO" w:eastAsia="en-US"/>
        </w:rPr>
        <w:t xml:space="preserve">. </w:t>
      </w:r>
    </w:p>
    <w:p w14:paraId="190F5978" w14:textId="77777777" w:rsidR="00443366" w:rsidRPr="00002983" w:rsidRDefault="00443366" w:rsidP="00002983">
      <w:pPr>
        <w:jc w:val="both"/>
        <w:rPr>
          <w:rFonts w:ascii="Verdana" w:eastAsia="Calibri" w:hAnsi="Verdana" w:cs="Arial"/>
          <w:sz w:val="21"/>
          <w:szCs w:val="21"/>
          <w:lang w:val="es-CO" w:eastAsia="en-US"/>
        </w:rPr>
      </w:pPr>
    </w:p>
    <w:p w14:paraId="7CE818AC"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Décimo sexto Informe de la oficina de Control Interno. Sector Salud. Departamento de Córdoba. Historial de seguimiento y control a los recursos del sistema general de participaciones. Expediente digital No 54/2018/D028-PREDI. Radicado No 1-2023-102480.</w:t>
      </w:r>
      <w:r w:rsidRPr="00002983">
        <w:rPr>
          <w:sz w:val="21"/>
          <w:szCs w:val="21"/>
        </w:rPr>
        <w:t xml:space="preserve"> </w:t>
      </w:r>
      <w:hyperlink r:id="rId16" w:history="1">
        <w:r w:rsidRPr="00002983">
          <w:rPr>
            <w:rStyle w:val="Hipervnculo"/>
            <w:rFonts w:ascii="Verdana" w:eastAsia="Calibri" w:hAnsi="Verdana" w:cs="Arial"/>
            <w:sz w:val="21"/>
            <w:szCs w:val="21"/>
            <w:lang w:val="es-CO" w:eastAsia="en-US"/>
          </w:rPr>
          <w:t>https://lc.cx/0WeyO-</w:t>
        </w:r>
      </w:hyperlink>
    </w:p>
    <w:p w14:paraId="6F0774A5" w14:textId="77777777" w:rsidR="00443366" w:rsidRPr="00002983" w:rsidRDefault="00443366" w:rsidP="00002983">
      <w:pPr>
        <w:pStyle w:val="Sinespaciado"/>
        <w:jc w:val="both"/>
        <w:rPr>
          <w:rFonts w:ascii="Verdana" w:eastAsia="Calibri" w:hAnsi="Verdana" w:cs="Arial"/>
          <w:sz w:val="21"/>
          <w:szCs w:val="21"/>
        </w:rPr>
      </w:pPr>
    </w:p>
    <w:p w14:paraId="0C12C904"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b/>
          <w:sz w:val="21"/>
          <w:szCs w:val="21"/>
          <w:lang w:val="es-CO" w:eastAsia="en-US"/>
        </w:rPr>
        <w:t>Obligación 4.</w:t>
      </w:r>
    </w:p>
    <w:p w14:paraId="47B667A8" w14:textId="77777777" w:rsidR="00443366" w:rsidRPr="00002983" w:rsidRDefault="00443366" w:rsidP="00002983">
      <w:pPr>
        <w:jc w:val="both"/>
        <w:rPr>
          <w:rFonts w:ascii="Verdana" w:eastAsia="Calibri" w:hAnsi="Verdana" w:cs="Arial"/>
          <w:b/>
          <w:sz w:val="21"/>
          <w:szCs w:val="21"/>
          <w:lang w:val="es-CO" w:eastAsia="en-US"/>
        </w:rPr>
      </w:pPr>
    </w:p>
    <w:p w14:paraId="3BB383A1"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 xml:space="preserve">Informe de la Oficina Asesora de Control Interno en el cual se detallen los resultados de los avances en el cumplimiento de las actividades dispuestas para el levantamiento de la Medida Correctiva de Suspensión de Giros y las reuniones de los Comités de seguimiento y contratación una vez entren en funcionamiento, en el marco de las funciones previstas en el Manual de Funciones y Competencias Laborales vigente de la Gobernación de Córdoba. </w:t>
      </w:r>
    </w:p>
    <w:p w14:paraId="70CD8B08" w14:textId="77777777" w:rsidR="00443366" w:rsidRPr="00002983" w:rsidRDefault="00443366" w:rsidP="00002983">
      <w:pPr>
        <w:jc w:val="both"/>
        <w:rPr>
          <w:rFonts w:ascii="Verdana" w:eastAsia="Calibri" w:hAnsi="Verdana" w:cs="Arial"/>
          <w:sz w:val="21"/>
          <w:szCs w:val="21"/>
          <w:lang w:val="es-CO" w:eastAsia="en-US"/>
        </w:rPr>
      </w:pPr>
    </w:p>
    <w:p w14:paraId="185BA00E"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 xml:space="preserve">Este Informe deberá ser remitido y presentado a la Asamblea Departamental y enviado a los organismos de control del nivel Nacional con copia a los del nivel territorial y copia a los Ministerios de Salud y Protección Social y Hacienda y Crédito Público. </w:t>
      </w:r>
    </w:p>
    <w:p w14:paraId="0E17ED2A" w14:textId="77777777" w:rsidR="00443366" w:rsidRPr="00002983" w:rsidRDefault="00443366" w:rsidP="00002983">
      <w:pPr>
        <w:jc w:val="both"/>
        <w:rPr>
          <w:rFonts w:ascii="Verdana" w:eastAsia="Calibri" w:hAnsi="Verdana" w:cs="Arial"/>
          <w:sz w:val="21"/>
          <w:szCs w:val="21"/>
          <w:lang w:val="es-CO" w:eastAsia="en-US"/>
        </w:rPr>
      </w:pPr>
    </w:p>
    <w:p w14:paraId="46F220F3"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 xml:space="preserve">Respecto al Manual de Funciones y Competencias Laborales, se realizarán las modificaciones a que haya lugar para que dicha función quede en cabeza del </w:t>
      </w:r>
      <w:proofErr w:type="gramStart"/>
      <w:r w:rsidRPr="00002983">
        <w:rPr>
          <w:rFonts w:ascii="Verdana" w:eastAsia="Calibri" w:hAnsi="Verdana" w:cs="Arial"/>
          <w:sz w:val="21"/>
          <w:szCs w:val="21"/>
          <w:lang w:val="es-CO" w:eastAsia="en-US"/>
        </w:rPr>
        <w:t>Jefe</w:t>
      </w:r>
      <w:proofErr w:type="gramEnd"/>
      <w:r w:rsidRPr="00002983">
        <w:rPr>
          <w:rFonts w:ascii="Verdana" w:eastAsia="Calibri" w:hAnsi="Verdana" w:cs="Arial"/>
          <w:sz w:val="21"/>
          <w:szCs w:val="21"/>
          <w:lang w:val="es-CO" w:eastAsia="en-US"/>
        </w:rPr>
        <w:t xml:space="preserve"> de la Oficina de Control Interno.</w:t>
      </w:r>
    </w:p>
    <w:p w14:paraId="51E6E910" w14:textId="77777777" w:rsidR="00443366" w:rsidRPr="00002983" w:rsidRDefault="00443366" w:rsidP="00002983">
      <w:pPr>
        <w:jc w:val="both"/>
        <w:rPr>
          <w:rFonts w:ascii="Verdana" w:eastAsia="Calibri" w:hAnsi="Verdana" w:cs="Arial"/>
          <w:sz w:val="21"/>
          <w:szCs w:val="21"/>
          <w:lang w:val="es-CO" w:eastAsia="en-US"/>
        </w:rPr>
      </w:pPr>
    </w:p>
    <w:p w14:paraId="2287DC09"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b/>
          <w:sz w:val="21"/>
          <w:szCs w:val="21"/>
          <w:lang w:val="es-CO" w:eastAsia="en-US"/>
        </w:rPr>
        <w:t xml:space="preserve">Producto 1. </w:t>
      </w:r>
      <w:r w:rsidRPr="00002983">
        <w:rPr>
          <w:rFonts w:ascii="Verdana" w:eastAsia="Calibri" w:hAnsi="Verdana" w:cs="Arial"/>
          <w:sz w:val="21"/>
          <w:szCs w:val="21"/>
          <w:lang w:val="es-CO" w:eastAsia="en-US"/>
        </w:rPr>
        <w:t xml:space="preserve">Informe trimestral de resultados de los avances en el cumplimiento de las actividades dispuestas para el levantamiento de la Medida Correctiva de Suspensión de Giros y las reuniones de los comités, una vez entren en funcionamiento, por parte del jefe de la Oficina de Control Interno y evidencia de envío </w:t>
      </w:r>
      <w:proofErr w:type="gramStart"/>
      <w:r w:rsidRPr="00002983">
        <w:rPr>
          <w:rFonts w:ascii="Verdana" w:eastAsia="Calibri" w:hAnsi="Verdana" w:cs="Arial"/>
          <w:sz w:val="21"/>
          <w:szCs w:val="21"/>
          <w:lang w:val="es-CO" w:eastAsia="en-US"/>
        </w:rPr>
        <w:t>del mismo</w:t>
      </w:r>
      <w:proofErr w:type="gramEnd"/>
      <w:r w:rsidRPr="00002983">
        <w:rPr>
          <w:rFonts w:ascii="Verdana" w:eastAsia="Calibri" w:hAnsi="Verdana" w:cs="Arial"/>
          <w:sz w:val="21"/>
          <w:szCs w:val="21"/>
          <w:lang w:val="es-CO" w:eastAsia="en-US"/>
        </w:rPr>
        <w:t xml:space="preserve"> a la Asamblea departamental, Organismos de control del nivel Nacional y territorial y al Ministerio de Salud y Protección Social.</w:t>
      </w:r>
    </w:p>
    <w:p w14:paraId="51111B36" w14:textId="77777777" w:rsidR="00443366" w:rsidRPr="00002983" w:rsidRDefault="00443366" w:rsidP="00002983">
      <w:pPr>
        <w:jc w:val="both"/>
        <w:rPr>
          <w:rFonts w:ascii="Verdana" w:eastAsia="Calibri" w:hAnsi="Verdana" w:cs="Arial"/>
          <w:sz w:val="21"/>
          <w:szCs w:val="21"/>
          <w:lang w:val="es-CO" w:eastAsia="en-US"/>
        </w:rPr>
      </w:pPr>
    </w:p>
    <w:p w14:paraId="184DCD92"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b/>
          <w:sz w:val="21"/>
          <w:szCs w:val="21"/>
          <w:lang w:val="es-CO" w:eastAsia="en-US"/>
        </w:rPr>
        <w:t xml:space="preserve">Producto 2. </w:t>
      </w:r>
      <w:r w:rsidRPr="00002983">
        <w:rPr>
          <w:rFonts w:ascii="Verdana" w:eastAsia="Calibri" w:hAnsi="Verdana" w:cs="Arial"/>
          <w:sz w:val="21"/>
          <w:szCs w:val="21"/>
          <w:lang w:val="es-CO" w:eastAsia="en-US"/>
        </w:rPr>
        <w:t>Manual de funciones y competencias laborales ajustado, si aplica.</w:t>
      </w:r>
    </w:p>
    <w:p w14:paraId="7BD4238A" w14:textId="77777777" w:rsidR="00443366" w:rsidRPr="00002983" w:rsidRDefault="00443366" w:rsidP="00002983">
      <w:pPr>
        <w:jc w:val="both"/>
        <w:rPr>
          <w:rFonts w:ascii="Verdana" w:eastAsia="Calibri" w:hAnsi="Verdana" w:cs="Arial"/>
          <w:sz w:val="21"/>
          <w:szCs w:val="21"/>
          <w:lang w:val="es-CO" w:eastAsia="en-US"/>
        </w:rPr>
      </w:pPr>
    </w:p>
    <w:p w14:paraId="14646C9B"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b/>
          <w:sz w:val="21"/>
          <w:szCs w:val="21"/>
          <w:lang w:val="es-CO" w:eastAsia="en-US"/>
        </w:rPr>
        <w:t>Evaluación: Cumple</w:t>
      </w:r>
    </w:p>
    <w:p w14:paraId="6BA7395E" w14:textId="77777777" w:rsidR="00443366" w:rsidRPr="00002983" w:rsidRDefault="00443366" w:rsidP="00002983">
      <w:pPr>
        <w:jc w:val="both"/>
        <w:rPr>
          <w:rFonts w:ascii="Verdana" w:eastAsia="Calibri" w:hAnsi="Verdana" w:cs="Arial"/>
          <w:b/>
          <w:sz w:val="21"/>
          <w:szCs w:val="21"/>
          <w:lang w:val="es-CO" w:eastAsia="en-US"/>
        </w:rPr>
      </w:pPr>
    </w:p>
    <w:p w14:paraId="0950BACC" w14:textId="77777777" w:rsidR="00443366" w:rsidRPr="00002983" w:rsidRDefault="00443366" w:rsidP="00002983">
      <w:pPr>
        <w:autoSpaceDE w:val="0"/>
        <w:autoSpaceDN w:val="0"/>
        <w:adjustRightInd w:val="0"/>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 xml:space="preserve">El </w:t>
      </w:r>
      <w:proofErr w:type="gramStart"/>
      <w:r w:rsidRPr="00002983">
        <w:rPr>
          <w:rFonts w:ascii="Verdana" w:eastAsia="Calibri" w:hAnsi="Verdana" w:cs="Arial"/>
          <w:sz w:val="21"/>
          <w:szCs w:val="21"/>
          <w:lang w:val="es-CO" w:eastAsia="en-US"/>
        </w:rPr>
        <w:t>Jefe</w:t>
      </w:r>
      <w:proofErr w:type="gramEnd"/>
      <w:r w:rsidRPr="00002983">
        <w:rPr>
          <w:rFonts w:ascii="Verdana" w:eastAsia="Calibri" w:hAnsi="Verdana" w:cs="Arial"/>
          <w:sz w:val="21"/>
          <w:szCs w:val="21"/>
          <w:lang w:val="es-CO" w:eastAsia="en-US"/>
        </w:rPr>
        <w:t xml:space="preserve"> de la Oficina Asesora de Control Interno de la Gobernación de Córdoba, en cumplimiento del numeral 4 del artículo 3° de la Resolución No. 3033 del 19 de septiembre de 2017, remitió a esta Dirección el informe No</w:t>
      </w:r>
      <w:r w:rsidR="004A14B6">
        <w:rPr>
          <w:rFonts w:ascii="Verdana" w:eastAsia="Calibri" w:hAnsi="Verdana" w:cs="Arial"/>
          <w:sz w:val="21"/>
          <w:szCs w:val="21"/>
          <w:lang w:val="es-CO" w:eastAsia="en-US"/>
        </w:rPr>
        <w:t>.</w:t>
      </w:r>
      <w:r w:rsidRPr="00002983">
        <w:rPr>
          <w:rFonts w:ascii="Verdana" w:eastAsia="Calibri" w:hAnsi="Verdana" w:cs="Arial"/>
          <w:sz w:val="21"/>
          <w:szCs w:val="21"/>
          <w:lang w:val="es-CO" w:eastAsia="en-US"/>
        </w:rPr>
        <w:t xml:space="preserve"> 16 acerca de los avances en el cumplimiento de las actividades establecidas para el levantamiento de la Medida Correctiva de Suspensión de Giros por parte de la Gobernación, bajo el No. 1-2023-102480 del 20 de noviembre de 2023.  </w:t>
      </w:r>
    </w:p>
    <w:p w14:paraId="791ACA18" w14:textId="77777777" w:rsidR="00443366" w:rsidRPr="00002983" w:rsidRDefault="00443366" w:rsidP="00002983">
      <w:pPr>
        <w:autoSpaceDE w:val="0"/>
        <w:autoSpaceDN w:val="0"/>
        <w:adjustRightInd w:val="0"/>
        <w:jc w:val="both"/>
        <w:rPr>
          <w:rFonts w:ascii="Verdana" w:eastAsia="Calibri" w:hAnsi="Verdana" w:cs="Arial"/>
          <w:sz w:val="21"/>
          <w:szCs w:val="21"/>
          <w:lang w:val="es-CO" w:eastAsia="en-US"/>
        </w:rPr>
      </w:pPr>
    </w:p>
    <w:p w14:paraId="13C7FE72" w14:textId="77777777" w:rsidR="00443366" w:rsidRPr="00002983" w:rsidRDefault="00443366" w:rsidP="00002983">
      <w:pPr>
        <w:autoSpaceDE w:val="0"/>
        <w:autoSpaceDN w:val="0"/>
        <w:adjustRightInd w:val="0"/>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En este informe la Oficina de Control Interno concluye:</w:t>
      </w:r>
    </w:p>
    <w:p w14:paraId="7A791B79" w14:textId="77777777" w:rsidR="00443366" w:rsidRPr="00002983" w:rsidRDefault="00443366" w:rsidP="00002983">
      <w:pPr>
        <w:autoSpaceDE w:val="0"/>
        <w:autoSpaceDN w:val="0"/>
        <w:adjustRightInd w:val="0"/>
        <w:jc w:val="both"/>
        <w:rPr>
          <w:rFonts w:ascii="Verdana" w:eastAsia="Calibri" w:hAnsi="Verdana" w:cs="Arial"/>
          <w:sz w:val="21"/>
          <w:szCs w:val="21"/>
          <w:lang w:val="es-CO" w:eastAsia="en-US"/>
        </w:rPr>
      </w:pPr>
    </w:p>
    <w:p w14:paraId="131FFCC7" w14:textId="77777777" w:rsidR="00443366" w:rsidRPr="004A14B6" w:rsidRDefault="00443366" w:rsidP="004A14B6">
      <w:pPr>
        <w:ind w:left="567"/>
        <w:jc w:val="both"/>
        <w:rPr>
          <w:rFonts w:ascii="Verdana" w:eastAsia="Calibri" w:hAnsi="Verdana" w:cs="Arial"/>
          <w:i/>
          <w:iCs/>
          <w:sz w:val="18"/>
          <w:szCs w:val="18"/>
          <w:lang w:val="es-CO" w:eastAsia="en-US"/>
        </w:rPr>
      </w:pPr>
      <w:r w:rsidRPr="004A14B6">
        <w:rPr>
          <w:rFonts w:ascii="Verdana" w:eastAsia="Calibri" w:hAnsi="Verdana" w:cs="Arial"/>
          <w:i/>
          <w:iCs/>
          <w:sz w:val="18"/>
          <w:szCs w:val="18"/>
          <w:lang w:val="es-CO" w:eastAsia="en-US"/>
        </w:rPr>
        <w:t>“[…] La Oficina de control en virtud del seguimiento llevado a cabo en cumplimiento de la obligación No 4 “Realizar los informes trimestrales y enviarlos de conformidad a lo exigido en la Resolución No. 3033 del 2017 en su artículo 3, de los resultados de los avances en el cumplimiento de las actividades dispuestas para el levantamiento de la medida correctiva de suspensión de giros y las reuniones de los comités, una vez entren en funcionamiento por parte del jefe de la Oficina de Control interno”,  evidencia que la entidad territorial presenta avances significativos que se encaminan a la solicitud por parte de la entidad territorial para el levantamiento de la Medida Correctiva de Suspensión de Giros-Resolución 3033 de 2017, al soportar el cumplimiento de las obligaciones descritas a lo largo del informe que se ha estructurado en obligaciones pendientes de cumplimiento y de continuo cumplimiento.”</w:t>
      </w:r>
    </w:p>
    <w:p w14:paraId="4D310FAC" w14:textId="77777777" w:rsidR="00443366" w:rsidRPr="00002983" w:rsidRDefault="00443366" w:rsidP="00002983">
      <w:pPr>
        <w:autoSpaceDE w:val="0"/>
        <w:autoSpaceDN w:val="0"/>
        <w:adjustRightInd w:val="0"/>
        <w:jc w:val="both"/>
        <w:rPr>
          <w:rFonts w:ascii="Verdana" w:eastAsia="Calibri" w:hAnsi="Verdana" w:cs="Arial"/>
          <w:sz w:val="21"/>
          <w:szCs w:val="21"/>
          <w:lang w:val="es-CO" w:eastAsia="en-US"/>
        </w:rPr>
      </w:pPr>
    </w:p>
    <w:p w14:paraId="6E3307DB" w14:textId="77777777" w:rsidR="00443366" w:rsidRPr="00002983" w:rsidRDefault="00443366" w:rsidP="00002983">
      <w:pPr>
        <w:autoSpaceDE w:val="0"/>
        <w:autoSpaceDN w:val="0"/>
        <w:adjustRightInd w:val="0"/>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Es de anotar, que la obligación se dio por cumplida en último informe, sin embargo, se evalúa por ser de carácter permanente.</w:t>
      </w:r>
    </w:p>
    <w:p w14:paraId="36C15C9D" w14:textId="77777777" w:rsidR="00443366" w:rsidRPr="00002983" w:rsidRDefault="00443366" w:rsidP="00002983">
      <w:pPr>
        <w:autoSpaceDE w:val="0"/>
        <w:autoSpaceDN w:val="0"/>
        <w:adjustRightInd w:val="0"/>
        <w:jc w:val="both"/>
        <w:rPr>
          <w:rFonts w:ascii="Verdana" w:eastAsia="Calibri" w:hAnsi="Verdana" w:cs="Arial"/>
          <w:sz w:val="21"/>
          <w:szCs w:val="21"/>
          <w:lang w:val="es-CO" w:eastAsia="en-US"/>
        </w:rPr>
      </w:pPr>
    </w:p>
    <w:p w14:paraId="330AB6D9" w14:textId="77777777" w:rsidR="00443366" w:rsidRPr="00002983" w:rsidRDefault="00443366" w:rsidP="00002983">
      <w:pPr>
        <w:autoSpaceDE w:val="0"/>
        <w:autoSpaceDN w:val="0"/>
        <w:adjustRightInd w:val="0"/>
        <w:jc w:val="both"/>
        <w:rPr>
          <w:rFonts w:ascii="Verdana" w:eastAsia="Calibri" w:hAnsi="Verdana" w:cs="Arial"/>
          <w:sz w:val="21"/>
          <w:szCs w:val="21"/>
          <w:lang w:val="es-CO" w:eastAsia="en-US"/>
        </w:rPr>
      </w:pPr>
      <w:r w:rsidRPr="00002983">
        <w:rPr>
          <w:rFonts w:ascii="Verdana" w:eastAsia="Calibri" w:hAnsi="Verdana" w:cs="Arial"/>
          <w:b/>
          <w:sz w:val="21"/>
          <w:szCs w:val="21"/>
          <w:lang w:val="es-CO" w:eastAsia="en-US"/>
        </w:rPr>
        <w:t>Evidencias</w:t>
      </w:r>
      <w:r w:rsidRPr="00002983">
        <w:rPr>
          <w:rFonts w:ascii="Verdana" w:eastAsia="Calibri" w:hAnsi="Verdana" w:cs="Arial"/>
          <w:sz w:val="21"/>
          <w:szCs w:val="21"/>
          <w:lang w:val="es-CO" w:eastAsia="en-US"/>
        </w:rPr>
        <w:t>:</w:t>
      </w:r>
    </w:p>
    <w:p w14:paraId="3D156512" w14:textId="77777777" w:rsidR="00443366" w:rsidRPr="00002983" w:rsidRDefault="00443366" w:rsidP="00002983">
      <w:pPr>
        <w:autoSpaceDE w:val="0"/>
        <w:autoSpaceDN w:val="0"/>
        <w:adjustRightInd w:val="0"/>
        <w:jc w:val="both"/>
        <w:rPr>
          <w:rFonts w:ascii="Verdana" w:hAnsi="Verdana" w:cs="Arial"/>
          <w:sz w:val="21"/>
          <w:szCs w:val="21"/>
          <w:lang w:val="es-CO"/>
        </w:rPr>
      </w:pPr>
    </w:p>
    <w:p w14:paraId="78D32CE4"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Décimo sexto Informe de la oficina de Control Interno. Sector Salud. Departamento de Córdoba. Historial de seguimiento y control a los recursos del sistema general de participaciones. Expediente digital No 54/2018/D028-PREDI. Radicado No 1-2023-102480.</w:t>
      </w:r>
      <w:r w:rsidRPr="00002983">
        <w:rPr>
          <w:sz w:val="21"/>
          <w:szCs w:val="21"/>
        </w:rPr>
        <w:t xml:space="preserve"> </w:t>
      </w:r>
      <w:hyperlink r:id="rId17" w:history="1">
        <w:r w:rsidRPr="00002983">
          <w:rPr>
            <w:rStyle w:val="Hipervnculo"/>
            <w:rFonts w:ascii="Verdana" w:eastAsia="Calibri" w:hAnsi="Verdana" w:cs="Arial"/>
            <w:sz w:val="21"/>
            <w:szCs w:val="21"/>
            <w:lang w:val="es-CO" w:eastAsia="en-US"/>
          </w:rPr>
          <w:t>https://lc.cx/0WeyO-</w:t>
        </w:r>
      </w:hyperlink>
    </w:p>
    <w:p w14:paraId="586E205C" w14:textId="77777777" w:rsidR="00443366" w:rsidRPr="00002983" w:rsidRDefault="00443366" w:rsidP="00002983">
      <w:pPr>
        <w:pStyle w:val="Sinespaciado"/>
        <w:jc w:val="both"/>
        <w:rPr>
          <w:rFonts w:ascii="Verdana" w:eastAsia="Calibri" w:hAnsi="Verdana" w:cs="Arial"/>
          <w:sz w:val="21"/>
          <w:szCs w:val="21"/>
        </w:rPr>
      </w:pPr>
    </w:p>
    <w:p w14:paraId="13DC5B3E"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b/>
          <w:sz w:val="21"/>
          <w:szCs w:val="21"/>
          <w:lang w:val="es-CO" w:eastAsia="en-US"/>
        </w:rPr>
        <w:t xml:space="preserve">Obligación 5. </w:t>
      </w:r>
    </w:p>
    <w:p w14:paraId="07A509A2" w14:textId="77777777" w:rsidR="00443366" w:rsidRPr="00002983" w:rsidRDefault="00443366" w:rsidP="00002983">
      <w:pPr>
        <w:jc w:val="both"/>
        <w:rPr>
          <w:rFonts w:ascii="Verdana" w:eastAsia="Calibri" w:hAnsi="Verdana" w:cs="Arial"/>
          <w:b/>
          <w:sz w:val="21"/>
          <w:szCs w:val="21"/>
          <w:lang w:val="es-CO" w:eastAsia="en-US"/>
        </w:rPr>
      </w:pPr>
    </w:p>
    <w:p w14:paraId="616F307D"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Diseñar la metodología de acompañamiento y asistencia técnica financiera de las ESE que conforman la Red Departamental, buscando mejorar su desempeño administrativo; con énfasis en aquellas que cuentan con Programas de Saneamiento Fiscal y Financiero vigente, en el marco del Programa Territorial de Reorganización, Rediseño y Modernización de la Red Departamental aprobado por el Ministerio de Salud y Protección Social y están en PGIR.</w:t>
      </w:r>
    </w:p>
    <w:p w14:paraId="01A424CC" w14:textId="77777777" w:rsidR="00443366" w:rsidRPr="00002983" w:rsidRDefault="00443366" w:rsidP="00002983">
      <w:pPr>
        <w:jc w:val="both"/>
        <w:rPr>
          <w:rFonts w:ascii="Verdana" w:eastAsia="Calibri" w:hAnsi="Verdana" w:cs="Arial"/>
          <w:sz w:val="21"/>
          <w:szCs w:val="21"/>
          <w:lang w:val="es-CO" w:eastAsia="en-US"/>
        </w:rPr>
      </w:pPr>
    </w:p>
    <w:p w14:paraId="1124637B"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b/>
          <w:sz w:val="21"/>
          <w:szCs w:val="21"/>
          <w:lang w:val="es-CO" w:eastAsia="en-US"/>
        </w:rPr>
        <w:t xml:space="preserve">Producto. </w:t>
      </w:r>
      <w:r w:rsidRPr="00002983">
        <w:rPr>
          <w:rFonts w:ascii="Verdana" w:eastAsia="Calibri" w:hAnsi="Verdana" w:cs="Arial"/>
          <w:sz w:val="21"/>
          <w:szCs w:val="21"/>
          <w:lang w:val="es-CO" w:eastAsia="en-US"/>
        </w:rPr>
        <w:t>Metodología de acompañamiento y asistencia técnica financiera de las ESE.</w:t>
      </w:r>
    </w:p>
    <w:p w14:paraId="3C091018" w14:textId="77777777" w:rsidR="00443366" w:rsidRPr="00002983" w:rsidRDefault="00443366" w:rsidP="00002983">
      <w:pPr>
        <w:jc w:val="both"/>
        <w:rPr>
          <w:rFonts w:ascii="Verdana" w:eastAsia="Calibri" w:hAnsi="Verdana" w:cs="Arial"/>
          <w:sz w:val="21"/>
          <w:szCs w:val="21"/>
          <w:lang w:val="es-CO" w:eastAsia="en-US"/>
        </w:rPr>
      </w:pPr>
    </w:p>
    <w:p w14:paraId="42BB46B7"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b/>
          <w:sz w:val="21"/>
          <w:szCs w:val="21"/>
          <w:lang w:val="es-CO" w:eastAsia="en-US"/>
        </w:rPr>
        <w:t>Evaluación: Cumple</w:t>
      </w:r>
    </w:p>
    <w:p w14:paraId="2594C27C" w14:textId="77777777" w:rsidR="00443366" w:rsidRPr="00002983" w:rsidRDefault="00443366" w:rsidP="00002983">
      <w:pPr>
        <w:jc w:val="both"/>
        <w:rPr>
          <w:rFonts w:ascii="Verdana" w:eastAsia="Calibri" w:hAnsi="Verdana" w:cs="Arial"/>
          <w:b/>
          <w:sz w:val="21"/>
          <w:szCs w:val="21"/>
          <w:lang w:val="es-CO" w:eastAsia="en-US"/>
        </w:rPr>
      </w:pPr>
    </w:p>
    <w:p w14:paraId="56F5C704"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sz w:val="21"/>
          <w:szCs w:val="21"/>
          <w:lang w:val="es-CO" w:eastAsia="en-US"/>
        </w:rPr>
        <w:t xml:space="preserve">En relación a la obligación citada, esta Dirección ya había considerado su cumplimiento en la evaluación realizada en la vigencia 2021 recomendando optimizar la aplicación de la metodología elaborada de manera que contribuya con el logro de la viabilidad de los Programas de Saneamiento Fiscal y Financiero de las ESE categorizadas en riesgo por el Ministerio de Salud y Protección Social en la vigencia 2019, contribuyendo en el cumplimiento de los Programas de las 3 ESE que se encuentran en ejecución. Por lo anterior el informe de control interno no refiere consideración al respecto. </w:t>
      </w:r>
    </w:p>
    <w:p w14:paraId="2DE0D898" w14:textId="77777777" w:rsidR="00443366" w:rsidRPr="00002983" w:rsidRDefault="00443366" w:rsidP="00002983">
      <w:pPr>
        <w:jc w:val="both"/>
        <w:rPr>
          <w:rFonts w:ascii="Verdana" w:eastAsia="Calibri" w:hAnsi="Verdana" w:cs="Arial"/>
          <w:sz w:val="21"/>
          <w:szCs w:val="21"/>
          <w:lang w:val="es-CO" w:eastAsia="en-US"/>
        </w:rPr>
      </w:pPr>
    </w:p>
    <w:p w14:paraId="25E20787"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b/>
          <w:sz w:val="21"/>
          <w:szCs w:val="21"/>
          <w:lang w:val="es-CO" w:eastAsia="en-US"/>
        </w:rPr>
        <w:t>Obligación 6.</w:t>
      </w:r>
    </w:p>
    <w:p w14:paraId="6B478462" w14:textId="77777777" w:rsidR="00443366" w:rsidRPr="00002983" w:rsidRDefault="00443366" w:rsidP="00002983">
      <w:pPr>
        <w:jc w:val="both"/>
        <w:rPr>
          <w:rFonts w:ascii="Verdana" w:eastAsia="Calibri" w:hAnsi="Verdana" w:cs="Arial"/>
          <w:b/>
          <w:sz w:val="21"/>
          <w:szCs w:val="21"/>
          <w:lang w:val="es-CO" w:eastAsia="en-US"/>
        </w:rPr>
      </w:pPr>
    </w:p>
    <w:p w14:paraId="31AE823D"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Establecer los puntos de control del proceso de verificación de los estándares de habilitación de los Prestadores de Servicio de Salud.</w:t>
      </w:r>
    </w:p>
    <w:p w14:paraId="0EC72186" w14:textId="77777777" w:rsidR="00443366" w:rsidRPr="00002983" w:rsidRDefault="00443366" w:rsidP="00002983">
      <w:pPr>
        <w:jc w:val="both"/>
        <w:rPr>
          <w:rFonts w:ascii="Verdana" w:eastAsia="Calibri" w:hAnsi="Verdana" w:cs="Arial"/>
          <w:sz w:val="21"/>
          <w:szCs w:val="21"/>
          <w:lang w:val="es-CO" w:eastAsia="en-US"/>
        </w:rPr>
      </w:pPr>
    </w:p>
    <w:p w14:paraId="085DD079"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b/>
          <w:sz w:val="21"/>
          <w:szCs w:val="21"/>
          <w:lang w:val="es-CO" w:eastAsia="en-US"/>
        </w:rPr>
        <w:t xml:space="preserve">Producto. </w:t>
      </w:r>
      <w:r w:rsidRPr="00002983">
        <w:rPr>
          <w:rFonts w:ascii="Verdana" w:eastAsia="Calibri" w:hAnsi="Verdana" w:cs="Arial"/>
          <w:sz w:val="21"/>
          <w:szCs w:val="21"/>
          <w:lang w:val="es-CO" w:eastAsia="en-US"/>
        </w:rPr>
        <w:t xml:space="preserve">Documento en el cual se describa el proceso de verificación de los estándares de habilitación de los prestadores, identificando los puntos de control. </w:t>
      </w:r>
    </w:p>
    <w:p w14:paraId="12136DAE" w14:textId="77777777" w:rsidR="00443366" w:rsidRPr="00002983" w:rsidRDefault="00443366" w:rsidP="00002983">
      <w:pPr>
        <w:jc w:val="both"/>
        <w:rPr>
          <w:rFonts w:ascii="Verdana" w:eastAsia="Calibri" w:hAnsi="Verdana" w:cs="Arial"/>
          <w:sz w:val="21"/>
          <w:szCs w:val="21"/>
          <w:lang w:val="es-CO" w:eastAsia="en-US"/>
        </w:rPr>
      </w:pPr>
    </w:p>
    <w:p w14:paraId="0E6356C6"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b/>
          <w:sz w:val="21"/>
          <w:szCs w:val="21"/>
          <w:lang w:val="es-CO" w:eastAsia="en-US"/>
        </w:rPr>
        <w:t xml:space="preserve">Evaluación: </w:t>
      </w:r>
      <w:r w:rsidRPr="004A14B6">
        <w:rPr>
          <w:rFonts w:ascii="Verdana" w:eastAsia="Calibri" w:hAnsi="Verdana" w:cs="Arial"/>
          <w:bCs/>
          <w:sz w:val="21"/>
          <w:szCs w:val="21"/>
          <w:lang w:val="es-CO" w:eastAsia="en-US"/>
        </w:rPr>
        <w:t>Cumple</w:t>
      </w:r>
    </w:p>
    <w:p w14:paraId="1404A401" w14:textId="77777777" w:rsidR="00443366" w:rsidRPr="00002983" w:rsidRDefault="00443366" w:rsidP="00002983">
      <w:pPr>
        <w:jc w:val="both"/>
        <w:rPr>
          <w:rFonts w:ascii="Verdana" w:eastAsia="Calibri" w:hAnsi="Verdana" w:cs="Arial"/>
          <w:b/>
          <w:sz w:val="21"/>
          <w:szCs w:val="21"/>
          <w:lang w:val="es-CO" w:eastAsia="en-US"/>
        </w:rPr>
      </w:pPr>
    </w:p>
    <w:p w14:paraId="11146513"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sz w:val="21"/>
          <w:szCs w:val="21"/>
          <w:lang w:val="es-CO" w:eastAsia="en-US"/>
        </w:rPr>
        <w:t xml:space="preserve">En relación </w:t>
      </w:r>
      <w:r w:rsidR="004A14B6">
        <w:rPr>
          <w:rFonts w:ascii="Verdana" w:eastAsia="Calibri" w:hAnsi="Verdana" w:cs="Arial"/>
          <w:sz w:val="21"/>
          <w:szCs w:val="21"/>
          <w:lang w:val="es-CO" w:eastAsia="en-US"/>
        </w:rPr>
        <w:t>con</w:t>
      </w:r>
      <w:r w:rsidRPr="00002983">
        <w:rPr>
          <w:rFonts w:ascii="Verdana" w:eastAsia="Calibri" w:hAnsi="Verdana" w:cs="Arial"/>
          <w:sz w:val="21"/>
          <w:szCs w:val="21"/>
          <w:lang w:val="es-CO" w:eastAsia="en-US"/>
        </w:rPr>
        <w:t xml:space="preserve"> la obligación citada, esta Dirección ya había considerado su cumplimiento en la evaluación realizada en la vigencia 2021 recomendando dar continuidad al proceso de formalización del proceso para avanzar con su implementación. Por lo anterior el informe de control interno no refiere consideración al respecto. </w:t>
      </w:r>
    </w:p>
    <w:p w14:paraId="567651E8" w14:textId="77777777" w:rsidR="00443366" w:rsidRPr="00002983" w:rsidRDefault="00443366" w:rsidP="00002983">
      <w:pPr>
        <w:jc w:val="both"/>
        <w:rPr>
          <w:rFonts w:ascii="Verdana" w:eastAsia="Calibri" w:hAnsi="Verdana" w:cs="Arial"/>
          <w:sz w:val="21"/>
          <w:szCs w:val="21"/>
          <w:lang w:val="es-CO" w:eastAsia="en-US"/>
        </w:rPr>
      </w:pPr>
    </w:p>
    <w:p w14:paraId="1431207A"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b/>
          <w:sz w:val="21"/>
          <w:szCs w:val="21"/>
          <w:lang w:val="es-CO" w:eastAsia="en-US"/>
        </w:rPr>
        <w:t>Obligación 7.</w:t>
      </w:r>
    </w:p>
    <w:p w14:paraId="3BB7B114" w14:textId="77777777" w:rsidR="00443366" w:rsidRPr="00002983" w:rsidRDefault="00443366" w:rsidP="00002983">
      <w:pPr>
        <w:jc w:val="both"/>
        <w:rPr>
          <w:rFonts w:ascii="Verdana" w:eastAsia="Calibri" w:hAnsi="Verdana" w:cs="Arial"/>
          <w:b/>
          <w:sz w:val="21"/>
          <w:szCs w:val="21"/>
          <w:lang w:val="es-CO" w:eastAsia="en-US"/>
        </w:rPr>
      </w:pPr>
    </w:p>
    <w:p w14:paraId="11110E0E"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Efectuar la depuración de la deuda real derivada de la prestación de servicios y tecnologías No POS suministradas a los afiliados del Régimen Subsidiado, por atención a la población pobre no asegurada y Régimen Subsidiado, si aplica.</w:t>
      </w:r>
    </w:p>
    <w:p w14:paraId="5654F4FE" w14:textId="77777777" w:rsidR="00443366" w:rsidRPr="00002983" w:rsidRDefault="00443366" w:rsidP="00002983">
      <w:pPr>
        <w:jc w:val="both"/>
        <w:rPr>
          <w:rFonts w:ascii="Verdana" w:eastAsia="Calibri" w:hAnsi="Verdana" w:cs="Arial"/>
          <w:b/>
          <w:sz w:val="21"/>
          <w:szCs w:val="21"/>
          <w:lang w:val="es-CO" w:eastAsia="en-US"/>
        </w:rPr>
      </w:pPr>
    </w:p>
    <w:p w14:paraId="1447A02C"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b/>
          <w:sz w:val="21"/>
          <w:szCs w:val="21"/>
          <w:lang w:val="es-CO" w:eastAsia="en-US"/>
        </w:rPr>
        <w:t xml:space="preserve">Producto. </w:t>
      </w:r>
      <w:r w:rsidRPr="00002983">
        <w:rPr>
          <w:rFonts w:ascii="Verdana" w:eastAsia="Calibri" w:hAnsi="Verdana" w:cs="Arial"/>
          <w:sz w:val="21"/>
          <w:szCs w:val="21"/>
          <w:lang w:val="es-CO" w:eastAsia="en-US"/>
        </w:rPr>
        <w:t xml:space="preserve">Informe que contenga la deuda depurada derivada de la prestación de servicios, tecnologías No POS y régimen subsidiado, si aplica. </w:t>
      </w:r>
    </w:p>
    <w:p w14:paraId="1AD8810B" w14:textId="77777777" w:rsidR="00443366" w:rsidRPr="00002983" w:rsidRDefault="00443366" w:rsidP="00002983">
      <w:pPr>
        <w:jc w:val="both"/>
        <w:rPr>
          <w:rFonts w:ascii="Verdana" w:eastAsia="Calibri" w:hAnsi="Verdana" w:cs="Arial"/>
          <w:b/>
          <w:sz w:val="21"/>
          <w:szCs w:val="21"/>
          <w:lang w:val="es-CO" w:eastAsia="en-US"/>
        </w:rPr>
      </w:pPr>
    </w:p>
    <w:p w14:paraId="7EDB3A4A"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b/>
          <w:sz w:val="21"/>
          <w:szCs w:val="21"/>
          <w:lang w:val="es-CO" w:eastAsia="en-US"/>
        </w:rPr>
        <w:t>Evaluación: No cumple</w:t>
      </w:r>
    </w:p>
    <w:p w14:paraId="3B582B09" w14:textId="77777777" w:rsidR="00443366" w:rsidRPr="00002983" w:rsidRDefault="00443366" w:rsidP="00002983">
      <w:pPr>
        <w:jc w:val="both"/>
        <w:rPr>
          <w:rFonts w:ascii="Verdana" w:eastAsia="Calibri" w:hAnsi="Verdana" w:cs="Arial"/>
          <w:b/>
          <w:sz w:val="21"/>
          <w:szCs w:val="21"/>
          <w:lang w:val="es-CO" w:eastAsia="en-US"/>
        </w:rPr>
      </w:pPr>
    </w:p>
    <w:p w14:paraId="4077BF60" w14:textId="77777777" w:rsidR="00443366" w:rsidRPr="00002983" w:rsidRDefault="00962D98" w:rsidP="00002983">
      <w:pPr>
        <w:pStyle w:val="Sinespaciado"/>
        <w:jc w:val="both"/>
        <w:rPr>
          <w:rFonts w:ascii="Verdana" w:eastAsia="Calibri" w:hAnsi="Verdana" w:cs="Arial"/>
          <w:sz w:val="21"/>
          <w:szCs w:val="21"/>
        </w:rPr>
      </w:pPr>
      <w:r w:rsidRPr="00002983">
        <w:rPr>
          <w:rFonts w:ascii="Verdana" w:eastAsia="Calibri" w:hAnsi="Verdana" w:cs="Arial"/>
          <w:sz w:val="21"/>
          <w:szCs w:val="21"/>
        </w:rPr>
        <w:t>R</w:t>
      </w:r>
      <w:r w:rsidR="00443366" w:rsidRPr="00002983">
        <w:rPr>
          <w:rFonts w:ascii="Verdana" w:eastAsia="Calibri" w:hAnsi="Verdana" w:cs="Arial"/>
          <w:sz w:val="21"/>
          <w:szCs w:val="21"/>
        </w:rPr>
        <w:t xml:space="preserve">especto al avance en el proceso de auditoría que </w:t>
      </w:r>
      <w:r w:rsidRPr="00002983">
        <w:rPr>
          <w:rFonts w:ascii="Verdana" w:eastAsia="Calibri" w:hAnsi="Verdana" w:cs="Arial"/>
          <w:sz w:val="21"/>
          <w:szCs w:val="21"/>
        </w:rPr>
        <w:t>adelantó</w:t>
      </w:r>
      <w:r w:rsidR="00443366" w:rsidRPr="00002983">
        <w:rPr>
          <w:rFonts w:ascii="Verdana" w:eastAsia="Calibri" w:hAnsi="Verdana" w:cs="Arial"/>
          <w:sz w:val="21"/>
          <w:szCs w:val="21"/>
        </w:rPr>
        <w:t xml:space="preserve"> la Universidad de Cartagena, en cumplimiento al Contrato Interadministrativo SS-206 de 2021, cuyo objeto es: “Auditoria de cuentas medicas a los servicios y tecnologías en salud no financiadas con cargo a la UPC de los afiliados al régimen subsidiado y población pobre no asegurada a cargo del Departamento de Córdoba, radicadas desde año 2010-2020 en el Departamento de Córdoba”, conforme al informe de trazabilidad N° 14 – Estado de Auditoría de Cuentas Médicas modalidad Cobros/Recobros presentado por el contratista con fecha de corte “16 de octubre de 2023”,</w:t>
      </w:r>
      <w:r w:rsidRPr="00002983">
        <w:rPr>
          <w:rFonts w:ascii="Verdana" w:eastAsia="Calibri" w:hAnsi="Verdana" w:cs="Arial"/>
          <w:sz w:val="21"/>
          <w:szCs w:val="21"/>
        </w:rPr>
        <w:t xml:space="preserve"> la OCI informa </w:t>
      </w:r>
      <w:r w:rsidR="00443366" w:rsidRPr="00002983">
        <w:rPr>
          <w:rFonts w:ascii="Verdana" w:eastAsia="Calibri" w:hAnsi="Verdana" w:cs="Arial"/>
          <w:sz w:val="21"/>
          <w:szCs w:val="21"/>
        </w:rPr>
        <w:t xml:space="preserve">lo siguiente: </w:t>
      </w:r>
    </w:p>
    <w:p w14:paraId="4CF5AE2D" w14:textId="77777777" w:rsidR="00443366" w:rsidRPr="00002983" w:rsidRDefault="00443366" w:rsidP="00002983">
      <w:pPr>
        <w:jc w:val="both"/>
        <w:rPr>
          <w:rFonts w:ascii="Verdana" w:eastAsia="Calibri" w:hAnsi="Verdana" w:cs="Arial"/>
          <w:sz w:val="21"/>
          <w:szCs w:val="21"/>
          <w:lang w:val="es-CO" w:eastAsia="en-US"/>
        </w:rPr>
      </w:pPr>
    </w:p>
    <w:p w14:paraId="0827C832" w14:textId="77777777" w:rsidR="00443366" w:rsidRPr="00002983" w:rsidRDefault="00443366" w:rsidP="00002983">
      <w:pPr>
        <w:jc w:val="both"/>
        <w:rPr>
          <w:rFonts w:ascii="Verdana" w:eastAsia="Calibri" w:hAnsi="Verdana" w:cs="Arial"/>
          <w:sz w:val="21"/>
          <w:szCs w:val="21"/>
          <w:lang w:val="es-CO" w:eastAsia="en-US"/>
        </w:rPr>
      </w:pPr>
      <w:r w:rsidRPr="00002983">
        <w:rPr>
          <w:rFonts w:ascii="Arial" w:hAnsi="Arial" w:cs="Arial"/>
          <w:noProof/>
          <w:sz w:val="21"/>
          <w:szCs w:val="21"/>
          <w:lang w:val="es-CO" w:eastAsia="es-CO"/>
        </w:rPr>
        <w:lastRenderedPageBreak/>
        <w:drawing>
          <wp:inline distT="0" distB="0" distL="0" distR="0" wp14:anchorId="60FA7637" wp14:editId="0395FBF8">
            <wp:extent cx="5611495" cy="2381250"/>
            <wp:effectExtent l="0" t="0" r="8255" b="0"/>
            <wp:docPr id="3044569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56960" name=""/>
                    <pic:cNvPicPr/>
                  </pic:nvPicPr>
                  <pic:blipFill>
                    <a:blip r:embed="rId18"/>
                    <a:stretch>
                      <a:fillRect/>
                    </a:stretch>
                  </pic:blipFill>
                  <pic:spPr>
                    <a:xfrm>
                      <a:off x="0" y="0"/>
                      <a:ext cx="5628444" cy="2388442"/>
                    </a:xfrm>
                    <a:prstGeom prst="rect">
                      <a:avLst/>
                    </a:prstGeom>
                  </pic:spPr>
                </pic:pic>
              </a:graphicData>
            </a:graphic>
          </wp:inline>
        </w:drawing>
      </w:r>
    </w:p>
    <w:p w14:paraId="7937E374" w14:textId="77777777" w:rsidR="00443366" w:rsidRPr="00002983" w:rsidRDefault="00443366" w:rsidP="00002983">
      <w:pPr>
        <w:jc w:val="both"/>
        <w:rPr>
          <w:rFonts w:ascii="Verdana" w:eastAsia="Calibri" w:hAnsi="Verdana" w:cs="Arial"/>
          <w:sz w:val="21"/>
          <w:szCs w:val="21"/>
          <w:lang w:val="es-CO" w:eastAsia="en-US"/>
        </w:rPr>
      </w:pPr>
    </w:p>
    <w:p w14:paraId="701DC94E" w14:textId="77777777" w:rsidR="00443366" w:rsidRPr="00002983" w:rsidRDefault="00443366" w:rsidP="00002983">
      <w:pPr>
        <w:jc w:val="both"/>
        <w:rPr>
          <w:rFonts w:ascii="Arial" w:hAnsi="Arial" w:cs="Arial"/>
          <w:i/>
          <w:sz w:val="21"/>
          <w:szCs w:val="21"/>
        </w:rPr>
      </w:pPr>
      <w:r w:rsidRPr="00002983">
        <w:rPr>
          <w:rFonts w:ascii="Arial" w:hAnsi="Arial" w:cs="Arial"/>
          <w:i/>
          <w:sz w:val="21"/>
          <w:szCs w:val="21"/>
        </w:rPr>
        <w:t>Hasta la fecha del presente corte de seguimiento, se han totalizado exitosamente los valores parciales reportados en el proceso de conciliación. Todos los valores registrados hasta este momento han sido procesados y concluidos de manera satisfactoria, reflejando así un progreso significativo en el avance del proceso de conciliación. Por parte de los prestadores se ha aceptado glosa por un valor de $</w:t>
      </w:r>
      <w:r w:rsidRPr="00002983">
        <w:rPr>
          <w:rFonts w:ascii="Arial" w:hAnsi="Arial" w:cs="Arial"/>
          <w:b/>
          <w:bCs/>
          <w:i/>
          <w:sz w:val="21"/>
          <w:szCs w:val="21"/>
        </w:rPr>
        <w:t xml:space="preserve">4.016.314 </w:t>
      </w:r>
      <w:r w:rsidRPr="00002983">
        <w:rPr>
          <w:rFonts w:ascii="Arial" w:hAnsi="Arial" w:cs="Arial"/>
          <w:i/>
          <w:sz w:val="21"/>
          <w:szCs w:val="21"/>
        </w:rPr>
        <w:t xml:space="preserve">y se ha avalado a pago durante el proceso de conciliación por valor de </w:t>
      </w:r>
      <w:r w:rsidRPr="00002983">
        <w:rPr>
          <w:rFonts w:ascii="Arial" w:hAnsi="Arial" w:cs="Arial"/>
          <w:b/>
          <w:bCs/>
          <w:i/>
          <w:sz w:val="21"/>
          <w:szCs w:val="21"/>
        </w:rPr>
        <w:t>$58.183.493.809</w:t>
      </w:r>
      <w:r w:rsidRPr="00002983">
        <w:rPr>
          <w:rFonts w:ascii="Arial" w:hAnsi="Arial" w:cs="Arial"/>
          <w:i/>
          <w:sz w:val="21"/>
          <w:szCs w:val="21"/>
        </w:rPr>
        <w:t>. El grupo de auditores especializados de la Universidad de Cartagena actualmente se encuentran en jornadas de contingencia de conciliación con los pares de los prestadores de servicios de salud.</w:t>
      </w:r>
    </w:p>
    <w:p w14:paraId="41C0B264" w14:textId="77777777" w:rsidR="00443366" w:rsidRPr="00002983" w:rsidRDefault="00443366" w:rsidP="00002983">
      <w:pPr>
        <w:jc w:val="both"/>
        <w:rPr>
          <w:rFonts w:ascii="Arial" w:hAnsi="Arial" w:cs="Arial"/>
          <w:i/>
          <w:sz w:val="21"/>
          <w:szCs w:val="21"/>
        </w:rPr>
      </w:pPr>
    </w:p>
    <w:p w14:paraId="18888650" w14:textId="77777777" w:rsidR="00443366" w:rsidRPr="00002983" w:rsidRDefault="00443366" w:rsidP="00002983">
      <w:pPr>
        <w:pStyle w:val="Sinespaciado"/>
        <w:jc w:val="both"/>
        <w:rPr>
          <w:rFonts w:ascii="Arial" w:eastAsia="MS Mincho" w:hAnsi="Arial" w:cs="Arial"/>
          <w:i/>
          <w:sz w:val="21"/>
          <w:szCs w:val="21"/>
          <w:lang w:val="es-ES" w:eastAsia="es-ES"/>
        </w:rPr>
      </w:pPr>
      <w:r w:rsidRPr="00002983">
        <w:rPr>
          <w:rFonts w:ascii="Arial" w:eastAsia="MS Mincho" w:hAnsi="Arial" w:cs="Arial"/>
          <w:i/>
          <w:sz w:val="21"/>
          <w:szCs w:val="21"/>
          <w:lang w:val="es-ES" w:eastAsia="es-ES"/>
        </w:rPr>
        <w:t>Como resultado del proceso de auditoría de las cuentas médicas realizado por la Universidad de Cartagena, a continuación, se relaciona el consolidado de valores acorde con la modalidad de la facturación (COBROS Y RECOBROS), informando los valores objetados y avalados a pago durante la auditoria inicial y el proceso de conciliaciones. Se indica que los valores en mención son parciales y corresponden al corte del periodo 1 de junio de 2023 y actualmente nos encontramos en proceso de conciliación tanto con los prestadores/proveedores de servicios de salud como con las EAPB. Se relaciona un valor global auditado por la suma de $163.115.625.857 millones de pesos, el cual discriminamos en el cuadro resumen que se relaciona a continuación</w:t>
      </w:r>
    </w:p>
    <w:p w14:paraId="489578B0" w14:textId="77777777" w:rsidR="00443366" w:rsidRPr="00002983" w:rsidRDefault="00443366" w:rsidP="00002983">
      <w:pPr>
        <w:jc w:val="both"/>
        <w:rPr>
          <w:rFonts w:ascii="Verdana" w:eastAsia="Calibri" w:hAnsi="Verdana" w:cs="Arial"/>
          <w:sz w:val="21"/>
          <w:szCs w:val="21"/>
          <w:lang w:val="es-CO" w:eastAsia="en-US"/>
        </w:rPr>
      </w:pPr>
    </w:p>
    <w:p w14:paraId="2943D8AC" w14:textId="77777777" w:rsidR="00443366" w:rsidRPr="00002983" w:rsidRDefault="00443366" w:rsidP="00002983">
      <w:pPr>
        <w:jc w:val="both"/>
        <w:rPr>
          <w:rFonts w:ascii="Verdana" w:eastAsia="Calibri" w:hAnsi="Verdana" w:cs="Arial"/>
          <w:sz w:val="21"/>
          <w:szCs w:val="21"/>
          <w:lang w:val="es-CO" w:eastAsia="en-US"/>
        </w:rPr>
      </w:pPr>
      <w:r w:rsidRPr="00002983">
        <w:rPr>
          <w:rFonts w:ascii="Arial" w:hAnsi="Arial" w:cs="Arial"/>
          <w:noProof/>
          <w:sz w:val="21"/>
          <w:szCs w:val="21"/>
          <w:lang w:val="es-CO" w:eastAsia="es-CO"/>
        </w:rPr>
        <w:drawing>
          <wp:inline distT="0" distB="0" distL="0" distR="0" wp14:anchorId="2BF0005C" wp14:editId="314A83CB">
            <wp:extent cx="5612130" cy="1136923"/>
            <wp:effectExtent l="0" t="0" r="7620" b="6350"/>
            <wp:docPr id="14689992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999297" name=""/>
                    <pic:cNvPicPr/>
                  </pic:nvPicPr>
                  <pic:blipFill>
                    <a:blip r:embed="rId19"/>
                    <a:stretch>
                      <a:fillRect/>
                    </a:stretch>
                  </pic:blipFill>
                  <pic:spPr>
                    <a:xfrm>
                      <a:off x="0" y="0"/>
                      <a:ext cx="5612130" cy="1136923"/>
                    </a:xfrm>
                    <a:prstGeom prst="rect">
                      <a:avLst/>
                    </a:prstGeom>
                  </pic:spPr>
                </pic:pic>
              </a:graphicData>
            </a:graphic>
          </wp:inline>
        </w:drawing>
      </w:r>
    </w:p>
    <w:p w14:paraId="2ADC0512" w14:textId="77777777" w:rsidR="00443366" w:rsidRPr="00002983" w:rsidRDefault="00443366" w:rsidP="00002983">
      <w:pPr>
        <w:jc w:val="both"/>
        <w:rPr>
          <w:rFonts w:ascii="Verdana" w:eastAsia="Calibri" w:hAnsi="Verdana" w:cs="Arial"/>
          <w:sz w:val="21"/>
          <w:szCs w:val="21"/>
          <w:lang w:val="es-CO" w:eastAsia="en-US"/>
        </w:rPr>
      </w:pPr>
    </w:p>
    <w:p w14:paraId="55BB3B0F" w14:textId="77777777" w:rsidR="00443366" w:rsidRPr="00002983" w:rsidRDefault="00443366" w:rsidP="00002983">
      <w:pPr>
        <w:pStyle w:val="Sinespaciado"/>
        <w:jc w:val="both"/>
        <w:rPr>
          <w:rFonts w:ascii="Arial" w:hAnsi="Arial" w:cs="Arial"/>
          <w:i/>
          <w:sz w:val="21"/>
          <w:szCs w:val="21"/>
        </w:rPr>
      </w:pPr>
      <w:r w:rsidRPr="00002983">
        <w:rPr>
          <w:rFonts w:ascii="Verdana" w:eastAsia="Calibri" w:hAnsi="Verdana" w:cs="Arial"/>
          <w:sz w:val="21"/>
          <w:szCs w:val="21"/>
        </w:rPr>
        <w:t xml:space="preserve">No obstante, lo expuesto y pese a que la entidad avanzó en la depuración de la deuda, persiste el incumplimiento del objetivo previsto, tal como lo menciona la OCI en el informe No 16 </w:t>
      </w:r>
      <w:r w:rsidR="004A14B6" w:rsidRPr="00002983">
        <w:rPr>
          <w:rFonts w:ascii="Verdana" w:eastAsia="Calibri" w:hAnsi="Verdana" w:cs="Arial"/>
          <w:sz w:val="21"/>
          <w:szCs w:val="21"/>
        </w:rPr>
        <w:t>así</w:t>
      </w:r>
      <w:r w:rsidRPr="00002983">
        <w:rPr>
          <w:rFonts w:ascii="Verdana" w:eastAsia="Calibri" w:hAnsi="Verdana" w:cs="Arial"/>
          <w:sz w:val="21"/>
          <w:szCs w:val="21"/>
        </w:rPr>
        <w:t xml:space="preserve">: </w:t>
      </w:r>
      <w:r w:rsidRPr="00002983">
        <w:rPr>
          <w:rFonts w:ascii="Arial" w:hAnsi="Arial" w:cs="Arial"/>
          <w:i/>
          <w:sz w:val="21"/>
          <w:szCs w:val="21"/>
        </w:rPr>
        <w:t>“[…] con base al seguimiento realizado durante este periodo se espera que la universidad culmine el proceso de conciliación del proceso de auditoría y entregue el informe final para dar cumplimiento definitivo a esta obligación en el próximo trimestre.”</w:t>
      </w:r>
    </w:p>
    <w:p w14:paraId="0AD59F25" w14:textId="77777777" w:rsidR="00443366" w:rsidRPr="00002983" w:rsidRDefault="00443366" w:rsidP="00002983">
      <w:pPr>
        <w:jc w:val="both"/>
        <w:rPr>
          <w:rFonts w:ascii="Verdana" w:eastAsia="Calibri" w:hAnsi="Verdana" w:cs="Arial"/>
          <w:sz w:val="21"/>
          <w:szCs w:val="21"/>
          <w:lang w:val="es-CO" w:eastAsia="en-US"/>
        </w:rPr>
      </w:pPr>
    </w:p>
    <w:p w14:paraId="4047091C"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lastRenderedPageBreak/>
        <w:t xml:space="preserve">Por lo anterior y con base en el informe de la OCI, se mantiene el incumplimiento de esta obligación y será evaluado una vez la entidad presente los documentos definitivos de la auditoria, aclarando que los saldos definitivos producto de la auditoria deben ser certificados por </w:t>
      </w:r>
      <w:r w:rsidR="00962D98" w:rsidRPr="00002983">
        <w:rPr>
          <w:rFonts w:ascii="Verdana" w:eastAsia="Calibri" w:hAnsi="Verdana" w:cs="Arial"/>
          <w:sz w:val="21"/>
          <w:szCs w:val="21"/>
          <w:lang w:val="es-CO" w:eastAsia="en-US"/>
        </w:rPr>
        <w:t xml:space="preserve">el representante legal de </w:t>
      </w:r>
      <w:r w:rsidRPr="00002983">
        <w:rPr>
          <w:rFonts w:ascii="Verdana" w:eastAsia="Calibri" w:hAnsi="Verdana" w:cs="Arial"/>
          <w:sz w:val="21"/>
          <w:szCs w:val="21"/>
          <w:lang w:val="es-CO" w:eastAsia="en-US"/>
        </w:rPr>
        <w:t xml:space="preserve">la </w:t>
      </w:r>
      <w:r w:rsidR="004A14B6">
        <w:rPr>
          <w:rFonts w:ascii="Verdana" w:eastAsia="Calibri" w:hAnsi="Verdana" w:cs="Arial"/>
          <w:sz w:val="21"/>
          <w:szCs w:val="21"/>
          <w:lang w:val="es-CO" w:eastAsia="en-US"/>
        </w:rPr>
        <w:t>E</w:t>
      </w:r>
      <w:r w:rsidRPr="00002983">
        <w:rPr>
          <w:rFonts w:ascii="Verdana" w:eastAsia="Calibri" w:hAnsi="Verdana" w:cs="Arial"/>
          <w:sz w:val="21"/>
          <w:szCs w:val="21"/>
          <w:lang w:val="es-CO" w:eastAsia="en-US"/>
        </w:rPr>
        <w:t>ntidad.</w:t>
      </w:r>
    </w:p>
    <w:p w14:paraId="003559A2" w14:textId="77777777" w:rsidR="00443366" w:rsidRPr="00002983" w:rsidRDefault="00443366" w:rsidP="00002983">
      <w:pPr>
        <w:jc w:val="both"/>
        <w:rPr>
          <w:rFonts w:ascii="Verdana" w:eastAsia="Calibri" w:hAnsi="Verdana" w:cs="Arial"/>
          <w:sz w:val="21"/>
          <w:szCs w:val="21"/>
          <w:lang w:val="es-CO" w:eastAsia="en-US"/>
        </w:rPr>
      </w:pPr>
    </w:p>
    <w:p w14:paraId="19BC42E4" w14:textId="77777777" w:rsidR="00443366" w:rsidRPr="00002983" w:rsidRDefault="00443366" w:rsidP="00002983">
      <w:pPr>
        <w:autoSpaceDE w:val="0"/>
        <w:autoSpaceDN w:val="0"/>
        <w:adjustRightInd w:val="0"/>
        <w:jc w:val="both"/>
        <w:rPr>
          <w:rFonts w:ascii="Verdana" w:eastAsia="Calibri" w:hAnsi="Verdana" w:cs="Arial"/>
          <w:b/>
          <w:sz w:val="21"/>
          <w:szCs w:val="21"/>
          <w:lang w:val="es-CO" w:eastAsia="en-US"/>
        </w:rPr>
      </w:pPr>
      <w:r w:rsidRPr="00002983">
        <w:rPr>
          <w:rFonts w:ascii="Verdana" w:eastAsia="Calibri" w:hAnsi="Verdana" w:cs="Arial"/>
          <w:b/>
          <w:sz w:val="21"/>
          <w:szCs w:val="21"/>
          <w:lang w:val="es-CO" w:eastAsia="en-US"/>
        </w:rPr>
        <w:t>Evidencias:</w:t>
      </w:r>
    </w:p>
    <w:p w14:paraId="665EF0A8" w14:textId="77777777" w:rsidR="00443366" w:rsidRPr="00002983" w:rsidRDefault="00443366" w:rsidP="00002983">
      <w:pPr>
        <w:autoSpaceDE w:val="0"/>
        <w:autoSpaceDN w:val="0"/>
        <w:adjustRightInd w:val="0"/>
        <w:jc w:val="both"/>
        <w:rPr>
          <w:rFonts w:ascii="Verdana" w:hAnsi="Verdana" w:cs="Arial"/>
          <w:sz w:val="21"/>
          <w:szCs w:val="21"/>
          <w:lang w:val="es-CO"/>
        </w:rPr>
      </w:pPr>
    </w:p>
    <w:p w14:paraId="63433E58"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hAnsi="Verdana" w:cs="Arial"/>
          <w:sz w:val="21"/>
          <w:szCs w:val="21"/>
          <w:lang w:val="es-CO"/>
        </w:rPr>
        <w:t xml:space="preserve">OBLIGACION No 7. </w:t>
      </w:r>
      <w:r w:rsidRPr="00002983">
        <w:rPr>
          <w:rFonts w:ascii="Verdana" w:eastAsia="Calibri" w:hAnsi="Verdana" w:cs="Arial"/>
          <w:sz w:val="21"/>
          <w:szCs w:val="21"/>
          <w:lang w:val="es-CO" w:eastAsia="en-US"/>
        </w:rPr>
        <w:t>Décimo sexto Informe de la oficina de Control Interno. Sector Salud. Departamento de Córdoba. Historial de seguimiento y control a los recursos del sistema general de participaciones. Expediente digital No 54/2018/D028-PREDI. Radicado No 1-2023-102480.</w:t>
      </w:r>
      <w:r w:rsidRPr="00002983">
        <w:rPr>
          <w:sz w:val="21"/>
          <w:szCs w:val="21"/>
        </w:rPr>
        <w:t xml:space="preserve"> </w:t>
      </w:r>
      <w:hyperlink r:id="rId20" w:history="1">
        <w:r w:rsidRPr="00002983">
          <w:rPr>
            <w:rStyle w:val="Hipervnculo"/>
            <w:rFonts w:ascii="Verdana" w:eastAsia="Calibri" w:hAnsi="Verdana" w:cs="Arial"/>
            <w:sz w:val="21"/>
            <w:szCs w:val="21"/>
            <w:lang w:val="es-CO" w:eastAsia="en-US"/>
          </w:rPr>
          <w:t>https://lc.cx/0WeyO-</w:t>
        </w:r>
      </w:hyperlink>
    </w:p>
    <w:p w14:paraId="25BB95CE" w14:textId="77777777" w:rsidR="00443366" w:rsidRPr="00002983" w:rsidRDefault="00443366" w:rsidP="00002983">
      <w:pPr>
        <w:jc w:val="both"/>
        <w:rPr>
          <w:rFonts w:ascii="Verdana" w:eastAsia="Calibri" w:hAnsi="Verdana" w:cs="Arial"/>
          <w:b/>
          <w:sz w:val="21"/>
          <w:szCs w:val="21"/>
          <w:lang w:val="es-CO" w:eastAsia="en-US"/>
        </w:rPr>
      </w:pPr>
      <w:bookmarkStart w:id="5" w:name="_Hlk481518340"/>
    </w:p>
    <w:p w14:paraId="286EBF87"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b/>
          <w:sz w:val="21"/>
          <w:szCs w:val="21"/>
          <w:lang w:val="es-CO" w:eastAsia="en-US"/>
        </w:rPr>
        <w:t>Obligación 8.</w:t>
      </w:r>
    </w:p>
    <w:p w14:paraId="3BB660A8" w14:textId="77777777" w:rsidR="00443366" w:rsidRPr="00002983" w:rsidRDefault="00443366" w:rsidP="00002983">
      <w:pPr>
        <w:jc w:val="both"/>
        <w:rPr>
          <w:rFonts w:ascii="Verdana" w:eastAsia="Calibri" w:hAnsi="Verdana" w:cs="Arial"/>
          <w:b/>
          <w:sz w:val="21"/>
          <w:szCs w:val="21"/>
          <w:lang w:val="es-CO" w:eastAsia="en-US"/>
        </w:rPr>
      </w:pPr>
    </w:p>
    <w:p w14:paraId="5EA6D2DD"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Una vez depurada, presentar un escenario financiero de saneamiento viable para el pago de la deuda derivada de la prestación de servicios y tecnologías No POS suministradas a los afiliados del Régimen Subsidiado, por atención a la población pobre no asegurada y Régimen Subsidiado, si aplica.</w:t>
      </w:r>
    </w:p>
    <w:p w14:paraId="40F44D37" w14:textId="77777777" w:rsidR="00443366" w:rsidRPr="00002983" w:rsidRDefault="00443366" w:rsidP="00002983">
      <w:pPr>
        <w:jc w:val="both"/>
        <w:rPr>
          <w:rFonts w:ascii="Verdana" w:eastAsia="Calibri" w:hAnsi="Verdana" w:cs="Arial"/>
          <w:b/>
          <w:sz w:val="21"/>
          <w:szCs w:val="21"/>
          <w:lang w:val="es-CO" w:eastAsia="en-US"/>
        </w:rPr>
      </w:pPr>
    </w:p>
    <w:p w14:paraId="77430427"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b/>
          <w:sz w:val="21"/>
          <w:szCs w:val="21"/>
          <w:lang w:val="es-CO" w:eastAsia="en-US"/>
        </w:rPr>
        <w:t xml:space="preserve">Producto. </w:t>
      </w:r>
      <w:r w:rsidRPr="00002983">
        <w:rPr>
          <w:rFonts w:ascii="Verdana" w:eastAsia="Calibri" w:hAnsi="Verdana" w:cs="Arial"/>
          <w:sz w:val="21"/>
          <w:szCs w:val="21"/>
          <w:lang w:val="es-CO" w:eastAsia="en-US"/>
        </w:rPr>
        <w:t xml:space="preserve">Escenario financiero de saneamiento que defina los plazos, identifique los acreedores y detalle las fuentes de financiación. </w:t>
      </w:r>
    </w:p>
    <w:p w14:paraId="61034FD1" w14:textId="77777777" w:rsidR="00443366" w:rsidRPr="00002983" w:rsidRDefault="00443366" w:rsidP="00002983">
      <w:pPr>
        <w:jc w:val="both"/>
        <w:rPr>
          <w:rFonts w:ascii="Verdana" w:eastAsia="Calibri" w:hAnsi="Verdana" w:cs="Arial"/>
          <w:sz w:val="21"/>
          <w:szCs w:val="21"/>
          <w:lang w:val="es-CO" w:eastAsia="en-US"/>
        </w:rPr>
      </w:pPr>
    </w:p>
    <w:p w14:paraId="5719E44F"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b/>
          <w:sz w:val="21"/>
          <w:szCs w:val="21"/>
          <w:lang w:val="es-CO" w:eastAsia="en-US"/>
        </w:rPr>
        <w:t>Evaluación: No cumple</w:t>
      </w:r>
    </w:p>
    <w:p w14:paraId="17588D4F" w14:textId="77777777" w:rsidR="00443366" w:rsidRPr="00002983" w:rsidRDefault="00443366" w:rsidP="00002983">
      <w:pPr>
        <w:jc w:val="both"/>
        <w:rPr>
          <w:rFonts w:ascii="Verdana" w:eastAsia="Calibri" w:hAnsi="Verdana" w:cs="Arial"/>
          <w:sz w:val="21"/>
          <w:szCs w:val="21"/>
          <w:lang w:val="es-CO" w:eastAsia="en-US"/>
        </w:rPr>
      </w:pPr>
    </w:p>
    <w:p w14:paraId="3B31C4AD" w14:textId="77777777" w:rsidR="00443366" w:rsidRPr="00002983" w:rsidRDefault="00443366" w:rsidP="00002983">
      <w:pPr>
        <w:jc w:val="both"/>
        <w:rPr>
          <w:rFonts w:ascii="Verdana" w:eastAsia="Calibri" w:hAnsi="Verdana" w:cs="Arial"/>
          <w:i/>
          <w:sz w:val="21"/>
          <w:szCs w:val="21"/>
          <w:lang w:val="es-CO" w:eastAsia="en-US"/>
        </w:rPr>
      </w:pPr>
      <w:r w:rsidRPr="00002983">
        <w:rPr>
          <w:rFonts w:ascii="Verdana" w:eastAsia="Calibri" w:hAnsi="Verdana" w:cs="Arial"/>
          <w:sz w:val="21"/>
          <w:szCs w:val="21"/>
          <w:lang w:val="es-CO" w:eastAsia="en-US"/>
        </w:rPr>
        <w:t xml:space="preserve">La OCI en su informe menciona que “[…] </w:t>
      </w:r>
      <w:r w:rsidRPr="00002983">
        <w:rPr>
          <w:rFonts w:ascii="Verdana" w:eastAsia="Calibri" w:hAnsi="Verdana" w:cs="Arial"/>
          <w:i/>
          <w:sz w:val="21"/>
          <w:szCs w:val="21"/>
          <w:lang w:val="es-CO" w:eastAsia="en-US"/>
        </w:rPr>
        <w:t xml:space="preserve">Según el oficio SDSC-00266-2023 emitido por la Secretaría de Desarrollo de la Salud y enviado al Dr. Néstor Mauricio Urrea Duque, </w:t>
      </w:r>
      <w:proofErr w:type="gramStart"/>
      <w:r w:rsidRPr="00002983">
        <w:rPr>
          <w:rFonts w:ascii="Verdana" w:eastAsia="Calibri" w:hAnsi="Verdana" w:cs="Arial"/>
          <w:i/>
          <w:sz w:val="21"/>
          <w:szCs w:val="21"/>
          <w:lang w:val="es-CO" w:eastAsia="en-US"/>
        </w:rPr>
        <w:t>Director General</w:t>
      </w:r>
      <w:proofErr w:type="gramEnd"/>
      <w:r w:rsidRPr="00002983">
        <w:rPr>
          <w:rFonts w:ascii="Verdana" w:eastAsia="Calibri" w:hAnsi="Verdana" w:cs="Arial"/>
          <w:i/>
          <w:sz w:val="21"/>
          <w:szCs w:val="21"/>
          <w:lang w:val="es-CO" w:eastAsia="en-US"/>
        </w:rPr>
        <w:t xml:space="preserve"> de Apoyo Fiscal del Ministerio de Hacienda y Crédito Público, fechado el 20 de octubre de 2023, se informa que, tras establecer un valor de deuda cierta derivada de un proceso de auditoría, se han elaborado dos escenarios financieros viables para el pago de dicha deuda. Estos escenarios se centran en la deuda derivada de la prestación de servicios y tecnologías NO PBS suministradas a los afiliados del Régimen Subsidiado por atención a la Población Pobre No Asegurada o Régimen Subsidiado. Uno de los escenarios corresponde a la deuda cierta, mientras que el otro es un escenario contingente que abarca la suma de la facturación no conciliada. Este último escenario se propone y se sustenta en la obligación N° 7 establecida. “</w:t>
      </w:r>
    </w:p>
    <w:p w14:paraId="7F52E46E" w14:textId="77777777" w:rsidR="00443366" w:rsidRPr="00002983" w:rsidRDefault="00443366" w:rsidP="00002983">
      <w:pPr>
        <w:jc w:val="both"/>
        <w:rPr>
          <w:rFonts w:ascii="Verdana" w:eastAsia="Calibri" w:hAnsi="Verdana" w:cs="Arial"/>
          <w:i/>
          <w:sz w:val="21"/>
          <w:szCs w:val="21"/>
          <w:lang w:val="es-CO" w:eastAsia="en-US"/>
        </w:rPr>
      </w:pPr>
    </w:p>
    <w:p w14:paraId="2A124A05"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Aunque la OCI envía las dos propuestas de escenarios para el pago de la deuda, los cuales son consistentes con saldos auditados y conciliados y con la propuesta de generar un escenario que incluya como contingencias los valores que aún no están conciliados, es necesario que el saldo de la deuda definitivo sea certificado por la gobernación, con el fin de dar consentimiento a los escenarios propuestos.</w:t>
      </w:r>
    </w:p>
    <w:p w14:paraId="1AAE779D" w14:textId="77777777" w:rsidR="00443366" w:rsidRPr="00002983" w:rsidRDefault="00443366" w:rsidP="00002983">
      <w:pPr>
        <w:jc w:val="both"/>
        <w:rPr>
          <w:rFonts w:ascii="Verdana" w:eastAsia="Calibri" w:hAnsi="Verdana" w:cs="Arial"/>
          <w:sz w:val="21"/>
          <w:szCs w:val="21"/>
          <w:lang w:val="es-CO" w:eastAsia="en-US"/>
        </w:rPr>
      </w:pPr>
    </w:p>
    <w:p w14:paraId="322F74B0"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 xml:space="preserve">Por lo anterior y dado que la </w:t>
      </w:r>
      <w:r w:rsidR="004A14B6">
        <w:rPr>
          <w:rFonts w:ascii="Verdana" w:eastAsia="Calibri" w:hAnsi="Verdana" w:cs="Arial"/>
          <w:sz w:val="21"/>
          <w:szCs w:val="21"/>
          <w:lang w:val="es-CO" w:eastAsia="en-US"/>
        </w:rPr>
        <w:t>E</w:t>
      </w:r>
      <w:r w:rsidRPr="00002983">
        <w:rPr>
          <w:rFonts w:ascii="Verdana" w:eastAsia="Calibri" w:hAnsi="Verdana" w:cs="Arial"/>
          <w:sz w:val="21"/>
          <w:szCs w:val="21"/>
          <w:lang w:val="es-CO" w:eastAsia="en-US"/>
        </w:rPr>
        <w:t xml:space="preserve">ntidad </w:t>
      </w:r>
      <w:r w:rsidR="004A14B6">
        <w:rPr>
          <w:rFonts w:ascii="Verdana" w:eastAsia="Calibri" w:hAnsi="Verdana" w:cs="Arial"/>
          <w:sz w:val="21"/>
          <w:szCs w:val="21"/>
          <w:lang w:val="es-CO" w:eastAsia="en-US"/>
        </w:rPr>
        <w:t>T</w:t>
      </w:r>
      <w:r w:rsidRPr="00002983">
        <w:rPr>
          <w:rFonts w:ascii="Verdana" w:eastAsia="Calibri" w:hAnsi="Verdana" w:cs="Arial"/>
          <w:sz w:val="21"/>
          <w:szCs w:val="21"/>
          <w:lang w:val="es-CO" w:eastAsia="en-US"/>
        </w:rPr>
        <w:t xml:space="preserve">erritorial es la encargada de enviar los cumplimientos de las actividades, con la información entregada por la OCI, no es suficiente para dar por cumplida la obligación. De tal forma, que es necesario el pronunciamiento de la entidad y el consentimiento de la misma frente a la </w:t>
      </w:r>
      <w:r w:rsidRPr="00002983">
        <w:rPr>
          <w:rFonts w:ascii="Verdana" w:eastAsia="Calibri" w:hAnsi="Verdana" w:cs="Arial"/>
          <w:sz w:val="21"/>
          <w:szCs w:val="21"/>
          <w:lang w:val="es-CO" w:eastAsia="en-US"/>
        </w:rPr>
        <w:lastRenderedPageBreak/>
        <w:t>certificación del resultado de la auditoria y la propuesta entregada por la OCI, en los escenarios propuestos.</w:t>
      </w:r>
    </w:p>
    <w:p w14:paraId="619C55AF" w14:textId="77777777" w:rsidR="00443366" w:rsidRPr="00002983" w:rsidRDefault="00443366" w:rsidP="00002983">
      <w:pPr>
        <w:jc w:val="both"/>
        <w:rPr>
          <w:rFonts w:ascii="Verdana" w:eastAsia="Calibri" w:hAnsi="Verdana" w:cs="Arial"/>
          <w:sz w:val="21"/>
          <w:szCs w:val="21"/>
          <w:lang w:val="es-CO" w:eastAsia="en-US"/>
        </w:rPr>
      </w:pPr>
    </w:p>
    <w:p w14:paraId="458FFAEF"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b/>
          <w:sz w:val="21"/>
          <w:szCs w:val="21"/>
          <w:lang w:val="es-CO" w:eastAsia="en-US"/>
        </w:rPr>
        <w:t>Evidencia:</w:t>
      </w:r>
    </w:p>
    <w:p w14:paraId="3F9A6CEE" w14:textId="77777777" w:rsidR="00443366" w:rsidRPr="00002983" w:rsidRDefault="00443366" w:rsidP="00002983">
      <w:pPr>
        <w:jc w:val="both"/>
        <w:rPr>
          <w:rFonts w:ascii="Verdana" w:eastAsia="Calibri" w:hAnsi="Verdana" w:cs="Arial"/>
          <w:sz w:val="21"/>
          <w:szCs w:val="21"/>
          <w:lang w:val="es-CO" w:eastAsia="en-US"/>
        </w:rPr>
      </w:pPr>
    </w:p>
    <w:p w14:paraId="2251B297"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hAnsi="Verdana" w:cs="Arial"/>
          <w:sz w:val="21"/>
          <w:szCs w:val="21"/>
          <w:lang w:val="es-CO"/>
        </w:rPr>
        <w:t xml:space="preserve">OBLIGACION No 8. </w:t>
      </w:r>
      <w:r w:rsidRPr="00002983">
        <w:rPr>
          <w:rFonts w:ascii="Verdana" w:eastAsia="Calibri" w:hAnsi="Verdana" w:cs="Arial"/>
          <w:sz w:val="21"/>
          <w:szCs w:val="21"/>
          <w:lang w:val="es-CO" w:eastAsia="en-US"/>
        </w:rPr>
        <w:t>Décimo sexto Informe de la oficina de Control Interno. Sector Salud. Departamento de Córdoba. Historial de seguimiento y control a los recursos del sistema general de participaciones. Expediente digital No 54/2018/D028-PREDI. Radicado No 1-2023-102480.</w:t>
      </w:r>
      <w:r w:rsidRPr="00002983">
        <w:rPr>
          <w:sz w:val="21"/>
          <w:szCs w:val="21"/>
        </w:rPr>
        <w:t xml:space="preserve"> </w:t>
      </w:r>
      <w:hyperlink r:id="rId21" w:history="1">
        <w:r w:rsidRPr="00002983">
          <w:rPr>
            <w:rStyle w:val="Hipervnculo"/>
            <w:rFonts w:ascii="Verdana" w:eastAsia="Calibri" w:hAnsi="Verdana" w:cs="Arial"/>
            <w:sz w:val="21"/>
            <w:szCs w:val="21"/>
            <w:lang w:val="es-CO" w:eastAsia="en-US"/>
          </w:rPr>
          <w:t>https://lc.cx/0WeyO-</w:t>
        </w:r>
      </w:hyperlink>
    </w:p>
    <w:p w14:paraId="333D1350" w14:textId="77777777" w:rsidR="00443366" w:rsidRPr="00002983" w:rsidRDefault="00443366" w:rsidP="00002983">
      <w:pPr>
        <w:jc w:val="both"/>
        <w:rPr>
          <w:rFonts w:ascii="Verdana" w:eastAsia="Calibri" w:hAnsi="Verdana" w:cs="Arial"/>
          <w:sz w:val="21"/>
          <w:szCs w:val="21"/>
          <w:lang w:val="es-CO" w:eastAsia="en-US"/>
        </w:rPr>
      </w:pPr>
    </w:p>
    <w:p w14:paraId="491AB057"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b/>
          <w:sz w:val="21"/>
          <w:szCs w:val="21"/>
          <w:lang w:val="es-CO" w:eastAsia="en-US"/>
        </w:rPr>
        <w:t>Obligación 9.</w:t>
      </w:r>
    </w:p>
    <w:p w14:paraId="1FEBD000" w14:textId="77777777" w:rsidR="00443366" w:rsidRPr="00002983" w:rsidRDefault="00443366" w:rsidP="00002983">
      <w:pPr>
        <w:pStyle w:val="Prrafodelista"/>
        <w:ind w:left="0"/>
        <w:jc w:val="both"/>
        <w:rPr>
          <w:rFonts w:ascii="Verdana" w:hAnsi="Verdana" w:cs="Arial"/>
          <w:sz w:val="21"/>
          <w:szCs w:val="21"/>
        </w:rPr>
      </w:pPr>
    </w:p>
    <w:p w14:paraId="34975409" w14:textId="77777777" w:rsidR="00443366" w:rsidRPr="00002983" w:rsidRDefault="00443366" w:rsidP="00002983">
      <w:pPr>
        <w:pStyle w:val="Prrafodelista"/>
        <w:ind w:left="0"/>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Incluir dentro del Marco Fiscal de Mediano Plazo un análisis del impacto de la deuda derivada de prestación de servicios a la Población Pobre no Asegurada, atenciones No POS y Régimen Subsidiado, si aplica, y diseñar e implementar estrategias que contribuyan a la contención de las deudas derivadas del No POS y la prestación de servicios.</w:t>
      </w:r>
    </w:p>
    <w:p w14:paraId="2C7FB46A" w14:textId="77777777" w:rsidR="00443366" w:rsidRPr="00002983" w:rsidRDefault="00443366" w:rsidP="00002983">
      <w:pPr>
        <w:pStyle w:val="Prrafodelista"/>
        <w:ind w:left="0"/>
        <w:jc w:val="both"/>
        <w:rPr>
          <w:rFonts w:ascii="Verdana" w:eastAsia="Calibri" w:hAnsi="Verdana" w:cs="Arial"/>
          <w:sz w:val="21"/>
          <w:szCs w:val="21"/>
          <w:lang w:val="es-CO" w:eastAsia="en-US"/>
        </w:rPr>
      </w:pPr>
    </w:p>
    <w:p w14:paraId="3A390380" w14:textId="77777777" w:rsidR="00443366" w:rsidRPr="00002983" w:rsidRDefault="00443366" w:rsidP="00002983">
      <w:pPr>
        <w:pStyle w:val="Prrafodelista"/>
        <w:ind w:left="0"/>
        <w:jc w:val="both"/>
        <w:rPr>
          <w:rFonts w:ascii="Verdana" w:eastAsia="Calibri" w:hAnsi="Verdana" w:cs="Arial"/>
          <w:sz w:val="21"/>
          <w:szCs w:val="21"/>
          <w:lang w:val="es-CO" w:eastAsia="en-US"/>
        </w:rPr>
      </w:pPr>
      <w:r w:rsidRPr="00002983">
        <w:rPr>
          <w:rFonts w:ascii="Verdana" w:eastAsia="Calibri" w:hAnsi="Verdana" w:cs="Arial"/>
          <w:b/>
          <w:sz w:val="21"/>
          <w:szCs w:val="21"/>
          <w:lang w:val="es-CO" w:eastAsia="en-US"/>
        </w:rPr>
        <w:t xml:space="preserve">Producto 1. </w:t>
      </w:r>
      <w:r w:rsidRPr="00002983">
        <w:rPr>
          <w:rFonts w:ascii="Verdana" w:eastAsia="Calibri" w:hAnsi="Verdana" w:cs="Arial"/>
          <w:sz w:val="21"/>
          <w:szCs w:val="21"/>
          <w:lang w:val="es-CO" w:eastAsia="en-US"/>
        </w:rPr>
        <w:t>Documento de análisis en el Marco Fiscal de Mediano Plazo y las estrategias que contribuyan a la contención de la deuda.</w:t>
      </w:r>
    </w:p>
    <w:p w14:paraId="384819CC" w14:textId="77777777" w:rsidR="00443366" w:rsidRPr="00002983" w:rsidRDefault="00443366" w:rsidP="00002983">
      <w:pPr>
        <w:pStyle w:val="Prrafodelista"/>
        <w:ind w:left="0"/>
        <w:jc w:val="both"/>
        <w:rPr>
          <w:rFonts w:ascii="Verdana" w:eastAsia="Calibri" w:hAnsi="Verdana" w:cs="Arial"/>
          <w:sz w:val="21"/>
          <w:szCs w:val="21"/>
          <w:lang w:val="es-CO" w:eastAsia="en-US"/>
        </w:rPr>
      </w:pPr>
    </w:p>
    <w:p w14:paraId="411267D9" w14:textId="77777777" w:rsidR="00443366" w:rsidRPr="00002983" w:rsidRDefault="00443366" w:rsidP="00002983">
      <w:pPr>
        <w:pStyle w:val="Prrafodelista"/>
        <w:ind w:left="0"/>
        <w:jc w:val="both"/>
        <w:rPr>
          <w:rFonts w:ascii="Verdana" w:eastAsia="Calibri" w:hAnsi="Verdana" w:cs="Arial"/>
          <w:sz w:val="21"/>
          <w:szCs w:val="21"/>
          <w:lang w:val="es-CO" w:eastAsia="en-US"/>
        </w:rPr>
      </w:pPr>
      <w:r w:rsidRPr="00002983">
        <w:rPr>
          <w:rFonts w:ascii="Verdana" w:eastAsia="Calibri" w:hAnsi="Verdana" w:cs="Arial"/>
          <w:b/>
          <w:sz w:val="21"/>
          <w:szCs w:val="21"/>
          <w:lang w:val="es-CO" w:eastAsia="en-US"/>
        </w:rPr>
        <w:t xml:space="preserve">Producto 2. </w:t>
      </w:r>
      <w:r w:rsidRPr="00002983">
        <w:rPr>
          <w:rFonts w:ascii="Verdana" w:eastAsia="Calibri" w:hAnsi="Verdana" w:cs="Arial"/>
          <w:sz w:val="21"/>
          <w:szCs w:val="21"/>
          <w:lang w:val="es-CO" w:eastAsia="en-US"/>
        </w:rPr>
        <w:t xml:space="preserve">Plan Financiero Territorial de Salud del Departamento viabilizado por los Ministerios de Salud y Protección Social y Hacienda y Crédito Público, en los términos que establecen las Resoluciones 4015 de 2013 y 4834 de 2015. </w:t>
      </w:r>
    </w:p>
    <w:p w14:paraId="7A26C745" w14:textId="77777777" w:rsidR="00443366" w:rsidRPr="00002983" w:rsidRDefault="00443366" w:rsidP="00002983">
      <w:pPr>
        <w:pStyle w:val="Prrafodelista"/>
        <w:ind w:left="0"/>
        <w:jc w:val="both"/>
        <w:rPr>
          <w:rFonts w:ascii="Verdana" w:hAnsi="Verdana" w:cs="Arial"/>
          <w:sz w:val="21"/>
          <w:szCs w:val="21"/>
        </w:rPr>
      </w:pPr>
    </w:p>
    <w:p w14:paraId="3CB7A14C"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b/>
          <w:sz w:val="21"/>
          <w:szCs w:val="21"/>
          <w:lang w:val="es-CO" w:eastAsia="en-US"/>
        </w:rPr>
        <w:t>Evaluación: No cumple</w:t>
      </w:r>
    </w:p>
    <w:p w14:paraId="6BB3A491" w14:textId="77777777" w:rsidR="00443366" w:rsidRPr="00002983" w:rsidRDefault="00443366" w:rsidP="00002983">
      <w:pPr>
        <w:jc w:val="both"/>
        <w:rPr>
          <w:rFonts w:ascii="Verdana" w:eastAsia="Calibri" w:hAnsi="Verdana" w:cs="Arial"/>
          <w:sz w:val="21"/>
          <w:szCs w:val="21"/>
          <w:lang w:val="es-CO" w:eastAsia="en-US"/>
        </w:rPr>
      </w:pPr>
    </w:p>
    <w:p w14:paraId="65BD4536" w14:textId="77777777" w:rsidR="00443366" w:rsidRPr="00002983" w:rsidRDefault="00443366" w:rsidP="00002983">
      <w:pPr>
        <w:autoSpaceDE w:val="0"/>
        <w:autoSpaceDN w:val="0"/>
        <w:jc w:val="both"/>
        <w:rPr>
          <w:rFonts w:ascii="Verdana" w:hAnsi="Verdana"/>
          <w:sz w:val="21"/>
          <w:szCs w:val="21"/>
          <w:lang w:eastAsia="en-US"/>
        </w:rPr>
      </w:pPr>
      <w:r w:rsidRPr="00002983">
        <w:rPr>
          <w:rFonts w:ascii="Verdana" w:eastAsia="Calibri" w:hAnsi="Verdana" w:cs="Arial"/>
          <w:sz w:val="21"/>
          <w:szCs w:val="21"/>
          <w:lang w:val="es-CO" w:eastAsia="en-US"/>
        </w:rPr>
        <w:t xml:space="preserve">La Entidad Territorial aportó en el informe No 9 del 27 de diciembre de 2021 radicado No 1-2021-114724 evidencia que </w:t>
      </w:r>
      <w:r w:rsidR="00962D98" w:rsidRPr="00002983">
        <w:rPr>
          <w:rFonts w:ascii="Verdana" w:eastAsia="Calibri" w:hAnsi="Verdana" w:cs="Arial"/>
          <w:sz w:val="21"/>
          <w:szCs w:val="21"/>
          <w:lang w:val="es-CO" w:eastAsia="en-US"/>
        </w:rPr>
        <w:t>dio</w:t>
      </w:r>
      <w:r w:rsidRPr="00002983">
        <w:rPr>
          <w:rFonts w:ascii="Verdana" w:eastAsia="Calibri" w:hAnsi="Verdana" w:cs="Arial"/>
          <w:sz w:val="21"/>
          <w:szCs w:val="21"/>
          <w:lang w:val="es-CO" w:eastAsia="en-US"/>
        </w:rPr>
        <w:t xml:space="preserve"> cuenta del avance en la inclusión en el MFMP de las deudas del sector salud y su impacto</w:t>
      </w:r>
      <w:r w:rsidR="00962D98" w:rsidRPr="00002983">
        <w:rPr>
          <w:rFonts w:ascii="Verdana" w:eastAsia="Calibri" w:hAnsi="Verdana" w:cs="Arial"/>
          <w:sz w:val="21"/>
          <w:szCs w:val="21"/>
          <w:lang w:val="es-CO" w:eastAsia="en-US"/>
        </w:rPr>
        <w:t>;</w:t>
      </w:r>
      <w:r w:rsidRPr="00002983">
        <w:rPr>
          <w:rFonts w:ascii="Verdana" w:eastAsia="Calibri" w:hAnsi="Verdana" w:cs="Arial"/>
          <w:sz w:val="21"/>
          <w:szCs w:val="21"/>
          <w:lang w:val="es-CO" w:eastAsia="en-US"/>
        </w:rPr>
        <w:t xml:space="preserve"> en el mismo se menciona que se incluirán en el documento elaborado en la vigencia 2022. No obstante, el cumplimiento a la obligación está sujeto a la depuración total de la deuda que como se expuso anteriormente no ha sido determinada</w:t>
      </w:r>
      <w:r w:rsidRPr="00002983">
        <w:rPr>
          <w:rFonts w:ascii="Verdana" w:hAnsi="Verdana"/>
          <w:sz w:val="21"/>
          <w:szCs w:val="21"/>
          <w:lang w:eastAsia="en-US"/>
        </w:rPr>
        <w:t>.</w:t>
      </w:r>
    </w:p>
    <w:p w14:paraId="2915103F" w14:textId="77777777" w:rsidR="00443366" w:rsidRPr="00002983" w:rsidRDefault="00443366" w:rsidP="00002983">
      <w:pPr>
        <w:autoSpaceDE w:val="0"/>
        <w:autoSpaceDN w:val="0"/>
        <w:jc w:val="both"/>
        <w:rPr>
          <w:rFonts w:ascii="Verdana" w:hAnsi="Verdana"/>
          <w:sz w:val="21"/>
          <w:szCs w:val="21"/>
          <w:lang w:eastAsia="en-US"/>
        </w:rPr>
      </w:pPr>
    </w:p>
    <w:p w14:paraId="281CFC62" w14:textId="77777777" w:rsidR="00443366" w:rsidRPr="00002983" w:rsidRDefault="00443366" w:rsidP="00002983">
      <w:pPr>
        <w:pStyle w:val="Sinespaciado"/>
        <w:jc w:val="both"/>
        <w:rPr>
          <w:rFonts w:ascii="Verdana" w:hAnsi="Verdana"/>
          <w:sz w:val="21"/>
          <w:szCs w:val="21"/>
        </w:rPr>
      </w:pPr>
      <w:r w:rsidRPr="00002983">
        <w:rPr>
          <w:rFonts w:ascii="Verdana" w:hAnsi="Verdana"/>
          <w:sz w:val="21"/>
          <w:szCs w:val="21"/>
        </w:rPr>
        <w:t xml:space="preserve">Ahora, como menciona la OCI en su informe: </w:t>
      </w:r>
    </w:p>
    <w:p w14:paraId="7B0AF79E" w14:textId="77777777" w:rsidR="00443366" w:rsidRPr="00002983" w:rsidRDefault="00443366" w:rsidP="00002983">
      <w:pPr>
        <w:pStyle w:val="Sinespaciado"/>
        <w:jc w:val="both"/>
        <w:rPr>
          <w:rFonts w:ascii="Verdana" w:hAnsi="Verdana"/>
          <w:i/>
          <w:sz w:val="21"/>
          <w:szCs w:val="21"/>
        </w:rPr>
      </w:pPr>
    </w:p>
    <w:p w14:paraId="6ECA5531" w14:textId="77777777" w:rsidR="00443366" w:rsidRPr="004A14B6" w:rsidRDefault="00443366" w:rsidP="004A14B6">
      <w:pPr>
        <w:pStyle w:val="Sinespaciado"/>
        <w:ind w:left="567"/>
        <w:jc w:val="both"/>
        <w:rPr>
          <w:rFonts w:ascii="Verdana" w:hAnsi="Verdana" w:cs="Arial"/>
          <w:bCs/>
          <w:i/>
          <w:sz w:val="18"/>
          <w:szCs w:val="18"/>
        </w:rPr>
      </w:pPr>
      <w:r w:rsidRPr="004A14B6">
        <w:rPr>
          <w:rFonts w:ascii="Verdana" w:hAnsi="Verdana"/>
          <w:i/>
          <w:sz w:val="18"/>
          <w:szCs w:val="18"/>
        </w:rPr>
        <w:t xml:space="preserve">“[…] </w:t>
      </w:r>
      <w:r w:rsidRPr="004A14B6">
        <w:rPr>
          <w:rFonts w:ascii="Verdana" w:hAnsi="Verdana" w:cs="Arial"/>
          <w:bCs/>
          <w:i/>
          <w:sz w:val="18"/>
          <w:szCs w:val="18"/>
        </w:rPr>
        <w:t xml:space="preserve">De acuerdo con el oficio SDSC-00266-2023 emitido por la Secretaría de Desarrollo de la Salud y dirigido al Dr. Néstor Mauricio Urrea Duque, </w:t>
      </w:r>
      <w:proofErr w:type="gramStart"/>
      <w:r w:rsidRPr="004A14B6">
        <w:rPr>
          <w:rFonts w:ascii="Verdana" w:hAnsi="Verdana" w:cs="Arial"/>
          <w:bCs/>
          <w:i/>
          <w:sz w:val="18"/>
          <w:szCs w:val="18"/>
        </w:rPr>
        <w:t>Director General</w:t>
      </w:r>
      <w:proofErr w:type="gramEnd"/>
      <w:r w:rsidRPr="004A14B6">
        <w:rPr>
          <w:rFonts w:ascii="Verdana" w:hAnsi="Verdana" w:cs="Arial"/>
          <w:bCs/>
          <w:i/>
          <w:sz w:val="18"/>
          <w:szCs w:val="18"/>
        </w:rPr>
        <w:t xml:space="preserve"> de Apoyo Fiscal del Ministerio de Hacienda y Crédito Público, con fecha del 20 de octubre de 2023, se menciona que se consideró cumplida la obligación mediante la modificación del Marco Fiscal de Mediano Plazo (MFMP) realizada en la vigencia 2022. En dicha modificación, se incluyó un escenario de deuda estimada.</w:t>
      </w:r>
    </w:p>
    <w:p w14:paraId="63332F1C" w14:textId="77777777" w:rsidR="00443366" w:rsidRPr="004A14B6" w:rsidRDefault="00443366" w:rsidP="004A14B6">
      <w:pPr>
        <w:pStyle w:val="Sinespaciado"/>
        <w:ind w:left="567"/>
        <w:jc w:val="both"/>
        <w:rPr>
          <w:rFonts w:ascii="Verdana" w:hAnsi="Verdana" w:cs="Arial"/>
          <w:bCs/>
          <w:i/>
          <w:sz w:val="18"/>
          <w:szCs w:val="18"/>
        </w:rPr>
      </w:pPr>
    </w:p>
    <w:p w14:paraId="3DA33E2E" w14:textId="77777777" w:rsidR="00443366" w:rsidRPr="004A14B6" w:rsidRDefault="00443366" w:rsidP="004A14B6">
      <w:pPr>
        <w:pStyle w:val="Sinespaciado"/>
        <w:ind w:left="567"/>
        <w:jc w:val="both"/>
        <w:rPr>
          <w:rFonts w:ascii="Verdana" w:hAnsi="Verdana" w:cs="Arial"/>
          <w:bCs/>
          <w:i/>
          <w:sz w:val="18"/>
          <w:szCs w:val="18"/>
        </w:rPr>
      </w:pPr>
      <w:r w:rsidRPr="004A14B6">
        <w:rPr>
          <w:rFonts w:ascii="Verdana" w:hAnsi="Verdana" w:cs="Arial"/>
          <w:bCs/>
          <w:i/>
          <w:sz w:val="18"/>
          <w:szCs w:val="18"/>
        </w:rPr>
        <w:t>Sin embargo, como resultado del proceso de auditoría llevado a cabo, y tras determinar la deuda real derivada de dicho proceso, se considera necesario ajustar el escenario de deuda en el MFMP. Para tal fin, se elaboró un borrador del documento del MFMP con el respaldo y las recomendaciones de la Secretaría de Hacienda Departamental. Este documento según fue informado por medio del oficio No SDSC-00266-2023 se presentará para su primer debate ante la Honorable Asamblea Departamental el 25 de octubre del corriente año.”</w:t>
      </w:r>
    </w:p>
    <w:p w14:paraId="3A9551F6" w14:textId="77777777" w:rsidR="00443366" w:rsidRPr="00002983" w:rsidRDefault="00443366" w:rsidP="00002983">
      <w:pPr>
        <w:pStyle w:val="Sinespaciado"/>
        <w:jc w:val="both"/>
        <w:rPr>
          <w:rFonts w:ascii="Verdana" w:hAnsi="Verdana" w:cs="Arial"/>
          <w:bCs/>
          <w:i/>
          <w:sz w:val="21"/>
          <w:szCs w:val="21"/>
        </w:rPr>
      </w:pPr>
    </w:p>
    <w:p w14:paraId="0D762FC0" w14:textId="77777777" w:rsidR="00443366" w:rsidRPr="00002983" w:rsidRDefault="00443366" w:rsidP="00002983">
      <w:pPr>
        <w:pStyle w:val="Sinespaciado"/>
        <w:jc w:val="both"/>
        <w:rPr>
          <w:rFonts w:ascii="Verdana" w:eastAsia="Calibri" w:hAnsi="Verdana" w:cs="Arial"/>
          <w:sz w:val="21"/>
          <w:szCs w:val="21"/>
        </w:rPr>
      </w:pPr>
      <w:r w:rsidRPr="00002983">
        <w:rPr>
          <w:rFonts w:ascii="Verdana" w:hAnsi="Verdana" w:cs="Arial"/>
          <w:bCs/>
          <w:sz w:val="21"/>
          <w:szCs w:val="21"/>
        </w:rPr>
        <w:lastRenderedPageBreak/>
        <w:t xml:space="preserve">Al respecto, la OCI </w:t>
      </w:r>
      <w:r w:rsidRPr="00002983">
        <w:rPr>
          <w:rFonts w:ascii="Verdana" w:eastAsia="Calibri" w:hAnsi="Verdana" w:cs="Arial"/>
          <w:sz w:val="21"/>
          <w:szCs w:val="21"/>
        </w:rPr>
        <w:t xml:space="preserve">envió copia del oficio entregado por la </w:t>
      </w:r>
      <w:proofErr w:type="gramStart"/>
      <w:r w:rsidRPr="00002983">
        <w:rPr>
          <w:rFonts w:ascii="Verdana" w:eastAsia="Calibri" w:hAnsi="Verdana" w:cs="Arial"/>
          <w:sz w:val="21"/>
          <w:szCs w:val="21"/>
        </w:rPr>
        <w:t>Secretaria</w:t>
      </w:r>
      <w:proofErr w:type="gramEnd"/>
      <w:r w:rsidRPr="00002983">
        <w:rPr>
          <w:rFonts w:ascii="Verdana" w:eastAsia="Calibri" w:hAnsi="Verdana" w:cs="Arial"/>
          <w:sz w:val="21"/>
          <w:szCs w:val="21"/>
        </w:rPr>
        <w:t xml:space="preserve"> de Desarrollo de la Salud – Gobernación de Córdoba, en la cual solicita la inclusión del ajuste al MFMP de la vigencia 2023 así: </w:t>
      </w:r>
    </w:p>
    <w:p w14:paraId="0A128303" w14:textId="77777777" w:rsidR="00443366" w:rsidRPr="00002983" w:rsidRDefault="00443366" w:rsidP="00002983">
      <w:pPr>
        <w:pStyle w:val="Sinespaciado"/>
        <w:jc w:val="both"/>
        <w:rPr>
          <w:rFonts w:ascii="Verdana" w:eastAsia="Calibri" w:hAnsi="Verdana" w:cs="Arial"/>
          <w:sz w:val="21"/>
          <w:szCs w:val="21"/>
        </w:rPr>
      </w:pPr>
    </w:p>
    <w:p w14:paraId="0338CEA7" w14:textId="77777777" w:rsidR="00443366" w:rsidRPr="004A14B6" w:rsidRDefault="00443366" w:rsidP="004A14B6">
      <w:pPr>
        <w:pStyle w:val="Sinespaciado"/>
        <w:ind w:left="567"/>
        <w:jc w:val="both"/>
        <w:rPr>
          <w:rFonts w:ascii="Verdana" w:hAnsi="Verdana"/>
          <w:i/>
          <w:sz w:val="18"/>
          <w:szCs w:val="18"/>
        </w:rPr>
      </w:pPr>
      <w:r w:rsidRPr="004A14B6">
        <w:rPr>
          <w:rFonts w:ascii="Verdana" w:eastAsia="Calibri" w:hAnsi="Verdana" w:cs="Arial"/>
          <w:i/>
          <w:sz w:val="18"/>
          <w:szCs w:val="18"/>
        </w:rPr>
        <w:t xml:space="preserve">“[…] </w:t>
      </w:r>
      <w:r w:rsidRPr="004A14B6">
        <w:rPr>
          <w:rFonts w:ascii="Verdana" w:hAnsi="Verdana"/>
          <w:i/>
          <w:sz w:val="18"/>
          <w:szCs w:val="18"/>
        </w:rPr>
        <w:t>en la modificación del MFMP realizada en la vigencia 2022 se incluyó un escenario de la deuda estimada; sin embargo, como resultado del proceso de Auditoria llevado a cabo y determinada la deuda real derivada del mismo, es menester ajustar el escenario de la deuda en el MFMP, para lo cual se procedió a elaborar el escenario financiero teniendo en cuenta el informe N° 14 remitido por la universidad de Cartagena como resultado del proceso de auditoría.”</w:t>
      </w:r>
    </w:p>
    <w:p w14:paraId="355C97DD" w14:textId="77777777" w:rsidR="00443366" w:rsidRPr="00002983" w:rsidRDefault="00443366" w:rsidP="00002983">
      <w:pPr>
        <w:pStyle w:val="Sinespaciado"/>
        <w:jc w:val="both"/>
        <w:rPr>
          <w:rFonts w:ascii="Verdana" w:hAnsi="Verdana"/>
          <w:i/>
          <w:sz w:val="21"/>
          <w:szCs w:val="21"/>
        </w:rPr>
      </w:pPr>
    </w:p>
    <w:p w14:paraId="3C3ABFCC" w14:textId="77777777" w:rsidR="00443366" w:rsidRPr="00002983" w:rsidRDefault="00443366" w:rsidP="00002983">
      <w:pPr>
        <w:pStyle w:val="Sinespaciado"/>
        <w:jc w:val="both"/>
        <w:rPr>
          <w:rFonts w:ascii="Verdana" w:hAnsi="Verdana" w:cs="Arial"/>
          <w:bCs/>
          <w:sz w:val="21"/>
          <w:szCs w:val="21"/>
        </w:rPr>
      </w:pPr>
      <w:r w:rsidRPr="00002983">
        <w:rPr>
          <w:rFonts w:ascii="Verdana" w:hAnsi="Verdana"/>
          <w:sz w:val="21"/>
          <w:szCs w:val="21"/>
        </w:rPr>
        <w:t xml:space="preserve">Por lo anterior y teniendo en cuenta que el MFMP, debe ser ajustado y que la </w:t>
      </w:r>
      <w:r w:rsidR="00915CBB">
        <w:rPr>
          <w:rFonts w:ascii="Verdana" w:hAnsi="Verdana"/>
          <w:sz w:val="21"/>
          <w:szCs w:val="21"/>
        </w:rPr>
        <w:t>E</w:t>
      </w:r>
      <w:r w:rsidRPr="00002983">
        <w:rPr>
          <w:rFonts w:ascii="Verdana" w:hAnsi="Verdana"/>
          <w:sz w:val="21"/>
          <w:szCs w:val="21"/>
        </w:rPr>
        <w:t>ntidad no envió documentos al respecto, será objeto de verificación en el próximo informe de seguimiento.</w:t>
      </w:r>
    </w:p>
    <w:p w14:paraId="34DCBCAB" w14:textId="77777777" w:rsidR="00443366" w:rsidRPr="00002983" w:rsidRDefault="00443366" w:rsidP="00002983">
      <w:pPr>
        <w:pStyle w:val="Prrafodelista"/>
        <w:ind w:left="0"/>
        <w:jc w:val="both"/>
        <w:rPr>
          <w:rFonts w:ascii="Verdana" w:hAnsi="Verdana"/>
          <w:sz w:val="21"/>
          <w:szCs w:val="21"/>
          <w:lang w:eastAsia="en-US"/>
        </w:rPr>
      </w:pPr>
    </w:p>
    <w:p w14:paraId="133EB182" w14:textId="77777777" w:rsidR="00443366" w:rsidRPr="00002983" w:rsidRDefault="00443366" w:rsidP="00002983">
      <w:pPr>
        <w:pStyle w:val="Prrafodelista"/>
        <w:ind w:left="0"/>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 xml:space="preserve">En relación con el producto 2 </w:t>
      </w:r>
      <w:r w:rsidRPr="00002983">
        <w:rPr>
          <w:rFonts w:ascii="Verdana" w:eastAsia="Calibri" w:hAnsi="Verdana" w:cs="Arial"/>
          <w:i/>
          <w:sz w:val="21"/>
          <w:szCs w:val="21"/>
          <w:lang w:val="es-CO" w:eastAsia="en-US"/>
        </w:rPr>
        <w:t xml:space="preserve">Plan Financiero Territorial de Salud del Departamento viabilizado por los Ministerios de Salud y Protección Social y Hacienda y Crédito Público, en los términos que establecen las Resoluciones 4015 de 2013 y 4834 de 2015., </w:t>
      </w:r>
      <w:r w:rsidRPr="00002983">
        <w:rPr>
          <w:rFonts w:ascii="Verdana" w:eastAsia="Calibri" w:hAnsi="Verdana" w:cs="Arial"/>
          <w:sz w:val="21"/>
          <w:szCs w:val="21"/>
          <w:lang w:val="es-CO" w:eastAsia="en-US"/>
        </w:rPr>
        <w:t xml:space="preserve">revisado el aplicativo diseñado por el MSPS (PISIS), para la entrega de los planes financieros en Salud, fue posible identificar que la entidad no cargó el respectivo plan. Por lo anterior, la obligación se considera incumplida. </w:t>
      </w:r>
    </w:p>
    <w:p w14:paraId="672C8358" w14:textId="77777777" w:rsidR="00443366" w:rsidRPr="00002983" w:rsidRDefault="00443366" w:rsidP="00002983">
      <w:pPr>
        <w:pStyle w:val="Prrafodelista"/>
        <w:ind w:left="0"/>
        <w:jc w:val="both"/>
        <w:rPr>
          <w:rFonts w:ascii="Verdana" w:eastAsia="Calibri" w:hAnsi="Verdana" w:cs="Arial"/>
          <w:sz w:val="21"/>
          <w:szCs w:val="21"/>
          <w:lang w:val="es-CO" w:eastAsia="en-US"/>
        </w:rPr>
      </w:pPr>
    </w:p>
    <w:p w14:paraId="31B7ACDF" w14:textId="77777777" w:rsidR="00443366" w:rsidRPr="00002983" w:rsidRDefault="00443366" w:rsidP="00002983">
      <w:pPr>
        <w:pStyle w:val="Prrafodelista"/>
        <w:ind w:left="0"/>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Por otra parte, frente a este Producto la OCI no hace ninguna mención en el documento remitido.</w:t>
      </w:r>
    </w:p>
    <w:p w14:paraId="6E6FC20C" w14:textId="77777777" w:rsidR="00443366" w:rsidRPr="00002983" w:rsidRDefault="00443366" w:rsidP="00002983">
      <w:pPr>
        <w:jc w:val="both"/>
        <w:rPr>
          <w:rFonts w:ascii="Verdana" w:eastAsia="Calibri" w:hAnsi="Verdana" w:cs="Arial"/>
          <w:b/>
          <w:sz w:val="21"/>
          <w:szCs w:val="21"/>
          <w:lang w:val="es-CO" w:eastAsia="en-US"/>
        </w:rPr>
      </w:pPr>
    </w:p>
    <w:p w14:paraId="50743ACC"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b/>
          <w:sz w:val="21"/>
          <w:szCs w:val="21"/>
          <w:lang w:val="es-CO" w:eastAsia="en-US"/>
        </w:rPr>
        <w:t>Evidencia:</w:t>
      </w:r>
    </w:p>
    <w:p w14:paraId="16008871" w14:textId="77777777" w:rsidR="00962D98" w:rsidRPr="00002983" w:rsidRDefault="00962D98" w:rsidP="00002983">
      <w:pPr>
        <w:jc w:val="both"/>
        <w:rPr>
          <w:rFonts w:ascii="Verdana" w:eastAsia="Calibri" w:hAnsi="Verdana" w:cs="Arial"/>
          <w:b/>
          <w:sz w:val="21"/>
          <w:szCs w:val="21"/>
          <w:lang w:val="es-CO" w:eastAsia="en-US"/>
        </w:rPr>
      </w:pPr>
    </w:p>
    <w:p w14:paraId="2D7F12D8"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hAnsi="Verdana" w:cs="Arial"/>
          <w:sz w:val="21"/>
          <w:szCs w:val="21"/>
          <w:lang w:val="es-CO"/>
        </w:rPr>
        <w:t xml:space="preserve">OBLIGACION No 9. </w:t>
      </w:r>
      <w:r w:rsidRPr="00002983">
        <w:rPr>
          <w:rFonts w:ascii="Verdana" w:eastAsia="Calibri" w:hAnsi="Verdana" w:cs="Arial"/>
          <w:sz w:val="21"/>
          <w:szCs w:val="21"/>
          <w:lang w:val="es-CO" w:eastAsia="en-US"/>
        </w:rPr>
        <w:t>Décimo sexto Informe de la oficina de Control Interno. Sector Salud. Departamento de Córdoba. Historial de seguimiento y control a los recursos del sistema general de participaciones. Expediente digital No 54/2018/D028-PREDI. Radicado No 1-2023-102480.</w:t>
      </w:r>
      <w:r w:rsidRPr="00002983">
        <w:rPr>
          <w:sz w:val="21"/>
          <w:szCs w:val="21"/>
        </w:rPr>
        <w:t xml:space="preserve"> </w:t>
      </w:r>
      <w:hyperlink r:id="rId22" w:history="1">
        <w:r w:rsidRPr="00002983">
          <w:rPr>
            <w:rStyle w:val="Hipervnculo"/>
            <w:rFonts w:ascii="Verdana" w:eastAsia="Calibri" w:hAnsi="Verdana" w:cs="Arial"/>
            <w:sz w:val="21"/>
            <w:szCs w:val="21"/>
            <w:lang w:val="es-CO" w:eastAsia="en-US"/>
          </w:rPr>
          <w:t>https://lc.cx/0WeyO-</w:t>
        </w:r>
      </w:hyperlink>
    </w:p>
    <w:p w14:paraId="7F02C05B" w14:textId="77777777" w:rsidR="00443366" w:rsidRPr="00002983" w:rsidRDefault="00443366" w:rsidP="00002983">
      <w:pPr>
        <w:jc w:val="both"/>
        <w:rPr>
          <w:rFonts w:ascii="Verdana" w:eastAsia="Calibri" w:hAnsi="Verdana" w:cs="Arial"/>
          <w:b/>
          <w:sz w:val="21"/>
          <w:szCs w:val="21"/>
          <w:lang w:val="es-CO" w:eastAsia="en-US"/>
        </w:rPr>
      </w:pPr>
    </w:p>
    <w:p w14:paraId="279A65BC"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b/>
          <w:sz w:val="21"/>
          <w:szCs w:val="21"/>
          <w:lang w:val="es-CO" w:eastAsia="en-US"/>
        </w:rPr>
        <w:t>Obligación 10.</w:t>
      </w:r>
    </w:p>
    <w:p w14:paraId="693DAEBE" w14:textId="77777777" w:rsidR="00443366" w:rsidRPr="00002983" w:rsidRDefault="00443366" w:rsidP="00002983">
      <w:pPr>
        <w:pStyle w:val="Prrafodelista"/>
        <w:ind w:left="0"/>
        <w:jc w:val="both"/>
        <w:rPr>
          <w:rFonts w:ascii="Verdana" w:hAnsi="Verdana" w:cs="Arial"/>
          <w:sz w:val="21"/>
          <w:szCs w:val="21"/>
        </w:rPr>
      </w:pPr>
    </w:p>
    <w:p w14:paraId="7E6599DE" w14:textId="77777777" w:rsidR="00443366" w:rsidRPr="00002983" w:rsidRDefault="00443366" w:rsidP="00002983">
      <w:pPr>
        <w:pStyle w:val="Prrafodelista"/>
        <w:ind w:left="0"/>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 xml:space="preserve">Modificar los manuales de contratación (si aplica) y funciones en los cuales se establezca la obligación por parte del </w:t>
      </w:r>
      <w:proofErr w:type="gramStart"/>
      <w:r w:rsidRPr="00002983">
        <w:rPr>
          <w:rFonts w:ascii="Verdana" w:eastAsia="Calibri" w:hAnsi="Verdana" w:cs="Arial"/>
          <w:sz w:val="21"/>
          <w:szCs w:val="21"/>
          <w:lang w:val="es-CO" w:eastAsia="en-US"/>
        </w:rPr>
        <w:t>Secretario</w:t>
      </w:r>
      <w:proofErr w:type="gramEnd"/>
      <w:r w:rsidRPr="00002983">
        <w:rPr>
          <w:rFonts w:ascii="Verdana" w:eastAsia="Calibri" w:hAnsi="Verdana" w:cs="Arial"/>
          <w:sz w:val="21"/>
          <w:szCs w:val="21"/>
          <w:lang w:val="es-CO" w:eastAsia="en-US"/>
        </w:rPr>
        <w:t xml:space="preserve"> de Salud de realizar la supervisión de los contratos de auditoría a la facturación y de autorizar los pagos derivados de la prestación de servicios y atenciones No POS. Estas funciones no podrán ser delegadas.</w:t>
      </w:r>
    </w:p>
    <w:p w14:paraId="1ACCDA9A" w14:textId="77777777" w:rsidR="00443366" w:rsidRPr="00002983" w:rsidRDefault="00443366" w:rsidP="00002983">
      <w:pPr>
        <w:pStyle w:val="Prrafodelista"/>
        <w:ind w:left="0"/>
        <w:jc w:val="both"/>
        <w:rPr>
          <w:rFonts w:ascii="Verdana" w:eastAsia="Calibri" w:hAnsi="Verdana" w:cs="Arial"/>
          <w:sz w:val="21"/>
          <w:szCs w:val="21"/>
          <w:lang w:val="es-CO" w:eastAsia="en-US"/>
        </w:rPr>
      </w:pPr>
    </w:p>
    <w:p w14:paraId="3FEB10A6" w14:textId="77777777" w:rsidR="00443366" w:rsidRPr="00002983" w:rsidRDefault="00443366" w:rsidP="00002983">
      <w:pPr>
        <w:pStyle w:val="Prrafodelista"/>
        <w:ind w:left="0"/>
        <w:jc w:val="both"/>
        <w:rPr>
          <w:rFonts w:ascii="Verdana" w:eastAsia="Calibri" w:hAnsi="Verdana" w:cs="Arial"/>
          <w:sz w:val="21"/>
          <w:szCs w:val="21"/>
          <w:lang w:val="es-CO" w:eastAsia="en-US"/>
        </w:rPr>
      </w:pPr>
      <w:r w:rsidRPr="00002983">
        <w:rPr>
          <w:rFonts w:ascii="Verdana" w:eastAsia="Calibri" w:hAnsi="Verdana" w:cs="Arial"/>
          <w:b/>
          <w:sz w:val="21"/>
          <w:szCs w:val="21"/>
          <w:lang w:val="es-CO" w:eastAsia="en-US"/>
        </w:rPr>
        <w:t xml:space="preserve">Producto. </w:t>
      </w:r>
      <w:r w:rsidRPr="00002983">
        <w:rPr>
          <w:rFonts w:ascii="Verdana" w:eastAsia="Calibri" w:hAnsi="Verdana" w:cs="Arial"/>
          <w:sz w:val="21"/>
          <w:szCs w:val="21"/>
          <w:lang w:val="es-CO" w:eastAsia="en-US"/>
        </w:rPr>
        <w:t>Manuales de contratación y de funciones modificados.</w:t>
      </w:r>
    </w:p>
    <w:p w14:paraId="37EA8DD1" w14:textId="77777777" w:rsidR="00443366" w:rsidRPr="00002983" w:rsidRDefault="00443366" w:rsidP="00002983">
      <w:pPr>
        <w:pStyle w:val="Prrafodelista"/>
        <w:ind w:left="0"/>
        <w:jc w:val="both"/>
        <w:rPr>
          <w:rFonts w:ascii="Verdana" w:hAnsi="Verdana" w:cs="Arial"/>
          <w:b/>
          <w:sz w:val="21"/>
          <w:szCs w:val="21"/>
        </w:rPr>
      </w:pPr>
    </w:p>
    <w:p w14:paraId="3C4F58C7"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b/>
          <w:sz w:val="21"/>
          <w:szCs w:val="21"/>
          <w:lang w:val="es-CO" w:eastAsia="en-US"/>
        </w:rPr>
        <w:t xml:space="preserve">Evaluación: </w:t>
      </w:r>
      <w:r w:rsidRPr="00915CBB">
        <w:rPr>
          <w:rFonts w:ascii="Verdana" w:eastAsia="Calibri" w:hAnsi="Verdana" w:cs="Arial"/>
          <w:bCs/>
          <w:sz w:val="21"/>
          <w:szCs w:val="21"/>
          <w:lang w:val="es-CO" w:eastAsia="en-US"/>
        </w:rPr>
        <w:t>Cumple</w:t>
      </w:r>
    </w:p>
    <w:p w14:paraId="4B0D9991" w14:textId="77777777" w:rsidR="00443366" w:rsidRPr="00002983" w:rsidRDefault="00443366" w:rsidP="00002983">
      <w:pPr>
        <w:jc w:val="both"/>
        <w:rPr>
          <w:rFonts w:ascii="Verdana" w:eastAsia="Calibri" w:hAnsi="Verdana" w:cs="Arial"/>
          <w:b/>
          <w:sz w:val="21"/>
          <w:szCs w:val="21"/>
          <w:lang w:val="es-CO" w:eastAsia="en-US"/>
        </w:rPr>
      </w:pPr>
    </w:p>
    <w:p w14:paraId="63C93042"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En relación con la obligación citada, esta Dirección ya había considerado su cumplimiento en la evaluación realizada en la vigencia 2021, por lo que el informe de control interno no refiere consideración al respecto ni se envía ningún tipo de evidencia.</w:t>
      </w:r>
    </w:p>
    <w:p w14:paraId="384D32FD"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 xml:space="preserve"> </w:t>
      </w:r>
    </w:p>
    <w:p w14:paraId="04A9D3AE"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b/>
          <w:sz w:val="21"/>
          <w:szCs w:val="21"/>
          <w:lang w:val="es-CO" w:eastAsia="en-US"/>
        </w:rPr>
        <w:lastRenderedPageBreak/>
        <w:t xml:space="preserve">Obligación 11. </w:t>
      </w:r>
    </w:p>
    <w:p w14:paraId="022A5D6E" w14:textId="77777777" w:rsidR="00443366" w:rsidRPr="00002983" w:rsidRDefault="00443366" w:rsidP="00002983">
      <w:pPr>
        <w:pStyle w:val="Prrafodelista"/>
        <w:ind w:left="0"/>
        <w:jc w:val="both"/>
        <w:rPr>
          <w:rFonts w:ascii="Verdana" w:hAnsi="Verdana" w:cs="Arial"/>
          <w:sz w:val="21"/>
          <w:szCs w:val="21"/>
        </w:rPr>
      </w:pPr>
    </w:p>
    <w:p w14:paraId="2E4F06AD" w14:textId="77777777" w:rsidR="00443366" w:rsidRPr="00002983" w:rsidRDefault="00443366" w:rsidP="00002983">
      <w:pPr>
        <w:pStyle w:val="Prrafodelista"/>
        <w:ind w:left="0"/>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Implementar una herramienta que permita identificar los fallos judiciales que condenen a la Entidad Territorial a la prestación de servicios No POS, en el cual se establezca el beneficiario, concepto, valor, prestador del servicio y juez que emite el fallo, que le permita realizar seguimiento de los fallos en contra de la Administración.</w:t>
      </w:r>
    </w:p>
    <w:p w14:paraId="28BFD9CB" w14:textId="77777777" w:rsidR="00443366" w:rsidRPr="00002983" w:rsidRDefault="00443366" w:rsidP="00002983">
      <w:pPr>
        <w:pStyle w:val="Prrafodelista"/>
        <w:ind w:left="0"/>
        <w:jc w:val="both"/>
        <w:rPr>
          <w:rFonts w:ascii="Verdana" w:eastAsia="Calibri" w:hAnsi="Verdana" w:cs="Arial"/>
          <w:sz w:val="21"/>
          <w:szCs w:val="21"/>
          <w:lang w:val="es-CO" w:eastAsia="en-US"/>
        </w:rPr>
      </w:pPr>
    </w:p>
    <w:p w14:paraId="6312FB0A" w14:textId="77777777" w:rsidR="00443366" w:rsidRPr="00002983" w:rsidRDefault="00443366" w:rsidP="00002983">
      <w:pPr>
        <w:pStyle w:val="Prrafodelista"/>
        <w:ind w:left="0"/>
        <w:jc w:val="both"/>
        <w:rPr>
          <w:rFonts w:ascii="Verdana" w:eastAsia="Calibri" w:hAnsi="Verdana" w:cs="Arial"/>
          <w:sz w:val="21"/>
          <w:szCs w:val="21"/>
          <w:lang w:val="es-CO" w:eastAsia="en-US"/>
        </w:rPr>
      </w:pPr>
      <w:r w:rsidRPr="00002983">
        <w:rPr>
          <w:rFonts w:ascii="Verdana" w:eastAsia="Calibri" w:hAnsi="Verdana" w:cs="Arial"/>
          <w:b/>
          <w:sz w:val="21"/>
          <w:szCs w:val="21"/>
          <w:lang w:val="es-CO" w:eastAsia="en-US"/>
        </w:rPr>
        <w:t xml:space="preserve">Producto 1. </w:t>
      </w:r>
      <w:r w:rsidRPr="00002983">
        <w:rPr>
          <w:rFonts w:ascii="Verdana" w:eastAsia="Calibri" w:hAnsi="Verdana" w:cs="Arial"/>
          <w:sz w:val="21"/>
          <w:szCs w:val="21"/>
          <w:lang w:val="es-CO" w:eastAsia="en-US"/>
        </w:rPr>
        <w:t>Inventario de fallos de tutela en el cual se especifique el concepto de origen, beneficiario, identificando el pagador (ET o EPS) y valor reconocido acumulado con base en el informe de aplicación a la Resolución 1479 de 2015, deberá realizar el seguimiento y control oportuno a los procesos judiciales que se adelanten en contra de la Entidad Territorial, relacionados con el sector salud.</w:t>
      </w:r>
    </w:p>
    <w:p w14:paraId="6A35949C" w14:textId="77777777" w:rsidR="00443366" w:rsidRPr="00002983" w:rsidRDefault="00443366" w:rsidP="00002983">
      <w:pPr>
        <w:pStyle w:val="Prrafodelista"/>
        <w:ind w:left="0"/>
        <w:jc w:val="both"/>
        <w:rPr>
          <w:rFonts w:ascii="Verdana" w:eastAsia="Calibri" w:hAnsi="Verdana" w:cs="Arial"/>
          <w:sz w:val="21"/>
          <w:szCs w:val="21"/>
          <w:lang w:val="es-CO" w:eastAsia="en-US"/>
        </w:rPr>
      </w:pPr>
    </w:p>
    <w:p w14:paraId="249306AE" w14:textId="77777777" w:rsidR="00443366" w:rsidRPr="00002983" w:rsidRDefault="00443366" w:rsidP="00002983">
      <w:pPr>
        <w:pStyle w:val="Prrafodelista"/>
        <w:ind w:left="0"/>
        <w:jc w:val="both"/>
        <w:rPr>
          <w:rFonts w:ascii="Verdana" w:eastAsia="Calibri" w:hAnsi="Verdana" w:cs="Arial"/>
          <w:sz w:val="21"/>
          <w:szCs w:val="21"/>
          <w:lang w:val="es-CO" w:eastAsia="en-US"/>
        </w:rPr>
      </w:pPr>
      <w:r w:rsidRPr="00002983">
        <w:rPr>
          <w:rFonts w:ascii="Verdana" w:eastAsia="Calibri" w:hAnsi="Verdana" w:cs="Arial"/>
          <w:b/>
          <w:sz w:val="21"/>
          <w:szCs w:val="21"/>
          <w:lang w:val="es-CO" w:eastAsia="en-US"/>
        </w:rPr>
        <w:t xml:space="preserve">Producto 2. </w:t>
      </w:r>
      <w:r w:rsidRPr="00002983">
        <w:rPr>
          <w:rFonts w:ascii="Verdana" w:eastAsia="Calibri" w:hAnsi="Verdana" w:cs="Arial"/>
          <w:sz w:val="21"/>
          <w:szCs w:val="21"/>
          <w:lang w:val="es-CO" w:eastAsia="en-US"/>
        </w:rPr>
        <w:t>Evidencia de la adopción de la herramienta a través de un software o una herramienta ofimática.</w:t>
      </w:r>
    </w:p>
    <w:p w14:paraId="37740B2A" w14:textId="77777777" w:rsidR="00443366" w:rsidRPr="00002983" w:rsidRDefault="00443366" w:rsidP="00002983">
      <w:pPr>
        <w:jc w:val="both"/>
        <w:rPr>
          <w:rFonts w:ascii="Verdana" w:eastAsia="Calibri" w:hAnsi="Verdana" w:cs="Arial"/>
          <w:b/>
          <w:sz w:val="21"/>
          <w:szCs w:val="21"/>
          <w:lang w:val="es-CO" w:eastAsia="en-US"/>
        </w:rPr>
      </w:pPr>
    </w:p>
    <w:p w14:paraId="79DD2ECF"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b/>
          <w:sz w:val="21"/>
          <w:szCs w:val="21"/>
          <w:lang w:val="es-CO" w:eastAsia="en-US"/>
        </w:rPr>
        <w:t>Evaluación: Cumple</w:t>
      </w:r>
    </w:p>
    <w:p w14:paraId="3559B243" w14:textId="77777777" w:rsidR="00443366" w:rsidRPr="00002983" w:rsidRDefault="00443366" w:rsidP="00002983">
      <w:pPr>
        <w:jc w:val="both"/>
        <w:rPr>
          <w:rFonts w:ascii="Verdana" w:eastAsia="Calibri" w:hAnsi="Verdana" w:cs="Arial"/>
          <w:b/>
          <w:sz w:val="21"/>
          <w:szCs w:val="21"/>
          <w:lang w:val="es-CO" w:eastAsia="en-US"/>
        </w:rPr>
      </w:pPr>
    </w:p>
    <w:p w14:paraId="4D187FF1"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 xml:space="preserve">En relación </w:t>
      </w:r>
      <w:r w:rsidR="00915CBB">
        <w:rPr>
          <w:rFonts w:ascii="Verdana" w:eastAsia="Calibri" w:hAnsi="Verdana" w:cs="Arial"/>
          <w:sz w:val="21"/>
          <w:szCs w:val="21"/>
          <w:lang w:val="es-CO" w:eastAsia="en-US"/>
        </w:rPr>
        <w:t>con</w:t>
      </w:r>
      <w:r w:rsidRPr="00002983">
        <w:rPr>
          <w:rFonts w:ascii="Verdana" w:eastAsia="Calibri" w:hAnsi="Verdana" w:cs="Arial"/>
          <w:sz w:val="21"/>
          <w:szCs w:val="21"/>
          <w:lang w:val="es-CO" w:eastAsia="en-US"/>
        </w:rPr>
        <w:t xml:space="preserve"> la obligación citada, esta Dirección ya había considerado su cumplimiento en la evaluación realizada en la vigencia 2021. </w:t>
      </w:r>
    </w:p>
    <w:p w14:paraId="3FF124F4" w14:textId="77777777" w:rsidR="00443366" w:rsidRPr="00002983" w:rsidRDefault="00443366" w:rsidP="00002983">
      <w:pPr>
        <w:jc w:val="both"/>
        <w:rPr>
          <w:rFonts w:ascii="Verdana" w:eastAsia="Calibri" w:hAnsi="Verdana" w:cs="Arial"/>
          <w:b/>
          <w:sz w:val="21"/>
          <w:szCs w:val="21"/>
          <w:lang w:val="es-CO" w:eastAsia="en-US"/>
        </w:rPr>
      </w:pPr>
    </w:p>
    <w:p w14:paraId="21238DC4" w14:textId="77777777" w:rsidR="00443366" w:rsidRPr="00002983" w:rsidRDefault="00443366" w:rsidP="00002983">
      <w:pPr>
        <w:pStyle w:val="Sinespaciado"/>
        <w:jc w:val="both"/>
        <w:rPr>
          <w:rFonts w:ascii="Verdana" w:eastAsia="Calibri" w:hAnsi="Verdana" w:cs="Arial"/>
          <w:i/>
          <w:sz w:val="21"/>
          <w:szCs w:val="21"/>
        </w:rPr>
      </w:pPr>
      <w:r w:rsidRPr="00002983">
        <w:rPr>
          <w:rFonts w:ascii="Verdana" w:eastAsia="Calibri" w:hAnsi="Verdana" w:cs="Arial"/>
          <w:sz w:val="21"/>
          <w:szCs w:val="21"/>
        </w:rPr>
        <w:t xml:space="preserve">Cabe señalar que en el informe 16 enviado por la OCI, sobre este punto menciona: </w:t>
      </w:r>
      <w:r w:rsidRPr="00002983">
        <w:rPr>
          <w:rFonts w:ascii="Verdana" w:eastAsia="Calibri" w:hAnsi="Verdana" w:cs="Arial"/>
          <w:i/>
          <w:sz w:val="21"/>
          <w:szCs w:val="21"/>
        </w:rPr>
        <w:t>”[…] la Oficina de Control Interno con base en las mesas de seguimiento a los avances que han venido realizando y que se han mencionado anteriormente, cuyo objetivo ha sido evaluar y verificar la continuidad en el cumplimento de todas las obligaciones impuestas por la medida correctiva, se revisó la información que la Secretaría de Desarrollo de la Salud Departamental aporta como evidencia del cumplimiento, suministrada a través de archivo Excel denominado “MATRIZ DE TUTELAS ACTUALIZADAS 2023”, en el cual se evidencia la actualización de la información de los fallos emitidos por los distintos juzgados de manera mensual, con fecha de corte septiembre 30 de 2023.</w:t>
      </w:r>
    </w:p>
    <w:p w14:paraId="6C026BF8" w14:textId="77777777" w:rsidR="00443366" w:rsidRPr="00002983" w:rsidRDefault="00443366" w:rsidP="00002983">
      <w:pPr>
        <w:pStyle w:val="Sinespaciado"/>
        <w:jc w:val="both"/>
        <w:rPr>
          <w:rFonts w:ascii="Verdana" w:eastAsia="Calibri" w:hAnsi="Verdana" w:cs="Arial"/>
          <w:i/>
          <w:sz w:val="21"/>
          <w:szCs w:val="21"/>
        </w:rPr>
      </w:pPr>
    </w:p>
    <w:p w14:paraId="33F50C25" w14:textId="77777777" w:rsidR="00443366" w:rsidRPr="00002983" w:rsidRDefault="00443366" w:rsidP="00002983">
      <w:pPr>
        <w:pStyle w:val="Sinespaciado"/>
        <w:jc w:val="both"/>
        <w:rPr>
          <w:rFonts w:ascii="Verdana" w:eastAsia="Calibri" w:hAnsi="Verdana" w:cs="Arial"/>
          <w:i/>
          <w:sz w:val="21"/>
          <w:szCs w:val="21"/>
        </w:rPr>
      </w:pPr>
      <w:r w:rsidRPr="00002983">
        <w:rPr>
          <w:rFonts w:ascii="Verdana" w:eastAsia="Calibri" w:hAnsi="Verdana" w:cs="Arial"/>
          <w:i/>
          <w:sz w:val="21"/>
          <w:szCs w:val="21"/>
        </w:rPr>
        <w:t xml:space="preserve">Con lo anterior se puede demostrar que La Secretaría de Desarrollo de la Salud cuenta con una herramienta ofimática que contiene una matriz actualizada a mes de septiembre de 2023 en el cual se evidencian los fallos judiciales que condenan a la entidad territorial, y en la que se ha avanzado con la organización del número total de tutelas representadas a cargo del Departamento de Córdoba…” </w:t>
      </w:r>
    </w:p>
    <w:p w14:paraId="5ADFB571" w14:textId="77777777" w:rsidR="00443366" w:rsidRPr="00002983" w:rsidRDefault="00443366" w:rsidP="00002983">
      <w:pPr>
        <w:pStyle w:val="Prrafodelista"/>
        <w:ind w:left="0"/>
        <w:jc w:val="both"/>
        <w:rPr>
          <w:rFonts w:ascii="Verdana" w:eastAsia="Calibri" w:hAnsi="Verdana" w:cs="Arial"/>
          <w:sz w:val="21"/>
          <w:szCs w:val="21"/>
          <w:lang w:val="es-CO" w:eastAsia="en-US"/>
        </w:rPr>
      </w:pPr>
    </w:p>
    <w:p w14:paraId="53408D43"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b/>
          <w:sz w:val="21"/>
          <w:szCs w:val="21"/>
          <w:lang w:val="es-CO" w:eastAsia="en-US"/>
        </w:rPr>
        <w:t>Obligación 12</w:t>
      </w:r>
      <w:r w:rsidRPr="00002983">
        <w:rPr>
          <w:rStyle w:val="Refdenotaalpie"/>
          <w:rFonts w:ascii="Verdana" w:eastAsia="Calibri" w:hAnsi="Verdana" w:cs="Arial"/>
          <w:b/>
          <w:sz w:val="21"/>
          <w:szCs w:val="21"/>
          <w:lang w:val="es-CO" w:eastAsia="en-US"/>
        </w:rPr>
        <w:footnoteReference w:id="3"/>
      </w:r>
      <w:r w:rsidRPr="00002983">
        <w:rPr>
          <w:rFonts w:ascii="Verdana" w:eastAsia="Calibri" w:hAnsi="Verdana" w:cs="Arial"/>
          <w:b/>
          <w:sz w:val="21"/>
          <w:szCs w:val="21"/>
          <w:lang w:val="es-CO" w:eastAsia="en-US"/>
        </w:rPr>
        <w:t>.</w:t>
      </w:r>
    </w:p>
    <w:p w14:paraId="6E781BAE" w14:textId="77777777" w:rsidR="00443366" w:rsidRPr="00002983" w:rsidRDefault="00443366" w:rsidP="00002983">
      <w:pPr>
        <w:pStyle w:val="Prrafodelista"/>
        <w:ind w:left="0"/>
        <w:jc w:val="both"/>
        <w:rPr>
          <w:rFonts w:ascii="Verdana" w:hAnsi="Verdana" w:cs="Arial"/>
          <w:sz w:val="21"/>
          <w:szCs w:val="21"/>
        </w:rPr>
      </w:pPr>
    </w:p>
    <w:p w14:paraId="10CAC1F9" w14:textId="77777777" w:rsidR="00443366" w:rsidRPr="00002983" w:rsidRDefault="00443366" w:rsidP="00002983">
      <w:pPr>
        <w:pStyle w:val="Prrafodelista"/>
        <w:ind w:left="0"/>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 xml:space="preserve">Presentar un escenario financiero que contemple la orientación de recursos en el cual se determinen las fuentes de financiación, que en todo caso deberán ser diferentes a aquellas previstas por la Ley como de destinación específica para el sector salud, y el plazo dentro del cual se vaya a dar la inversión de </w:t>
      </w:r>
      <w:proofErr w:type="gramStart"/>
      <w:r w:rsidRPr="00002983">
        <w:rPr>
          <w:rFonts w:ascii="Verdana" w:eastAsia="Calibri" w:hAnsi="Verdana" w:cs="Arial"/>
          <w:sz w:val="21"/>
          <w:szCs w:val="21"/>
          <w:lang w:val="es-CO" w:eastAsia="en-US"/>
        </w:rPr>
        <w:t>los mismos</w:t>
      </w:r>
      <w:proofErr w:type="gramEnd"/>
      <w:r w:rsidRPr="00002983">
        <w:rPr>
          <w:rFonts w:ascii="Verdana" w:eastAsia="Calibri" w:hAnsi="Verdana" w:cs="Arial"/>
          <w:sz w:val="21"/>
          <w:szCs w:val="21"/>
          <w:lang w:val="es-CO" w:eastAsia="en-US"/>
        </w:rPr>
        <w:t xml:space="preserve">, de </w:t>
      </w:r>
      <w:r w:rsidRPr="00002983">
        <w:rPr>
          <w:rFonts w:ascii="Verdana" w:eastAsia="Calibri" w:hAnsi="Verdana" w:cs="Arial"/>
          <w:sz w:val="21"/>
          <w:szCs w:val="21"/>
          <w:lang w:val="es-CO" w:eastAsia="en-US"/>
        </w:rPr>
        <w:lastRenderedPageBreak/>
        <w:t>manera que se orienten al sector salud los recursos que fueron pagados sin observancia de los criterios de gasto dispuestos en la legislación vigente. un plan de compensación de recursos en el cual se determinen las fuentes de financiación y el término dentro del cual se dé la compensación de los recursos pagados sin observancia de los criterios de gasto dispuesto en la legislación vigente para el Sector Salud.</w:t>
      </w:r>
    </w:p>
    <w:p w14:paraId="4D802654" w14:textId="77777777" w:rsidR="00443366" w:rsidRPr="00002983" w:rsidRDefault="00443366" w:rsidP="00002983">
      <w:pPr>
        <w:pStyle w:val="Prrafodelista"/>
        <w:ind w:left="0"/>
        <w:jc w:val="both"/>
        <w:rPr>
          <w:rFonts w:ascii="Verdana" w:eastAsia="Calibri" w:hAnsi="Verdana" w:cs="Arial"/>
          <w:sz w:val="21"/>
          <w:szCs w:val="21"/>
          <w:lang w:val="es-CO" w:eastAsia="en-US"/>
        </w:rPr>
      </w:pPr>
    </w:p>
    <w:p w14:paraId="484B392F" w14:textId="77777777" w:rsidR="00443366" w:rsidRPr="00002983" w:rsidRDefault="00443366" w:rsidP="00002983">
      <w:pPr>
        <w:pStyle w:val="Prrafodelista"/>
        <w:ind w:left="0"/>
        <w:jc w:val="both"/>
        <w:rPr>
          <w:rFonts w:ascii="Verdana" w:eastAsia="Calibri" w:hAnsi="Verdana" w:cs="Arial"/>
          <w:sz w:val="21"/>
          <w:szCs w:val="21"/>
          <w:lang w:val="es-CO" w:eastAsia="en-US"/>
        </w:rPr>
      </w:pPr>
      <w:r w:rsidRPr="00002983">
        <w:rPr>
          <w:rFonts w:ascii="Verdana" w:eastAsia="Calibri" w:hAnsi="Verdana" w:cs="Arial"/>
          <w:b/>
          <w:sz w:val="21"/>
          <w:szCs w:val="21"/>
          <w:lang w:val="es-CO" w:eastAsia="en-US"/>
        </w:rPr>
        <w:t xml:space="preserve">Producto 1. </w:t>
      </w:r>
      <w:r w:rsidRPr="00002983">
        <w:rPr>
          <w:rFonts w:ascii="Verdana" w:eastAsia="Calibri" w:hAnsi="Verdana" w:cs="Arial"/>
          <w:sz w:val="21"/>
          <w:szCs w:val="21"/>
          <w:lang w:val="es-CO" w:eastAsia="en-US"/>
        </w:rPr>
        <w:t>Presupuesto anual en el cual se evidencie la orientación al sector salud de los recursos que defina la Gobernación de Córdoba para inversión, de acuerdo con el escenario financiero establecido.</w:t>
      </w:r>
    </w:p>
    <w:p w14:paraId="08DDA3A8" w14:textId="77777777" w:rsidR="00443366" w:rsidRPr="00002983" w:rsidRDefault="00443366" w:rsidP="00002983">
      <w:pPr>
        <w:pStyle w:val="Prrafodelista"/>
        <w:ind w:left="0"/>
        <w:jc w:val="both"/>
        <w:rPr>
          <w:rFonts w:ascii="Verdana" w:eastAsia="Calibri" w:hAnsi="Verdana" w:cs="Arial"/>
          <w:sz w:val="21"/>
          <w:szCs w:val="21"/>
          <w:lang w:val="es-CO" w:eastAsia="en-US"/>
        </w:rPr>
      </w:pPr>
    </w:p>
    <w:p w14:paraId="39DC26DE" w14:textId="77777777" w:rsidR="00443366" w:rsidRPr="00002983" w:rsidRDefault="00443366" w:rsidP="00002983">
      <w:pPr>
        <w:pStyle w:val="Prrafodelista"/>
        <w:ind w:left="0"/>
        <w:jc w:val="both"/>
        <w:rPr>
          <w:rFonts w:ascii="Verdana" w:eastAsia="Calibri" w:hAnsi="Verdana" w:cs="Arial"/>
          <w:sz w:val="21"/>
          <w:szCs w:val="21"/>
          <w:lang w:val="es-CO" w:eastAsia="en-US"/>
        </w:rPr>
      </w:pPr>
      <w:r w:rsidRPr="00002983">
        <w:rPr>
          <w:rFonts w:ascii="Verdana" w:eastAsia="Calibri" w:hAnsi="Verdana" w:cs="Arial"/>
          <w:b/>
          <w:sz w:val="21"/>
          <w:szCs w:val="21"/>
          <w:lang w:val="es-CO" w:eastAsia="en-US"/>
        </w:rPr>
        <w:t xml:space="preserve">Producto 2. </w:t>
      </w:r>
      <w:r w:rsidRPr="00002983">
        <w:rPr>
          <w:rFonts w:ascii="Verdana" w:eastAsia="Calibri" w:hAnsi="Verdana" w:cs="Arial"/>
          <w:sz w:val="21"/>
          <w:szCs w:val="21"/>
          <w:lang w:val="es-CO" w:eastAsia="en-US"/>
        </w:rPr>
        <w:t>Realizar la orientación de $70.240 millones al sector salud de acuerdo con el plan Financiero presentado y autorizado por el Ministerio de Salud y Protección Social y la Dirección General de Apoyo Fiscal.</w:t>
      </w:r>
    </w:p>
    <w:p w14:paraId="4DCBED63" w14:textId="77777777" w:rsidR="00443366" w:rsidRPr="00002983" w:rsidRDefault="00443366" w:rsidP="00002983">
      <w:pPr>
        <w:pStyle w:val="Prrafodelista"/>
        <w:ind w:left="0"/>
        <w:jc w:val="both"/>
        <w:rPr>
          <w:rFonts w:ascii="Verdana" w:eastAsia="Calibri" w:hAnsi="Verdana" w:cs="Arial"/>
          <w:b/>
          <w:sz w:val="21"/>
          <w:szCs w:val="21"/>
          <w:lang w:val="es-CO" w:eastAsia="en-US"/>
        </w:rPr>
      </w:pPr>
    </w:p>
    <w:p w14:paraId="235EC788" w14:textId="77777777" w:rsidR="00443366" w:rsidRPr="00002983" w:rsidRDefault="00443366" w:rsidP="00002983">
      <w:pPr>
        <w:pStyle w:val="Prrafodelista"/>
        <w:ind w:left="0"/>
        <w:jc w:val="both"/>
        <w:rPr>
          <w:rFonts w:ascii="Verdana" w:eastAsia="Calibri" w:hAnsi="Verdana" w:cs="Arial"/>
          <w:sz w:val="21"/>
          <w:szCs w:val="21"/>
          <w:lang w:val="es-CO" w:eastAsia="en-US"/>
        </w:rPr>
      </w:pPr>
      <w:r w:rsidRPr="00002983">
        <w:rPr>
          <w:rFonts w:ascii="Verdana" w:eastAsia="Calibri" w:hAnsi="Verdana" w:cs="Arial"/>
          <w:b/>
          <w:sz w:val="21"/>
          <w:szCs w:val="21"/>
          <w:lang w:val="es-CO" w:eastAsia="en-US"/>
        </w:rPr>
        <w:t xml:space="preserve">Producto 3. </w:t>
      </w:r>
      <w:r w:rsidRPr="00002983">
        <w:rPr>
          <w:rFonts w:ascii="Verdana" w:eastAsia="Calibri" w:hAnsi="Verdana" w:cs="Arial"/>
          <w:sz w:val="21"/>
          <w:szCs w:val="21"/>
          <w:lang w:val="es-CO" w:eastAsia="en-US"/>
        </w:rPr>
        <w:t>Evidencias de las inversiones (proyecto de inversión, CDP, RP, expediente contractual, etc.) que realice el Departamento en el sector salud, con cargo a recursos diferentes a los previstos por la Ley como de destinación específica para el sector salud.</w:t>
      </w:r>
    </w:p>
    <w:p w14:paraId="06197AB6" w14:textId="77777777" w:rsidR="00443366" w:rsidRPr="00002983" w:rsidRDefault="00443366" w:rsidP="00002983">
      <w:pPr>
        <w:pStyle w:val="Prrafodelista"/>
        <w:ind w:left="0"/>
        <w:jc w:val="both"/>
        <w:rPr>
          <w:rFonts w:ascii="Verdana" w:hAnsi="Verdana" w:cs="Arial"/>
          <w:b/>
          <w:sz w:val="21"/>
          <w:szCs w:val="21"/>
        </w:rPr>
      </w:pPr>
    </w:p>
    <w:p w14:paraId="1A85447A" w14:textId="77777777" w:rsidR="00443366" w:rsidRPr="00002983" w:rsidRDefault="00443366" w:rsidP="00002983">
      <w:pPr>
        <w:jc w:val="both"/>
        <w:rPr>
          <w:rFonts w:ascii="Verdana" w:eastAsia="Calibri" w:hAnsi="Verdana" w:cs="Arial"/>
          <w:b/>
          <w:sz w:val="21"/>
          <w:szCs w:val="21"/>
          <w:lang w:val="es-CO" w:eastAsia="en-US"/>
        </w:rPr>
      </w:pPr>
      <w:r w:rsidRPr="00002983">
        <w:rPr>
          <w:rFonts w:ascii="Verdana" w:eastAsia="Calibri" w:hAnsi="Verdana" w:cs="Arial"/>
          <w:b/>
          <w:sz w:val="21"/>
          <w:szCs w:val="21"/>
          <w:lang w:val="es-CO" w:eastAsia="en-US"/>
        </w:rPr>
        <w:t xml:space="preserve">Evaluación: </w:t>
      </w:r>
      <w:r w:rsidRPr="00915CBB">
        <w:rPr>
          <w:rFonts w:ascii="Verdana" w:eastAsia="Calibri" w:hAnsi="Verdana" w:cs="Arial"/>
          <w:bCs/>
          <w:sz w:val="21"/>
          <w:szCs w:val="21"/>
          <w:lang w:val="es-CO" w:eastAsia="en-US"/>
        </w:rPr>
        <w:t>Cumple</w:t>
      </w:r>
    </w:p>
    <w:p w14:paraId="05A0C42E" w14:textId="77777777" w:rsidR="00443366" w:rsidRPr="00002983" w:rsidRDefault="00443366" w:rsidP="00002983">
      <w:pPr>
        <w:jc w:val="both"/>
        <w:rPr>
          <w:rFonts w:ascii="Verdana" w:eastAsia="Calibri" w:hAnsi="Verdana" w:cs="Arial"/>
          <w:b/>
          <w:sz w:val="21"/>
          <w:szCs w:val="21"/>
          <w:lang w:val="es-CO" w:eastAsia="en-US"/>
        </w:rPr>
      </w:pPr>
    </w:p>
    <w:p w14:paraId="0392D39C"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 xml:space="preserve">La </w:t>
      </w:r>
      <w:r w:rsidR="00915CBB">
        <w:rPr>
          <w:rFonts w:ascii="Verdana" w:eastAsia="Calibri" w:hAnsi="Verdana" w:cs="Arial"/>
          <w:sz w:val="21"/>
          <w:szCs w:val="21"/>
          <w:lang w:val="es-CO" w:eastAsia="en-US"/>
        </w:rPr>
        <w:t>E</w:t>
      </w:r>
      <w:r w:rsidRPr="00002983">
        <w:rPr>
          <w:rFonts w:ascii="Verdana" w:eastAsia="Calibri" w:hAnsi="Verdana" w:cs="Arial"/>
          <w:sz w:val="21"/>
          <w:szCs w:val="21"/>
          <w:lang w:val="es-CO" w:eastAsia="en-US"/>
        </w:rPr>
        <w:t xml:space="preserve">ntidad </w:t>
      </w:r>
      <w:r w:rsidR="00915CBB">
        <w:rPr>
          <w:rFonts w:ascii="Verdana" w:eastAsia="Calibri" w:hAnsi="Verdana" w:cs="Arial"/>
          <w:sz w:val="21"/>
          <w:szCs w:val="21"/>
          <w:lang w:val="es-CO" w:eastAsia="en-US"/>
        </w:rPr>
        <w:t>T</w:t>
      </w:r>
      <w:r w:rsidRPr="00002983">
        <w:rPr>
          <w:rFonts w:ascii="Verdana" w:eastAsia="Calibri" w:hAnsi="Verdana" w:cs="Arial"/>
          <w:sz w:val="21"/>
          <w:szCs w:val="21"/>
          <w:lang w:val="es-CO" w:eastAsia="en-US"/>
        </w:rPr>
        <w:t>erritorial en el informe No 9 radicado a esta dirección el día 27 de diciembre de 2021 con el radicado No 1-2021-114724, adjuntó escenario donde da cumplimiento a la reorientación de recursos por $70.240 millones con recursos proveniente de ICLD y Regalías así:</w:t>
      </w:r>
    </w:p>
    <w:p w14:paraId="32CCB24F" w14:textId="77777777" w:rsidR="00443366" w:rsidRPr="00002983" w:rsidRDefault="00443366" w:rsidP="00002983">
      <w:pPr>
        <w:jc w:val="both"/>
        <w:rPr>
          <w:rFonts w:ascii="Verdana" w:eastAsia="Calibri" w:hAnsi="Verdana" w:cs="Arial"/>
          <w:sz w:val="21"/>
          <w:szCs w:val="21"/>
          <w:lang w:val="es-CO" w:eastAsia="en-US"/>
        </w:rPr>
      </w:pPr>
    </w:p>
    <w:p w14:paraId="71E141BC"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hAnsi="Verdana"/>
          <w:noProof/>
          <w:sz w:val="21"/>
          <w:szCs w:val="21"/>
          <w:lang w:val="es-CO" w:eastAsia="es-CO"/>
        </w:rPr>
        <w:drawing>
          <wp:inline distT="0" distB="0" distL="0" distR="0" wp14:anchorId="12AEC955" wp14:editId="566E7966">
            <wp:extent cx="5612130" cy="243840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12130" cy="2438400"/>
                    </a:xfrm>
                    <a:prstGeom prst="rect">
                      <a:avLst/>
                    </a:prstGeom>
                  </pic:spPr>
                </pic:pic>
              </a:graphicData>
            </a:graphic>
          </wp:inline>
        </w:drawing>
      </w:r>
    </w:p>
    <w:p w14:paraId="69A3BC9C" w14:textId="77777777" w:rsidR="00443366" w:rsidRPr="00002983" w:rsidRDefault="00443366" w:rsidP="00915CBB">
      <w:pPr>
        <w:jc w:val="center"/>
        <w:rPr>
          <w:rFonts w:ascii="Verdana" w:eastAsia="Calibri" w:hAnsi="Verdana" w:cs="Arial"/>
          <w:sz w:val="21"/>
          <w:szCs w:val="21"/>
          <w:lang w:val="es-CO" w:eastAsia="en-US"/>
        </w:rPr>
      </w:pPr>
      <w:r w:rsidRPr="00002983">
        <w:rPr>
          <w:rFonts w:ascii="Verdana" w:eastAsia="Calibri" w:hAnsi="Verdana" w:cs="Arial"/>
          <w:sz w:val="21"/>
          <w:szCs w:val="21"/>
          <w:lang w:val="es-CO" w:eastAsia="en-US"/>
        </w:rPr>
        <w:t>Fuente: Entidad territorial, anexo del informe No 9.</w:t>
      </w:r>
    </w:p>
    <w:p w14:paraId="49879B7E" w14:textId="77777777" w:rsidR="00443366" w:rsidRPr="00002983" w:rsidRDefault="00443366" w:rsidP="00002983">
      <w:pPr>
        <w:jc w:val="both"/>
        <w:rPr>
          <w:rFonts w:ascii="Verdana" w:eastAsia="Calibri" w:hAnsi="Verdana" w:cs="Arial"/>
          <w:sz w:val="21"/>
          <w:szCs w:val="21"/>
          <w:lang w:val="es-CO" w:eastAsia="en-US"/>
        </w:rPr>
      </w:pPr>
    </w:p>
    <w:p w14:paraId="7264FD0C"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Sobre este punto la OCI, no hace referencia al respecto ni se envía evidencia, por considerarlo cumplido.</w:t>
      </w:r>
    </w:p>
    <w:p w14:paraId="274CB21E" w14:textId="77777777" w:rsidR="00443366" w:rsidRDefault="00443366" w:rsidP="00002983">
      <w:pPr>
        <w:jc w:val="both"/>
        <w:rPr>
          <w:rFonts w:ascii="Verdana" w:eastAsia="Calibri" w:hAnsi="Verdana" w:cs="Arial"/>
          <w:sz w:val="21"/>
          <w:szCs w:val="21"/>
          <w:lang w:val="es-CO" w:eastAsia="en-US"/>
        </w:rPr>
      </w:pPr>
    </w:p>
    <w:p w14:paraId="4459ED02" w14:textId="77777777" w:rsidR="00915CBB" w:rsidRPr="00002983" w:rsidRDefault="00915CBB" w:rsidP="00002983">
      <w:pPr>
        <w:jc w:val="both"/>
        <w:rPr>
          <w:rFonts w:ascii="Verdana" w:eastAsia="Calibri" w:hAnsi="Verdana" w:cs="Arial"/>
          <w:sz w:val="21"/>
          <w:szCs w:val="21"/>
          <w:lang w:val="es-CO" w:eastAsia="en-US"/>
        </w:rPr>
      </w:pPr>
    </w:p>
    <w:p w14:paraId="48E643D6" w14:textId="77777777" w:rsidR="00443366" w:rsidRPr="00002983" w:rsidRDefault="00443366" w:rsidP="00002983">
      <w:pPr>
        <w:pStyle w:val="Prrafodelista"/>
        <w:numPr>
          <w:ilvl w:val="0"/>
          <w:numId w:val="3"/>
        </w:numPr>
        <w:jc w:val="both"/>
        <w:rPr>
          <w:rFonts w:ascii="Verdana" w:hAnsi="Verdana"/>
          <w:b/>
          <w:sz w:val="21"/>
          <w:szCs w:val="21"/>
        </w:rPr>
      </w:pPr>
      <w:r w:rsidRPr="00002983">
        <w:rPr>
          <w:rFonts w:ascii="Verdana" w:hAnsi="Verdana"/>
          <w:b/>
          <w:sz w:val="21"/>
          <w:szCs w:val="21"/>
        </w:rPr>
        <w:lastRenderedPageBreak/>
        <w:t xml:space="preserve">CONCLUSIONES Y RECOMENDACIONES </w:t>
      </w:r>
    </w:p>
    <w:bookmarkEnd w:id="5"/>
    <w:p w14:paraId="44C547FA" w14:textId="77777777" w:rsidR="00443366" w:rsidRPr="00002983" w:rsidRDefault="00443366" w:rsidP="00002983">
      <w:pPr>
        <w:pStyle w:val="Prrafodelista"/>
        <w:ind w:left="0"/>
        <w:jc w:val="both"/>
        <w:rPr>
          <w:rFonts w:ascii="Verdana" w:hAnsi="Verdana" w:cs="Arial"/>
          <w:sz w:val="21"/>
          <w:szCs w:val="21"/>
        </w:rPr>
      </w:pPr>
    </w:p>
    <w:p w14:paraId="5F67167D"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De acuerdo con lo expuesto, persiste el incumplimiento de las actividades establecidas en el artículo 3° de la Resolución 3033 de 2017 y 1° de la Resolución 3496 de 2018 toda vez que se observó un avance de 75% en el total de actividades</w:t>
      </w:r>
      <w:r w:rsidR="00962D98" w:rsidRPr="00002983">
        <w:rPr>
          <w:rFonts w:ascii="Verdana" w:eastAsia="Calibri" w:hAnsi="Verdana" w:cs="Arial"/>
          <w:sz w:val="21"/>
          <w:szCs w:val="21"/>
          <w:lang w:val="es-CO" w:eastAsia="en-US"/>
        </w:rPr>
        <w:t>.</w:t>
      </w:r>
      <w:r w:rsidRPr="00002983">
        <w:rPr>
          <w:rFonts w:ascii="Verdana" w:eastAsia="Calibri" w:hAnsi="Verdana" w:cs="Arial"/>
          <w:sz w:val="21"/>
          <w:szCs w:val="21"/>
          <w:lang w:val="es-CO" w:eastAsia="en-US"/>
        </w:rPr>
        <w:t xml:space="preserve">  En este sentido, con el fin de dar cumplimiento a las actividades formuladas para alcanzar el levantamiento de la Medida Correctiva de Suspensión de Giros, se reitera que el Departamento debe: i) Remitir periódicamente la evidencia de los reportes de información al FUT, SIHO, Circular 030 de 2013, SISPRO, PISIS, REPS y los reportes establecidos en las Resoluciones 1479 de 2015, 6348 de 2016 con la oportunidad y calidad requeridas, ii) enviar periódicamente los informes de la Oficina Asesora de Control Interno en el cual se detallen los resultados de los avances en el cumplimiento de las actividades dispuestas para el levantamiento de la Medida Correctiva de Suspensión de Giros y las reuniones de los Comités de seguimiento y contratación, en los cuales la OCI participa, iii) Enviar la certificación de la deuda conforme el resultado de la auditoria hecha por la Universidad de Cartagena, iv) Presentar el Plan Financiero Territorial en salud en los aplicativos dispuestos por el MSPS, en los términos y condiciones referidas.</w:t>
      </w:r>
    </w:p>
    <w:p w14:paraId="10D69CFE" w14:textId="77777777" w:rsidR="00443366" w:rsidRPr="00002983" w:rsidRDefault="00443366" w:rsidP="00002983">
      <w:pPr>
        <w:jc w:val="both"/>
        <w:rPr>
          <w:rFonts w:ascii="Verdana" w:eastAsia="Calibri" w:hAnsi="Verdana" w:cs="Arial"/>
          <w:sz w:val="21"/>
          <w:szCs w:val="21"/>
          <w:lang w:val="es-CO" w:eastAsia="en-US"/>
        </w:rPr>
      </w:pPr>
    </w:p>
    <w:p w14:paraId="14517F1D"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 xml:space="preserve">Por último, se advierte que la OCI en el marco de la obligación No 4, realizó el envío del informe No 16 de avance de la Medida Correctiva de Suspensión de </w:t>
      </w:r>
      <w:proofErr w:type="gramStart"/>
      <w:r w:rsidRPr="00002983">
        <w:rPr>
          <w:rFonts w:ascii="Verdana" w:eastAsia="Calibri" w:hAnsi="Verdana" w:cs="Arial"/>
          <w:sz w:val="21"/>
          <w:szCs w:val="21"/>
          <w:lang w:val="es-CO" w:eastAsia="en-US"/>
        </w:rPr>
        <w:t>Giros</w:t>
      </w:r>
      <w:proofErr w:type="gramEnd"/>
      <w:r w:rsidRPr="00002983">
        <w:rPr>
          <w:rFonts w:ascii="Verdana" w:eastAsia="Calibri" w:hAnsi="Verdana" w:cs="Arial"/>
          <w:sz w:val="21"/>
          <w:szCs w:val="21"/>
          <w:lang w:val="es-CO" w:eastAsia="en-US"/>
        </w:rPr>
        <w:t xml:space="preserve"> sin embargo, este informe no exonera al ente territorial de presentar los respectivos avances, por cuanto es la gobernación quien debe enviar los soportes que den cuenta del cumplimiento de las obligaciones, para que de esta forma, este Ministerio pueda evaluar el levantamiento de la respectiva medida.</w:t>
      </w:r>
    </w:p>
    <w:p w14:paraId="15862FEA" w14:textId="77777777" w:rsidR="00443366" w:rsidRPr="00002983" w:rsidRDefault="00443366" w:rsidP="00002983">
      <w:pPr>
        <w:jc w:val="both"/>
        <w:rPr>
          <w:rFonts w:ascii="Verdana" w:eastAsia="Calibri" w:hAnsi="Verdana" w:cs="Arial"/>
          <w:sz w:val="21"/>
          <w:szCs w:val="21"/>
          <w:lang w:val="es-CO" w:eastAsia="en-US"/>
        </w:rPr>
      </w:pPr>
    </w:p>
    <w:p w14:paraId="57E8D635" w14:textId="77777777" w:rsidR="00443366" w:rsidRPr="00002983" w:rsidRDefault="00443366" w:rsidP="00002983">
      <w:pPr>
        <w:jc w:val="both"/>
        <w:rPr>
          <w:rFonts w:ascii="Verdana" w:eastAsia="Calibri" w:hAnsi="Verdana" w:cs="Arial"/>
          <w:sz w:val="21"/>
          <w:szCs w:val="21"/>
          <w:lang w:val="es-CO" w:eastAsia="en-US"/>
        </w:rPr>
      </w:pPr>
      <w:r w:rsidRPr="00002983">
        <w:rPr>
          <w:rFonts w:ascii="Verdana" w:eastAsia="Calibri" w:hAnsi="Verdana" w:cs="Arial"/>
          <w:sz w:val="21"/>
          <w:szCs w:val="21"/>
          <w:lang w:val="es-CO" w:eastAsia="en-US"/>
        </w:rPr>
        <w:t>En consecuencia, se mantiene la Medida Correctiva de Suspensión de Giros hasta tanto el Departamento no cumpla con la totalidad de las acciones previstas en el artículo 3° de la Resolución No. 3033 del 19 de septiembre de 2017 y 1° de la Resolución No. 3496 del 17 de octubre de 2018 y se realice el envío de los soportes de cumplimiento de las medidas y se certifique la deuda generada después de la culminación del proceso de auditoría.</w:t>
      </w:r>
    </w:p>
    <w:p w14:paraId="1A6EA3EB" w14:textId="77777777" w:rsidR="00443366" w:rsidRPr="00002983" w:rsidRDefault="00443366" w:rsidP="00002983">
      <w:pPr>
        <w:jc w:val="both"/>
        <w:rPr>
          <w:rFonts w:ascii="Verdana" w:eastAsia="Calibri" w:hAnsi="Verdana" w:cs="Arial"/>
          <w:sz w:val="21"/>
          <w:szCs w:val="21"/>
          <w:lang w:val="es-CO" w:eastAsia="en-US"/>
        </w:rPr>
      </w:pPr>
    </w:p>
    <w:p w14:paraId="21934118" w14:textId="77777777" w:rsidR="00443366" w:rsidRPr="00002983" w:rsidRDefault="00443366" w:rsidP="00002983">
      <w:pPr>
        <w:jc w:val="both"/>
        <w:rPr>
          <w:rFonts w:ascii="Arial" w:eastAsia="Calibri" w:hAnsi="Arial" w:cs="Arial"/>
          <w:sz w:val="21"/>
          <w:szCs w:val="21"/>
          <w:lang w:val="es-CO" w:eastAsia="en-US"/>
        </w:rPr>
      </w:pPr>
    </w:p>
    <w:p w14:paraId="2934FD94" w14:textId="77777777" w:rsidR="00443366" w:rsidRPr="00915CBB" w:rsidRDefault="00443366" w:rsidP="00002983">
      <w:pPr>
        <w:pStyle w:val="FormatolibreCAAA"/>
        <w:tabs>
          <w:tab w:val="left" w:pos="1560"/>
        </w:tabs>
        <w:jc w:val="both"/>
        <w:rPr>
          <w:rFonts w:ascii="Arial" w:hAnsi="Arial" w:cs="Arial"/>
          <w:sz w:val="16"/>
          <w:szCs w:val="16"/>
        </w:rPr>
      </w:pPr>
      <w:r w:rsidRPr="00915CBB">
        <w:rPr>
          <w:rFonts w:ascii="Arial" w:hAnsi="Arial" w:cs="Arial"/>
          <w:b/>
          <w:sz w:val="16"/>
          <w:szCs w:val="16"/>
        </w:rPr>
        <w:t>Elaboración:</w:t>
      </w:r>
      <w:r w:rsidRPr="00915CBB">
        <w:rPr>
          <w:rFonts w:ascii="Arial" w:hAnsi="Arial" w:cs="Arial"/>
          <w:sz w:val="16"/>
          <w:szCs w:val="16"/>
        </w:rPr>
        <w:t xml:space="preserve"> </w:t>
      </w:r>
      <w:r w:rsidRPr="00915CBB">
        <w:rPr>
          <w:rFonts w:ascii="Arial" w:hAnsi="Arial" w:cs="Arial"/>
          <w:sz w:val="16"/>
          <w:szCs w:val="16"/>
        </w:rPr>
        <w:tab/>
        <w:t>Óscar Giraldo/ Patricia Peña</w:t>
      </w:r>
    </w:p>
    <w:p w14:paraId="70F0D1A8" w14:textId="77777777" w:rsidR="00443366" w:rsidRPr="00915CBB" w:rsidRDefault="00443366" w:rsidP="00002983">
      <w:pPr>
        <w:pStyle w:val="FormatolibreCAAA"/>
        <w:tabs>
          <w:tab w:val="left" w:pos="1560"/>
        </w:tabs>
        <w:jc w:val="both"/>
        <w:rPr>
          <w:rFonts w:ascii="Arial" w:hAnsi="Arial" w:cs="Arial"/>
          <w:sz w:val="16"/>
          <w:szCs w:val="16"/>
        </w:rPr>
      </w:pPr>
      <w:r w:rsidRPr="00915CBB">
        <w:rPr>
          <w:rFonts w:ascii="Arial" w:hAnsi="Arial" w:cs="Arial"/>
          <w:b/>
          <w:sz w:val="16"/>
          <w:szCs w:val="16"/>
        </w:rPr>
        <w:t>Revisó:</w:t>
      </w:r>
      <w:r w:rsidRPr="00915CBB">
        <w:rPr>
          <w:rFonts w:ascii="Arial" w:hAnsi="Arial" w:cs="Arial"/>
          <w:sz w:val="16"/>
          <w:szCs w:val="16"/>
        </w:rPr>
        <w:tab/>
        <w:t>Patricia Peña / Adelaida Berdugo</w:t>
      </w:r>
    </w:p>
    <w:p w14:paraId="61A81164" w14:textId="77777777" w:rsidR="00443366" w:rsidRPr="00915CBB" w:rsidRDefault="00443366" w:rsidP="00002983">
      <w:pPr>
        <w:pStyle w:val="FormatolibreCAAA"/>
        <w:tabs>
          <w:tab w:val="left" w:pos="1560"/>
        </w:tabs>
        <w:jc w:val="both"/>
        <w:rPr>
          <w:rFonts w:ascii="Arial" w:hAnsi="Arial" w:cs="Arial"/>
          <w:sz w:val="16"/>
          <w:szCs w:val="16"/>
        </w:rPr>
      </w:pPr>
      <w:r w:rsidRPr="00915CBB">
        <w:rPr>
          <w:rFonts w:ascii="Arial" w:hAnsi="Arial" w:cs="Arial"/>
          <w:b/>
          <w:sz w:val="16"/>
          <w:szCs w:val="16"/>
        </w:rPr>
        <w:t>Aprobación:</w:t>
      </w:r>
      <w:r w:rsidRPr="00915CBB">
        <w:rPr>
          <w:rFonts w:ascii="Arial" w:hAnsi="Arial" w:cs="Arial"/>
          <w:sz w:val="16"/>
          <w:szCs w:val="16"/>
        </w:rPr>
        <w:t xml:space="preserve"> </w:t>
      </w:r>
      <w:r w:rsidRPr="00915CBB">
        <w:rPr>
          <w:rFonts w:ascii="Arial" w:hAnsi="Arial" w:cs="Arial"/>
          <w:sz w:val="16"/>
          <w:szCs w:val="16"/>
        </w:rPr>
        <w:tab/>
        <w:t>Fernando Olivera</w:t>
      </w:r>
    </w:p>
    <w:p w14:paraId="07B010CF" w14:textId="77777777" w:rsidR="00D92691" w:rsidRPr="00002983" w:rsidRDefault="00D92691" w:rsidP="00002983">
      <w:pPr>
        <w:rPr>
          <w:sz w:val="21"/>
          <w:szCs w:val="21"/>
        </w:rPr>
      </w:pPr>
    </w:p>
    <w:sectPr w:rsidR="00D92691" w:rsidRPr="00002983" w:rsidSect="00443366">
      <w:headerReference w:type="default" r:id="rId24"/>
      <w:footerReference w:type="default" r:id="rId25"/>
      <w:headerReference w:type="first" r:id="rId26"/>
      <w:footerReference w:type="first" r:id="rId27"/>
      <w:pgSz w:w="12240" w:h="15840" w:code="1"/>
      <w:pgMar w:top="-1843"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E0D7A" w14:textId="77777777" w:rsidR="00045A22" w:rsidRDefault="00045A22" w:rsidP="00F71345">
      <w:r>
        <w:separator/>
      </w:r>
    </w:p>
  </w:endnote>
  <w:endnote w:type="continuationSeparator" w:id="0">
    <w:p w14:paraId="3033D02C" w14:textId="77777777" w:rsidR="00045A22" w:rsidRDefault="00045A22"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Futura Std Book">
    <w:altName w:val="Gadugi"/>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Verdana Pro">
    <w:altName w:val="Verdana Pro"/>
    <w:charset w:val="00"/>
    <w:family w:val="swiss"/>
    <w:pitch w:val="variable"/>
    <w:sig w:usb0="80000287" w:usb1="0000004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86F43" w14:textId="77777777" w:rsidR="00627337" w:rsidRPr="00F01F75" w:rsidRDefault="00FF4985" w:rsidP="002F2BCC">
    <w:pPr>
      <w:pStyle w:val="Piedepgina"/>
    </w:pPr>
    <w:r>
      <w:rPr>
        <w:noProof/>
        <w:lang w:eastAsia="es-CO"/>
      </w:rPr>
      <w:drawing>
        <wp:anchor distT="0" distB="0" distL="114300" distR="114300" simplePos="0" relativeHeight="251661312" behindDoc="0" locked="0" layoutInCell="1" allowOverlap="1" wp14:anchorId="271E45EB" wp14:editId="4F6D0AAF">
          <wp:simplePos x="0" y="0"/>
          <wp:positionH relativeFrom="margin">
            <wp:align>left</wp:align>
          </wp:positionH>
          <wp:positionV relativeFrom="paragraph">
            <wp:posOffset>-657225</wp:posOffset>
          </wp:positionV>
          <wp:extent cx="3150870" cy="869950"/>
          <wp:effectExtent l="0" t="0" r="0" b="6350"/>
          <wp:wrapSquare wrapText="bothSides"/>
          <wp:docPr id="1615993376" name="Imagen 161599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50870" cy="86995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D3DD7" w14:textId="77777777" w:rsidR="00627337" w:rsidRPr="00F01F75" w:rsidRDefault="00FF4985" w:rsidP="002F2BCC">
    <w:pPr>
      <w:pStyle w:val="Piedepgina"/>
    </w:pPr>
    <w:r>
      <w:rPr>
        <w:noProof/>
        <w:lang w:eastAsia="es-CO"/>
      </w:rPr>
      <w:drawing>
        <wp:anchor distT="0" distB="0" distL="114300" distR="114300" simplePos="0" relativeHeight="251659264" behindDoc="0" locked="0" layoutInCell="1" allowOverlap="1" wp14:anchorId="54F0B6FC" wp14:editId="31A8CCEC">
          <wp:simplePos x="0" y="0"/>
          <wp:positionH relativeFrom="margin">
            <wp:align>left</wp:align>
          </wp:positionH>
          <wp:positionV relativeFrom="paragraph">
            <wp:posOffset>-742950</wp:posOffset>
          </wp:positionV>
          <wp:extent cx="3150870" cy="869950"/>
          <wp:effectExtent l="0" t="0" r="0" b="6350"/>
          <wp:wrapSquare wrapText="bothSides"/>
          <wp:docPr id="1615993378" name="Imagen 1615993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50870" cy="8699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2366B" w14:textId="77777777" w:rsidR="00045A22" w:rsidRDefault="00045A22" w:rsidP="00F71345">
      <w:r>
        <w:separator/>
      </w:r>
    </w:p>
  </w:footnote>
  <w:footnote w:type="continuationSeparator" w:id="0">
    <w:p w14:paraId="688728EA" w14:textId="77777777" w:rsidR="00045A22" w:rsidRDefault="00045A22" w:rsidP="00F71345">
      <w:r>
        <w:continuationSeparator/>
      </w:r>
    </w:p>
  </w:footnote>
  <w:footnote w:id="1">
    <w:p w14:paraId="33CA3860" w14:textId="77777777" w:rsidR="00443366" w:rsidRDefault="00443366" w:rsidP="00443366">
      <w:pPr>
        <w:pStyle w:val="Textonotapie"/>
        <w:jc w:val="both"/>
        <w:rPr>
          <w:rFonts w:ascii="Arial" w:hAnsi="Arial" w:cs="Arial"/>
        </w:rPr>
      </w:pPr>
      <w:r>
        <w:rPr>
          <w:rStyle w:val="Refdenotaalpie"/>
          <w:rFonts w:ascii="Arial" w:hAnsi="Arial" w:cs="Arial"/>
        </w:rPr>
        <w:footnoteRef/>
      </w:r>
      <w:r>
        <w:rPr>
          <w:rFonts w:ascii="Arial" w:hAnsi="Arial" w:cs="Arial"/>
        </w:rPr>
        <w:t xml:space="preserve"> </w:t>
      </w:r>
      <w:r>
        <w:rPr>
          <w:rFonts w:ascii="Arial" w:hAnsi="Arial" w:cs="Arial"/>
          <w:sz w:val="16"/>
        </w:rPr>
        <w:t>El informe realizado en 2017 incluye, adicionalmente, los recursos del Programa de Alimentación Escolar – PAE</w:t>
      </w:r>
    </w:p>
  </w:footnote>
  <w:footnote w:id="2">
    <w:p w14:paraId="6FE18F04" w14:textId="77777777" w:rsidR="00443366" w:rsidRDefault="00443366" w:rsidP="00443366">
      <w:pPr>
        <w:pStyle w:val="Textonotapie"/>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Información tomada del Informe de Viabilidad Fiscal del Departamento de Córdoba de 2022. DAF/MHCP.</w:t>
      </w:r>
    </w:p>
  </w:footnote>
  <w:footnote w:id="3">
    <w:p w14:paraId="3B388BFB" w14:textId="77777777" w:rsidR="00443366" w:rsidRDefault="00443366" w:rsidP="00443366">
      <w:pPr>
        <w:pStyle w:val="Textonotapie"/>
        <w:rPr>
          <w:rFonts w:ascii="Arial Narrow" w:hAnsi="Arial Narrow" w:cs="Times New Roman"/>
          <w:i/>
          <w:sz w:val="18"/>
          <w:szCs w:val="18"/>
        </w:rPr>
      </w:pPr>
      <w:r>
        <w:rPr>
          <w:rStyle w:val="Refdenotaalpie"/>
        </w:rPr>
        <w:footnoteRef/>
      </w:r>
      <w:r>
        <w:t xml:space="preserve"> </w:t>
      </w:r>
      <w:r>
        <w:rPr>
          <w:rFonts w:ascii="Arial Narrow" w:hAnsi="Arial Narrow"/>
          <w:sz w:val="18"/>
          <w:szCs w:val="18"/>
        </w:rPr>
        <w:t>Numeral modificado mediante Resolución No. 3496 del 17 de octubre de 2018</w:t>
      </w:r>
      <w:r>
        <w:rPr>
          <w:rFonts w:ascii="Arial Narrow" w:hAnsi="Arial Narrow"/>
          <w:i/>
          <w:sz w:val="18"/>
          <w:szCs w:val="18"/>
        </w:rPr>
        <w:t xml:space="preserve"> “Por la cual se modifica la Resolución No. 3033 del 19 de septiembre de 2017 de la Dirección General de Apoyo Fiscal del Ministerio de Hacienda y Crédito Público”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5DAC7" w14:textId="77777777" w:rsidR="00627337" w:rsidRDefault="00627337" w:rsidP="00A82889">
    <w:pPr>
      <w:jc w:val="right"/>
      <w:rPr>
        <w:rFonts w:ascii="Arial" w:hAnsi="Arial" w:cs="Arial"/>
        <w:sz w:val="16"/>
        <w:szCs w:val="16"/>
      </w:rPr>
    </w:pPr>
  </w:p>
  <w:p w14:paraId="0D76BDEB" w14:textId="77777777" w:rsidR="00627337" w:rsidRDefault="00443366" w:rsidP="00FF4985">
    <w:pPr>
      <w:rPr>
        <w:rFonts w:ascii="Arial" w:hAnsi="Arial" w:cs="Arial"/>
        <w:sz w:val="16"/>
        <w:szCs w:val="16"/>
      </w:rPr>
    </w:pPr>
    <w:r>
      <w:rPr>
        <w:noProof/>
        <w:lang w:val="es-CO" w:eastAsia="es-CO"/>
      </w:rPr>
      <w:drawing>
        <wp:inline distT="0" distB="0" distL="0" distR="0" wp14:anchorId="0138321A" wp14:editId="63E6C4F1">
          <wp:extent cx="5612130" cy="8699500"/>
          <wp:effectExtent l="0" t="0" r="0" b="0"/>
          <wp:docPr id="1615993375" name="Imagen 1615993375"/>
          <wp:cNvGraphicFramePr/>
          <a:graphic xmlns:a="http://schemas.openxmlformats.org/drawingml/2006/main">
            <a:graphicData uri="http://schemas.openxmlformats.org/drawingml/2006/picture">
              <pic:pic xmlns:pic="http://schemas.openxmlformats.org/drawingml/2006/picture">
                <pic:nvPicPr>
                  <pic:cNvPr id="1615993281" name="Imagen 161599328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12130" cy="8699500"/>
                  </a:xfrm>
                  <a:prstGeom prst="rect">
                    <a:avLst/>
                  </a:prstGeom>
                  <a:noFill/>
                  <a:ln>
                    <a:noFill/>
                  </a:ln>
                </pic:spPr>
              </pic:pic>
            </a:graphicData>
          </a:graphic>
        </wp:inline>
      </w:drawing>
    </w:r>
  </w:p>
  <w:p w14:paraId="1F6087A3" w14:textId="77777777" w:rsidR="00627337" w:rsidRDefault="00627337" w:rsidP="00F01F75">
    <w:pPr>
      <w:pStyle w:val="Encabezado"/>
      <w:rPr>
        <w:rFonts w:ascii="Arial" w:hAnsi="Arial" w:cs="Arial"/>
        <w:sz w:val="16"/>
        <w:szCs w:val="16"/>
      </w:rPr>
    </w:pPr>
  </w:p>
  <w:p w14:paraId="55403295" w14:textId="77777777" w:rsidR="00627337" w:rsidRDefault="00627337" w:rsidP="00F01F75">
    <w:pPr>
      <w:pStyle w:val="Encabezado"/>
      <w:rPr>
        <w:rFonts w:ascii="Arial" w:hAnsi="Arial" w:cs="Arial"/>
        <w:sz w:val="16"/>
        <w:szCs w:val="16"/>
      </w:rPr>
    </w:pPr>
  </w:p>
  <w:p w14:paraId="1AE16B14" w14:textId="77777777" w:rsidR="00627337" w:rsidRDefault="00627337" w:rsidP="00F01F75">
    <w:pPr>
      <w:pStyle w:val="Encabezado"/>
      <w:rPr>
        <w:rFonts w:ascii="Arial" w:hAnsi="Arial" w:cs="Arial"/>
        <w:sz w:val="16"/>
        <w:szCs w:val="16"/>
      </w:rPr>
    </w:pPr>
  </w:p>
  <w:p w14:paraId="54D595C9" w14:textId="77777777" w:rsidR="00627337" w:rsidRPr="00F01F75" w:rsidRDefault="00627337" w:rsidP="00F01F75">
    <w:pPr>
      <w:pStyle w:val="Encabezado"/>
      <w:rPr>
        <w:rFonts w:ascii="Arial" w:hAnsi="Arial" w:cs="Arial"/>
        <w:sz w:val="16"/>
        <w:szCs w:val="16"/>
      </w:rPr>
    </w:pPr>
    <w:r w:rsidRPr="00F01F75">
      <w:rPr>
        <w:rFonts w:ascii="Arial" w:hAnsi="Arial" w:cs="Arial"/>
        <w:sz w:val="16"/>
        <w:szCs w:val="16"/>
      </w:rPr>
      <w:t xml:space="preserve">Continuación </w:t>
    </w:r>
    <w:r>
      <w:rPr>
        <w:rFonts w:ascii="Arial" w:hAnsi="Arial" w:cs="Arial"/>
        <w:sz w:val="16"/>
        <w:szCs w:val="16"/>
      </w:rPr>
      <w:t xml:space="preserve">informe </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EF331C">
      <w:rPr>
        <w:rStyle w:val="Nmerodepgina"/>
        <w:rFonts w:ascii="Arial" w:hAnsi="Arial" w:cs="Arial"/>
        <w:noProof/>
        <w:sz w:val="16"/>
        <w:szCs w:val="16"/>
      </w:rPr>
      <w:t>22</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EF331C">
      <w:rPr>
        <w:rStyle w:val="Nmerodepgina"/>
        <w:rFonts w:ascii="Arial" w:hAnsi="Arial" w:cs="Arial"/>
        <w:noProof/>
        <w:sz w:val="16"/>
        <w:szCs w:val="16"/>
      </w:rPr>
      <w:t>27</w:t>
    </w:r>
    <w:r w:rsidRPr="00F01F75">
      <w:rPr>
        <w:rStyle w:val="Nmerodepgina"/>
        <w:rFonts w:ascii="Arial" w:hAnsi="Arial" w:cs="Arial"/>
        <w:sz w:val="16"/>
        <w:szCs w:val="16"/>
      </w:rPr>
      <w:fldChar w:fldCharType="end"/>
    </w:r>
  </w:p>
  <w:p w14:paraId="20E030B7" w14:textId="77777777" w:rsidR="00627337" w:rsidRPr="00F01F75" w:rsidRDefault="00627337">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186DA" w14:textId="77777777" w:rsidR="00627337" w:rsidRDefault="00443366" w:rsidP="00FF4985">
    <w:pPr>
      <w:pStyle w:val="Encabezado"/>
    </w:pPr>
    <w:r>
      <w:rPr>
        <w:noProof/>
        <w:lang w:eastAsia="es-CO"/>
      </w:rPr>
      <w:drawing>
        <wp:inline distT="0" distB="0" distL="0" distR="0" wp14:anchorId="253FABE6" wp14:editId="16B2659B">
          <wp:extent cx="5612130" cy="6426200"/>
          <wp:effectExtent l="0" t="0" r="0" b="0"/>
          <wp:docPr id="1615993377" name="Imagen 1615993377"/>
          <wp:cNvGraphicFramePr/>
          <a:graphic xmlns:a="http://schemas.openxmlformats.org/drawingml/2006/main">
            <a:graphicData uri="http://schemas.openxmlformats.org/drawingml/2006/picture">
              <pic:pic xmlns:pic="http://schemas.openxmlformats.org/drawingml/2006/picture">
                <pic:nvPicPr>
                  <pic:cNvPr id="1615993281" name="Imagen 161599328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12130" cy="6426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4593"/>
    <w:multiLevelType w:val="hybridMultilevel"/>
    <w:tmpl w:val="D1F41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0C48ED"/>
    <w:multiLevelType w:val="hybridMultilevel"/>
    <w:tmpl w:val="EF54EF56"/>
    <w:lvl w:ilvl="0" w:tplc="3CA4AF4C">
      <w:start w:val="1"/>
      <w:numFmt w:val="decimal"/>
      <w:lvlText w:val="%1."/>
      <w:lvlJc w:val="left"/>
      <w:pPr>
        <w:ind w:left="288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C5060A"/>
    <w:multiLevelType w:val="hybridMultilevel"/>
    <w:tmpl w:val="959E78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82F04EC"/>
    <w:multiLevelType w:val="hybridMultilevel"/>
    <w:tmpl w:val="0B262C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F4A6007"/>
    <w:multiLevelType w:val="hybridMultilevel"/>
    <w:tmpl w:val="5624F6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381839"/>
    <w:multiLevelType w:val="hybridMultilevel"/>
    <w:tmpl w:val="FE2A5A36"/>
    <w:lvl w:ilvl="0" w:tplc="AE348AE8">
      <w:start w:val="1"/>
      <w:numFmt w:val="upperRoman"/>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CA4AF4C">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69F435A"/>
    <w:multiLevelType w:val="hybridMultilevel"/>
    <w:tmpl w:val="3014BB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5805A4"/>
    <w:multiLevelType w:val="hybridMultilevel"/>
    <w:tmpl w:val="4B6821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1C0304B"/>
    <w:multiLevelType w:val="hybridMultilevel"/>
    <w:tmpl w:val="A8A8CF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2C6634E"/>
    <w:multiLevelType w:val="hybridMultilevel"/>
    <w:tmpl w:val="02CE0A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29903129">
    <w:abstractNumId w:val="5"/>
  </w:num>
  <w:num w:numId="2" w16cid:durableId="934366825">
    <w:abstractNumId w:val="8"/>
  </w:num>
  <w:num w:numId="3" w16cid:durableId="3621722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23850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7516619">
    <w:abstractNumId w:val="4"/>
  </w:num>
  <w:num w:numId="6" w16cid:durableId="15430715">
    <w:abstractNumId w:val="3"/>
  </w:num>
  <w:num w:numId="7" w16cid:durableId="1046835725">
    <w:abstractNumId w:val="7"/>
  </w:num>
  <w:num w:numId="8" w16cid:durableId="1136069568">
    <w:abstractNumId w:val="2"/>
  </w:num>
  <w:num w:numId="9" w16cid:durableId="1362634279">
    <w:abstractNumId w:val="1"/>
  </w:num>
  <w:num w:numId="10" w16cid:durableId="842474002">
    <w:abstractNumId w:val="0"/>
  </w:num>
  <w:num w:numId="11" w16cid:durableId="568880584">
    <w:abstractNumId w:val="6"/>
  </w:num>
  <w:num w:numId="12" w16cid:durableId="143910709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02983"/>
    <w:rsid w:val="0000363C"/>
    <w:rsid w:val="00011854"/>
    <w:rsid w:val="00015D8E"/>
    <w:rsid w:val="000219D4"/>
    <w:rsid w:val="00023A69"/>
    <w:rsid w:val="00025168"/>
    <w:rsid w:val="000322E3"/>
    <w:rsid w:val="00042D32"/>
    <w:rsid w:val="00043DE6"/>
    <w:rsid w:val="00045A22"/>
    <w:rsid w:val="000463D3"/>
    <w:rsid w:val="0005197E"/>
    <w:rsid w:val="000533EF"/>
    <w:rsid w:val="00057AF8"/>
    <w:rsid w:val="00057CB6"/>
    <w:rsid w:val="000643E9"/>
    <w:rsid w:val="00065034"/>
    <w:rsid w:val="00066D3A"/>
    <w:rsid w:val="00070C78"/>
    <w:rsid w:val="00073A1F"/>
    <w:rsid w:val="00075AD5"/>
    <w:rsid w:val="00077AA2"/>
    <w:rsid w:val="0008210A"/>
    <w:rsid w:val="00082457"/>
    <w:rsid w:val="0008330B"/>
    <w:rsid w:val="0008507C"/>
    <w:rsid w:val="000877D1"/>
    <w:rsid w:val="00093EB8"/>
    <w:rsid w:val="000A07D3"/>
    <w:rsid w:val="000A1163"/>
    <w:rsid w:val="000A2FC8"/>
    <w:rsid w:val="000A31BA"/>
    <w:rsid w:val="000A4383"/>
    <w:rsid w:val="000A71F1"/>
    <w:rsid w:val="000A791C"/>
    <w:rsid w:val="000B20AE"/>
    <w:rsid w:val="000C2C96"/>
    <w:rsid w:val="000C4465"/>
    <w:rsid w:val="000D09AB"/>
    <w:rsid w:val="000D466B"/>
    <w:rsid w:val="000D6114"/>
    <w:rsid w:val="000E1037"/>
    <w:rsid w:val="000E1ECA"/>
    <w:rsid w:val="000E42D0"/>
    <w:rsid w:val="000E4714"/>
    <w:rsid w:val="000E5163"/>
    <w:rsid w:val="000E5748"/>
    <w:rsid w:val="000E6513"/>
    <w:rsid w:val="000F0372"/>
    <w:rsid w:val="000F0EAD"/>
    <w:rsid w:val="000F1CBA"/>
    <w:rsid w:val="000F3807"/>
    <w:rsid w:val="000F4D2E"/>
    <w:rsid w:val="000F6620"/>
    <w:rsid w:val="00101484"/>
    <w:rsid w:val="00102684"/>
    <w:rsid w:val="00103AE9"/>
    <w:rsid w:val="0010497F"/>
    <w:rsid w:val="001067F4"/>
    <w:rsid w:val="001100A5"/>
    <w:rsid w:val="001107D5"/>
    <w:rsid w:val="0011263A"/>
    <w:rsid w:val="0011350E"/>
    <w:rsid w:val="00113CC1"/>
    <w:rsid w:val="00114AE3"/>
    <w:rsid w:val="00117B7B"/>
    <w:rsid w:val="00120EEB"/>
    <w:rsid w:val="00122182"/>
    <w:rsid w:val="001258D6"/>
    <w:rsid w:val="00127CD2"/>
    <w:rsid w:val="00130944"/>
    <w:rsid w:val="001339E2"/>
    <w:rsid w:val="0013472A"/>
    <w:rsid w:val="001419E5"/>
    <w:rsid w:val="00144777"/>
    <w:rsid w:val="001448E3"/>
    <w:rsid w:val="001454CA"/>
    <w:rsid w:val="00147E82"/>
    <w:rsid w:val="001515F9"/>
    <w:rsid w:val="001518F2"/>
    <w:rsid w:val="00153869"/>
    <w:rsid w:val="00153C65"/>
    <w:rsid w:val="00155650"/>
    <w:rsid w:val="00156301"/>
    <w:rsid w:val="00162B69"/>
    <w:rsid w:val="00166790"/>
    <w:rsid w:val="00167BE4"/>
    <w:rsid w:val="0017111C"/>
    <w:rsid w:val="001741BB"/>
    <w:rsid w:val="0017545B"/>
    <w:rsid w:val="00182DEA"/>
    <w:rsid w:val="0019035D"/>
    <w:rsid w:val="00191CE9"/>
    <w:rsid w:val="00191D96"/>
    <w:rsid w:val="00191E93"/>
    <w:rsid w:val="00191EBC"/>
    <w:rsid w:val="00193284"/>
    <w:rsid w:val="0019444E"/>
    <w:rsid w:val="001971ED"/>
    <w:rsid w:val="001972B2"/>
    <w:rsid w:val="001A1ABA"/>
    <w:rsid w:val="001A2147"/>
    <w:rsid w:val="001B0799"/>
    <w:rsid w:val="001B3240"/>
    <w:rsid w:val="001C0181"/>
    <w:rsid w:val="001C1229"/>
    <w:rsid w:val="001C40E5"/>
    <w:rsid w:val="001D085D"/>
    <w:rsid w:val="001D104A"/>
    <w:rsid w:val="001D13E2"/>
    <w:rsid w:val="001D1F25"/>
    <w:rsid w:val="001D36C0"/>
    <w:rsid w:val="001D7796"/>
    <w:rsid w:val="001E3E05"/>
    <w:rsid w:val="001E50F4"/>
    <w:rsid w:val="001E5520"/>
    <w:rsid w:val="001E55D9"/>
    <w:rsid w:val="001E60E2"/>
    <w:rsid w:val="001F0127"/>
    <w:rsid w:val="001F0B1A"/>
    <w:rsid w:val="001F4D1B"/>
    <w:rsid w:val="001F4ED2"/>
    <w:rsid w:val="001F6014"/>
    <w:rsid w:val="001F7009"/>
    <w:rsid w:val="001F72C4"/>
    <w:rsid w:val="002047B0"/>
    <w:rsid w:val="0020773D"/>
    <w:rsid w:val="0021375B"/>
    <w:rsid w:val="002176E6"/>
    <w:rsid w:val="002211EF"/>
    <w:rsid w:val="00221EF1"/>
    <w:rsid w:val="0022264A"/>
    <w:rsid w:val="0022631D"/>
    <w:rsid w:val="00226B16"/>
    <w:rsid w:val="002335A5"/>
    <w:rsid w:val="0023633F"/>
    <w:rsid w:val="00237795"/>
    <w:rsid w:val="00237DFE"/>
    <w:rsid w:val="00237EFE"/>
    <w:rsid w:val="002414B0"/>
    <w:rsid w:val="00242ECE"/>
    <w:rsid w:val="0024487B"/>
    <w:rsid w:val="002458E9"/>
    <w:rsid w:val="00251020"/>
    <w:rsid w:val="002511A6"/>
    <w:rsid w:val="00253CF2"/>
    <w:rsid w:val="002567A2"/>
    <w:rsid w:val="00257AAF"/>
    <w:rsid w:val="002658A7"/>
    <w:rsid w:val="00271E28"/>
    <w:rsid w:val="0027413A"/>
    <w:rsid w:val="0027421A"/>
    <w:rsid w:val="00280A31"/>
    <w:rsid w:val="00283D9E"/>
    <w:rsid w:val="002850DB"/>
    <w:rsid w:val="002919CE"/>
    <w:rsid w:val="002962FA"/>
    <w:rsid w:val="002A13EA"/>
    <w:rsid w:val="002A2626"/>
    <w:rsid w:val="002A6351"/>
    <w:rsid w:val="002A730B"/>
    <w:rsid w:val="002B2812"/>
    <w:rsid w:val="002B2E03"/>
    <w:rsid w:val="002B3410"/>
    <w:rsid w:val="002B4C0B"/>
    <w:rsid w:val="002B4E93"/>
    <w:rsid w:val="002C45F1"/>
    <w:rsid w:val="002C64C1"/>
    <w:rsid w:val="002C6BBE"/>
    <w:rsid w:val="002D1151"/>
    <w:rsid w:val="002D301B"/>
    <w:rsid w:val="002D3CF8"/>
    <w:rsid w:val="002D4B67"/>
    <w:rsid w:val="002D4F09"/>
    <w:rsid w:val="002D6C5F"/>
    <w:rsid w:val="002E1F1F"/>
    <w:rsid w:val="002E3E8B"/>
    <w:rsid w:val="002E54FE"/>
    <w:rsid w:val="002E6BE9"/>
    <w:rsid w:val="002E72FA"/>
    <w:rsid w:val="002E7640"/>
    <w:rsid w:val="002E7778"/>
    <w:rsid w:val="002F01D9"/>
    <w:rsid w:val="002F2BCC"/>
    <w:rsid w:val="002F3621"/>
    <w:rsid w:val="0030112E"/>
    <w:rsid w:val="00301846"/>
    <w:rsid w:val="0030295A"/>
    <w:rsid w:val="003037EC"/>
    <w:rsid w:val="003057C9"/>
    <w:rsid w:val="003226AB"/>
    <w:rsid w:val="0032474D"/>
    <w:rsid w:val="003300CE"/>
    <w:rsid w:val="00330AC6"/>
    <w:rsid w:val="0033289D"/>
    <w:rsid w:val="003334C8"/>
    <w:rsid w:val="0033489C"/>
    <w:rsid w:val="00336BAB"/>
    <w:rsid w:val="00337229"/>
    <w:rsid w:val="00340279"/>
    <w:rsid w:val="00341877"/>
    <w:rsid w:val="003419D9"/>
    <w:rsid w:val="0034312A"/>
    <w:rsid w:val="00343F87"/>
    <w:rsid w:val="00346D99"/>
    <w:rsid w:val="00350C08"/>
    <w:rsid w:val="0035116E"/>
    <w:rsid w:val="003560AE"/>
    <w:rsid w:val="0036144E"/>
    <w:rsid w:val="00370540"/>
    <w:rsid w:val="00372895"/>
    <w:rsid w:val="003774E3"/>
    <w:rsid w:val="0038265A"/>
    <w:rsid w:val="00383A3E"/>
    <w:rsid w:val="00384066"/>
    <w:rsid w:val="00387857"/>
    <w:rsid w:val="00391021"/>
    <w:rsid w:val="0039201F"/>
    <w:rsid w:val="00395375"/>
    <w:rsid w:val="003A4D61"/>
    <w:rsid w:val="003A520B"/>
    <w:rsid w:val="003B1D05"/>
    <w:rsid w:val="003B7FE6"/>
    <w:rsid w:val="003C01C0"/>
    <w:rsid w:val="003C102D"/>
    <w:rsid w:val="003C2E21"/>
    <w:rsid w:val="003C6D25"/>
    <w:rsid w:val="003D00E0"/>
    <w:rsid w:val="003D4DD3"/>
    <w:rsid w:val="003D7FD2"/>
    <w:rsid w:val="003E221C"/>
    <w:rsid w:val="003E31A7"/>
    <w:rsid w:val="003E35C5"/>
    <w:rsid w:val="003E38D1"/>
    <w:rsid w:val="003E59CF"/>
    <w:rsid w:val="003E632D"/>
    <w:rsid w:val="003E77FC"/>
    <w:rsid w:val="003F07EB"/>
    <w:rsid w:val="003F59D9"/>
    <w:rsid w:val="003F5C1B"/>
    <w:rsid w:val="003F617A"/>
    <w:rsid w:val="003F6A30"/>
    <w:rsid w:val="003F788E"/>
    <w:rsid w:val="003F7900"/>
    <w:rsid w:val="004057C1"/>
    <w:rsid w:val="00410445"/>
    <w:rsid w:val="00410C94"/>
    <w:rsid w:val="00412976"/>
    <w:rsid w:val="0041494D"/>
    <w:rsid w:val="00417D74"/>
    <w:rsid w:val="004217FA"/>
    <w:rsid w:val="00430693"/>
    <w:rsid w:val="0043107F"/>
    <w:rsid w:val="004315F2"/>
    <w:rsid w:val="00434B41"/>
    <w:rsid w:val="00437A6B"/>
    <w:rsid w:val="004412E9"/>
    <w:rsid w:val="00443366"/>
    <w:rsid w:val="0044344C"/>
    <w:rsid w:val="00447D2A"/>
    <w:rsid w:val="00450D48"/>
    <w:rsid w:val="00453CE2"/>
    <w:rsid w:val="004607BE"/>
    <w:rsid w:val="00467143"/>
    <w:rsid w:val="00467ACD"/>
    <w:rsid w:val="004700D0"/>
    <w:rsid w:val="00472DB8"/>
    <w:rsid w:val="00472DE8"/>
    <w:rsid w:val="00473B82"/>
    <w:rsid w:val="00473F70"/>
    <w:rsid w:val="00474633"/>
    <w:rsid w:val="00483386"/>
    <w:rsid w:val="00483533"/>
    <w:rsid w:val="00487AEE"/>
    <w:rsid w:val="0049010D"/>
    <w:rsid w:val="004940D4"/>
    <w:rsid w:val="00496473"/>
    <w:rsid w:val="004A140A"/>
    <w:rsid w:val="004A14B6"/>
    <w:rsid w:val="004A7F07"/>
    <w:rsid w:val="004A7F0D"/>
    <w:rsid w:val="004B267F"/>
    <w:rsid w:val="004B299B"/>
    <w:rsid w:val="004C3700"/>
    <w:rsid w:val="004D11E5"/>
    <w:rsid w:val="004D3AB8"/>
    <w:rsid w:val="004D4EE2"/>
    <w:rsid w:val="004D66AD"/>
    <w:rsid w:val="004E432F"/>
    <w:rsid w:val="004E4D21"/>
    <w:rsid w:val="004E6B93"/>
    <w:rsid w:val="004E7B18"/>
    <w:rsid w:val="004F093C"/>
    <w:rsid w:val="004F2BB0"/>
    <w:rsid w:val="004F7BEA"/>
    <w:rsid w:val="005125B0"/>
    <w:rsid w:val="00514FBE"/>
    <w:rsid w:val="0052149D"/>
    <w:rsid w:val="0052323E"/>
    <w:rsid w:val="00526464"/>
    <w:rsid w:val="0053089E"/>
    <w:rsid w:val="00531665"/>
    <w:rsid w:val="00534DC0"/>
    <w:rsid w:val="005368CD"/>
    <w:rsid w:val="00536BB6"/>
    <w:rsid w:val="00537794"/>
    <w:rsid w:val="0053783B"/>
    <w:rsid w:val="00537AEC"/>
    <w:rsid w:val="00540821"/>
    <w:rsid w:val="00542591"/>
    <w:rsid w:val="00542618"/>
    <w:rsid w:val="00542EB8"/>
    <w:rsid w:val="00542F4B"/>
    <w:rsid w:val="005445CE"/>
    <w:rsid w:val="0054628A"/>
    <w:rsid w:val="0055059C"/>
    <w:rsid w:val="00550636"/>
    <w:rsid w:val="005506C6"/>
    <w:rsid w:val="0055135E"/>
    <w:rsid w:val="00552AE0"/>
    <w:rsid w:val="00553C66"/>
    <w:rsid w:val="0055424A"/>
    <w:rsid w:val="00561999"/>
    <w:rsid w:val="00561CC5"/>
    <w:rsid w:val="00562716"/>
    <w:rsid w:val="00562C85"/>
    <w:rsid w:val="00562FCA"/>
    <w:rsid w:val="00565A21"/>
    <w:rsid w:val="00571ED1"/>
    <w:rsid w:val="0057200A"/>
    <w:rsid w:val="00576619"/>
    <w:rsid w:val="00576F0C"/>
    <w:rsid w:val="00577720"/>
    <w:rsid w:val="0058232E"/>
    <w:rsid w:val="005833C7"/>
    <w:rsid w:val="00590228"/>
    <w:rsid w:val="00590F1A"/>
    <w:rsid w:val="00593364"/>
    <w:rsid w:val="005A1A5A"/>
    <w:rsid w:val="005A22D2"/>
    <w:rsid w:val="005A27D0"/>
    <w:rsid w:val="005A34AD"/>
    <w:rsid w:val="005A3BD8"/>
    <w:rsid w:val="005B137A"/>
    <w:rsid w:val="005C5817"/>
    <w:rsid w:val="005C61AC"/>
    <w:rsid w:val="005C6301"/>
    <w:rsid w:val="005C7523"/>
    <w:rsid w:val="005D214D"/>
    <w:rsid w:val="005D4DC9"/>
    <w:rsid w:val="005E04F5"/>
    <w:rsid w:val="005E1133"/>
    <w:rsid w:val="005F2435"/>
    <w:rsid w:val="005F245D"/>
    <w:rsid w:val="005F60FA"/>
    <w:rsid w:val="005F726F"/>
    <w:rsid w:val="005F77DF"/>
    <w:rsid w:val="0060069D"/>
    <w:rsid w:val="00604180"/>
    <w:rsid w:val="00604613"/>
    <w:rsid w:val="00605557"/>
    <w:rsid w:val="006104D1"/>
    <w:rsid w:val="00611CFE"/>
    <w:rsid w:val="00612649"/>
    <w:rsid w:val="00614627"/>
    <w:rsid w:val="00616130"/>
    <w:rsid w:val="00616856"/>
    <w:rsid w:val="006170E3"/>
    <w:rsid w:val="006206EE"/>
    <w:rsid w:val="00622789"/>
    <w:rsid w:val="00622C55"/>
    <w:rsid w:val="00622DE5"/>
    <w:rsid w:val="006252FE"/>
    <w:rsid w:val="00625968"/>
    <w:rsid w:val="00625FC7"/>
    <w:rsid w:val="00627337"/>
    <w:rsid w:val="00630EA6"/>
    <w:rsid w:val="0063188F"/>
    <w:rsid w:val="00635021"/>
    <w:rsid w:val="00635482"/>
    <w:rsid w:val="00636431"/>
    <w:rsid w:val="00641321"/>
    <w:rsid w:val="006413EA"/>
    <w:rsid w:val="00642DF2"/>
    <w:rsid w:val="006473B9"/>
    <w:rsid w:val="006511EB"/>
    <w:rsid w:val="00653965"/>
    <w:rsid w:val="00666526"/>
    <w:rsid w:val="00671AC4"/>
    <w:rsid w:val="00675B68"/>
    <w:rsid w:val="00681239"/>
    <w:rsid w:val="00684340"/>
    <w:rsid w:val="006845A4"/>
    <w:rsid w:val="00687E5C"/>
    <w:rsid w:val="00693FF1"/>
    <w:rsid w:val="0069486D"/>
    <w:rsid w:val="00695B4E"/>
    <w:rsid w:val="00695F10"/>
    <w:rsid w:val="006A042D"/>
    <w:rsid w:val="006A05A7"/>
    <w:rsid w:val="006A05E2"/>
    <w:rsid w:val="006A18EF"/>
    <w:rsid w:val="006A29E0"/>
    <w:rsid w:val="006A350B"/>
    <w:rsid w:val="006A7F83"/>
    <w:rsid w:val="006B16FC"/>
    <w:rsid w:val="006B67C9"/>
    <w:rsid w:val="006C2B4A"/>
    <w:rsid w:val="006C2D70"/>
    <w:rsid w:val="006C3264"/>
    <w:rsid w:val="006C509B"/>
    <w:rsid w:val="006C54CE"/>
    <w:rsid w:val="006D1FB5"/>
    <w:rsid w:val="006D5525"/>
    <w:rsid w:val="006D63DF"/>
    <w:rsid w:val="006E137B"/>
    <w:rsid w:val="006E247D"/>
    <w:rsid w:val="006E358F"/>
    <w:rsid w:val="006E6B01"/>
    <w:rsid w:val="006E6E29"/>
    <w:rsid w:val="006E741A"/>
    <w:rsid w:val="00702037"/>
    <w:rsid w:val="00703894"/>
    <w:rsid w:val="00705EA4"/>
    <w:rsid w:val="00711742"/>
    <w:rsid w:val="007178FE"/>
    <w:rsid w:val="00717F9F"/>
    <w:rsid w:val="0072153B"/>
    <w:rsid w:val="0072156C"/>
    <w:rsid w:val="00721671"/>
    <w:rsid w:val="00724108"/>
    <w:rsid w:val="00724A15"/>
    <w:rsid w:val="007264CC"/>
    <w:rsid w:val="007326C6"/>
    <w:rsid w:val="00736096"/>
    <w:rsid w:val="007364A7"/>
    <w:rsid w:val="00741E0C"/>
    <w:rsid w:val="00743EA2"/>
    <w:rsid w:val="0074453A"/>
    <w:rsid w:val="00746519"/>
    <w:rsid w:val="00751CA6"/>
    <w:rsid w:val="00752767"/>
    <w:rsid w:val="00756840"/>
    <w:rsid w:val="0076104D"/>
    <w:rsid w:val="007616AB"/>
    <w:rsid w:val="00761DA0"/>
    <w:rsid w:val="007649A3"/>
    <w:rsid w:val="00772099"/>
    <w:rsid w:val="00774648"/>
    <w:rsid w:val="007760F2"/>
    <w:rsid w:val="0077677C"/>
    <w:rsid w:val="007808EB"/>
    <w:rsid w:val="007810B5"/>
    <w:rsid w:val="007854AF"/>
    <w:rsid w:val="007902C2"/>
    <w:rsid w:val="0079650C"/>
    <w:rsid w:val="00797B07"/>
    <w:rsid w:val="00797DA6"/>
    <w:rsid w:val="007A25C5"/>
    <w:rsid w:val="007B1D31"/>
    <w:rsid w:val="007C3FC6"/>
    <w:rsid w:val="007D55D3"/>
    <w:rsid w:val="007D5B96"/>
    <w:rsid w:val="007D70FC"/>
    <w:rsid w:val="007E00A3"/>
    <w:rsid w:val="007E0BF0"/>
    <w:rsid w:val="007E2C10"/>
    <w:rsid w:val="007E55C0"/>
    <w:rsid w:val="007E5FCF"/>
    <w:rsid w:val="007E7102"/>
    <w:rsid w:val="007E7756"/>
    <w:rsid w:val="0080212F"/>
    <w:rsid w:val="00804184"/>
    <w:rsid w:val="008054FF"/>
    <w:rsid w:val="00807524"/>
    <w:rsid w:val="0081002E"/>
    <w:rsid w:val="00811F04"/>
    <w:rsid w:val="00823102"/>
    <w:rsid w:val="00823ABF"/>
    <w:rsid w:val="008240C6"/>
    <w:rsid w:val="00831880"/>
    <w:rsid w:val="008341CE"/>
    <w:rsid w:val="008363B6"/>
    <w:rsid w:val="00836626"/>
    <w:rsid w:val="00842933"/>
    <w:rsid w:val="00843519"/>
    <w:rsid w:val="00844E5C"/>
    <w:rsid w:val="00851356"/>
    <w:rsid w:val="008540DC"/>
    <w:rsid w:val="00854C45"/>
    <w:rsid w:val="00862A45"/>
    <w:rsid w:val="008630CA"/>
    <w:rsid w:val="008663CA"/>
    <w:rsid w:val="008674EE"/>
    <w:rsid w:val="00870E09"/>
    <w:rsid w:val="00871108"/>
    <w:rsid w:val="00874628"/>
    <w:rsid w:val="00876917"/>
    <w:rsid w:val="008840C6"/>
    <w:rsid w:val="00891CEC"/>
    <w:rsid w:val="00894E28"/>
    <w:rsid w:val="008958DB"/>
    <w:rsid w:val="008A0EFD"/>
    <w:rsid w:val="008A1BA2"/>
    <w:rsid w:val="008A2D0E"/>
    <w:rsid w:val="008A2D15"/>
    <w:rsid w:val="008A3A54"/>
    <w:rsid w:val="008A4DC4"/>
    <w:rsid w:val="008A73E0"/>
    <w:rsid w:val="008B3DEC"/>
    <w:rsid w:val="008B681E"/>
    <w:rsid w:val="008C0898"/>
    <w:rsid w:val="008C1DD1"/>
    <w:rsid w:val="008C22DE"/>
    <w:rsid w:val="008C316F"/>
    <w:rsid w:val="008C49F3"/>
    <w:rsid w:val="008C4EF3"/>
    <w:rsid w:val="008C66C6"/>
    <w:rsid w:val="008C705B"/>
    <w:rsid w:val="008D1E68"/>
    <w:rsid w:val="008D4001"/>
    <w:rsid w:val="008D6672"/>
    <w:rsid w:val="008D7E24"/>
    <w:rsid w:val="008E33A2"/>
    <w:rsid w:val="008E6BC1"/>
    <w:rsid w:val="00902163"/>
    <w:rsid w:val="0090268D"/>
    <w:rsid w:val="0090467A"/>
    <w:rsid w:val="00911020"/>
    <w:rsid w:val="00911C9F"/>
    <w:rsid w:val="00912562"/>
    <w:rsid w:val="00915CBB"/>
    <w:rsid w:val="0092035F"/>
    <w:rsid w:val="009271C8"/>
    <w:rsid w:val="00931D87"/>
    <w:rsid w:val="009436F2"/>
    <w:rsid w:val="00944394"/>
    <w:rsid w:val="00944CEA"/>
    <w:rsid w:val="00945819"/>
    <w:rsid w:val="0095171F"/>
    <w:rsid w:val="00951B76"/>
    <w:rsid w:val="009527D9"/>
    <w:rsid w:val="00952CD2"/>
    <w:rsid w:val="00955635"/>
    <w:rsid w:val="009565E0"/>
    <w:rsid w:val="00956A55"/>
    <w:rsid w:val="009600C8"/>
    <w:rsid w:val="0096240B"/>
    <w:rsid w:val="00962D98"/>
    <w:rsid w:val="009677C0"/>
    <w:rsid w:val="00967DB2"/>
    <w:rsid w:val="00974CDD"/>
    <w:rsid w:val="00982AC4"/>
    <w:rsid w:val="00992748"/>
    <w:rsid w:val="0099421E"/>
    <w:rsid w:val="00996E42"/>
    <w:rsid w:val="00996E4F"/>
    <w:rsid w:val="0099728C"/>
    <w:rsid w:val="00997A66"/>
    <w:rsid w:val="009A00D8"/>
    <w:rsid w:val="009A0260"/>
    <w:rsid w:val="009A1CDC"/>
    <w:rsid w:val="009A34A5"/>
    <w:rsid w:val="009A5550"/>
    <w:rsid w:val="009B06E4"/>
    <w:rsid w:val="009B3C7A"/>
    <w:rsid w:val="009B4F70"/>
    <w:rsid w:val="009B62ED"/>
    <w:rsid w:val="009C1E4E"/>
    <w:rsid w:val="009C49C7"/>
    <w:rsid w:val="009C541E"/>
    <w:rsid w:val="009C66E3"/>
    <w:rsid w:val="009C6FEB"/>
    <w:rsid w:val="009D1CFE"/>
    <w:rsid w:val="009D2198"/>
    <w:rsid w:val="009D3916"/>
    <w:rsid w:val="009D6F03"/>
    <w:rsid w:val="009E0515"/>
    <w:rsid w:val="009E36F1"/>
    <w:rsid w:val="009E6F2A"/>
    <w:rsid w:val="009F0FAB"/>
    <w:rsid w:val="009F1065"/>
    <w:rsid w:val="009F6BD3"/>
    <w:rsid w:val="00A00B26"/>
    <w:rsid w:val="00A034A0"/>
    <w:rsid w:val="00A04079"/>
    <w:rsid w:val="00A117D7"/>
    <w:rsid w:val="00A13B04"/>
    <w:rsid w:val="00A21993"/>
    <w:rsid w:val="00A240A7"/>
    <w:rsid w:val="00A25DEC"/>
    <w:rsid w:val="00A324C6"/>
    <w:rsid w:val="00A36102"/>
    <w:rsid w:val="00A36875"/>
    <w:rsid w:val="00A405D3"/>
    <w:rsid w:val="00A45C91"/>
    <w:rsid w:val="00A50048"/>
    <w:rsid w:val="00A50365"/>
    <w:rsid w:val="00A62B42"/>
    <w:rsid w:val="00A63200"/>
    <w:rsid w:val="00A646FC"/>
    <w:rsid w:val="00A65BBE"/>
    <w:rsid w:val="00A65FDF"/>
    <w:rsid w:val="00A71316"/>
    <w:rsid w:val="00A74D82"/>
    <w:rsid w:val="00A77A34"/>
    <w:rsid w:val="00A82889"/>
    <w:rsid w:val="00A8367C"/>
    <w:rsid w:val="00A9281B"/>
    <w:rsid w:val="00A961F0"/>
    <w:rsid w:val="00A963CA"/>
    <w:rsid w:val="00A978EA"/>
    <w:rsid w:val="00AA2C59"/>
    <w:rsid w:val="00AA3408"/>
    <w:rsid w:val="00AA56AC"/>
    <w:rsid w:val="00AA64DC"/>
    <w:rsid w:val="00AB17DD"/>
    <w:rsid w:val="00AB2DF2"/>
    <w:rsid w:val="00AB3160"/>
    <w:rsid w:val="00AC150F"/>
    <w:rsid w:val="00AC47A2"/>
    <w:rsid w:val="00AD0830"/>
    <w:rsid w:val="00AD3D48"/>
    <w:rsid w:val="00AD46E2"/>
    <w:rsid w:val="00AD5175"/>
    <w:rsid w:val="00AD565F"/>
    <w:rsid w:val="00AD6FC7"/>
    <w:rsid w:val="00AE2750"/>
    <w:rsid w:val="00AE3C12"/>
    <w:rsid w:val="00AE60FB"/>
    <w:rsid w:val="00AE7ABF"/>
    <w:rsid w:val="00AF5DE1"/>
    <w:rsid w:val="00AF683E"/>
    <w:rsid w:val="00B01DA2"/>
    <w:rsid w:val="00B022F5"/>
    <w:rsid w:val="00B04F94"/>
    <w:rsid w:val="00B11476"/>
    <w:rsid w:val="00B11937"/>
    <w:rsid w:val="00B13B7F"/>
    <w:rsid w:val="00B15D52"/>
    <w:rsid w:val="00B165CB"/>
    <w:rsid w:val="00B16A12"/>
    <w:rsid w:val="00B22F0D"/>
    <w:rsid w:val="00B23027"/>
    <w:rsid w:val="00B260C3"/>
    <w:rsid w:val="00B268C2"/>
    <w:rsid w:val="00B3089A"/>
    <w:rsid w:val="00B32956"/>
    <w:rsid w:val="00B32F87"/>
    <w:rsid w:val="00B35263"/>
    <w:rsid w:val="00B35D69"/>
    <w:rsid w:val="00B361B3"/>
    <w:rsid w:val="00B366E5"/>
    <w:rsid w:val="00B410AE"/>
    <w:rsid w:val="00B41AE8"/>
    <w:rsid w:val="00B42B54"/>
    <w:rsid w:val="00B43896"/>
    <w:rsid w:val="00B44184"/>
    <w:rsid w:val="00B50692"/>
    <w:rsid w:val="00B51957"/>
    <w:rsid w:val="00B526FA"/>
    <w:rsid w:val="00B55762"/>
    <w:rsid w:val="00B55812"/>
    <w:rsid w:val="00B56A74"/>
    <w:rsid w:val="00B6126A"/>
    <w:rsid w:val="00B619A1"/>
    <w:rsid w:val="00B62D9B"/>
    <w:rsid w:val="00B62FD1"/>
    <w:rsid w:val="00B66236"/>
    <w:rsid w:val="00B667E4"/>
    <w:rsid w:val="00B703F6"/>
    <w:rsid w:val="00B73CE0"/>
    <w:rsid w:val="00B74688"/>
    <w:rsid w:val="00B74A64"/>
    <w:rsid w:val="00B76CB3"/>
    <w:rsid w:val="00B81971"/>
    <w:rsid w:val="00B81E2D"/>
    <w:rsid w:val="00B824AA"/>
    <w:rsid w:val="00B84C81"/>
    <w:rsid w:val="00B85E1C"/>
    <w:rsid w:val="00B90B4B"/>
    <w:rsid w:val="00B9309E"/>
    <w:rsid w:val="00BA08A8"/>
    <w:rsid w:val="00BA1ABA"/>
    <w:rsid w:val="00BA220A"/>
    <w:rsid w:val="00BA46B9"/>
    <w:rsid w:val="00BB23F6"/>
    <w:rsid w:val="00BB2B65"/>
    <w:rsid w:val="00BB3FEA"/>
    <w:rsid w:val="00BB40CD"/>
    <w:rsid w:val="00BB5205"/>
    <w:rsid w:val="00BB5CAC"/>
    <w:rsid w:val="00BB76D5"/>
    <w:rsid w:val="00BC14DC"/>
    <w:rsid w:val="00BC1762"/>
    <w:rsid w:val="00BC6847"/>
    <w:rsid w:val="00BC6ABE"/>
    <w:rsid w:val="00BE2D78"/>
    <w:rsid w:val="00BE5DD3"/>
    <w:rsid w:val="00BE6CB4"/>
    <w:rsid w:val="00BF42F6"/>
    <w:rsid w:val="00BF7E7E"/>
    <w:rsid w:val="00C01D97"/>
    <w:rsid w:val="00C0298B"/>
    <w:rsid w:val="00C02F39"/>
    <w:rsid w:val="00C057ED"/>
    <w:rsid w:val="00C06A06"/>
    <w:rsid w:val="00C0734E"/>
    <w:rsid w:val="00C10D22"/>
    <w:rsid w:val="00C11141"/>
    <w:rsid w:val="00C15484"/>
    <w:rsid w:val="00C246B9"/>
    <w:rsid w:val="00C250C6"/>
    <w:rsid w:val="00C27CC8"/>
    <w:rsid w:val="00C32D7F"/>
    <w:rsid w:val="00C33C8C"/>
    <w:rsid w:val="00C427C0"/>
    <w:rsid w:val="00C43A84"/>
    <w:rsid w:val="00C447A9"/>
    <w:rsid w:val="00C453E3"/>
    <w:rsid w:val="00C45AFC"/>
    <w:rsid w:val="00C47352"/>
    <w:rsid w:val="00C52A22"/>
    <w:rsid w:val="00C539EB"/>
    <w:rsid w:val="00C56078"/>
    <w:rsid w:val="00C577BD"/>
    <w:rsid w:val="00C57E5C"/>
    <w:rsid w:val="00C63C0E"/>
    <w:rsid w:val="00C63D66"/>
    <w:rsid w:val="00C6415B"/>
    <w:rsid w:val="00C65B1C"/>
    <w:rsid w:val="00C668DD"/>
    <w:rsid w:val="00C67A77"/>
    <w:rsid w:val="00C742A8"/>
    <w:rsid w:val="00C75DA9"/>
    <w:rsid w:val="00C77312"/>
    <w:rsid w:val="00C7760A"/>
    <w:rsid w:val="00C77C56"/>
    <w:rsid w:val="00C82D58"/>
    <w:rsid w:val="00C859A0"/>
    <w:rsid w:val="00C90BA5"/>
    <w:rsid w:val="00C9264B"/>
    <w:rsid w:val="00C92E27"/>
    <w:rsid w:val="00C943ED"/>
    <w:rsid w:val="00C946CC"/>
    <w:rsid w:val="00C94DE4"/>
    <w:rsid w:val="00CA0D07"/>
    <w:rsid w:val="00CA4476"/>
    <w:rsid w:val="00CA4EF8"/>
    <w:rsid w:val="00CA5028"/>
    <w:rsid w:val="00CB06B5"/>
    <w:rsid w:val="00CB2402"/>
    <w:rsid w:val="00CB5240"/>
    <w:rsid w:val="00CB6B23"/>
    <w:rsid w:val="00CB70F7"/>
    <w:rsid w:val="00CD1C0F"/>
    <w:rsid w:val="00CD2418"/>
    <w:rsid w:val="00CD2B33"/>
    <w:rsid w:val="00CD5E28"/>
    <w:rsid w:val="00CE7065"/>
    <w:rsid w:val="00CF5704"/>
    <w:rsid w:val="00D0144F"/>
    <w:rsid w:val="00D06885"/>
    <w:rsid w:val="00D10AAF"/>
    <w:rsid w:val="00D12651"/>
    <w:rsid w:val="00D12FFB"/>
    <w:rsid w:val="00D14983"/>
    <w:rsid w:val="00D153EA"/>
    <w:rsid w:val="00D210E1"/>
    <w:rsid w:val="00D2162C"/>
    <w:rsid w:val="00D27A6F"/>
    <w:rsid w:val="00D45F04"/>
    <w:rsid w:val="00D52E85"/>
    <w:rsid w:val="00D54781"/>
    <w:rsid w:val="00D55234"/>
    <w:rsid w:val="00D5628C"/>
    <w:rsid w:val="00D56FE3"/>
    <w:rsid w:val="00D61C2E"/>
    <w:rsid w:val="00D63A31"/>
    <w:rsid w:val="00D674F6"/>
    <w:rsid w:val="00D70F1B"/>
    <w:rsid w:val="00D7302D"/>
    <w:rsid w:val="00D8162B"/>
    <w:rsid w:val="00D81F18"/>
    <w:rsid w:val="00D85863"/>
    <w:rsid w:val="00D90014"/>
    <w:rsid w:val="00D91956"/>
    <w:rsid w:val="00D91E61"/>
    <w:rsid w:val="00D92691"/>
    <w:rsid w:val="00D938CA"/>
    <w:rsid w:val="00D952A9"/>
    <w:rsid w:val="00D96A3E"/>
    <w:rsid w:val="00DA6CB2"/>
    <w:rsid w:val="00DB1A70"/>
    <w:rsid w:val="00DB1B9A"/>
    <w:rsid w:val="00DB2378"/>
    <w:rsid w:val="00DB264B"/>
    <w:rsid w:val="00DB4A24"/>
    <w:rsid w:val="00DC019C"/>
    <w:rsid w:val="00DC25D3"/>
    <w:rsid w:val="00DC2787"/>
    <w:rsid w:val="00DC4423"/>
    <w:rsid w:val="00DC60BE"/>
    <w:rsid w:val="00DC7BBB"/>
    <w:rsid w:val="00DD3C3F"/>
    <w:rsid w:val="00DD4C14"/>
    <w:rsid w:val="00DE071F"/>
    <w:rsid w:val="00DE41A5"/>
    <w:rsid w:val="00DF13EB"/>
    <w:rsid w:val="00DF1791"/>
    <w:rsid w:val="00DF4CC1"/>
    <w:rsid w:val="00DF5C1A"/>
    <w:rsid w:val="00DF6348"/>
    <w:rsid w:val="00DF6E27"/>
    <w:rsid w:val="00E01216"/>
    <w:rsid w:val="00E02036"/>
    <w:rsid w:val="00E02276"/>
    <w:rsid w:val="00E045EA"/>
    <w:rsid w:val="00E06793"/>
    <w:rsid w:val="00E0759D"/>
    <w:rsid w:val="00E11760"/>
    <w:rsid w:val="00E14B50"/>
    <w:rsid w:val="00E15BE8"/>
    <w:rsid w:val="00E20CD5"/>
    <w:rsid w:val="00E22584"/>
    <w:rsid w:val="00E30903"/>
    <w:rsid w:val="00E33180"/>
    <w:rsid w:val="00E35077"/>
    <w:rsid w:val="00E35715"/>
    <w:rsid w:val="00E35E3F"/>
    <w:rsid w:val="00E37ACF"/>
    <w:rsid w:val="00E40750"/>
    <w:rsid w:val="00E44562"/>
    <w:rsid w:val="00E45087"/>
    <w:rsid w:val="00E51330"/>
    <w:rsid w:val="00E51E4A"/>
    <w:rsid w:val="00E543C2"/>
    <w:rsid w:val="00E5464B"/>
    <w:rsid w:val="00E5534B"/>
    <w:rsid w:val="00E55716"/>
    <w:rsid w:val="00E57897"/>
    <w:rsid w:val="00E603F8"/>
    <w:rsid w:val="00E61E67"/>
    <w:rsid w:val="00E62ACB"/>
    <w:rsid w:val="00E63E52"/>
    <w:rsid w:val="00E63F76"/>
    <w:rsid w:val="00E66C68"/>
    <w:rsid w:val="00E674BE"/>
    <w:rsid w:val="00E678D9"/>
    <w:rsid w:val="00E70CF7"/>
    <w:rsid w:val="00E71A3E"/>
    <w:rsid w:val="00E71C4E"/>
    <w:rsid w:val="00E72535"/>
    <w:rsid w:val="00E74AD8"/>
    <w:rsid w:val="00E84405"/>
    <w:rsid w:val="00E84A33"/>
    <w:rsid w:val="00E97BFD"/>
    <w:rsid w:val="00EA09E2"/>
    <w:rsid w:val="00EA1AF5"/>
    <w:rsid w:val="00EA4B94"/>
    <w:rsid w:val="00EA7C20"/>
    <w:rsid w:val="00EB1709"/>
    <w:rsid w:val="00EB2676"/>
    <w:rsid w:val="00EB2BC9"/>
    <w:rsid w:val="00EB3399"/>
    <w:rsid w:val="00EB3AAB"/>
    <w:rsid w:val="00EC0552"/>
    <w:rsid w:val="00EC40EF"/>
    <w:rsid w:val="00EC679C"/>
    <w:rsid w:val="00ED2360"/>
    <w:rsid w:val="00ED3344"/>
    <w:rsid w:val="00ED42E5"/>
    <w:rsid w:val="00ED67E0"/>
    <w:rsid w:val="00EE10E1"/>
    <w:rsid w:val="00EE231F"/>
    <w:rsid w:val="00EE3936"/>
    <w:rsid w:val="00EF0321"/>
    <w:rsid w:val="00EF04A8"/>
    <w:rsid w:val="00EF27B9"/>
    <w:rsid w:val="00EF331C"/>
    <w:rsid w:val="00EF3D14"/>
    <w:rsid w:val="00EF523B"/>
    <w:rsid w:val="00EF55FD"/>
    <w:rsid w:val="00EF5D6B"/>
    <w:rsid w:val="00EF6C25"/>
    <w:rsid w:val="00EF71C9"/>
    <w:rsid w:val="00F00EEA"/>
    <w:rsid w:val="00F018CF"/>
    <w:rsid w:val="00F01F75"/>
    <w:rsid w:val="00F02B45"/>
    <w:rsid w:val="00F02E2D"/>
    <w:rsid w:val="00F04D0A"/>
    <w:rsid w:val="00F10C44"/>
    <w:rsid w:val="00F140E1"/>
    <w:rsid w:val="00F14F05"/>
    <w:rsid w:val="00F16C6E"/>
    <w:rsid w:val="00F17232"/>
    <w:rsid w:val="00F22067"/>
    <w:rsid w:val="00F2208E"/>
    <w:rsid w:val="00F231A6"/>
    <w:rsid w:val="00F24094"/>
    <w:rsid w:val="00F2417D"/>
    <w:rsid w:val="00F267FC"/>
    <w:rsid w:val="00F310FC"/>
    <w:rsid w:val="00F31A94"/>
    <w:rsid w:val="00F31BF9"/>
    <w:rsid w:val="00F34DFC"/>
    <w:rsid w:val="00F4019A"/>
    <w:rsid w:val="00F40D49"/>
    <w:rsid w:val="00F418EA"/>
    <w:rsid w:val="00F436BA"/>
    <w:rsid w:val="00F44B08"/>
    <w:rsid w:val="00F46181"/>
    <w:rsid w:val="00F54663"/>
    <w:rsid w:val="00F54921"/>
    <w:rsid w:val="00F565B6"/>
    <w:rsid w:val="00F62A45"/>
    <w:rsid w:val="00F65748"/>
    <w:rsid w:val="00F70165"/>
    <w:rsid w:val="00F71345"/>
    <w:rsid w:val="00F71655"/>
    <w:rsid w:val="00F71A75"/>
    <w:rsid w:val="00F77458"/>
    <w:rsid w:val="00F77A5D"/>
    <w:rsid w:val="00F80CAD"/>
    <w:rsid w:val="00F82BD2"/>
    <w:rsid w:val="00F86FB3"/>
    <w:rsid w:val="00F87245"/>
    <w:rsid w:val="00F93451"/>
    <w:rsid w:val="00F93F04"/>
    <w:rsid w:val="00F942A6"/>
    <w:rsid w:val="00F970D0"/>
    <w:rsid w:val="00F97132"/>
    <w:rsid w:val="00FA0D2B"/>
    <w:rsid w:val="00FA3A7D"/>
    <w:rsid w:val="00FB20F6"/>
    <w:rsid w:val="00FB4415"/>
    <w:rsid w:val="00FB58C7"/>
    <w:rsid w:val="00FC1153"/>
    <w:rsid w:val="00FC1BF5"/>
    <w:rsid w:val="00FC3CC7"/>
    <w:rsid w:val="00FC45B5"/>
    <w:rsid w:val="00FC4A32"/>
    <w:rsid w:val="00FC794A"/>
    <w:rsid w:val="00FD2584"/>
    <w:rsid w:val="00FD4185"/>
    <w:rsid w:val="00FD4248"/>
    <w:rsid w:val="00FD6239"/>
    <w:rsid w:val="00FD6D86"/>
    <w:rsid w:val="00FE3832"/>
    <w:rsid w:val="00FF0B33"/>
    <w:rsid w:val="00FF15B3"/>
    <w:rsid w:val="00FF40D6"/>
    <w:rsid w:val="00FF4985"/>
    <w:rsid w:val="00FF4B12"/>
    <w:rsid w:val="00FF6628"/>
    <w:rsid w:val="00FF7D8A"/>
    <w:rsid w:val="1E726942"/>
    <w:rsid w:val="4032E69E"/>
    <w:rsid w:val="5D451683"/>
    <w:rsid w:val="66927722"/>
    <w:rsid w:val="77811EF6"/>
    <w:rsid w:val="7F4BEDC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172F8"/>
  <w15:docId w15:val="{96F4FCF5-273C-421D-8995-BF901979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1">
    <w:name w:val="heading 1"/>
    <w:aliases w:val="TituloPrincipal"/>
    <w:basedOn w:val="Normal"/>
    <w:next w:val="Normal"/>
    <w:link w:val="Ttulo1Car"/>
    <w:uiPriority w:val="9"/>
    <w:qFormat/>
    <w:rsid w:val="002F2B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2F2B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2F2BC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3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List,Normal. Viñetas,titulo 3,Ha,Bullets,Lista vistosa - Énfasis 11,Cuadrícula clara - Énfasis 31,Num Bullet 1,List Paragraph"/>
    <w:basedOn w:val="Normal"/>
    <w:link w:val="PrrafodelistaCar"/>
    <w:uiPriority w:val="34"/>
    <w:qFormat/>
    <w:rsid w:val="005E04F5"/>
    <w:pPr>
      <w:ind w:left="720"/>
      <w:contextualSpacing/>
    </w:p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99"/>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0D6114"/>
    <w:pPr>
      <w:spacing w:before="100" w:beforeAutospacing="1" w:after="119"/>
    </w:pPr>
    <w:rPr>
      <w:rFonts w:eastAsia="Calibri"/>
    </w:rPr>
  </w:style>
  <w:style w:type="character" w:customStyle="1" w:styleId="Ttulo1Car">
    <w:name w:val="Título 1 Car"/>
    <w:aliases w:val="TituloPrincipal Car"/>
    <w:basedOn w:val="Fuentedeprrafopredeter"/>
    <w:link w:val="Ttulo1"/>
    <w:uiPriority w:val="9"/>
    <w:rsid w:val="002F2BCC"/>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rsid w:val="002F2BCC"/>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rsid w:val="002F2BCC"/>
    <w:rPr>
      <w:rFonts w:asciiTheme="majorHAnsi" w:eastAsiaTheme="majorEastAsia" w:hAnsiTheme="majorHAnsi" w:cstheme="majorBidi"/>
      <w:color w:val="243F60" w:themeColor="accent1" w:themeShade="7F"/>
      <w:sz w:val="24"/>
      <w:szCs w:val="24"/>
      <w:lang w:val="es-ES" w:eastAsia="es-ES"/>
    </w:rPr>
  </w:style>
  <w:style w:type="character" w:styleId="Hipervnculovisitado">
    <w:name w:val="FollowedHyperlink"/>
    <w:basedOn w:val="Fuentedeprrafopredeter"/>
    <w:uiPriority w:val="99"/>
    <w:semiHidden/>
    <w:unhideWhenUsed/>
    <w:rsid w:val="002F2BCC"/>
    <w:rPr>
      <w:color w:val="800080" w:themeColor="followedHyperlink"/>
      <w:u w:val="single"/>
    </w:rPr>
  </w:style>
  <w:style w:type="character" w:customStyle="1" w:styleId="Ttulo1Car1">
    <w:name w:val="Título 1 Car1"/>
    <w:aliases w:val="TituloPrincipal Car1"/>
    <w:basedOn w:val="Fuentedeprrafopredeter"/>
    <w:uiPriority w:val="9"/>
    <w:rsid w:val="002F2BCC"/>
    <w:rPr>
      <w:rFonts w:asciiTheme="majorHAnsi" w:eastAsiaTheme="majorEastAsia" w:hAnsiTheme="majorHAnsi" w:cstheme="majorBidi"/>
      <w:color w:val="365F91" w:themeColor="accent1" w:themeShade="BF"/>
      <w:sz w:val="32"/>
      <w:szCs w:val="32"/>
      <w:lang w:val="es-ES" w:eastAsia="es-ES"/>
    </w:rPr>
  </w:style>
  <w:style w:type="paragraph" w:customStyle="1" w:styleId="msonormal0">
    <w:name w:val="msonormal"/>
    <w:basedOn w:val="Normal"/>
    <w:uiPriority w:val="99"/>
    <w:rsid w:val="002F2BCC"/>
    <w:pPr>
      <w:spacing w:before="100" w:beforeAutospacing="1" w:after="119"/>
    </w:pPr>
    <w:rPr>
      <w:rFonts w:eastAsia="Calibri"/>
    </w:rPr>
  </w:style>
  <w:style w:type="character" w:customStyle="1" w:styleId="TextonotapieCar">
    <w:name w:val="Texto nota pie Car"/>
    <w:aliases w:val="Ref. de nota al pie1 Car,Footnote Text Char Car,Footnote Text Char Char Char Char Car,Footnote Text Char Char Char Char Char Char Char Char Car,FA Fu Car,ft Car Car Car Car"/>
    <w:basedOn w:val="Fuentedeprrafopredeter"/>
    <w:link w:val="Textonotapie"/>
    <w:uiPriority w:val="99"/>
    <w:locked/>
    <w:rsid w:val="002F2BCC"/>
    <w:rPr>
      <w:sz w:val="20"/>
      <w:szCs w:val="20"/>
    </w:rPr>
  </w:style>
  <w:style w:type="paragraph" w:styleId="Textonotapie">
    <w:name w:val="footnote text"/>
    <w:aliases w:val="Ref. de nota al pie1,Footnote Text Char,Footnote Text Char Char Char Char,Footnote Text Char Char Char Char Char Char Char Char,FA Fu,ft Car Car Car"/>
    <w:basedOn w:val="Normal"/>
    <w:link w:val="TextonotapieCar"/>
    <w:uiPriority w:val="99"/>
    <w:unhideWhenUsed/>
    <w:qFormat/>
    <w:rsid w:val="002F2BCC"/>
    <w:rPr>
      <w:rFonts w:asciiTheme="minorHAnsi" w:eastAsiaTheme="minorHAnsi" w:hAnsiTheme="minorHAnsi" w:cstheme="minorBidi"/>
      <w:sz w:val="20"/>
      <w:szCs w:val="20"/>
      <w:lang w:val="es-CO" w:eastAsia="en-US"/>
    </w:rPr>
  </w:style>
  <w:style w:type="character" w:customStyle="1" w:styleId="TextonotapieCar1">
    <w:name w:val="Texto nota pie Car1"/>
    <w:aliases w:val="Ref. de nota al pie1 Car1,Footnote Text Char Car1,Footnote Text Char Char Char Char Car1,Footnote Text Char Char Char Char Char Char Char Char Car1,FA Fu Car1"/>
    <w:basedOn w:val="Fuentedeprrafopredeter"/>
    <w:uiPriority w:val="99"/>
    <w:semiHidden/>
    <w:rsid w:val="002F2BCC"/>
    <w:rPr>
      <w:rFonts w:ascii="Times New Roman" w:eastAsia="MS Mincho" w:hAnsi="Times New Roman" w:cs="Times New Roman"/>
      <w:sz w:val="20"/>
      <w:szCs w:val="20"/>
      <w:lang w:val="es-ES" w:eastAsia="es-ES"/>
    </w:rPr>
  </w:style>
  <w:style w:type="character" w:customStyle="1" w:styleId="SubttuloCar">
    <w:name w:val="Subtítulo Car"/>
    <w:aliases w:val="Tablas Car"/>
    <w:basedOn w:val="Fuentedeprrafopredeter"/>
    <w:link w:val="Subttulo"/>
    <w:uiPriority w:val="11"/>
    <w:locked/>
    <w:rsid w:val="002F2BCC"/>
    <w:rPr>
      <w:rFonts w:ascii="Arial" w:eastAsiaTheme="majorEastAsia" w:hAnsi="Arial" w:cstheme="majorBidi"/>
      <w:iCs/>
      <w:spacing w:val="15"/>
      <w:sz w:val="16"/>
      <w:szCs w:val="24"/>
      <w:lang w:val="es-ES" w:eastAsia="es-ES"/>
    </w:rPr>
  </w:style>
  <w:style w:type="paragraph" w:styleId="Subttulo">
    <w:name w:val="Subtitle"/>
    <w:aliases w:val="Tablas"/>
    <w:basedOn w:val="Normal"/>
    <w:next w:val="Normal"/>
    <w:link w:val="SubttuloCar"/>
    <w:uiPriority w:val="11"/>
    <w:qFormat/>
    <w:rsid w:val="002F2BCC"/>
    <w:pPr>
      <w:jc w:val="both"/>
    </w:pPr>
    <w:rPr>
      <w:rFonts w:ascii="Arial" w:eastAsiaTheme="majorEastAsia" w:hAnsi="Arial" w:cstheme="majorBidi"/>
      <w:iCs/>
      <w:spacing w:val="15"/>
      <w:sz w:val="16"/>
    </w:rPr>
  </w:style>
  <w:style w:type="character" w:customStyle="1" w:styleId="SubttuloCar1">
    <w:name w:val="Subtítulo Car1"/>
    <w:aliases w:val="Tablas Car1"/>
    <w:basedOn w:val="Fuentedeprrafopredeter"/>
    <w:uiPriority w:val="11"/>
    <w:rsid w:val="002F2BCC"/>
    <w:rPr>
      <w:rFonts w:eastAsiaTheme="minorEastAsia"/>
      <w:color w:val="5A5A5A" w:themeColor="text1" w:themeTint="A5"/>
      <w:spacing w:val="15"/>
      <w:lang w:val="es-ES" w:eastAsia="es-ES"/>
    </w:rPr>
  </w:style>
  <w:style w:type="paragraph" w:styleId="Textoindependiente2">
    <w:name w:val="Body Text 2"/>
    <w:basedOn w:val="Normal"/>
    <w:link w:val="Textoindependiente2Car"/>
    <w:uiPriority w:val="99"/>
    <w:semiHidden/>
    <w:unhideWhenUsed/>
    <w:rsid w:val="002F2BCC"/>
    <w:pPr>
      <w:jc w:val="both"/>
    </w:pPr>
    <w:rPr>
      <w:rFonts w:ascii="Arial" w:eastAsia="Times New Roman" w:hAnsi="Arial"/>
      <w:sz w:val="20"/>
      <w:szCs w:val="20"/>
      <w:lang w:val="es-ES_tradnl"/>
    </w:rPr>
  </w:style>
  <w:style w:type="character" w:customStyle="1" w:styleId="Textoindependiente2Car">
    <w:name w:val="Texto independiente 2 Car"/>
    <w:basedOn w:val="Fuentedeprrafopredeter"/>
    <w:link w:val="Textoindependiente2"/>
    <w:uiPriority w:val="99"/>
    <w:semiHidden/>
    <w:rsid w:val="002F2BCC"/>
    <w:rPr>
      <w:rFonts w:ascii="Arial" w:eastAsia="Times New Roman" w:hAnsi="Arial" w:cs="Times New Roman"/>
      <w:sz w:val="20"/>
      <w:szCs w:val="20"/>
      <w:lang w:val="es-ES_tradnl" w:eastAsia="es-ES"/>
    </w:rPr>
  </w:style>
  <w:style w:type="character" w:customStyle="1" w:styleId="SinespaciadoCar">
    <w:name w:val="Sin espaciado Car"/>
    <w:aliases w:val="Subtitulo Car"/>
    <w:basedOn w:val="Fuentedeprrafopredeter"/>
    <w:link w:val="Sinespaciado"/>
    <w:uiPriority w:val="1"/>
    <w:locked/>
    <w:rsid w:val="002F2BCC"/>
  </w:style>
  <w:style w:type="character" w:customStyle="1" w:styleId="PrrafodelistaCar">
    <w:name w:val="Párrafo de lista Car"/>
    <w:aliases w:val="List Car,Normal. Viñetas Car,titulo 3 Car,Ha Car,Bullets Car,Lista vistosa - Énfasis 11 Car,Cuadrícula clara - Énfasis 31 Car,Num Bullet 1 Car,List Paragraph Car"/>
    <w:link w:val="Prrafodelista"/>
    <w:uiPriority w:val="34"/>
    <w:locked/>
    <w:rsid w:val="002F2BCC"/>
    <w:rPr>
      <w:rFonts w:ascii="Times New Roman" w:eastAsia="MS Mincho" w:hAnsi="Times New Roman" w:cs="Times New Roman"/>
      <w:sz w:val="24"/>
      <w:szCs w:val="24"/>
      <w:lang w:val="es-ES" w:eastAsia="es-ES"/>
    </w:rPr>
  </w:style>
  <w:style w:type="paragraph" w:customStyle="1" w:styleId="Default">
    <w:name w:val="Default"/>
    <w:uiPriority w:val="99"/>
    <w:rsid w:val="002F2BCC"/>
    <w:pPr>
      <w:autoSpaceDE w:val="0"/>
      <w:autoSpaceDN w:val="0"/>
      <w:adjustRightInd w:val="0"/>
    </w:pPr>
    <w:rPr>
      <w:rFonts w:ascii="Arial" w:hAnsi="Arial" w:cs="Arial"/>
      <w:color w:val="000000"/>
      <w:sz w:val="24"/>
      <w:szCs w:val="24"/>
      <w:lang w:val="en-US"/>
    </w:rPr>
  </w:style>
  <w:style w:type="paragraph" w:customStyle="1" w:styleId="CONPESTexto">
    <w:name w:val="CONPES Texto"/>
    <w:basedOn w:val="Normal"/>
    <w:uiPriority w:val="99"/>
    <w:qFormat/>
    <w:rsid w:val="002F2BCC"/>
    <w:pPr>
      <w:spacing w:before="120" w:after="120" w:line="276" w:lineRule="auto"/>
      <w:ind w:firstLine="567"/>
      <w:jc w:val="both"/>
    </w:pPr>
    <w:rPr>
      <w:rFonts w:ascii="Futura Std Book" w:eastAsia="Calibri" w:hAnsi="Futura Std Book"/>
      <w:color w:val="000000"/>
      <w:sz w:val="22"/>
      <w:lang w:val="es-CO" w:eastAsia="en-US"/>
    </w:rPr>
  </w:style>
  <w:style w:type="paragraph" w:customStyle="1" w:styleId="xmsonormal">
    <w:name w:val="x_msonormal"/>
    <w:basedOn w:val="Normal"/>
    <w:uiPriority w:val="99"/>
    <w:rsid w:val="002F2BCC"/>
    <w:pPr>
      <w:spacing w:before="100" w:beforeAutospacing="1" w:after="100" w:afterAutospacing="1"/>
    </w:pPr>
    <w:rPr>
      <w:rFonts w:eastAsia="Times New Roman"/>
      <w:lang w:val="es-CO" w:eastAsia="es-CO"/>
    </w:rPr>
  </w:style>
  <w:style w:type="character" w:styleId="Refdenotaalpie">
    <w:name w:val="footnote reference"/>
    <w:aliases w:val="Ref. de nota al pie 2,Texto de nota al pie,Pie de Página,FC,Texto de nota al pi,Appel note de bas de page,Footnotes refss,Footnote number,referencia nota al pie,BVI fnr,f,4_G,16 Point,Superscript 6 Point,Texto nota al pie,Nota de pie"/>
    <w:basedOn w:val="Fuentedeprrafopredeter"/>
    <w:unhideWhenUsed/>
    <w:qFormat/>
    <w:rsid w:val="002F2BCC"/>
    <w:rPr>
      <w:vertAlign w:val="superscript"/>
    </w:rPr>
  </w:style>
  <w:style w:type="character" w:styleId="nfasissutil">
    <w:name w:val="Subtle Emphasis"/>
    <w:aliases w:val="Notas al pie"/>
    <w:basedOn w:val="Fuentedeprrafopredeter"/>
    <w:uiPriority w:val="19"/>
    <w:qFormat/>
    <w:rsid w:val="002F2BCC"/>
    <w:rPr>
      <w:rFonts w:ascii="Arial" w:hAnsi="Arial" w:cs="Arial" w:hint="default"/>
      <w:i w:val="0"/>
      <w:iCs/>
      <w:color w:val="auto"/>
      <w:sz w:val="16"/>
    </w:rPr>
  </w:style>
  <w:style w:type="table" w:styleId="Tabladecuadrcula4">
    <w:name w:val="Grid Table 4"/>
    <w:basedOn w:val="Tablanormal"/>
    <w:uiPriority w:val="49"/>
    <w:rsid w:val="002F2BCC"/>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2F2BCC"/>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4">
    <w:name w:val="Grid Table 4 Accent 4"/>
    <w:basedOn w:val="Tablanormal"/>
    <w:uiPriority w:val="49"/>
    <w:rsid w:val="002F2BCC"/>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aj">
    <w:name w:val="b_aj"/>
    <w:basedOn w:val="Fuentedeprrafopredeter"/>
    <w:rsid w:val="00011854"/>
  </w:style>
  <w:style w:type="paragraph" w:customStyle="1" w:styleId="Cuerpo">
    <w:name w:val="Cuerpo"/>
    <w:uiPriority w:val="99"/>
    <w:rsid w:val="00A50365"/>
    <w:rPr>
      <w:rFonts w:ascii="Times New Roman" w:eastAsia="Arial Unicode MS" w:hAnsi="Arial Unicode MS" w:cs="Arial Unicode MS"/>
      <w:color w:val="000000"/>
      <w:sz w:val="24"/>
      <w:szCs w:val="24"/>
      <w:u w:color="000000"/>
      <w:lang w:eastAsia="es-CO"/>
    </w:rPr>
  </w:style>
  <w:style w:type="paragraph" w:customStyle="1" w:styleId="tex">
    <w:name w:val="tex"/>
    <w:basedOn w:val="Normal"/>
    <w:qFormat/>
    <w:rsid w:val="00443366"/>
    <w:pPr>
      <w:spacing w:line="360" w:lineRule="auto"/>
      <w:ind w:firstLine="567"/>
      <w:jc w:val="both"/>
    </w:pPr>
    <w:rPr>
      <w:rFonts w:ascii="Verdana Pro" w:eastAsiaTheme="minorEastAsia" w:hAnsi="Verdana Pro" w:cs="Arial"/>
      <w:bCs/>
      <w:color w:val="595959" w:themeColor="text1" w:themeTint="A6"/>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964011">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272980380">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312295270">
      <w:bodyDiv w:val="1"/>
      <w:marLeft w:val="0"/>
      <w:marRight w:val="0"/>
      <w:marTop w:val="0"/>
      <w:marBottom w:val="0"/>
      <w:divBdr>
        <w:top w:val="none" w:sz="0" w:space="0" w:color="auto"/>
        <w:left w:val="none" w:sz="0" w:space="0" w:color="auto"/>
        <w:bottom w:val="none" w:sz="0" w:space="0" w:color="auto"/>
        <w:right w:val="none" w:sz="0" w:space="0" w:color="auto"/>
      </w:divBdr>
    </w:div>
    <w:div w:id="540433644">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675961417">
      <w:bodyDiv w:val="1"/>
      <w:marLeft w:val="0"/>
      <w:marRight w:val="0"/>
      <w:marTop w:val="0"/>
      <w:marBottom w:val="0"/>
      <w:divBdr>
        <w:top w:val="none" w:sz="0" w:space="0" w:color="auto"/>
        <w:left w:val="none" w:sz="0" w:space="0" w:color="auto"/>
        <w:bottom w:val="none" w:sz="0" w:space="0" w:color="auto"/>
        <w:right w:val="none" w:sz="0" w:space="0" w:color="auto"/>
      </w:divBdr>
    </w:div>
    <w:div w:id="770513170">
      <w:bodyDiv w:val="1"/>
      <w:marLeft w:val="0"/>
      <w:marRight w:val="0"/>
      <w:marTop w:val="0"/>
      <w:marBottom w:val="0"/>
      <w:divBdr>
        <w:top w:val="none" w:sz="0" w:space="0" w:color="auto"/>
        <w:left w:val="none" w:sz="0" w:space="0" w:color="auto"/>
        <w:bottom w:val="none" w:sz="0" w:space="0" w:color="auto"/>
        <w:right w:val="none" w:sz="0" w:space="0" w:color="auto"/>
      </w:divBdr>
      <w:divsChild>
        <w:div w:id="767576447">
          <w:marLeft w:val="0"/>
          <w:marRight w:val="0"/>
          <w:marTop w:val="0"/>
          <w:marBottom w:val="0"/>
          <w:divBdr>
            <w:top w:val="none" w:sz="0" w:space="0" w:color="auto"/>
            <w:left w:val="none" w:sz="0" w:space="0" w:color="auto"/>
            <w:bottom w:val="none" w:sz="0" w:space="0" w:color="auto"/>
            <w:right w:val="none" w:sz="0" w:space="0" w:color="auto"/>
          </w:divBdr>
          <w:divsChild>
            <w:div w:id="1829831655">
              <w:marLeft w:val="0"/>
              <w:marRight w:val="0"/>
              <w:marTop w:val="0"/>
              <w:marBottom w:val="0"/>
              <w:divBdr>
                <w:top w:val="none" w:sz="0" w:space="0" w:color="auto"/>
                <w:left w:val="none" w:sz="0" w:space="0" w:color="auto"/>
                <w:bottom w:val="none" w:sz="0" w:space="0" w:color="auto"/>
                <w:right w:val="none" w:sz="0" w:space="0" w:color="auto"/>
              </w:divBdr>
            </w:div>
          </w:divsChild>
        </w:div>
        <w:div w:id="2077123719">
          <w:marLeft w:val="0"/>
          <w:marRight w:val="0"/>
          <w:marTop w:val="0"/>
          <w:marBottom w:val="0"/>
          <w:divBdr>
            <w:top w:val="none" w:sz="0" w:space="0" w:color="auto"/>
            <w:left w:val="none" w:sz="0" w:space="0" w:color="auto"/>
            <w:bottom w:val="none" w:sz="0" w:space="0" w:color="auto"/>
            <w:right w:val="none" w:sz="0" w:space="0" w:color="auto"/>
          </w:divBdr>
          <w:divsChild>
            <w:div w:id="4333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473402">
      <w:bodyDiv w:val="1"/>
      <w:marLeft w:val="0"/>
      <w:marRight w:val="0"/>
      <w:marTop w:val="0"/>
      <w:marBottom w:val="0"/>
      <w:divBdr>
        <w:top w:val="none" w:sz="0" w:space="0" w:color="auto"/>
        <w:left w:val="none" w:sz="0" w:space="0" w:color="auto"/>
        <w:bottom w:val="none" w:sz="0" w:space="0" w:color="auto"/>
        <w:right w:val="none" w:sz="0" w:space="0" w:color="auto"/>
      </w:divBdr>
    </w:div>
    <w:div w:id="865412053">
      <w:bodyDiv w:val="1"/>
      <w:marLeft w:val="0"/>
      <w:marRight w:val="0"/>
      <w:marTop w:val="0"/>
      <w:marBottom w:val="0"/>
      <w:divBdr>
        <w:top w:val="none" w:sz="0" w:space="0" w:color="auto"/>
        <w:left w:val="none" w:sz="0" w:space="0" w:color="auto"/>
        <w:bottom w:val="none" w:sz="0" w:space="0" w:color="auto"/>
        <w:right w:val="none" w:sz="0" w:space="0" w:color="auto"/>
      </w:divBdr>
    </w:div>
    <w:div w:id="917325083">
      <w:bodyDiv w:val="1"/>
      <w:marLeft w:val="0"/>
      <w:marRight w:val="0"/>
      <w:marTop w:val="0"/>
      <w:marBottom w:val="0"/>
      <w:divBdr>
        <w:top w:val="none" w:sz="0" w:space="0" w:color="auto"/>
        <w:left w:val="none" w:sz="0" w:space="0" w:color="auto"/>
        <w:bottom w:val="none" w:sz="0" w:space="0" w:color="auto"/>
        <w:right w:val="none" w:sz="0" w:space="0" w:color="auto"/>
      </w:divBdr>
    </w:div>
    <w:div w:id="985279400">
      <w:bodyDiv w:val="1"/>
      <w:marLeft w:val="0"/>
      <w:marRight w:val="0"/>
      <w:marTop w:val="0"/>
      <w:marBottom w:val="0"/>
      <w:divBdr>
        <w:top w:val="none" w:sz="0" w:space="0" w:color="auto"/>
        <w:left w:val="none" w:sz="0" w:space="0" w:color="auto"/>
        <w:bottom w:val="none" w:sz="0" w:space="0" w:color="auto"/>
        <w:right w:val="none" w:sz="0" w:space="0" w:color="auto"/>
      </w:divBdr>
    </w:div>
    <w:div w:id="1155952985">
      <w:bodyDiv w:val="1"/>
      <w:marLeft w:val="0"/>
      <w:marRight w:val="0"/>
      <w:marTop w:val="0"/>
      <w:marBottom w:val="0"/>
      <w:divBdr>
        <w:top w:val="none" w:sz="0" w:space="0" w:color="auto"/>
        <w:left w:val="none" w:sz="0" w:space="0" w:color="auto"/>
        <w:bottom w:val="none" w:sz="0" w:space="0" w:color="auto"/>
        <w:right w:val="none" w:sz="0" w:space="0" w:color="auto"/>
      </w:divBdr>
      <w:divsChild>
        <w:div w:id="279145835">
          <w:marLeft w:val="0"/>
          <w:marRight w:val="0"/>
          <w:marTop w:val="0"/>
          <w:marBottom w:val="0"/>
          <w:divBdr>
            <w:top w:val="none" w:sz="0" w:space="0" w:color="auto"/>
            <w:left w:val="none" w:sz="0" w:space="0" w:color="auto"/>
            <w:bottom w:val="none" w:sz="0" w:space="0" w:color="auto"/>
            <w:right w:val="none" w:sz="0" w:space="0" w:color="auto"/>
          </w:divBdr>
        </w:div>
      </w:divsChild>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533150137">
      <w:bodyDiv w:val="1"/>
      <w:marLeft w:val="0"/>
      <w:marRight w:val="0"/>
      <w:marTop w:val="0"/>
      <w:marBottom w:val="0"/>
      <w:divBdr>
        <w:top w:val="none" w:sz="0" w:space="0" w:color="auto"/>
        <w:left w:val="none" w:sz="0" w:space="0" w:color="auto"/>
        <w:bottom w:val="none" w:sz="0" w:space="0" w:color="auto"/>
        <w:right w:val="none" w:sz="0" w:space="0" w:color="auto"/>
      </w:divBdr>
    </w:div>
    <w:div w:id="1552379147">
      <w:bodyDiv w:val="1"/>
      <w:marLeft w:val="0"/>
      <w:marRight w:val="0"/>
      <w:marTop w:val="0"/>
      <w:marBottom w:val="0"/>
      <w:divBdr>
        <w:top w:val="none" w:sz="0" w:space="0" w:color="auto"/>
        <w:left w:val="none" w:sz="0" w:space="0" w:color="auto"/>
        <w:bottom w:val="none" w:sz="0" w:space="0" w:color="auto"/>
        <w:right w:val="none" w:sz="0" w:space="0" w:color="auto"/>
      </w:divBdr>
    </w:div>
    <w:div w:id="1683435621">
      <w:bodyDiv w:val="1"/>
      <w:marLeft w:val="0"/>
      <w:marRight w:val="0"/>
      <w:marTop w:val="0"/>
      <w:marBottom w:val="0"/>
      <w:divBdr>
        <w:top w:val="none" w:sz="0" w:space="0" w:color="auto"/>
        <w:left w:val="none" w:sz="0" w:space="0" w:color="auto"/>
        <w:bottom w:val="none" w:sz="0" w:space="0" w:color="auto"/>
        <w:right w:val="none" w:sz="0" w:space="0" w:color="auto"/>
      </w:divBdr>
    </w:div>
    <w:div w:id="1709839905">
      <w:bodyDiv w:val="1"/>
      <w:marLeft w:val="0"/>
      <w:marRight w:val="0"/>
      <w:marTop w:val="0"/>
      <w:marBottom w:val="0"/>
      <w:divBdr>
        <w:top w:val="none" w:sz="0" w:space="0" w:color="auto"/>
        <w:left w:val="none" w:sz="0" w:space="0" w:color="auto"/>
        <w:bottom w:val="none" w:sz="0" w:space="0" w:color="auto"/>
        <w:right w:val="none" w:sz="0" w:space="0" w:color="auto"/>
      </w:divBdr>
    </w:div>
    <w:div w:id="1808351737">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1928221918">
      <w:bodyDiv w:val="1"/>
      <w:marLeft w:val="0"/>
      <w:marRight w:val="0"/>
      <w:marTop w:val="0"/>
      <w:marBottom w:val="0"/>
      <w:divBdr>
        <w:top w:val="none" w:sz="0" w:space="0" w:color="auto"/>
        <w:left w:val="none" w:sz="0" w:space="0" w:color="auto"/>
        <w:bottom w:val="none" w:sz="0" w:space="0" w:color="auto"/>
        <w:right w:val="none" w:sz="0" w:space="0" w:color="auto"/>
      </w:divBdr>
    </w:div>
    <w:div w:id="2073969081">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lc.cx/0WeyO-"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lc.cx/0WeyO-"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c.cx/0WeyO-" TargetMode="External"/><Relationship Id="rId20" Type="http://schemas.openxmlformats.org/officeDocument/2006/relationships/hyperlink" Target="https://lc.cx/0Wey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lc.cx/0WeyO-" TargetMode="Externa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s://lc.cx/0WeyO-" TargetMode="External"/><Relationship Id="rId27" Type="http://schemas.openxmlformats.org/officeDocument/2006/relationships/footer" Target="footer2.xml"/><Relationship Id="rId30"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cid:image001.png@01D8AB18.C262CF90" TargetMode="External"/><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2" Type="http://schemas.openxmlformats.org/officeDocument/2006/relationships/image" Target="cid:image001.png@01D8AB18.C262CF90" TargetMode="External"/><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BK%20Oscar\DECRETO_028\C&#243;rdoba\Informe%2016\INFOGRAFIA_C&#211;RDOBA_Pd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s-CO" sz="1100"/>
              <a:t>ESE CATEGORIZADAS EN RIESGO MEDIO - ALTO</a:t>
            </a:r>
            <a:endParaRPr lang="es-CO"/>
          </a:p>
          <a:p>
            <a:pPr>
              <a:defRPr/>
            </a:pPr>
            <a:r>
              <a:rPr lang="es-CO" sz="800"/>
              <a:t>NÚMERO DE ESE</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CO"/>
        </a:p>
      </c:txPr>
    </c:title>
    <c:autoTitleDeleted val="0"/>
    <c:plotArea>
      <c:layout/>
      <c:barChart>
        <c:barDir val="col"/>
        <c:grouping val="clustered"/>
        <c:varyColors val="0"/>
        <c:ser>
          <c:idx val="0"/>
          <c:order val="0"/>
          <c:tx>
            <c:strRef>
              <c:f>Datos!$Q$60</c:f>
              <c:strCache>
                <c:ptCount val="1"/>
                <c:pt idx="0">
                  <c:v>RIESGO 
ALTO</c:v>
                </c:pt>
              </c:strCache>
            </c:strRef>
          </c:tx>
          <c:spPr>
            <a:solidFill>
              <a:schemeClr val="accent1"/>
            </a:solidFill>
            <a:ln>
              <a:solidFill>
                <a:srgbClr val="BFA63B"/>
              </a:solidFill>
            </a:ln>
            <a:effectLst/>
          </c:spPr>
          <c:invertIfNegative val="0"/>
          <c:dPt>
            <c:idx val="7"/>
            <c:invertIfNegative val="0"/>
            <c:bubble3D val="0"/>
            <c:spPr>
              <a:solidFill>
                <a:srgbClr val="BFA63B"/>
              </a:solidFill>
              <a:ln>
                <a:solidFill>
                  <a:srgbClr val="BFA63B"/>
                </a:solidFill>
              </a:ln>
              <a:effectLst/>
            </c:spPr>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1-025E-4199-8F97-49D480F5728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showLeaderLines val="0"/>
              </c:ext>
            </c:extLst>
          </c:dLbls>
          <c:cat>
            <c:strRef>
              <c:f>Datos!$P$61:$P$69</c:f>
              <c:strCache>
                <c:ptCount val="9"/>
                <c:pt idx="0">
                  <c:v>Año 2012 
Resol.2509</c:v>
                </c:pt>
                <c:pt idx="1">
                  <c:v>Año 2013
Resol.1877</c:v>
                </c:pt>
                <c:pt idx="2">
                  <c:v>Año 2014
Resol.2090</c:v>
                </c:pt>
                <c:pt idx="3">
                  <c:v>Año 2015
Resol.1893/5597</c:v>
                </c:pt>
                <c:pt idx="4">
                  <c:v>Año 2016
Resol.2184/3916</c:v>
                </c:pt>
                <c:pt idx="5">
                  <c:v>Año 2017
Resol.1755</c:v>
                </c:pt>
                <c:pt idx="6">
                  <c:v>Año 2018
Resol.2249</c:v>
                </c:pt>
                <c:pt idx="7">
                  <c:v>Año 2019
Resol.1342</c:v>
                </c:pt>
                <c:pt idx="8">
                  <c:v>Año 2023
Resol. 851</c:v>
                </c:pt>
              </c:strCache>
            </c:strRef>
          </c:cat>
          <c:val>
            <c:numRef>
              <c:f>Datos!$Q$61:$Q$69</c:f>
              <c:numCache>
                <c:formatCode>_(* #,##0_);_(* \(#,##0\);_(* "-"_);_(@_)</c:formatCode>
                <c:ptCount val="9"/>
                <c:pt idx="0">
                  <c:v>12</c:v>
                </c:pt>
                <c:pt idx="1">
                  <c:v>18</c:v>
                </c:pt>
                <c:pt idx="2">
                  <c:v>20</c:v>
                </c:pt>
                <c:pt idx="3">
                  <c:v>7</c:v>
                </c:pt>
                <c:pt idx="4">
                  <c:v>8</c:v>
                </c:pt>
                <c:pt idx="5">
                  <c:v>5</c:v>
                </c:pt>
                <c:pt idx="6">
                  <c:v>7</c:v>
                </c:pt>
                <c:pt idx="7">
                  <c:v>7</c:v>
                </c:pt>
                <c:pt idx="8">
                  <c:v>4</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2-025E-4199-8F97-49D480F57280}"/>
            </c:ext>
          </c:extLst>
        </c:ser>
        <c:ser>
          <c:idx val="1"/>
          <c:order val="1"/>
          <c:tx>
            <c:strRef>
              <c:f>Datos!$R$60</c:f>
              <c:strCache>
                <c:ptCount val="1"/>
                <c:pt idx="0">
                  <c:v>RIESGO 
MEDIO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showLeaderLines val="0"/>
              </c:ext>
            </c:extLst>
          </c:dLbls>
          <c:cat>
            <c:strRef>
              <c:f>Datos!$P$61:$P$69</c:f>
              <c:strCache>
                <c:ptCount val="9"/>
                <c:pt idx="0">
                  <c:v>Año 2012 
Resol.2509</c:v>
                </c:pt>
                <c:pt idx="1">
                  <c:v>Año 2013
Resol.1877</c:v>
                </c:pt>
                <c:pt idx="2">
                  <c:v>Año 2014
Resol.2090</c:v>
                </c:pt>
                <c:pt idx="3">
                  <c:v>Año 2015
Resol.1893/5597</c:v>
                </c:pt>
                <c:pt idx="4">
                  <c:v>Año 2016
Resol.2184/3916</c:v>
                </c:pt>
                <c:pt idx="5">
                  <c:v>Año 2017
Resol.1755</c:v>
                </c:pt>
                <c:pt idx="6">
                  <c:v>Año 2018
Resol.2249</c:v>
                </c:pt>
                <c:pt idx="7">
                  <c:v>Año 2019
Resol.1342</c:v>
                </c:pt>
                <c:pt idx="8">
                  <c:v>Año 2023
Resol. 851</c:v>
                </c:pt>
              </c:strCache>
            </c:strRef>
          </c:cat>
          <c:val>
            <c:numRef>
              <c:f>Datos!$R$61:$R$69</c:f>
              <c:numCache>
                <c:formatCode>_(* #,##0_);_(* \(#,##0\);_(* "-"_);_(@_)</c:formatCode>
                <c:ptCount val="9"/>
                <c:pt idx="1">
                  <c:v>1</c:v>
                </c:pt>
                <c:pt idx="2">
                  <c:v>2</c:v>
                </c:pt>
                <c:pt idx="3">
                  <c:v>1</c:v>
                </c:pt>
                <c:pt idx="4">
                  <c:v>2</c:v>
                </c:pt>
                <c:pt idx="7">
                  <c:v>2</c:v>
                </c:pt>
                <c:pt idx="8">
                  <c:v>1</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3-025E-4199-8F97-49D480F57280}"/>
            </c:ext>
          </c:extLst>
        </c:ser>
        <c:dLbls>
          <c:showLegendKey val="0"/>
          <c:showVal val="0"/>
          <c:showCatName val="0"/>
          <c:showSerName val="0"/>
          <c:showPercent val="0"/>
          <c:showBubbleSize val="0"/>
        </c:dLbls>
        <c:gapWidth val="219"/>
        <c:overlap val="-27"/>
        <c:axId val="1762039087"/>
        <c:axId val="1762042415"/>
      </c:barChart>
      <c:lineChart>
        <c:grouping val="standard"/>
        <c:varyColors val="0"/>
        <c:ser>
          <c:idx val="2"/>
          <c:order val="2"/>
          <c:tx>
            <c:strRef>
              <c:f>Datos!$S$60</c:f>
              <c:strCache>
                <c:ptCount val="1"/>
                <c:pt idx="0">
                  <c:v>TOTAL ESE EN RIESGO</c:v>
                </c:pt>
              </c:strCache>
            </c:strRef>
          </c:tx>
          <c:spPr>
            <a:ln w="28575" cap="rnd">
              <a:solidFill>
                <a:schemeClr val="accent3"/>
              </a:solidFill>
              <a:round/>
            </a:ln>
            <a:effectLst/>
          </c:spPr>
          <c:marker>
            <c:symbol val="none"/>
          </c:marker>
          <c:cat>
            <c:strRef>
              <c:f>Datos!$P$61:$P$69</c:f>
              <c:strCache>
                <c:ptCount val="9"/>
                <c:pt idx="0">
                  <c:v>Año 2012 
Resol.2509</c:v>
                </c:pt>
                <c:pt idx="1">
                  <c:v>Año 2013
Resol.1877</c:v>
                </c:pt>
                <c:pt idx="2">
                  <c:v>Año 2014
Resol.2090</c:v>
                </c:pt>
                <c:pt idx="3">
                  <c:v>Año 2015
Resol.1893/5597</c:v>
                </c:pt>
                <c:pt idx="4">
                  <c:v>Año 2016
Resol.2184/3916</c:v>
                </c:pt>
                <c:pt idx="5">
                  <c:v>Año 2017
Resol.1755</c:v>
                </c:pt>
                <c:pt idx="6">
                  <c:v>Año 2018
Resol.2249</c:v>
                </c:pt>
                <c:pt idx="7">
                  <c:v>Año 2019
Resol.1342</c:v>
                </c:pt>
                <c:pt idx="8">
                  <c:v>Año 2023
Resol. 851</c:v>
                </c:pt>
              </c:strCache>
            </c:strRef>
          </c:cat>
          <c:val>
            <c:numRef>
              <c:f>Datos!$S$61:$S$69</c:f>
              <c:numCache>
                <c:formatCode>_(* #,##0_);_(* \(#,##0\);_(* "-"_);_(@_)</c:formatCode>
                <c:ptCount val="9"/>
                <c:pt idx="0">
                  <c:v>12</c:v>
                </c:pt>
                <c:pt idx="1">
                  <c:v>19</c:v>
                </c:pt>
                <c:pt idx="2">
                  <c:v>22</c:v>
                </c:pt>
                <c:pt idx="3">
                  <c:v>8</c:v>
                </c:pt>
                <c:pt idx="4">
                  <c:v>10</c:v>
                </c:pt>
                <c:pt idx="5">
                  <c:v>5</c:v>
                </c:pt>
                <c:pt idx="6">
                  <c:v>7</c:v>
                </c:pt>
                <c:pt idx="7">
                  <c:v>9</c:v>
                </c:pt>
                <c:pt idx="8">
                  <c:v>5</c:v>
                </c:pt>
              </c:numCache>
            </c:numRef>
          </c:val>
          <c:smooth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4-025E-4199-8F97-49D480F57280}"/>
            </c:ext>
          </c:extLst>
        </c:ser>
        <c:ser>
          <c:idx val="3"/>
          <c:order val="3"/>
          <c:tx>
            <c:strRef>
              <c:f>Datos!$T$60</c:f>
              <c:strCache>
                <c:ptCount val="1"/>
                <c:pt idx="0">
                  <c:v>TOTAL ESE
</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showLeaderLines val="0"/>
              </c:ext>
            </c:extLst>
          </c:dLbls>
          <c:cat>
            <c:strRef>
              <c:f>Datos!$P$61:$P$69</c:f>
              <c:strCache>
                <c:ptCount val="9"/>
                <c:pt idx="0">
                  <c:v>Año 2012 
Resol.2509</c:v>
                </c:pt>
                <c:pt idx="1">
                  <c:v>Año 2013
Resol.1877</c:v>
                </c:pt>
                <c:pt idx="2">
                  <c:v>Año 2014
Resol.2090</c:v>
                </c:pt>
                <c:pt idx="3">
                  <c:v>Año 2015
Resol.1893/5597</c:v>
                </c:pt>
                <c:pt idx="4">
                  <c:v>Año 2016
Resol.2184/3916</c:v>
                </c:pt>
                <c:pt idx="5">
                  <c:v>Año 2017
Resol.1755</c:v>
                </c:pt>
                <c:pt idx="6">
                  <c:v>Año 2018
Resol.2249</c:v>
                </c:pt>
                <c:pt idx="7">
                  <c:v>Año 2019
Resol.1342</c:v>
                </c:pt>
                <c:pt idx="8">
                  <c:v>Año 2023
Resol. 851</c:v>
                </c:pt>
              </c:strCache>
            </c:strRef>
          </c:cat>
          <c:val>
            <c:numRef>
              <c:f>Datos!$T$61:$T$69</c:f>
              <c:numCache>
                <c:formatCode>_(* #,##0_);_(* \(#,##0\);_(* "-"_);_(@_)</c:formatCode>
                <c:ptCount val="9"/>
                <c:pt idx="0">
                  <c:v>31</c:v>
                </c:pt>
                <c:pt idx="1">
                  <c:v>31</c:v>
                </c:pt>
                <c:pt idx="2">
                  <c:v>31</c:v>
                </c:pt>
                <c:pt idx="3">
                  <c:v>31</c:v>
                </c:pt>
                <c:pt idx="4">
                  <c:v>31</c:v>
                </c:pt>
                <c:pt idx="5">
                  <c:v>31</c:v>
                </c:pt>
                <c:pt idx="6">
                  <c:v>31</c:v>
                </c:pt>
                <c:pt idx="7">
                  <c:v>31</c:v>
                </c:pt>
                <c:pt idx="8">
                  <c:v>31</c:v>
                </c:pt>
              </c:numCache>
            </c:numRef>
          </c:val>
          <c:smooth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5-025E-4199-8F97-49D480F57280}"/>
            </c:ext>
          </c:extLst>
        </c:ser>
        <c:dLbls>
          <c:showLegendKey val="0"/>
          <c:showVal val="0"/>
          <c:showCatName val="0"/>
          <c:showSerName val="0"/>
          <c:showPercent val="0"/>
          <c:showBubbleSize val="0"/>
        </c:dLbls>
        <c:marker val="1"/>
        <c:smooth val="0"/>
        <c:axId val="1762039087"/>
        <c:axId val="1762042415"/>
      </c:lineChart>
      <c:catAx>
        <c:axId val="1762039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700" b="0" i="0" u="none" strike="noStrike" kern="1200" baseline="0">
                <a:solidFill>
                  <a:sysClr val="windowText" lastClr="000000"/>
                </a:solidFill>
                <a:latin typeface="+mn-lt"/>
                <a:ea typeface="+mn-ea"/>
                <a:cs typeface="+mn-cs"/>
              </a:defRPr>
            </a:pPr>
            <a:endParaRPr lang="es-CO"/>
          </a:p>
        </c:txPr>
        <c:crossAx val="1762042415"/>
        <c:crosses val="autoZero"/>
        <c:auto val="1"/>
        <c:lblAlgn val="ctr"/>
        <c:lblOffset val="100"/>
        <c:noMultiLvlLbl val="0"/>
      </c:catAx>
      <c:valAx>
        <c:axId val="1762042415"/>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crossAx val="17620390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0D0C909E-6C1C-4D8D-AA5E-766EA4E838FA}"/>
</file>

<file path=customXml/itemProps2.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3.xml><?xml version="1.0" encoding="utf-8"?>
<ds:datastoreItem xmlns:ds="http://schemas.openxmlformats.org/officeDocument/2006/customXml" ds:itemID="{FA936EC0-26A2-43FD-92C6-571B67D01AF5}">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57C60D87-8553-46DD-9D0F-5F9511CCEA55}"/>
</file>

<file path=docProps/app.xml><?xml version="1.0" encoding="utf-8"?>
<Properties xmlns="http://schemas.openxmlformats.org/officeDocument/2006/extended-properties" xmlns:vt="http://schemas.openxmlformats.org/officeDocument/2006/docPropsVTypes">
  <Template>Plantilla_Oficio_Comunicación_Oficial_Enviada</Template>
  <TotalTime>1</TotalTime>
  <Pages>25</Pages>
  <Words>8690</Words>
  <Characters>47796</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56374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cp:keywords/>
  <dc:description/>
  <cp:lastModifiedBy>Pablo Andres Parra Cubides</cp:lastModifiedBy>
  <cp:revision>2</cp:revision>
  <cp:lastPrinted>2015-12-16T15:04:00Z</cp:lastPrinted>
  <dcterms:created xsi:type="dcterms:W3CDTF">2024-06-18T04:56:00Z</dcterms:created>
  <dcterms:modified xsi:type="dcterms:W3CDTF">2024-06-18T04:56:00Z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