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BED7" w14:textId="77777777" w:rsidR="00FD21FE" w:rsidRDefault="00FD21FE" w:rsidP="00FD21FE">
      <w:pPr>
        <w:pStyle w:val="Sinespaciado"/>
        <w:jc w:val="center"/>
        <w:rPr>
          <w:rFonts w:ascii="Verdana" w:hAnsi="Verdana" w:cs="Arial"/>
          <w:b/>
        </w:rPr>
      </w:pPr>
    </w:p>
    <w:p w14:paraId="50E8EFA2" w14:textId="77777777" w:rsidR="00FD21FE" w:rsidRDefault="00FD21FE" w:rsidP="00FD21FE">
      <w:pPr>
        <w:pStyle w:val="Sinespaciado"/>
        <w:jc w:val="center"/>
        <w:rPr>
          <w:rFonts w:ascii="Verdana" w:hAnsi="Verdana" w:cs="Arial"/>
          <w:b/>
        </w:rPr>
      </w:pPr>
      <w:r>
        <w:rPr>
          <w:rFonts w:ascii="Verdana" w:hAnsi="Verdana" w:cs="Arial"/>
          <w:b/>
        </w:rPr>
        <w:t>INFORME DE SEGUIMIENTO</w:t>
      </w:r>
    </w:p>
    <w:p w14:paraId="133DF62B" w14:textId="77777777" w:rsidR="00FD21FE" w:rsidRDefault="00FD21FE" w:rsidP="00FD21FE">
      <w:pPr>
        <w:pStyle w:val="Sinespaciado"/>
        <w:jc w:val="center"/>
        <w:rPr>
          <w:rFonts w:ascii="Verdana" w:hAnsi="Verdana" w:cs="Arial"/>
          <w:b/>
        </w:rPr>
      </w:pPr>
    </w:p>
    <w:p w14:paraId="4B197AB4" w14:textId="77777777" w:rsidR="00FD21FE" w:rsidRDefault="00FD21FE" w:rsidP="00FD21FE">
      <w:pPr>
        <w:jc w:val="center"/>
        <w:rPr>
          <w:rFonts w:ascii="Verdana" w:eastAsiaTheme="minorHAnsi" w:hAnsi="Verdana" w:cs="Arial"/>
          <w:b/>
          <w:sz w:val="22"/>
          <w:szCs w:val="22"/>
          <w:lang w:val="es-CO" w:eastAsia="en-US"/>
        </w:rPr>
      </w:pPr>
      <w:r>
        <w:rPr>
          <w:rFonts w:ascii="Verdana" w:eastAsiaTheme="minorHAnsi" w:hAnsi="Verdana" w:cs="Arial"/>
          <w:b/>
          <w:sz w:val="22"/>
          <w:szCs w:val="22"/>
          <w:lang w:val="es-CO" w:eastAsia="en-US"/>
        </w:rPr>
        <w:t>Tabla 1: Expediente SIED</w:t>
      </w:r>
    </w:p>
    <w:tbl>
      <w:tblPr>
        <w:tblW w:w="338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543"/>
        <w:gridCol w:w="3435"/>
      </w:tblGrid>
      <w:tr w:rsidR="00FD21FE" w14:paraId="04503C62" w14:textId="77777777" w:rsidTr="00FD21FE">
        <w:trPr>
          <w:trHeight w:val="258"/>
          <w:jc w:val="center"/>
        </w:trPr>
        <w:tc>
          <w:tcPr>
            <w:tcW w:w="2127" w:type="pct"/>
            <w:tcBorders>
              <w:top w:val="single" w:sz="4" w:space="0" w:color="auto"/>
              <w:left w:val="single" w:sz="4" w:space="0" w:color="auto"/>
              <w:bottom w:val="single" w:sz="6" w:space="0" w:color="auto"/>
              <w:right w:val="single" w:sz="6" w:space="0" w:color="auto"/>
            </w:tcBorders>
            <w:shd w:val="clear" w:color="auto" w:fill="auto"/>
            <w:hideMark/>
          </w:tcPr>
          <w:p w14:paraId="2B85363D" w14:textId="77777777" w:rsidR="00FD21FE" w:rsidRDefault="00FD21FE">
            <w:pPr>
              <w:pStyle w:val="NormalWeb"/>
              <w:spacing w:before="0" w:beforeAutospacing="0" w:after="0"/>
              <w:jc w:val="both"/>
              <w:rPr>
                <w:rFonts w:ascii="Verdana" w:hAnsi="Verdana" w:cs="Arial"/>
                <w:bCs/>
                <w:i/>
                <w:sz w:val="22"/>
                <w:szCs w:val="22"/>
                <w:lang w:val="es-CO"/>
              </w:rPr>
            </w:pPr>
            <w:r>
              <w:rPr>
                <w:rFonts w:ascii="Verdana" w:hAnsi="Verdana" w:cs="Arial"/>
                <w:bCs/>
                <w:i/>
                <w:sz w:val="22"/>
                <w:szCs w:val="22"/>
                <w:lang w:val="es-CO"/>
              </w:rPr>
              <w:t>Número de Expediente</w:t>
            </w:r>
          </w:p>
        </w:tc>
        <w:tc>
          <w:tcPr>
            <w:tcW w:w="2873" w:type="pct"/>
            <w:tcBorders>
              <w:top w:val="single" w:sz="4" w:space="0" w:color="auto"/>
              <w:left w:val="single" w:sz="6" w:space="0" w:color="auto"/>
              <w:bottom w:val="single" w:sz="6" w:space="0" w:color="auto"/>
              <w:right w:val="single" w:sz="4" w:space="0" w:color="auto"/>
            </w:tcBorders>
            <w:shd w:val="clear" w:color="auto" w:fill="auto"/>
            <w:hideMark/>
          </w:tcPr>
          <w:p w14:paraId="307E9CC0" w14:textId="77777777" w:rsidR="00FD21FE" w:rsidRDefault="00FD21FE">
            <w:pPr>
              <w:pStyle w:val="NormalWeb"/>
              <w:spacing w:before="0" w:beforeAutospacing="0" w:after="0"/>
              <w:jc w:val="center"/>
              <w:rPr>
                <w:rFonts w:ascii="Verdana" w:hAnsi="Verdana" w:cs="Arial"/>
                <w:b/>
                <w:bCs/>
                <w:sz w:val="22"/>
                <w:szCs w:val="22"/>
                <w:lang w:val="es-CO"/>
              </w:rPr>
            </w:pPr>
            <w:r>
              <w:rPr>
                <w:rFonts w:ascii="Verdana" w:hAnsi="Verdana" w:cs="Arial"/>
                <w:b/>
                <w:bCs/>
                <w:sz w:val="22"/>
                <w:szCs w:val="22"/>
                <w:lang w:val="es-CO"/>
              </w:rPr>
              <w:t>49/2019/D028-PREDI</w:t>
            </w:r>
          </w:p>
        </w:tc>
      </w:tr>
      <w:tr w:rsidR="00FD21FE" w14:paraId="6ABE1463" w14:textId="77777777" w:rsidTr="00FD21FE">
        <w:trPr>
          <w:trHeight w:val="243"/>
          <w:jc w:val="center"/>
        </w:trPr>
        <w:tc>
          <w:tcPr>
            <w:tcW w:w="2127" w:type="pct"/>
            <w:tcBorders>
              <w:top w:val="single" w:sz="6" w:space="0" w:color="auto"/>
              <w:left w:val="single" w:sz="4" w:space="0" w:color="auto"/>
              <w:bottom w:val="single" w:sz="6" w:space="0" w:color="auto"/>
              <w:right w:val="single" w:sz="6" w:space="0" w:color="auto"/>
            </w:tcBorders>
            <w:shd w:val="clear" w:color="auto" w:fill="auto"/>
            <w:hideMark/>
          </w:tcPr>
          <w:p w14:paraId="15292BC9" w14:textId="77777777" w:rsidR="00FD21FE" w:rsidRDefault="00FD21FE">
            <w:pPr>
              <w:pStyle w:val="NormalWeb"/>
              <w:spacing w:before="0" w:beforeAutospacing="0" w:after="0"/>
              <w:jc w:val="both"/>
              <w:rPr>
                <w:rFonts w:ascii="Verdana" w:hAnsi="Verdana" w:cs="Arial"/>
                <w:bCs/>
                <w:i/>
                <w:sz w:val="22"/>
                <w:szCs w:val="22"/>
                <w:lang w:val="es-CO"/>
              </w:rPr>
            </w:pPr>
            <w:r>
              <w:rPr>
                <w:rFonts w:ascii="Verdana" w:hAnsi="Verdana" w:cs="Arial"/>
                <w:bCs/>
                <w:i/>
                <w:sz w:val="22"/>
                <w:szCs w:val="22"/>
                <w:lang w:val="es-CO"/>
              </w:rPr>
              <w:t>Sector</w:t>
            </w:r>
          </w:p>
        </w:tc>
        <w:tc>
          <w:tcPr>
            <w:tcW w:w="2873" w:type="pct"/>
            <w:tcBorders>
              <w:top w:val="single" w:sz="6" w:space="0" w:color="auto"/>
              <w:left w:val="single" w:sz="6" w:space="0" w:color="auto"/>
              <w:bottom w:val="single" w:sz="6" w:space="0" w:color="auto"/>
              <w:right w:val="single" w:sz="4" w:space="0" w:color="auto"/>
            </w:tcBorders>
            <w:shd w:val="clear" w:color="auto" w:fill="auto"/>
            <w:hideMark/>
          </w:tcPr>
          <w:p w14:paraId="678169A0" w14:textId="77777777" w:rsidR="00FD21FE" w:rsidRDefault="00FD21FE">
            <w:pPr>
              <w:pStyle w:val="NormalWeb"/>
              <w:spacing w:before="0" w:beforeAutospacing="0" w:after="0"/>
              <w:jc w:val="center"/>
              <w:rPr>
                <w:rFonts w:ascii="Verdana" w:hAnsi="Verdana" w:cs="Arial"/>
                <w:b/>
                <w:bCs/>
                <w:sz w:val="22"/>
                <w:szCs w:val="22"/>
                <w:lang w:val="es-CO"/>
              </w:rPr>
            </w:pPr>
            <w:r>
              <w:rPr>
                <w:rFonts w:ascii="Verdana" w:hAnsi="Verdana" w:cs="Arial"/>
                <w:b/>
                <w:bCs/>
                <w:sz w:val="22"/>
                <w:szCs w:val="22"/>
                <w:lang w:val="es-CO"/>
              </w:rPr>
              <w:t>Agua Potable y Saneamiento Básico</w:t>
            </w:r>
          </w:p>
        </w:tc>
      </w:tr>
      <w:tr w:rsidR="00FD21FE" w14:paraId="5513BAA3" w14:textId="77777777" w:rsidTr="00FD21FE">
        <w:trPr>
          <w:trHeight w:val="258"/>
          <w:jc w:val="center"/>
        </w:trPr>
        <w:tc>
          <w:tcPr>
            <w:tcW w:w="2127" w:type="pct"/>
            <w:tcBorders>
              <w:top w:val="single" w:sz="6" w:space="0" w:color="auto"/>
              <w:left w:val="single" w:sz="4" w:space="0" w:color="auto"/>
              <w:bottom w:val="single" w:sz="6" w:space="0" w:color="auto"/>
              <w:right w:val="single" w:sz="6" w:space="0" w:color="auto"/>
            </w:tcBorders>
            <w:shd w:val="clear" w:color="auto" w:fill="auto"/>
            <w:hideMark/>
          </w:tcPr>
          <w:p w14:paraId="1920FE12" w14:textId="77777777" w:rsidR="00FD21FE" w:rsidRDefault="00FD21FE">
            <w:pPr>
              <w:pStyle w:val="NormalWeb"/>
              <w:spacing w:before="0" w:beforeAutospacing="0" w:after="0"/>
              <w:jc w:val="both"/>
              <w:rPr>
                <w:rFonts w:ascii="Verdana" w:hAnsi="Verdana" w:cs="Arial"/>
                <w:bCs/>
                <w:i/>
                <w:sz w:val="22"/>
                <w:szCs w:val="22"/>
                <w:lang w:val="es-CO"/>
              </w:rPr>
            </w:pPr>
            <w:r>
              <w:rPr>
                <w:rFonts w:ascii="Verdana" w:hAnsi="Verdana" w:cs="Arial"/>
                <w:bCs/>
                <w:i/>
                <w:sz w:val="22"/>
                <w:szCs w:val="22"/>
                <w:lang w:val="es-CO"/>
              </w:rPr>
              <w:t>Tipo de Entidad</w:t>
            </w:r>
          </w:p>
        </w:tc>
        <w:tc>
          <w:tcPr>
            <w:tcW w:w="2873" w:type="pct"/>
            <w:tcBorders>
              <w:top w:val="single" w:sz="6" w:space="0" w:color="auto"/>
              <w:left w:val="single" w:sz="6" w:space="0" w:color="auto"/>
              <w:bottom w:val="single" w:sz="6" w:space="0" w:color="auto"/>
              <w:right w:val="single" w:sz="4" w:space="0" w:color="auto"/>
            </w:tcBorders>
            <w:shd w:val="clear" w:color="auto" w:fill="auto"/>
            <w:hideMark/>
          </w:tcPr>
          <w:p w14:paraId="21BFC5CB" w14:textId="77777777" w:rsidR="00FD21FE" w:rsidRDefault="00FD21FE">
            <w:pPr>
              <w:jc w:val="center"/>
              <w:rPr>
                <w:rFonts w:ascii="Verdana" w:hAnsi="Verdana" w:cs="Arial"/>
                <w:b/>
                <w:sz w:val="22"/>
                <w:szCs w:val="22"/>
                <w:lang w:val="es-CO"/>
              </w:rPr>
            </w:pPr>
            <w:r>
              <w:rPr>
                <w:rFonts w:ascii="Verdana" w:hAnsi="Verdana" w:cs="Arial"/>
                <w:b/>
                <w:sz w:val="22"/>
                <w:szCs w:val="22"/>
                <w:lang w:val="es-CO"/>
              </w:rPr>
              <w:t>Municipio</w:t>
            </w:r>
          </w:p>
        </w:tc>
      </w:tr>
      <w:tr w:rsidR="00FD21FE" w14:paraId="16A6C0E7" w14:textId="77777777" w:rsidTr="00FD21FE">
        <w:trPr>
          <w:trHeight w:val="258"/>
          <w:jc w:val="center"/>
        </w:trPr>
        <w:tc>
          <w:tcPr>
            <w:tcW w:w="2127" w:type="pct"/>
            <w:tcBorders>
              <w:top w:val="single" w:sz="6" w:space="0" w:color="auto"/>
              <w:left w:val="single" w:sz="4" w:space="0" w:color="auto"/>
              <w:bottom w:val="single" w:sz="4" w:space="0" w:color="auto"/>
              <w:right w:val="single" w:sz="6" w:space="0" w:color="auto"/>
            </w:tcBorders>
            <w:shd w:val="clear" w:color="auto" w:fill="auto"/>
            <w:hideMark/>
          </w:tcPr>
          <w:p w14:paraId="70EBDA66" w14:textId="77777777" w:rsidR="00FD21FE" w:rsidRDefault="00FD21FE">
            <w:pPr>
              <w:pStyle w:val="NormalWeb"/>
              <w:spacing w:before="0" w:beforeAutospacing="0" w:after="0"/>
              <w:jc w:val="both"/>
              <w:rPr>
                <w:rFonts w:ascii="Verdana" w:hAnsi="Verdana" w:cs="Arial"/>
                <w:bCs/>
                <w:i/>
                <w:sz w:val="22"/>
                <w:szCs w:val="22"/>
                <w:lang w:val="es-CO"/>
              </w:rPr>
            </w:pPr>
            <w:r>
              <w:rPr>
                <w:rFonts w:ascii="Verdana" w:hAnsi="Verdana" w:cs="Arial"/>
                <w:bCs/>
                <w:i/>
                <w:sz w:val="22"/>
                <w:szCs w:val="22"/>
                <w:lang w:val="es-CO"/>
              </w:rPr>
              <w:t>Entidad</w:t>
            </w:r>
          </w:p>
        </w:tc>
        <w:tc>
          <w:tcPr>
            <w:tcW w:w="2873" w:type="pct"/>
            <w:tcBorders>
              <w:top w:val="single" w:sz="6" w:space="0" w:color="auto"/>
              <w:left w:val="single" w:sz="6" w:space="0" w:color="auto"/>
              <w:bottom w:val="single" w:sz="4" w:space="0" w:color="auto"/>
              <w:right w:val="single" w:sz="4" w:space="0" w:color="auto"/>
            </w:tcBorders>
            <w:shd w:val="clear" w:color="auto" w:fill="auto"/>
            <w:hideMark/>
          </w:tcPr>
          <w:p w14:paraId="23267D6F" w14:textId="77777777" w:rsidR="00FD21FE" w:rsidRDefault="00FD21FE">
            <w:pPr>
              <w:tabs>
                <w:tab w:val="left" w:pos="1305"/>
              </w:tabs>
              <w:jc w:val="center"/>
              <w:rPr>
                <w:rFonts w:ascii="Verdana" w:hAnsi="Verdana" w:cs="Arial"/>
                <w:b/>
                <w:sz w:val="22"/>
                <w:szCs w:val="22"/>
                <w:lang w:val="es-CO"/>
              </w:rPr>
            </w:pPr>
            <w:r>
              <w:rPr>
                <w:rFonts w:ascii="Verdana" w:hAnsi="Verdana" w:cs="Arial"/>
                <w:b/>
                <w:sz w:val="22"/>
                <w:szCs w:val="22"/>
                <w:lang w:val="es-CO"/>
              </w:rPr>
              <w:t>San Martín - Cesar</w:t>
            </w:r>
          </w:p>
        </w:tc>
      </w:tr>
    </w:tbl>
    <w:p w14:paraId="16430C87" w14:textId="77777777" w:rsidR="00FD21FE" w:rsidRDefault="00FD21FE" w:rsidP="00FD21FE">
      <w:pPr>
        <w:jc w:val="both"/>
        <w:rPr>
          <w:rFonts w:ascii="Verdana" w:hAnsi="Verdana" w:cs="Arial"/>
          <w:sz w:val="22"/>
          <w:szCs w:val="22"/>
          <w:lang w:val="es-CO"/>
        </w:rPr>
      </w:pPr>
    </w:p>
    <w:p w14:paraId="254449C5"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Período de Evaluación: De diciembre de 2022 a junio 2023</w:t>
      </w:r>
    </w:p>
    <w:p w14:paraId="47CEE348" w14:textId="77777777" w:rsidR="00FD21FE" w:rsidRDefault="00FD21FE" w:rsidP="00FD21FE">
      <w:pPr>
        <w:jc w:val="both"/>
        <w:rPr>
          <w:rFonts w:ascii="Verdana" w:hAnsi="Verdana" w:cs="Arial"/>
          <w:sz w:val="22"/>
          <w:szCs w:val="22"/>
          <w:lang w:val="es-CO"/>
        </w:rPr>
      </w:pPr>
    </w:p>
    <w:p w14:paraId="66F21D64" w14:textId="77777777" w:rsidR="00FD21FE" w:rsidRDefault="00FD21FE" w:rsidP="00FD21FE">
      <w:pPr>
        <w:jc w:val="both"/>
        <w:rPr>
          <w:rFonts w:ascii="Verdana" w:hAnsi="Verdana" w:cs="Arial"/>
          <w:sz w:val="22"/>
          <w:szCs w:val="22"/>
          <w:lang w:val="es-CO"/>
        </w:rPr>
      </w:pPr>
    </w:p>
    <w:p w14:paraId="715E762B" w14:textId="77777777" w:rsidR="00FD21FE" w:rsidRDefault="00FD21FE" w:rsidP="00FD21FE">
      <w:pPr>
        <w:pStyle w:val="Ttulo1"/>
        <w:numPr>
          <w:ilvl w:val="0"/>
          <w:numId w:val="3"/>
        </w:numPr>
        <w:spacing w:before="0"/>
        <w:jc w:val="both"/>
        <w:rPr>
          <w:rFonts w:ascii="Verdana" w:hAnsi="Verdana" w:cs="Arial"/>
          <w:b/>
          <w:color w:val="auto"/>
          <w:sz w:val="22"/>
          <w:szCs w:val="22"/>
          <w:lang w:val="es-CO"/>
        </w:rPr>
      </w:pPr>
      <w:r>
        <w:rPr>
          <w:rFonts w:ascii="Verdana" w:hAnsi="Verdana" w:cs="Arial"/>
          <w:b/>
          <w:color w:val="auto"/>
          <w:sz w:val="22"/>
          <w:szCs w:val="22"/>
          <w:lang w:val="es-CO"/>
        </w:rPr>
        <w:t xml:space="preserve">ANTECEDENTES </w:t>
      </w:r>
    </w:p>
    <w:p w14:paraId="4FE83E97" w14:textId="77777777" w:rsidR="00FD21FE" w:rsidRDefault="00FD21FE" w:rsidP="00FD21FE">
      <w:pPr>
        <w:jc w:val="both"/>
        <w:rPr>
          <w:rFonts w:ascii="Verdana" w:hAnsi="Verdana" w:cs="Arial"/>
          <w:sz w:val="22"/>
          <w:szCs w:val="22"/>
          <w:lang w:val="es-CO"/>
        </w:rPr>
      </w:pPr>
    </w:p>
    <w:p w14:paraId="1BB60126" w14:textId="77777777" w:rsidR="00FD21FE" w:rsidRDefault="00FD21FE" w:rsidP="00FD21FE">
      <w:pPr>
        <w:jc w:val="both"/>
        <w:rPr>
          <w:rFonts w:ascii="Verdana" w:hAnsi="Verdana" w:cs="Arial"/>
          <w:i/>
          <w:iCs/>
          <w:color w:val="000000" w:themeColor="text1"/>
          <w:sz w:val="22"/>
          <w:szCs w:val="22"/>
        </w:rPr>
      </w:pPr>
      <w:r>
        <w:rPr>
          <w:rFonts w:ascii="Verdana" w:hAnsi="Verdana" w:cs="Arial"/>
          <w:color w:val="000000" w:themeColor="text1"/>
          <w:sz w:val="22"/>
          <w:szCs w:val="22"/>
        </w:rPr>
        <w:t>La Dirección General de Apoyo Fiscal del Ministerio de Hacienda y Crédito Público, expidió la Resolución No. 2869 del 31 de octubre de 2022, “</w:t>
      </w:r>
      <w:r>
        <w:rPr>
          <w:rFonts w:ascii="Verdana" w:hAnsi="Verdana" w:cs="Arial"/>
          <w:i/>
          <w:iCs/>
          <w:color w:val="000000" w:themeColor="text1"/>
          <w:sz w:val="22"/>
          <w:szCs w:val="22"/>
        </w:rPr>
        <w:t xml:space="preserve">por medio de la cual ordenó la adopción de la Medida Preventiva de Plan de Desempeño en el Sector de Agua Potable y Saneamiento Básico al municipio de San Martín- Cesar”. </w:t>
      </w:r>
    </w:p>
    <w:p w14:paraId="3056BD90" w14:textId="77777777" w:rsidR="00FD21FE" w:rsidRDefault="00FD21FE" w:rsidP="00FD21FE">
      <w:pPr>
        <w:jc w:val="both"/>
        <w:rPr>
          <w:rFonts w:ascii="Verdana" w:hAnsi="Verdana" w:cs="Arial"/>
          <w:color w:val="000000" w:themeColor="text1"/>
          <w:sz w:val="22"/>
          <w:szCs w:val="22"/>
        </w:rPr>
      </w:pPr>
    </w:p>
    <w:p w14:paraId="0AB2FDFB" w14:textId="77777777" w:rsidR="00FD21FE" w:rsidRDefault="00FD21FE" w:rsidP="00FD21FE">
      <w:pPr>
        <w:jc w:val="both"/>
        <w:rPr>
          <w:rFonts w:ascii="Verdana" w:hAnsi="Verdana" w:cs="Arial"/>
          <w:color w:val="000000" w:themeColor="text1"/>
          <w:sz w:val="22"/>
          <w:szCs w:val="22"/>
        </w:rPr>
      </w:pPr>
      <w:r>
        <w:rPr>
          <w:rFonts w:ascii="Verdana" w:hAnsi="Verdana" w:cs="Arial"/>
          <w:color w:val="000000" w:themeColor="text1"/>
          <w:sz w:val="22"/>
          <w:szCs w:val="22"/>
        </w:rPr>
        <w:t>En esta se configuraron los riesgos asociados a:</w:t>
      </w:r>
    </w:p>
    <w:p w14:paraId="0FC6304C" w14:textId="77777777" w:rsidR="00FD21FE" w:rsidRDefault="00FD21FE" w:rsidP="00FD21FE">
      <w:pPr>
        <w:jc w:val="both"/>
        <w:rPr>
          <w:rFonts w:ascii="Verdana" w:hAnsi="Verdana" w:cs="Arial"/>
          <w:color w:val="000000" w:themeColor="text1"/>
          <w:sz w:val="22"/>
          <w:szCs w:val="22"/>
        </w:rPr>
      </w:pPr>
    </w:p>
    <w:p w14:paraId="41378A3B" w14:textId="77777777" w:rsidR="00FD21FE" w:rsidRDefault="00FD21FE" w:rsidP="00FD21FE">
      <w:pPr>
        <w:pStyle w:val="Prrafodelista"/>
        <w:numPr>
          <w:ilvl w:val="0"/>
          <w:numId w:val="14"/>
        </w:numPr>
        <w:jc w:val="both"/>
        <w:rPr>
          <w:rFonts w:ascii="Verdana" w:hAnsi="Verdana" w:cs="Arial"/>
          <w:i/>
          <w:iCs/>
          <w:color w:val="000000" w:themeColor="text1"/>
          <w:sz w:val="22"/>
          <w:szCs w:val="22"/>
        </w:rPr>
      </w:pPr>
      <w:r>
        <w:rPr>
          <w:rFonts w:ascii="Verdana" w:hAnsi="Verdana" w:cs="Arial"/>
          <w:color w:val="000000" w:themeColor="text1"/>
          <w:sz w:val="22"/>
          <w:szCs w:val="22"/>
        </w:rPr>
        <w:t>9.4 “Cambio en la destinación de los recursos”.</w:t>
      </w:r>
    </w:p>
    <w:p w14:paraId="0ABEE33C" w14:textId="77777777" w:rsidR="00FD21FE" w:rsidRDefault="00FD21FE" w:rsidP="00FD21FE">
      <w:pPr>
        <w:pStyle w:val="Prrafodelista"/>
        <w:numPr>
          <w:ilvl w:val="0"/>
          <w:numId w:val="14"/>
        </w:numPr>
        <w:jc w:val="both"/>
        <w:rPr>
          <w:rFonts w:ascii="Verdana" w:hAnsi="Verdana" w:cs="Arial"/>
          <w:i/>
          <w:iCs/>
          <w:color w:val="000000" w:themeColor="text1"/>
          <w:sz w:val="22"/>
          <w:szCs w:val="22"/>
        </w:rPr>
      </w:pPr>
      <w:r>
        <w:rPr>
          <w:rFonts w:ascii="Verdana" w:hAnsi="Verdana" w:cs="Arial"/>
          <w:color w:val="000000" w:themeColor="text1"/>
          <w:sz w:val="22"/>
          <w:szCs w:val="22"/>
        </w:rPr>
        <w:t>9.7 “Registro contable de los recursos que no sigue las disposiciones legales vigentes”. (fondo de solidaridad y redistribución de ingresos)</w:t>
      </w:r>
    </w:p>
    <w:p w14:paraId="58203A8E" w14:textId="77777777" w:rsidR="00FD21FE" w:rsidRDefault="00FD21FE" w:rsidP="00FD21FE">
      <w:pPr>
        <w:pStyle w:val="Prrafodelista"/>
        <w:numPr>
          <w:ilvl w:val="0"/>
          <w:numId w:val="14"/>
        </w:numPr>
        <w:jc w:val="both"/>
        <w:rPr>
          <w:rFonts w:ascii="Verdana" w:hAnsi="Verdana" w:cs="Arial"/>
          <w:i/>
          <w:iCs/>
          <w:color w:val="000000" w:themeColor="text1"/>
          <w:sz w:val="22"/>
          <w:szCs w:val="22"/>
        </w:rPr>
      </w:pPr>
      <w:r>
        <w:rPr>
          <w:rFonts w:ascii="Verdana" w:hAnsi="Verdana" w:cs="Arial"/>
          <w:color w:val="000000" w:themeColor="text1"/>
          <w:sz w:val="22"/>
          <w:szCs w:val="22"/>
        </w:rPr>
        <w:t>9.10. “No publicar los actos administrativos, contratos, convenios e informes, cuando la ley lo exija”; 9.11. “No disponer del Sistema de Identificación de Beneficiarios, SISBÉN, o de estratificación, actualizados y en operación, bajo parámetros de calidad”.</w:t>
      </w:r>
    </w:p>
    <w:p w14:paraId="6773378B" w14:textId="77777777" w:rsidR="00FD21FE" w:rsidRDefault="00FD21FE" w:rsidP="00FD21FE">
      <w:pPr>
        <w:pStyle w:val="Prrafodelista"/>
        <w:numPr>
          <w:ilvl w:val="0"/>
          <w:numId w:val="14"/>
        </w:numPr>
        <w:jc w:val="both"/>
        <w:rPr>
          <w:rFonts w:ascii="Verdana" w:hAnsi="Verdana" w:cs="Arial"/>
          <w:i/>
          <w:iCs/>
          <w:color w:val="000000" w:themeColor="text1"/>
          <w:sz w:val="22"/>
          <w:szCs w:val="22"/>
        </w:rPr>
      </w:pPr>
      <w:r>
        <w:rPr>
          <w:rFonts w:ascii="Verdana" w:hAnsi="Verdana" w:cs="Arial"/>
          <w:color w:val="000000" w:themeColor="text1"/>
          <w:sz w:val="22"/>
          <w:szCs w:val="22"/>
        </w:rPr>
        <w:t xml:space="preserve">9.18. “Aquella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 </w:t>
      </w:r>
    </w:p>
    <w:p w14:paraId="4A26C728" w14:textId="77777777" w:rsidR="00FD21FE" w:rsidRDefault="00FD21FE" w:rsidP="00FD21FE">
      <w:pPr>
        <w:pStyle w:val="Prrafodelista"/>
        <w:numPr>
          <w:ilvl w:val="1"/>
          <w:numId w:val="14"/>
        </w:numPr>
        <w:jc w:val="both"/>
        <w:rPr>
          <w:rFonts w:ascii="Verdana" w:hAnsi="Verdana" w:cs="Arial"/>
          <w:i/>
          <w:iCs/>
          <w:color w:val="000000" w:themeColor="text1"/>
          <w:sz w:val="22"/>
          <w:szCs w:val="22"/>
        </w:rPr>
      </w:pPr>
      <w:r>
        <w:rPr>
          <w:rFonts w:ascii="Verdana" w:hAnsi="Verdana" w:cs="Arial"/>
          <w:color w:val="000000" w:themeColor="text1"/>
          <w:sz w:val="22"/>
          <w:szCs w:val="22"/>
        </w:rPr>
        <w:t xml:space="preserve">riesgo en la prestación adecuada del servicio. </w:t>
      </w:r>
    </w:p>
    <w:p w14:paraId="4CB32671" w14:textId="77777777" w:rsidR="00FD21FE" w:rsidRDefault="00FD21FE" w:rsidP="00FD21FE">
      <w:pPr>
        <w:pStyle w:val="Prrafodelista"/>
        <w:numPr>
          <w:ilvl w:val="2"/>
          <w:numId w:val="14"/>
        </w:numPr>
        <w:jc w:val="both"/>
        <w:rPr>
          <w:rFonts w:ascii="Verdana" w:hAnsi="Verdana" w:cs="Arial"/>
          <w:i/>
          <w:iCs/>
          <w:color w:val="000000" w:themeColor="text1"/>
          <w:sz w:val="22"/>
          <w:szCs w:val="22"/>
        </w:rPr>
      </w:pPr>
      <w:r>
        <w:rPr>
          <w:rFonts w:ascii="Verdana" w:hAnsi="Verdana" w:cs="Arial"/>
          <w:color w:val="000000" w:themeColor="text1"/>
          <w:sz w:val="22"/>
          <w:szCs w:val="22"/>
        </w:rPr>
        <w:t>Inversión en acueductos no formalizados.</w:t>
      </w:r>
    </w:p>
    <w:p w14:paraId="0FD69FE2" w14:textId="77777777" w:rsidR="00FD21FE" w:rsidRDefault="00FD21FE" w:rsidP="00FD21FE">
      <w:pPr>
        <w:pStyle w:val="Prrafodelista"/>
        <w:numPr>
          <w:ilvl w:val="2"/>
          <w:numId w:val="14"/>
        </w:numPr>
        <w:jc w:val="both"/>
        <w:rPr>
          <w:rFonts w:ascii="Verdana" w:hAnsi="Verdana" w:cs="Arial"/>
          <w:i/>
          <w:iCs/>
          <w:color w:val="000000" w:themeColor="text1"/>
          <w:sz w:val="22"/>
          <w:szCs w:val="22"/>
        </w:rPr>
      </w:pPr>
      <w:r>
        <w:rPr>
          <w:rFonts w:ascii="Verdana" w:hAnsi="Verdana" w:cs="Arial"/>
          <w:color w:val="000000" w:themeColor="text1"/>
          <w:sz w:val="22"/>
          <w:szCs w:val="22"/>
        </w:rPr>
        <w:t>calidad del agua.</w:t>
      </w:r>
    </w:p>
    <w:p w14:paraId="37C06AFB" w14:textId="77777777" w:rsidR="00FD21FE" w:rsidRDefault="00FD21FE" w:rsidP="00FD21FE">
      <w:pPr>
        <w:pStyle w:val="Prrafodelista"/>
        <w:numPr>
          <w:ilvl w:val="2"/>
          <w:numId w:val="14"/>
        </w:numPr>
        <w:jc w:val="both"/>
        <w:rPr>
          <w:rFonts w:ascii="Verdana" w:hAnsi="Verdana" w:cs="Arial"/>
          <w:i/>
          <w:iCs/>
          <w:color w:val="000000" w:themeColor="text1"/>
          <w:sz w:val="22"/>
          <w:szCs w:val="22"/>
        </w:rPr>
      </w:pPr>
      <w:r>
        <w:rPr>
          <w:rFonts w:ascii="Verdana" w:hAnsi="Verdana" w:cs="Arial"/>
          <w:color w:val="000000" w:themeColor="text1"/>
          <w:sz w:val="22"/>
          <w:szCs w:val="22"/>
        </w:rPr>
        <w:t>Participación ciudadana – comité de desarrollo y control social.</w:t>
      </w:r>
    </w:p>
    <w:p w14:paraId="6BD4FCC4" w14:textId="77777777" w:rsidR="00FD21FE" w:rsidRDefault="00FD21FE" w:rsidP="00FD21FE">
      <w:pPr>
        <w:jc w:val="both"/>
        <w:rPr>
          <w:rFonts w:ascii="Verdana" w:hAnsi="Verdana" w:cs="Arial"/>
          <w:color w:val="000000" w:themeColor="text1"/>
          <w:sz w:val="22"/>
          <w:szCs w:val="22"/>
        </w:rPr>
      </w:pPr>
    </w:p>
    <w:p w14:paraId="64F1E662" w14:textId="77777777" w:rsidR="00FD21FE" w:rsidRDefault="00FD21FE" w:rsidP="00FD21FE">
      <w:pPr>
        <w:autoSpaceDE w:val="0"/>
        <w:autoSpaceDN w:val="0"/>
        <w:adjustRightInd w:val="0"/>
        <w:jc w:val="both"/>
        <w:rPr>
          <w:rFonts w:ascii="Verdana" w:eastAsiaTheme="minorHAnsi" w:hAnsi="Verdana" w:cs="Arial"/>
          <w:color w:val="000000"/>
          <w:sz w:val="22"/>
          <w:szCs w:val="22"/>
          <w:lang w:val="es-CO" w:eastAsia="en-US"/>
        </w:rPr>
      </w:pPr>
    </w:p>
    <w:p w14:paraId="2F202F1F" w14:textId="77777777" w:rsidR="00FD21FE" w:rsidRDefault="00FD21FE" w:rsidP="00FD21FE">
      <w:pPr>
        <w:autoSpaceDE w:val="0"/>
        <w:autoSpaceDN w:val="0"/>
        <w:adjustRightInd w:val="0"/>
        <w:jc w:val="both"/>
        <w:rPr>
          <w:rFonts w:ascii="Verdana" w:eastAsiaTheme="minorHAnsi" w:hAnsi="Verdana" w:cs="Arial"/>
          <w:color w:val="000000"/>
          <w:sz w:val="22"/>
          <w:szCs w:val="22"/>
          <w:lang w:val="es-CO" w:eastAsia="en-US"/>
        </w:rPr>
      </w:pPr>
    </w:p>
    <w:p w14:paraId="00BC72DC" w14:textId="77777777" w:rsidR="00FD21FE" w:rsidRDefault="00FD21FE" w:rsidP="00FD21FE">
      <w:pPr>
        <w:autoSpaceDE w:val="0"/>
        <w:autoSpaceDN w:val="0"/>
        <w:adjustRightInd w:val="0"/>
        <w:jc w:val="both"/>
        <w:rPr>
          <w:rFonts w:ascii="Verdana" w:eastAsiaTheme="minorHAnsi" w:hAnsi="Verdana" w:cs="Arial"/>
          <w:color w:val="000000"/>
          <w:sz w:val="22"/>
          <w:szCs w:val="22"/>
          <w:lang w:val="es-CO" w:eastAsia="en-US"/>
        </w:rPr>
      </w:pPr>
      <w:r>
        <w:rPr>
          <w:rFonts w:ascii="Verdana" w:eastAsiaTheme="minorHAnsi" w:hAnsi="Verdana" w:cs="Arial"/>
          <w:color w:val="000000"/>
          <w:sz w:val="22"/>
          <w:szCs w:val="22"/>
          <w:lang w:val="es-CO" w:eastAsia="en-US"/>
        </w:rPr>
        <w:lastRenderedPageBreak/>
        <w:t xml:space="preserve">El señor Alcalde del Municipio de San Martín - Cesar presentó el Decreto No. 0181 de fecha 7 de diciembre de 2022, </w:t>
      </w:r>
      <w:r>
        <w:rPr>
          <w:rFonts w:ascii="Verdana" w:eastAsiaTheme="minorHAnsi" w:hAnsi="Verdana" w:cs="Arial"/>
          <w:i/>
          <w:iCs/>
          <w:color w:val="000000"/>
          <w:sz w:val="22"/>
          <w:szCs w:val="22"/>
          <w:lang w:val="es-CO" w:eastAsia="en-US"/>
        </w:rPr>
        <w:t xml:space="preserve">“Por el medio de la cual se </w:t>
      </w:r>
      <w:r>
        <w:rPr>
          <w:rFonts w:ascii="Verdana" w:eastAsiaTheme="minorHAnsi" w:hAnsi="Verdana" w:cs="Arial"/>
          <w:b/>
          <w:bCs/>
          <w:i/>
          <w:iCs/>
          <w:color w:val="000000"/>
          <w:sz w:val="22"/>
          <w:szCs w:val="22"/>
          <w:lang w:val="es-CO" w:eastAsia="en-US"/>
        </w:rPr>
        <w:t>adopta</w:t>
      </w:r>
      <w:r>
        <w:rPr>
          <w:rFonts w:ascii="Verdana" w:eastAsiaTheme="minorHAnsi" w:hAnsi="Verdana" w:cs="Arial"/>
          <w:i/>
          <w:iCs/>
          <w:color w:val="000000"/>
          <w:sz w:val="22"/>
          <w:szCs w:val="22"/>
          <w:lang w:val="es-CO" w:eastAsia="en-US"/>
        </w:rPr>
        <w:t xml:space="preserve"> el Plan de Desempeño en el Sector de Agua Potable Saneamiento Básico presentado por el Municipio de San Martin-Cesar, en cumplimiento de la medida preventiva de Plan de Desempeño impuesta mediante la Resolución No. 2869 de fecha 31 de octubre de 2022, en cumplimiento legal del Decreto 028 de 2008”</w:t>
      </w:r>
      <w:r>
        <w:rPr>
          <w:rFonts w:ascii="Verdana" w:eastAsiaTheme="minorHAnsi" w:hAnsi="Verdana" w:cs="Arial"/>
          <w:color w:val="000000"/>
          <w:sz w:val="22"/>
          <w:szCs w:val="22"/>
          <w:lang w:val="es-CO" w:eastAsia="en-US"/>
        </w:rPr>
        <w:t xml:space="preserve">, mediante oficio de radicado No. 1-2022- 102976 del 7 de diciembre de 2022. </w:t>
      </w:r>
    </w:p>
    <w:p w14:paraId="588F170B" w14:textId="77777777" w:rsidR="00FD21FE" w:rsidRDefault="00FD21FE" w:rsidP="00FD21FE">
      <w:pPr>
        <w:jc w:val="both"/>
        <w:rPr>
          <w:rFonts w:ascii="Verdana" w:hAnsi="Verdana" w:cs="Arial"/>
          <w:sz w:val="22"/>
          <w:szCs w:val="22"/>
          <w:lang w:val="es-CO"/>
        </w:rPr>
      </w:pPr>
    </w:p>
    <w:p w14:paraId="0473F8E3" w14:textId="77777777" w:rsidR="00FD21FE" w:rsidRDefault="00FD21FE" w:rsidP="00FD21FE">
      <w:pPr>
        <w:pStyle w:val="Default"/>
        <w:jc w:val="both"/>
        <w:rPr>
          <w:rFonts w:ascii="Verdana" w:hAnsi="Verdana"/>
          <w:sz w:val="22"/>
          <w:szCs w:val="22"/>
          <w:lang w:val="es-CO"/>
        </w:rPr>
      </w:pPr>
      <w:r>
        <w:rPr>
          <w:rFonts w:ascii="Verdana" w:hAnsi="Verdana"/>
          <w:sz w:val="22"/>
          <w:szCs w:val="22"/>
          <w:lang w:val="es-CO"/>
        </w:rPr>
        <w:t xml:space="preserve">El 28 de diciembre de 2022 la DAF expidió la </w:t>
      </w:r>
      <w:r>
        <w:rPr>
          <w:rFonts w:ascii="Verdana" w:hAnsi="Verdana"/>
          <w:b/>
          <w:bCs/>
          <w:sz w:val="22"/>
          <w:szCs w:val="22"/>
          <w:lang w:val="es-CO"/>
        </w:rPr>
        <w:t xml:space="preserve">RESOLUCIÓN 3572, </w:t>
      </w:r>
      <w:r>
        <w:rPr>
          <w:rFonts w:ascii="Verdana" w:hAnsi="Verdana"/>
          <w:i/>
          <w:iCs/>
          <w:sz w:val="22"/>
          <w:szCs w:val="22"/>
          <w:lang w:val="es-CO"/>
        </w:rPr>
        <w:t>Por la cual se aprueba el Plan de Desempeño adoptado en el Sector de Agua Potable y Saneamiento Básico por el Municipio de San Martín – Cesar mediante el Decreto No. 0181 del 7 de diciembre de 2022 y se designa su Coordinador, de acuerdo con lo establecido en los artículos 12 del Decreto 028 de 2008 y 2.6.3.4.1.2. del Decreto 1068 de 2015</w:t>
      </w:r>
      <w:r>
        <w:rPr>
          <w:rFonts w:ascii="Verdana" w:hAnsi="Verdana"/>
          <w:sz w:val="22"/>
          <w:szCs w:val="22"/>
          <w:lang w:val="es-CO"/>
        </w:rPr>
        <w:t>, iniciando los términos de la ejecución de la medida preventiva.</w:t>
      </w:r>
    </w:p>
    <w:p w14:paraId="701FCD04" w14:textId="77777777" w:rsidR="00FD21FE" w:rsidRDefault="00FD21FE" w:rsidP="00FD21FE">
      <w:pPr>
        <w:pStyle w:val="Default"/>
        <w:jc w:val="both"/>
        <w:rPr>
          <w:rFonts w:ascii="Verdana" w:hAnsi="Verdana"/>
          <w:sz w:val="22"/>
          <w:szCs w:val="22"/>
          <w:lang w:val="es-CO"/>
        </w:rPr>
      </w:pPr>
    </w:p>
    <w:p w14:paraId="0F090745" w14:textId="77777777" w:rsidR="00FD21FE" w:rsidRDefault="00FD21FE" w:rsidP="00FD21FE">
      <w:pPr>
        <w:jc w:val="both"/>
        <w:rPr>
          <w:rFonts w:ascii="Verdana" w:eastAsia="Times New Roman" w:hAnsi="Verdana" w:cs="Calibri"/>
          <w:sz w:val="22"/>
          <w:szCs w:val="22"/>
          <w:lang w:val="es-CO" w:eastAsia="en-US"/>
        </w:rPr>
      </w:pPr>
      <w:r>
        <w:rPr>
          <w:rFonts w:ascii="Verdana" w:eastAsia="Times New Roman" w:hAnsi="Verdana" w:cs="Calibri"/>
          <w:sz w:val="22"/>
          <w:szCs w:val="22"/>
          <w:lang w:val="es-CO" w:eastAsia="en-US"/>
        </w:rPr>
        <w:t>A través del oficio 2-2023-018360 del 18 de abril de 2023 la DAF anunció Asistencia Técnica, dentro de la cual se identificaron los avances y desafíos presentados para la entidad territorial, en la ejecución del Plan de Desempeño. De esta manera, el Municipio el día 31 de mayo de 2023 efectuó Entrega de información a través del radicado 1-2023-04579 dentro del cual en un archivo comprimido en formato Win RAR entregó información con un contenido de 163 Megas en 46 archivos.</w:t>
      </w:r>
    </w:p>
    <w:p w14:paraId="68689C6F" w14:textId="77777777" w:rsidR="00FD21FE" w:rsidRDefault="00FD21FE" w:rsidP="00FD21FE">
      <w:pPr>
        <w:jc w:val="both"/>
        <w:rPr>
          <w:rFonts w:ascii="Verdana" w:eastAsia="Times New Roman" w:hAnsi="Verdana" w:cs="Calibri"/>
          <w:sz w:val="22"/>
          <w:szCs w:val="22"/>
          <w:lang w:val="es-CO" w:eastAsia="en-US"/>
        </w:rPr>
      </w:pPr>
    </w:p>
    <w:p w14:paraId="10463B46" w14:textId="77777777" w:rsidR="00FD21FE" w:rsidRDefault="00FD21FE" w:rsidP="00FD21FE">
      <w:pPr>
        <w:jc w:val="both"/>
        <w:rPr>
          <w:rFonts w:ascii="Verdana" w:hAnsi="Verdana" w:cs="Arial"/>
          <w:sz w:val="22"/>
          <w:szCs w:val="22"/>
          <w:lang w:val="es-CO"/>
        </w:rPr>
      </w:pPr>
    </w:p>
    <w:p w14:paraId="715CA3F3" w14:textId="77777777" w:rsidR="00FD21FE" w:rsidRDefault="00FD21FE" w:rsidP="00FD21FE">
      <w:pPr>
        <w:pStyle w:val="Ttulo1"/>
        <w:numPr>
          <w:ilvl w:val="0"/>
          <w:numId w:val="3"/>
        </w:numPr>
        <w:spacing w:before="0"/>
        <w:jc w:val="both"/>
        <w:rPr>
          <w:rFonts w:ascii="Verdana" w:hAnsi="Verdana" w:cs="Arial"/>
          <w:b/>
          <w:color w:val="auto"/>
          <w:sz w:val="22"/>
          <w:szCs w:val="22"/>
          <w:lang w:val="es-CO"/>
        </w:rPr>
      </w:pPr>
      <w:r>
        <w:rPr>
          <w:rFonts w:ascii="Verdana" w:hAnsi="Verdana" w:cs="Arial"/>
          <w:b/>
          <w:color w:val="auto"/>
          <w:sz w:val="22"/>
          <w:szCs w:val="22"/>
          <w:lang w:val="es-CO"/>
        </w:rPr>
        <w:t xml:space="preserve">CARACTERIZACIÓN </w:t>
      </w:r>
    </w:p>
    <w:p w14:paraId="0A0A91F9" w14:textId="77777777" w:rsidR="00FD21FE" w:rsidRDefault="00FD21FE" w:rsidP="00FD21FE">
      <w:pPr>
        <w:jc w:val="both"/>
        <w:rPr>
          <w:rFonts w:ascii="Verdana" w:hAnsi="Verdana" w:cs="Arial"/>
          <w:sz w:val="22"/>
          <w:szCs w:val="22"/>
          <w:lang w:val="es-CO"/>
        </w:rPr>
      </w:pPr>
    </w:p>
    <w:p w14:paraId="528EB820" w14:textId="77777777" w:rsidR="00FD21FE" w:rsidRDefault="00FD21FE" w:rsidP="00FD21FE">
      <w:pPr>
        <w:pStyle w:val="Prrafodelista"/>
        <w:numPr>
          <w:ilvl w:val="0"/>
          <w:numId w:val="6"/>
        </w:numPr>
        <w:jc w:val="both"/>
        <w:rPr>
          <w:rFonts w:ascii="Verdana" w:hAnsi="Verdana" w:cs="Arial"/>
          <w:sz w:val="22"/>
          <w:szCs w:val="22"/>
          <w:lang w:val="es-CO"/>
        </w:rPr>
      </w:pPr>
      <w:r>
        <w:rPr>
          <w:rFonts w:ascii="Verdana" w:hAnsi="Verdana" w:cs="Arial"/>
          <w:sz w:val="22"/>
          <w:szCs w:val="22"/>
          <w:lang w:val="es-CO"/>
        </w:rPr>
        <w:t>Infografía.</w:t>
      </w:r>
    </w:p>
    <w:p w14:paraId="483A8615" w14:textId="77777777" w:rsidR="00FD21FE" w:rsidRDefault="00FD21FE" w:rsidP="00FD21FE">
      <w:pPr>
        <w:jc w:val="center"/>
        <w:rPr>
          <w:rFonts w:ascii="Verdana" w:hAnsi="Verdana" w:cs="Arial"/>
          <w:b/>
          <w:bCs/>
          <w:sz w:val="22"/>
          <w:szCs w:val="22"/>
          <w:lang w:val="es-CO"/>
        </w:rPr>
      </w:pPr>
      <w:r>
        <w:rPr>
          <w:rFonts w:ascii="Verdana" w:hAnsi="Verdana" w:cs="Arial"/>
          <w:b/>
          <w:bCs/>
          <w:sz w:val="22"/>
          <w:szCs w:val="22"/>
          <w:lang w:val="es-CO"/>
        </w:rPr>
        <w:t>Tabla 2 GENERALIDADES E.T.</w:t>
      </w:r>
    </w:p>
    <w:tbl>
      <w:tblPr>
        <w:tblW w:w="0" w:type="auto"/>
        <w:jc w:val="center"/>
        <w:shd w:val="clear" w:color="auto" w:fill="FFFFFF" w:themeFill="background1"/>
        <w:tblLook w:val="04A0" w:firstRow="1" w:lastRow="0" w:firstColumn="1" w:lastColumn="0" w:noHBand="0" w:noVBand="1"/>
      </w:tblPr>
      <w:tblGrid>
        <w:gridCol w:w="2058"/>
        <w:gridCol w:w="2687"/>
      </w:tblGrid>
      <w:tr w:rsidR="00FD21FE" w14:paraId="69B3AE3E" w14:textId="77777777" w:rsidTr="00FD21FE">
        <w:trPr>
          <w:trHeight w:val="383"/>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36A109" w14:textId="77777777" w:rsidR="00FD21FE" w:rsidRDefault="00FD21FE">
            <w:pPr>
              <w:tabs>
                <w:tab w:val="num" w:pos="720"/>
              </w:tabs>
              <w:spacing w:line="276" w:lineRule="auto"/>
              <w:jc w:val="both"/>
              <w:rPr>
                <w:rFonts w:ascii="Verdana" w:hAnsi="Verdana" w:cs="Arial"/>
                <w:sz w:val="20"/>
                <w:szCs w:val="20"/>
              </w:rPr>
            </w:pPr>
            <w:r>
              <w:rPr>
                <w:rFonts w:ascii="Verdana" w:hAnsi="Verdana" w:cs="Arial"/>
                <w:sz w:val="20"/>
                <w:szCs w:val="20"/>
              </w:rPr>
              <w:t>Alcalde</w:t>
            </w:r>
          </w:p>
        </w:tc>
        <w:tc>
          <w:tcPr>
            <w:tcW w:w="2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CC7BBC" w14:textId="77777777" w:rsidR="00FD21FE" w:rsidRDefault="00FD21FE">
            <w:pPr>
              <w:tabs>
                <w:tab w:val="num" w:pos="720"/>
              </w:tabs>
              <w:spacing w:line="276" w:lineRule="auto"/>
              <w:jc w:val="center"/>
              <w:rPr>
                <w:rFonts w:ascii="Verdana" w:hAnsi="Verdana" w:cs="Arial"/>
                <w:b/>
                <w:sz w:val="20"/>
                <w:szCs w:val="20"/>
              </w:rPr>
            </w:pPr>
            <w:r>
              <w:rPr>
                <w:rFonts w:ascii="Verdana" w:hAnsi="Verdana" w:cs="Arial"/>
                <w:b/>
                <w:sz w:val="20"/>
                <w:szCs w:val="20"/>
              </w:rPr>
              <w:t>Leusman Guerra (2.020 -2.023)</w:t>
            </w:r>
          </w:p>
        </w:tc>
      </w:tr>
      <w:tr w:rsidR="00FD21FE" w14:paraId="0C9F4AA2" w14:textId="77777777" w:rsidTr="00FD21FE">
        <w:trPr>
          <w:trHeight w:val="275"/>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305D49" w14:textId="77777777" w:rsidR="00FD21FE" w:rsidRDefault="00FD21FE">
            <w:pPr>
              <w:tabs>
                <w:tab w:val="num" w:pos="720"/>
              </w:tabs>
              <w:spacing w:line="276" w:lineRule="auto"/>
              <w:jc w:val="both"/>
              <w:rPr>
                <w:rFonts w:ascii="Verdana" w:hAnsi="Verdana" w:cs="Arial"/>
                <w:sz w:val="20"/>
                <w:szCs w:val="20"/>
              </w:rPr>
            </w:pPr>
            <w:r>
              <w:rPr>
                <w:rFonts w:ascii="Verdana" w:hAnsi="Verdana" w:cs="Arial"/>
                <w:sz w:val="20"/>
                <w:szCs w:val="20"/>
              </w:rPr>
              <w:t>Categoría</w:t>
            </w:r>
          </w:p>
        </w:tc>
        <w:tc>
          <w:tcPr>
            <w:tcW w:w="2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778E6A" w14:textId="77777777" w:rsidR="00FD21FE" w:rsidRDefault="00FD21FE">
            <w:pPr>
              <w:tabs>
                <w:tab w:val="num" w:pos="720"/>
              </w:tabs>
              <w:spacing w:line="276" w:lineRule="auto"/>
              <w:jc w:val="center"/>
              <w:rPr>
                <w:rFonts w:ascii="Verdana" w:hAnsi="Verdana" w:cs="Arial"/>
                <w:sz w:val="20"/>
                <w:szCs w:val="20"/>
              </w:rPr>
            </w:pPr>
            <w:r>
              <w:rPr>
                <w:rFonts w:ascii="Verdana" w:hAnsi="Verdana" w:cs="Arial"/>
                <w:sz w:val="20"/>
                <w:szCs w:val="20"/>
              </w:rPr>
              <w:t>6 sexta</w:t>
            </w:r>
          </w:p>
        </w:tc>
      </w:tr>
      <w:tr w:rsidR="00FD21FE" w14:paraId="2D71B15A" w14:textId="77777777" w:rsidTr="00FD21FE">
        <w:trPr>
          <w:trHeight w:val="429"/>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FEDF53" w14:textId="77777777" w:rsidR="00FD21FE" w:rsidRDefault="00FD21FE">
            <w:pPr>
              <w:tabs>
                <w:tab w:val="num" w:pos="720"/>
              </w:tabs>
              <w:spacing w:line="276" w:lineRule="auto"/>
              <w:jc w:val="both"/>
              <w:rPr>
                <w:rFonts w:ascii="Verdana" w:hAnsi="Verdana" w:cs="Arial"/>
                <w:sz w:val="20"/>
                <w:szCs w:val="20"/>
              </w:rPr>
            </w:pPr>
            <w:r>
              <w:rPr>
                <w:rFonts w:ascii="Verdana" w:hAnsi="Verdana" w:cs="Arial"/>
                <w:sz w:val="20"/>
                <w:szCs w:val="20"/>
              </w:rPr>
              <w:t>Recursos SGP APSB</w:t>
            </w:r>
          </w:p>
        </w:tc>
        <w:tc>
          <w:tcPr>
            <w:tcW w:w="2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CA4F04" w14:textId="77777777" w:rsidR="00FD21FE" w:rsidRDefault="00FD21FE">
            <w:pPr>
              <w:tabs>
                <w:tab w:val="num" w:pos="720"/>
              </w:tabs>
              <w:spacing w:line="276" w:lineRule="auto"/>
              <w:jc w:val="center"/>
              <w:rPr>
                <w:rFonts w:ascii="Verdana" w:hAnsi="Verdana" w:cs="Arial"/>
                <w:b/>
                <w:sz w:val="20"/>
                <w:szCs w:val="20"/>
              </w:rPr>
            </w:pPr>
            <w:r>
              <w:rPr>
                <w:rFonts w:ascii="Verdana" w:hAnsi="Verdana" w:cs="Arial"/>
                <w:b/>
                <w:sz w:val="20"/>
                <w:szCs w:val="20"/>
              </w:rPr>
              <w:t>$1.812 millones 2022</w:t>
            </w:r>
          </w:p>
          <w:p w14:paraId="45461A74" w14:textId="77777777" w:rsidR="00FD21FE" w:rsidRDefault="00FD21FE">
            <w:pPr>
              <w:tabs>
                <w:tab w:val="num" w:pos="720"/>
              </w:tabs>
              <w:spacing w:line="276" w:lineRule="auto"/>
              <w:jc w:val="center"/>
              <w:rPr>
                <w:rFonts w:ascii="Verdana" w:hAnsi="Verdana" w:cs="Arial"/>
                <w:b/>
                <w:sz w:val="20"/>
                <w:szCs w:val="20"/>
              </w:rPr>
            </w:pPr>
            <w:r>
              <w:rPr>
                <w:rFonts w:ascii="Verdana" w:hAnsi="Verdana" w:cs="Arial"/>
                <w:b/>
                <w:sz w:val="20"/>
                <w:szCs w:val="20"/>
              </w:rPr>
              <w:t>$2.166 Millones 2023</w:t>
            </w:r>
          </w:p>
        </w:tc>
      </w:tr>
      <w:tr w:rsidR="00FD21FE" w14:paraId="479CD2C7" w14:textId="77777777" w:rsidTr="00FD21FE">
        <w:trPr>
          <w:trHeight w:val="280"/>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DA208" w14:textId="77777777" w:rsidR="00FD21FE" w:rsidRDefault="00FD21FE">
            <w:pPr>
              <w:tabs>
                <w:tab w:val="num" w:pos="720"/>
              </w:tabs>
              <w:spacing w:line="276" w:lineRule="auto"/>
              <w:jc w:val="both"/>
              <w:rPr>
                <w:rFonts w:ascii="Verdana" w:hAnsi="Verdana" w:cs="Arial"/>
                <w:sz w:val="20"/>
                <w:szCs w:val="20"/>
              </w:rPr>
            </w:pPr>
            <w:r>
              <w:rPr>
                <w:rFonts w:ascii="Verdana" w:hAnsi="Verdana" w:cs="Arial"/>
                <w:sz w:val="20"/>
                <w:szCs w:val="20"/>
              </w:rPr>
              <w:t>Superficie total</w:t>
            </w:r>
          </w:p>
        </w:tc>
        <w:tc>
          <w:tcPr>
            <w:tcW w:w="2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2E1308" w14:textId="77777777" w:rsidR="00FD21FE" w:rsidRDefault="00FD21FE">
            <w:pPr>
              <w:tabs>
                <w:tab w:val="num" w:pos="720"/>
              </w:tabs>
              <w:spacing w:line="276" w:lineRule="auto"/>
              <w:jc w:val="center"/>
              <w:rPr>
                <w:rFonts w:ascii="Verdana" w:hAnsi="Verdana" w:cs="Arial"/>
                <w:sz w:val="20"/>
                <w:szCs w:val="20"/>
              </w:rPr>
            </w:pPr>
            <w:r>
              <w:rPr>
                <w:rFonts w:ascii="Verdana" w:hAnsi="Verdana" w:cs="Arial"/>
                <w:sz w:val="20"/>
                <w:szCs w:val="20"/>
              </w:rPr>
              <w:t>905 Km</w:t>
            </w:r>
            <w:r>
              <w:rPr>
                <w:rFonts w:ascii="Verdana" w:hAnsi="Verdana" w:cs="Arial"/>
                <w:sz w:val="20"/>
                <w:szCs w:val="20"/>
                <w:vertAlign w:val="superscript"/>
              </w:rPr>
              <w:t>2</w:t>
            </w:r>
          </w:p>
        </w:tc>
      </w:tr>
      <w:tr w:rsidR="00FD21FE" w14:paraId="09EE5D1E" w14:textId="77777777" w:rsidTr="00FD21FE">
        <w:trPr>
          <w:trHeight w:val="280"/>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4EF0F6" w14:textId="77777777" w:rsidR="00FD21FE" w:rsidRDefault="00FD21FE">
            <w:pPr>
              <w:tabs>
                <w:tab w:val="num" w:pos="720"/>
              </w:tabs>
              <w:spacing w:line="276" w:lineRule="auto"/>
              <w:jc w:val="both"/>
              <w:rPr>
                <w:rFonts w:ascii="Verdana" w:hAnsi="Verdana" w:cs="Arial"/>
                <w:sz w:val="20"/>
                <w:szCs w:val="20"/>
              </w:rPr>
            </w:pPr>
            <w:r>
              <w:rPr>
                <w:rFonts w:ascii="Verdana" w:hAnsi="Verdana" w:cs="Arial"/>
                <w:sz w:val="20"/>
                <w:szCs w:val="20"/>
              </w:rPr>
              <w:t>Temperatura</w:t>
            </w:r>
          </w:p>
        </w:tc>
        <w:tc>
          <w:tcPr>
            <w:tcW w:w="2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7EF0F2" w14:textId="77777777" w:rsidR="00FD21FE" w:rsidRDefault="00FD21FE">
            <w:pPr>
              <w:tabs>
                <w:tab w:val="num" w:pos="720"/>
              </w:tabs>
              <w:spacing w:line="276" w:lineRule="auto"/>
              <w:jc w:val="center"/>
              <w:rPr>
                <w:rFonts w:ascii="Verdana" w:hAnsi="Verdana" w:cs="Arial"/>
                <w:sz w:val="20"/>
                <w:szCs w:val="20"/>
              </w:rPr>
            </w:pPr>
            <w:r>
              <w:rPr>
                <w:rFonts w:ascii="Verdana" w:hAnsi="Verdana" w:cs="Arial"/>
                <w:sz w:val="20"/>
                <w:szCs w:val="20"/>
              </w:rPr>
              <w:t>Entre 23 y 34 ºC</w:t>
            </w:r>
          </w:p>
        </w:tc>
      </w:tr>
      <w:tr w:rsidR="00FD21FE" w14:paraId="7AC2C1EF" w14:textId="77777777" w:rsidTr="00FD21FE">
        <w:trPr>
          <w:trHeight w:val="280"/>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76FC47" w14:textId="77777777" w:rsidR="00FD21FE" w:rsidRDefault="00FD21FE">
            <w:pPr>
              <w:tabs>
                <w:tab w:val="num" w:pos="720"/>
              </w:tabs>
              <w:spacing w:line="276" w:lineRule="auto"/>
              <w:jc w:val="both"/>
              <w:rPr>
                <w:rFonts w:ascii="Verdana" w:hAnsi="Verdana" w:cs="Arial"/>
                <w:sz w:val="20"/>
                <w:szCs w:val="20"/>
              </w:rPr>
            </w:pPr>
            <w:r>
              <w:rPr>
                <w:rFonts w:ascii="Verdana" w:hAnsi="Verdana" w:cs="Arial"/>
                <w:sz w:val="20"/>
                <w:szCs w:val="20"/>
              </w:rPr>
              <w:t>Altitud</w:t>
            </w:r>
          </w:p>
        </w:tc>
        <w:tc>
          <w:tcPr>
            <w:tcW w:w="2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8E1FF" w14:textId="77777777" w:rsidR="00FD21FE" w:rsidRDefault="00FD21FE">
            <w:pPr>
              <w:tabs>
                <w:tab w:val="num" w:pos="720"/>
              </w:tabs>
              <w:spacing w:line="276" w:lineRule="auto"/>
              <w:jc w:val="center"/>
              <w:rPr>
                <w:rFonts w:ascii="Verdana" w:hAnsi="Verdana" w:cs="Arial"/>
                <w:sz w:val="20"/>
                <w:szCs w:val="20"/>
              </w:rPr>
            </w:pPr>
            <w:r>
              <w:rPr>
                <w:rFonts w:ascii="Verdana" w:hAnsi="Verdana" w:cs="Arial"/>
                <w:sz w:val="20"/>
                <w:szCs w:val="20"/>
              </w:rPr>
              <w:t>119 m.s.n.m.</w:t>
            </w:r>
          </w:p>
        </w:tc>
      </w:tr>
      <w:tr w:rsidR="00FD21FE" w14:paraId="04284FC3" w14:textId="77777777" w:rsidTr="00FD21FE">
        <w:trPr>
          <w:trHeight w:val="280"/>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96E6E9" w14:textId="77777777" w:rsidR="00FD21FE" w:rsidRDefault="00FD21FE" w:rsidP="00FD21FE">
            <w:pPr>
              <w:pStyle w:val="w3-padding-1"/>
              <w:numPr>
                <w:ilvl w:val="0"/>
                <w:numId w:val="15"/>
              </w:numPr>
              <w:pBdr>
                <w:bottom w:val="single" w:sz="6" w:space="5" w:color="DDDDDD"/>
              </w:pBdr>
              <w:shd w:val="clear" w:color="auto" w:fill="FFFFFF" w:themeFill="background1"/>
              <w:spacing w:before="0" w:beforeAutospacing="0" w:after="0" w:afterAutospacing="0"/>
              <w:ind w:left="0"/>
              <w:rPr>
                <w:rFonts w:ascii="Verdana" w:eastAsia="MS Mincho" w:hAnsi="Verdana" w:cs="Arial"/>
                <w:sz w:val="20"/>
                <w:szCs w:val="20"/>
                <w:lang w:val="es-ES" w:eastAsia="es-ES"/>
              </w:rPr>
            </w:pPr>
            <w:r>
              <w:rPr>
                <w:rFonts w:ascii="Verdana" w:eastAsia="MS Mincho" w:hAnsi="Verdana" w:cs="Arial"/>
                <w:sz w:val="20"/>
                <w:szCs w:val="20"/>
                <w:lang w:val="es-ES" w:eastAsia="es-ES"/>
              </w:rPr>
              <w:t>Código DANE</w:t>
            </w:r>
          </w:p>
        </w:tc>
        <w:tc>
          <w:tcPr>
            <w:tcW w:w="2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54080" w14:textId="77777777" w:rsidR="00FD21FE" w:rsidRDefault="00FD21FE">
            <w:pPr>
              <w:tabs>
                <w:tab w:val="num" w:pos="720"/>
              </w:tabs>
              <w:spacing w:line="276" w:lineRule="auto"/>
              <w:jc w:val="center"/>
              <w:rPr>
                <w:rFonts w:ascii="Verdana" w:hAnsi="Verdana" w:cs="Arial"/>
                <w:sz w:val="20"/>
                <w:szCs w:val="20"/>
              </w:rPr>
            </w:pPr>
            <w:r>
              <w:rPr>
                <w:rStyle w:val="w3-opacity"/>
                <w:rFonts w:ascii="Verdana" w:hAnsi="Verdana" w:cs="Arial"/>
                <w:color w:val="000000"/>
              </w:rPr>
              <w:t>20770</w:t>
            </w:r>
          </w:p>
        </w:tc>
      </w:tr>
      <w:tr w:rsidR="00FD21FE" w14:paraId="5DB2A15F" w14:textId="77777777" w:rsidTr="00FD21FE">
        <w:trPr>
          <w:trHeight w:val="280"/>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88967A" w14:textId="77777777" w:rsidR="00FD21FE" w:rsidRDefault="00FD21FE" w:rsidP="00FD21FE">
            <w:pPr>
              <w:pStyle w:val="w3-padding-1"/>
              <w:numPr>
                <w:ilvl w:val="0"/>
                <w:numId w:val="16"/>
              </w:numPr>
              <w:pBdr>
                <w:bottom w:val="single" w:sz="6" w:space="5" w:color="DDDDDD"/>
              </w:pBdr>
              <w:shd w:val="clear" w:color="auto" w:fill="FFFFFF" w:themeFill="background1"/>
              <w:spacing w:before="0" w:beforeAutospacing="0" w:after="0" w:afterAutospacing="0"/>
              <w:ind w:left="0"/>
              <w:rPr>
                <w:rFonts w:ascii="Verdana" w:hAnsi="Verdana" w:cs="Arial"/>
                <w:sz w:val="20"/>
                <w:szCs w:val="20"/>
              </w:rPr>
            </w:pPr>
            <w:r>
              <w:rPr>
                <w:rFonts w:ascii="Verdana" w:eastAsia="MS Mincho" w:hAnsi="Verdana" w:cs="Arial"/>
                <w:sz w:val="20"/>
                <w:szCs w:val="20"/>
                <w:lang w:val="es-ES" w:eastAsia="es-ES"/>
              </w:rPr>
              <w:t>Región: </w:t>
            </w:r>
          </w:p>
        </w:tc>
        <w:tc>
          <w:tcPr>
            <w:tcW w:w="2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01875C" w14:textId="77777777" w:rsidR="00FD21FE" w:rsidRDefault="00FD21FE">
            <w:pPr>
              <w:tabs>
                <w:tab w:val="num" w:pos="720"/>
              </w:tabs>
              <w:spacing w:line="276" w:lineRule="auto"/>
              <w:jc w:val="center"/>
              <w:rPr>
                <w:rFonts w:ascii="Verdana" w:hAnsi="Verdana" w:cs="Arial"/>
                <w:sz w:val="20"/>
                <w:szCs w:val="20"/>
              </w:rPr>
            </w:pPr>
            <w:r>
              <w:rPr>
                <w:rStyle w:val="w3-opacity"/>
                <w:rFonts w:ascii="Verdana" w:hAnsi="Verdana" w:cs="Arial"/>
                <w:color w:val="000000"/>
              </w:rPr>
              <w:t>Caribe</w:t>
            </w:r>
          </w:p>
        </w:tc>
      </w:tr>
      <w:tr w:rsidR="00FD21FE" w14:paraId="50C21808" w14:textId="77777777" w:rsidTr="00FD21FE">
        <w:trPr>
          <w:trHeight w:val="280"/>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E5A842" w14:textId="77777777" w:rsidR="00FD21FE" w:rsidRDefault="00FD21FE">
            <w:pPr>
              <w:tabs>
                <w:tab w:val="num" w:pos="720"/>
              </w:tabs>
              <w:spacing w:line="276" w:lineRule="auto"/>
              <w:jc w:val="both"/>
              <w:rPr>
                <w:rFonts w:ascii="Verdana" w:hAnsi="Verdana" w:cs="Arial"/>
                <w:sz w:val="20"/>
                <w:szCs w:val="20"/>
              </w:rPr>
            </w:pPr>
            <w:r>
              <w:rPr>
                <w:rFonts w:ascii="Verdana" w:hAnsi="Verdana" w:cs="Arial"/>
                <w:sz w:val="20"/>
                <w:szCs w:val="20"/>
              </w:rPr>
              <w:t xml:space="preserve">Densidad poblacional:   </w:t>
            </w:r>
          </w:p>
        </w:tc>
        <w:tc>
          <w:tcPr>
            <w:tcW w:w="2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74B14A" w14:textId="77777777" w:rsidR="00FD21FE" w:rsidRDefault="00FD21FE">
            <w:pPr>
              <w:tabs>
                <w:tab w:val="num" w:pos="720"/>
              </w:tabs>
              <w:spacing w:line="276" w:lineRule="auto"/>
              <w:jc w:val="center"/>
              <w:rPr>
                <w:rStyle w:val="w3-opacity"/>
                <w:color w:val="000000"/>
              </w:rPr>
            </w:pPr>
            <w:r>
              <w:rPr>
                <w:rStyle w:val="w3-opacity"/>
                <w:rFonts w:ascii="Verdana" w:hAnsi="Verdana" w:cs="Arial"/>
                <w:color w:val="000000"/>
              </w:rPr>
              <w:t>35,40 Hab / Km2 (2023)</w:t>
            </w:r>
          </w:p>
        </w:tc>
      </w:tr>
      <w:tr w:rsidR="00FD21FE" w14:paraId="3ABA6239" w14:textId="77777777" w:rsidTr="00FD21FE">
        <w:trPr>
          <w:trHeight w:val="278"/>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20D4EE" w14:textId="77777777" w:rsidR="00FD21FE" w:rsidRDefault="00FD21FE">
            <w:pPr>
              <w:tabs>
                <w:tab w:val="num" w:pos="720"/>
              </w:tabs>
              <w:spacing w:line="276" w:lineRule="auto"/>
              <w:jc w:val="both"/>
            </w:pPr>
            <w:r>
              <w:rPr>
                <w:rFonts w:ascii="Verdana" w:hAnsi="Verdana" w:cs="Arial"/>
                <w:sz w:val="20"/>
                <w:szCs w:val="20"/>
              </w:rPr>
              <w:t>Población (2023)</w:t>
            </w:r>
          </w:p>
        </w:tc>
        <w:tc>
          <w:tcPr>
            <w:tcW w:w="26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58920" w14:textId="77777777" w:rsidR="00FD21FE" w:rsidRDefault="00FD21FE">
            <w:pPr>
              <w:pBdr>
                <w:bottom w:val="single" w:sz="6" w:space="5" w:color="DDDDDD"/>
              </w:pBdr>
              <w:tabs>
                <w:tab w:val="num" w:pos="720"/>
              </w:tabs>
              <w:spacing w:line="276" w:lineRule="auto"/>
              <w:jc w:val="center"/>
              <w:rPr>
                <w:rFonts w:ascii="Verdana" w:hAnsi="Verdana" w:cs="Arial"/>
                <w:sz w:val="20"/>
                <w:szCs w:val="20"/>
              </w:rPr>
            </w:pPr>
            <w:r>
              <w:rPr>
                <w:rFonts w:ascii="Verdana" w:hAnsi="Verdana" w:cs="Arial"/>
                <w:sz w:val="20"/>
                <w:szCs w:val="20"/>
              </w:rPr>
              <w:t>Población:  30.194 Habitantes.</w:t>
            </w:r>
          </w:p>
        </w:tc>
      </w:tr>
    </w:tbl>
    <w:p w14:paraId="1B56F721" w14:textId="77777777" w:rsidR="00FD21FE" w:rsidRDefault="00FD21FE" w:rsidP="00FD21FE">
      <w:pPr>
        <w:jc w:val="center"/>
        <w:rPr>
          <w:rFonts w:ascii="Verdana" w:hAnsi="Verdana" w:cs="Arial"/>
          <w:sz w:val="18"/>
          <w:szCs w:val="18"/>
          <w:lang w:val="es-CO"/>
        </w:rPr>
      </w:pPr>
      <w:r>
        <w:rPr>
          <w:rFonts w:ascii="Verdana" w:hAnsi="Verdana" w:cs="Arial"/>
          <w:sz w:val="18"/>
          <w:szCs w:val="18"/>
          <w:lang w:val="es-CO"/>
        </w:rPr>
        <w:t>Fuente: Elaboración DAF</w:t>
      </w:r>
    </w:p>
    <w:p w14:paraId="72537F55" w14:textId="77777777" w:rsidR="00FD21FE" w:rsidRDefault="00FD21FE" w:rsidP="00FD21FE">
      <w:pPr>
        <w:jc w:val="both"/>
        <w:rPr>
          <w:rFonts w:ascii="Verdana" w:hAnsi="Verdana" w:cs="Arial"/>
          <w:sz w:val="22"/>
          <w:szCs w:val="22"/>
          <w:lang w:val="es-CO"/>
        </w:rPr>
      </w:pPr>
    </w:p>
    <w:p w14:paraId="0848D1A0" w14:textId="77777777" w:rsidR="00FD21FE" w:rsidRDefault="00FD21FE" w:rsidP="00FD21FE">
      <w:pPr>
        <w:pStyle w:val="Prrafodelista"/>
        <w:numPr>
          <w:ilvl w:val="0"/>
          <w:numId w:val="6"/>
        </w:numPr>
        <w:jc w:val="both"/>
        <w:rPr>
          <w:rFonts w:ascii="Verdana" w:hAnsi="Verdana" w:cs="Arial"/>
          <w:b/>
          <w:bCs/>
          <w:sz w:val="22"/>
          <w:szCs w:val="22"/>
          <w:lang w:val="es-CO"/>
        </w:rPr>
      </w:pPr>
      <w:r>
        <w:rPr>
          <w:rFonts w:ascii="Verdana" w:hAnsi="Verdana" w:cs="Arial"/>
          <w:b/>
          <w:bCs/>
          <w:sz w:val="22"/>
          <w:szCs w:val="22"/>
          <w:lang w:val="es-CO"/>
        </w:rPr>
        <w:t>Componentes sectoriales</w:t>
      </w:r>
    </w:p>
    <w:p w14:paraId="6C9E9068" w14:textId="77777777" w:rsidR="00FD21FE" w:rsidRDefault="00FD21FE" w:rsidP="00FD21FE">
      <w:pPr>
        <w:jc w:val="both"/>
        <w:rPr>
          <w:rFonts w:ascii="Verdana" w:hAnsi="Verdana" w:cs="Arial"/>
          <w:sz w:val="22"/>
          <w:szCs w:val="22"/>
          <w:lang w:val="es-CO"/>
        </w:rPr>
      </w:pPr>
    </w:p>
    <w:p w14:paraId="1A16E935"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Los resultados del informe de monitoreo elaborado por el MVCT de 2022 mostraron indicadores sectoriales de la siguiente manera:</w:t>
      </w:r>
    </w:p>
    <w:p w14:paraId="7BFD60CE" w14:textId="77777777" w:rsidR="00FD21FE" w:rsidRDefault="00FD21FE" w:rsidP="00FD21FE">
      <w:pPr>
        <w:jc w:val="both"/>
        <w:rPr>
          <w:rFonts w:ascii="Verdana" w:hAnsi="Verdana" w:cs="Arial"/>
          <w:sz w:val="22"/>
          <w:szCs w:val="22"/>
          <w:lang w:val="es-CO"/>
        </w:rPr>
      </w:pPr>
    </w:p>
    <w:p w14:paraId="4277B4C6" w14:textId="77777777" w:rsidR="00FD21FE" w:rsidRDefault="00FD21FE" w:rsidP="00FD21FE">
      <w:pPr>
        <w:jc w:val="both"/>
        <w:rPr>
          <w:rFonts w:ascii="Verdana" w:hAnsi="Verdana" w:cs="Arial"/>
          <w:sz w:val="22"/>
          <w:szCs w:val="22"/>
          <w:lang w:val="es-CO"/>
        </w:rPr>
      </w:pPr>
    </w:p>
    <w:p w14:paraId="055EE62D" w14:textId="77777777" w:rsidR="00FD21FE" w:rsidRDefault="00FD21FE" w:rsidP="00FD21FE">
      <w:pPr>
        <w:jc w:val="center"/>
        <w:rPr>
          <w:rFonts w:ascii="Verdana" w:hAnsi="Verdana" w:cs="Arial"/>
          <w:b/>
          <w:bCs/>
          <w:sz w:val="22"/>
          <w:szCs w:val="22"/>
          <w:lang w:val="es-CO"/>
        </w:rPr>
      </w:pPr>
      <w:r>
        <w:rPr>
          <w:rFonts w:ascii="Verdana" w:hAnsi="Verdana" w:cs="Arial"/>
          <w:b/>
          <w:bCs/>
          <w:sz w:val="22"/>
          <w:szCs w:val="22"/>
          <w:lang w:val="es-CO"/>
        </w:rPr>
        <w:t>TABLA 3 INDICADORES SECTORIALES</w:t>
      </w:r>
    </w:p>
    <w:tbl>
      <w:tblPr>
        <w:tblW w:w="0" w:type="auto"/>
        <w:jc w:val="center"/>
        <w:tblLook w:val="04A0" w:firstRow="1" w:lastRow="0" w:firstColumn="1" w:lastColumn="0" w:noHBand="0" w:noVBand="1"/>
      </w:tblPr>
      <w:tblGrid>
        <w:gridCol w:w="1774"/>
        <w:gridCol w:w="1337"/>
        <w:gridCol w:w="1337"/>
        <w:gridCol w:w="782"/>
        <w:gridCol w:w="1567"/>
      </w:tblGrid>
      <w:tr w:rsidR="00FD21FE" w14:paraId="2B7CE512" w14:textId="77777777" w:rsidTr="00FD21FE">
        <w:trPr>
          <w:jc w:val="center"/>
        </w:trPr>
        <w:tc>
          <w:tcPr>
            <w:tcW w:w="1392" w:type="dxa"/>
            <w:tcBorders>
              <w:top w:val="single" w:sz="4" w:space="0" w:color="auto"/>
              <w:left w:val="single" w:sz="4" w:space="0" w:color="auto"/>
              <w:bottom w:val="single" w:sz="4" w:space="0" w:color="auto"/>
              <w:right w:val="single" w:sz="4" w:space="0" w:color="auto"/>
            </w:tcBorders>
          </w:tcPr>
          <w:p w14:paraId="24B10273" w14:textId="77777777" w:rsidR="00FD21FE" w:rsidRDefault="00FD21FE">
            <w:pPr>
              <w:jc w:val="both"/>
              <w:rPr>
                <w:rFonts w:ascii="Verdana" w:hAnsi="Verdana" w:cs="Arial"/>
                <w:b/>
                <w:bCs/>
                <w:sz w:val="20"/>
                <w:szCs w:val="20"/>
                <w:lang w:val="es-CO"/>
              </w:rPr>
            </w:pPr>
          </w:p>
        </w:tc>
        <w:tc>
          <w:tcPr>
            <w:tcW w:w="1013" w:type="dxa"/>
            <w:tcBorders>
              <w:top w:val="single" w:sz="4" w:space="0" w:color="auto"/>
              <w:left w:val="single" w:sz="4" w:space="0" w:color="auto"/>
              <w:bottom w:val="single" w:sz="4" w:space="0" w:color="auto"/>
              <w:right w:val="single" w:sz="4" w:space="0" w:color="auto"/>
            </w:tcBorders>
            <w:hideMark/>
          </w:tcPr>
          <w:p w14:paraId="35B7AECC" w14:textId="77777777" w:rsidR="00FD21FE" w:rsidRDefault="00FD21FE">
            <w:pPr>
              <w:jc w:val="both"/>
              <w:rPr>
                <w:rFonts w:ascii="Verdana" w:hAnsi="Verdana" w:cs="Arial"/>
                <w:b/>
                <w:bCs/>
                <w:sz w:val="20"/>
                <w:szCs w:val="20"/>
                <w:lang w:val="es-CO"/>
              </w:rPr>
            </w:pPr>
            <w:r>
              <w:rPr>
                <w:rFonts w:ascii="Verdana" w:hAnsi="Verdana" w:cs="Arial"/>
                <w:b/>
                <w:bCs/>
                <w:sz w:val="20"/>
                <w:szCs w:val="20"/>
                <w:lang w:val="es-CO"/>
              </w:rPr>
              <w:t>Cobertura Urbana</w:t>
            </w:r>
          </w:p>
        </w:tc>
        <w:tc>
          <w:tcPr>
            <w:tcW w:w="1000" w:type="dxa"/>
            <w:tcBorders>
              <w:top w:val="single" w:sz="4" w:space="0" w:color="auto"/>
              <w:left w:val="single" w:sz="4" w:space="0" w:color="auto"/>
              <w:bottom w:val="single" w:sz="4" w:space="0" w:color="auto"/>
              <w:right w:val="single" w:sz="4" w:space="0" w:color="auto"/>
            </w:tcBorders>
            <w:hideMark/>
          </w:tcPr>
          <w:p w14:paraId="62B9AAB7" w14:textId="77777777" w:rsidR="00FD21FE" w:rsidRDefault="00FD21FE">
            <w:pPr>
              <w:jc w:val="both"/>
              <w:rPr>
                <w:rFonts w:ascii="Verdana" w:hAnsi="Verdana" w:cs="Arial"/>
                <w:b/>
                <w:bCs/>
                <w:sz w:val="20"/>
                <w:szCs w:val="20"/>
                <w:lang w:val="es-CO"/>
              </w:rPr>
            </w:pPr>
            <w:r>
              <w:rPr>
                <w:rFonts w:ascii="Verdana" w:hAnsi="Verdana" w:cs="Arial"/>
                <w:b/>
                <w:bCs/>
                <w:sz w:val="20"/>
                <w:szCs w:val="20"/>
                <w:lang w:val="es-CO"/>
              </w:rPr>
              <w:t>Cobertura Rural</w:t>
            </w:r>
          </w:p>
        </w:tc>
        <w:tc>
          <w:tcPr>
            <w:tcW w:w="701" w:type="dxa"/>
            <w:tcBorders>
              <w:top w:val="single" w:sz="4" w:space="0" w:color="auto"/>
              <w:left w:val="single" w:sz="4" w:space="0" w:color="auto"/>
              <w:bottom w:val="single" w:sz="4" w:space="0" w:color="auto"/>
              <w:right w:val="single" w:sz="4" w:space="0" w:color="auto"/>
            </w:tcBorders>
            <w:hideMark/>
          </w:tcPr>
          <w:p w14:paraId="07D709D2" w14:textId="77777777" w:rsidR="00FD21FE" w:rsidRDefault="00FD21FE">
            <w:pPr>
              <w:jc w:val="both"/>
              <w:rPr>
                <w:rFonts w:ascii="Verdana" w:hAnsi="Verdana" w:cs="Arial"/>
                <w:b/>
                <w:bCs/>
                <w:sz w:val="20"/>
                <w:szCs w:val="20"/>
                <w:lang w:val="es-CO"/>
              </w:rPr>
            </w:pPr>
            <w:r>
              <w:rPr>
                <w:rFonts w:ascii="Verdana" w:hAnsi="Verdana" w:cs="Arial"/>
                <w:b/>
                <w:bCs/>
                <w:sz w:val="20"/>
                <w:szCs w:val="20"/>
                <w:lang w:val="es-CO"/>
              </w:rPr>
              <w:t>IRCA</w:t>
            </w:r>
          </w:p>
        </w:tc>
        <w:tc>
          <w:tcPr>
            <w:tcW w:w="992" w:type="dxa"/>
            <w:tcBorders>
              <w:top w:val="single" w:sz="4" w:space="0" w:color="auto"/>
              <w:left w:val="single" w:sz="4" w:space="0" w:color="auto"/>
              <w:bottom w:val="single" w:sz="4" w:space="0" w:color="auto"/>
              <w:right w:val="single" w:sz="4" w:space="0" w:color="auto"/>
            </w:tcBorders>
            <w:hideMark/>
          </w:tcPr>
          <w:p w14:paraId="5FA080DF" w14:textId="77777777" w:rsidR="00FD21FE" w:rsidRDefault="00FD21FE">
            <w:pPr>
              <w:jc w:val="both"/>
              <w:rPr>
                <w:rFonts w:ascii="Verdana" w:hAnsi="Verdana" w:cs="Arial"/>
                <w:b/>
                <w:bCs/>
                <w:sz w:val="20"/>
                <w:szCs w:val="20"/>
                <w:lang w:val="es-CO"/>
              </w:rPr>
            </w:pPr>
            <w:r>
              <w:rPr>
                <w:rFonts w:ascii="Verdana" w:hAnsi="Verdana" w:cs="Arial"/>
                <w:b/>
                <w:bCs/>
                <w:sz w:val="20"/>
                <w:szCs w:val="20"/>
                <w:lang w:val="es-CO"/>
              </w:rPr>
              <w:t>Continuidad</w:t>
            </w:r>
          </w:p>
        </w:tc>
      </w:tr>
      <w:tr w:rsidR="00FD21FE" w14:paraId="6132F59C" w14:textId="77777777" w:rsidTr="00FD21FE">
        <w:trPr>
          <w:jc w:val="center"/>
        </w:trPr>
        <w:tc>
          <w:tcPr>
            <w:tcW w:w="1392" w:type="dxa"/>
            <w:tcBorders>
              <w:top w:val="single" w:sz="4" w:space="0" w:color="auto"/>
              <w:left w:val="single" w:sz="4" w:space="0" w:color="auto"/>
              <w:bottom w:val="single" w:sz="4" w:space="0" w:color="auto"/>
              <w:right w:val="single" w:sz="4" w:space="0" w:color="auto"/>
            </w:tcBorders>
            <w:hideMark/>
          </w:tcPr>
          <w:p w14:paraId="716CB941" w14:textId="77777777" w:rsidR="00FD21FE" w:rsidRDefault="00FD21FE">
            <w:pPr>
              <w:jc w:val="both"/>
              <w:rPr>
                <w:rFonts w:ascii="Verdana" w:hAnsi="Verdana" w:cs="Arial"/>
                <w:b/>
                <w:bCs/>
                <w:sz w:val="20"/>
                <w:szCs w:val="20"/>
                <w:lang w:val="es-CO"/>
              </w:rPr>
            </w:pPr>
            <w:r>
              <w:rPr>
                <w:rFonts w:ascii="Verdana" w:hAnsi="Verdana" w:cs="Arial"/>
                <w:b/>
                <w:bCs/>
                <w:sz w:val="20"/>
                <w:szCs w:val="20"/>
                <w:lang w:val="es-CO"/>
              </w:rPr>
              <w:t>Acueducto</w:t>
            </w:r>
          </w:p>
        </w:tc>
        <w:tc>
          <w:tcPr>
            <w:tcW w:w="1013" w:type="dxa"/>
            <w:tcBorders>
              <w:top w:val="single" w:sz="4" w:space="0" w:color="auto"/>
              <w:left w:val="single" w:sz="4" w:space="0" w:color="auto"/>
              <w:bottom w:val="single" w:sz="4" w:space="0" w:color="auto"/>
              <w:right w:val="single" w:sz="4" w:space="0" w:color="auto"/>
            </w:tcBorders>
            <w:hideMark/>
          </w:tcPr>
          <w:p w14:paraId="730BEB05" w14:textId="77777777" w:rsidR="00FD21FE" w:rsidRDefault="00FD21FE">
            <w:pPr>
              <w:jc w:val="center"/>
              <w:rPr>
                <w:rFonts w:ascii="Verdana" w:hAnsi="Verdana" w:cs="Arial"/>
                <w:sz w:val="20"/>
                <w:szCs w:val="20"/>
                <w:lang w:val="es-CO"/>
              </w:rPr>
            </w:pPr>
            <w:r>
              <w:rPr>
                <w:rFonts w:ascii="Verdana" w:hAnsi="Verdana" w:cs="Arial"/>
                <w:sz w:val="20"/>
                <w:szCs w:val="20"/>
                <w:lang w:val="es-CO"/>
              </w:rPr>
              <w:t>100%</w:t>
            </w:r>
          </w:p>
        </w:tc>
        <w:tc>
          <w:tcPr>
            <w:tcW w:w="1000" w:type="dxa"/>
            <w:tcBorders>
              <w:top w:val="single" w:sz="4" w:space="0" w:color="auto"/>
              <w:left w:val="single" w:sz="4" w:space="0" w:color="auto"/>
              <w:bottom w:val="single" w:sz="4" w:space="0" w:color="auto"/>
              <w:right w:val="single" w:sz="4" w:space="0" w:color="auto"/>
            </w:tcBorders>
            <w:hideMark/>
          </w:tcPr>
          <w:p w14:paraId="2B441B20" w14:textId="77777777" w:rsidR="00FD21FE" w:rsidRDefault="00FD21FE">
            <w:pPr>
              <w:jc w:val="center"/>
              <w:rPr>
                <w:rFonts w:ascii="Verdana" w:hAnsi="Verdana" w:cs="Arial"/>
                <w:sz w:val="20"/>
                <w:szCs w:val="20"/>
                <w:lang w:val="es-CO"/>
              </w:rPr>
            </w:pPr>
            <w:r>
              <w:rPr>
                <w:rFonts w:ascii="Verdana" w:hAnsi="Verdana" w:cs="Arial"/>
                <w:sz w:val="20"/>
                <w:szCs w:val="20"/>
                <w:lang w:val="es-CO"/>
              </w:rPr>
              <w:t>0%</w:t>
            </w:r>
          </w:p>
        </w:tc>
        <w:tc>
          <w:tcPr>
            <w:tcW w:w="701" w:type="dxa"/>
            <w:tcBorders>
              <w:top w:val="single" w:sz="4" w:space="0" w:color="auto"/>
              <w:left w:val="single" w:sz="4" w:space="0" w:color="auto"/>
              <w:bottom w:val="single" w:sz="4" w:space="0" w:color="auto"/>
              <w:right w:val="single" w:sz="4" w:space="0" w:color="auto"/>
            </w:tcBorders>
            <w:hideMark/>
          </w:tcPr>
          <w:p w14:paraId="6ED15B49" w14:textId="77777777" w:rsidR="00FD21FE" w:rsidRDefault="00FD21FE">
            <w:pPr>
              <w:jc w:val="center"/>
              <w:rPr>
                <w:rFonts w:ascii="Verdana" w:hAnsi="Verdana" w:cs="Arial"/>
                <w:sz w:val="20"/>
                <w:szCs w:val="20"/>
                <w:lang w:val="es-CO"/>
              </w:rPr>
            </w:pPr>
            <w:r>
              <w:rPr>
                <w:rFonts w:ascii="Verdana" w:hAnsi="Verdana" w:cs="Arial"/>
                <w:sz w:val="20"/>
                <w:szCs w:val="20"/>
                <w:lang w:val="es-CO"/>
              </w:rPr>
              <w:t>3.9%</w:t>
            </w:r>
          </w:p>
        </w:tc>
        <w:tc>
          <w:tcPr>
            <w:tcW w:w="992" w:type="dxa"/>
            <w:tcBorders>
              <w:top w:val="single" w:sz="4" w:space="0" w:color="auto"/>
              <w:left w:val="single" w:sz="4" w:space="0" w:color="auto"/>
              <w:bottom w:val="single" w:sz="4" w:space="0" w:color="auto"/>
              <w:right w:val="single" w:sz="4" w:space="0" w:color="auto"/>
            </w:tcBorders>
          </w:tcPr>
          <w:p w14:paraId="70A7F65A" w14:textId="77777777" w:rsidR="00FD21FE" w:rsidRDefault="00FD21FE">
            <w:pPr>
              <w:jc w:val="center"/>
              <w:rPr>
                <w:rFonts w:ascii="Verdana" w:hAnsi="Verdana" w:cs="Arial"/>
                <w:sz w:val="20"/>
                <w:szCs w:val="20"/>
                <w:lang w:val="es-CO"/>
              </w:rPr>
            </w:pPr>
            <w:r>
              <w:rPr>
                <w:rFonts w:ascii="Verdana" w:hAnsi="Verdana" w:cs="Arial"/>
                <w:sz w:val="20"/>
                <w:szCs w:val="20"/>
                <w:lang w:val="es-CO"/>
              </w:rPr>
              <w:t>Insuficiente</w:t>
            </w:r>
          </w:p>
          <w:p w14:paraId="76A2DE31" w14:textId="77777777" w:rsidR="00FD21FE" w:rsidRDefault="00FD21FE">
            <w:pPr>
              <w:jc w:val="center"/>
              <w:rPr>
                <w:rFonts w:ascii="Verdana" w:hAnsi="Verdana" w:cs="Arial"/>
                <w:sz w:val="20"/>
                <w:szCs w:val="20"/>
                <w:lang w:val="es-CO"/>
              </w:rPr>
            </w:pPr>
          </w:p>
        </w:tc>
      </w:tr>
      <w:tr w:rsidR="00FD21FE" w14:paraId="50A4382C" w14:textId="77777777" w:rsidTr="00FD21FE">
        <w:trPr>
          <w:jc w:val="center"/>
        </w:trPr>
        <w:tc>
          <w:tcPr>
            <w:tcW w:w="1392" w:type="dxa"/>
            <w:tcBorders>
              <w:top w:val="single" w:sz="4" w:space="0" w:color="auto"/>
              <w:left w:val="single" w:sz="4" w:space="0" w:color="auto"/>
              <w:bottom w:val="single" w:sz="4" w:space="0" w:color="auto"/>
              <w:right w:val="single" w:sz="4" w:space="0" w:color="auto"/>
            </w:tcBorders>
            <w:hideMark/>
          </w:tcPr>
          <w:p w14:paraId="7B054C97" w14:textId="77777777" w:rsidR="00FD21FE" w:rsidRDefault="00FD21FE">
            <w:pPr>
              <w:jc w:val="both"/>
              <w:rPr>
                <w:rFonts w:ascii="Verdana" w:hAnsi="Verdana" w:cs="Arial"/>
                <w:b/>
                <w:bCs/>
                <w:sz w:val="20"/>
                <w:szCs w:val="20"/>
                <w:lang w:val="es-CO"/>
              </w:rPr>
            </w:pPr>
            <w:r>
              <w:rPr>
                <w:rFonts w:ascii="Verdana" w:hAnsi="Verdana" w:cs="Arial"/>
                <w:b/>
                <w:bCs/>
                <w:sz w:val="20"/>
                <w:szCs w:val="20"/>
                <w:lang w:val="es-CO"/>
              </w:rPr>
              <w:t>Alcantarillado</w:t>
            </w:r>
          </w:p>
        </w:tc>
        <w:tc>
          <w:tcPr>
            <w:tcW w:w="1013" w:type="dxa"/>
            <w:tcBorders>
              <w:top w:val="single" w:sz="4" w:space="0" w:color="auto"/>
              <w:left w:val="single" w:sz="4" w:space="0" w:color="auto"/>
              <w:bottom w:val="single" w:sz="4" w:space="0" w:color="auto"/>
              <w:right w:val="single" w:sz="4" w:space="0" w:color="auto"/>
            </w:tcBorders>
            <w:hideMark/>
          </w:tcPr>
          <w:p w14:paraId="155844C7" w14:textId="77777777" w:rsidR="00FD21FE" w:rsidRDefault="00FD21FE">
            <w:pPr>
              <w:jc w:val="center"/>
              <w:rPr>
                <w:rFonts w:ascii="Verdana" w:hAnsi="Verdana" w:cs="Arial"/>
                <w:sz w:val="20"/>
                <w:szCs w:val="20"/>
                <w:lang w:val="es-CO"/>
              </w:rPr>
            </w:pPr>
            <w:r>
              <w:rPr>
                <w:rFonts w:ascii="Verdana" w:hAnsi="Verdana" w:cs="Arial"/>
                <w:sz w:val="20"/>
                <w:szCs w:val="20"/>
                <w:lang w:val="es-CO"/>
              </w:rPr>
              <w:t>100%</w:t>
            </w:r>
          </w:p>
        </w:tc>
        <w:tc>
          <w:tcPr>
            <w:tcW w:w="1000" w:type="dxa"/>
            <w:tcBorders>
              <w:top w:val="single" w:sz="4" w:space="0" w:color="auto"/>
              <w:left w:val="single" w:sz="4" w:space="0" w:color="auto"/>
              <w:bottom w:val="single" w:sz="4" w:space="0" w:color="auto"/>
              <w:right w:val="single" w:sz="4" w:space="0" w:color="auto"/>
            </w:tcBorders>
            <w:hideMark/>
          </w:tcPr>
          <w:p w14:paraId="76534CF3" w14:textId="77777777" w:rsidR="00FD21FE" w:rsidRDefault="00FD21FE">
            <w:pPr>
              <w:jc w:val="center"/>
              <w:rPr>
                <w:rFonts w:ascii="Verdana" w:hAnsi="Verdana" w:cs="Arial"/>
                <w:sz w:val="20"/>
                <w:szCs w:val="20"/>
                <w:lang w:val="es-CO"/>
              </w:rPr>
            </w:pPr>
            <w:r>
              <w:rPr>
                <w:rFonts w:ascii="Verdana" w:hAnsi="Verdana" w:cs="Arial"/>
                <w:sz w:val="20"/>
                <w:szCs w:val="20"/>
                <w:lang w:val="es-CO"/>
              </w:rPr>
              <w:t>0%</w:t>
            </w:r>
          </w:p>
        </w:tc>
        <w:tc>
          <w:tcPr>
            <w:tcW w:w="701" w:type="dxa"/>
            <w:tcBorders>
              <w:top w:val="single" w:sz="4" w:space="0" w:color="auto"/>
              <w:left w:val="single" w:sz="4" w:space="0" w:color="auto"/>
              <w:bottom w:val="single" w:sz="4" w:space="0" w:color="auto"/>
              <w:right w:val="single" w:sz="4" w:space="0" w:color="auto"/>
            </w:tcBorders>
          </w:tcPr>
          <w:p w14:paraId="74BBEB21" w14:textId="77777777" w:rsidR="00FD21FE" w:rsidRDefault="00FD21FE">
            <w:pPr>
              <w:jc w:val="center"/>
              <w:rPr>
                <w:rFonts w:ascii="Verdana" w:hAnsi="Verdana" w:cs="Arial"/>
                <w:sz w:val="20"/>
                <w:szCs w:val="20"/>
                <w:lang w:val="es-CO"/>
              </w:rPr>
            </w:pPr>
          </w:p>
        </w:tc>
        <w:tc>
          <w:tcPr>
            <w:tcW w:w="992" w:type="dxa"/>
            <w:tcBorders>
              <w:top w:val="single" w:sz="4" w:space="0" w:color="auto"/>
              <w:left w:val="single" w:sz="4" w:space="0" w:color="auto"/>
              <w:bottom w:val="single" w:sz="4" w:space="0" w:color="auto"/>
              <w:right w:val="single" w:sz="4" w:space="0" w:color="auto"/>
            </w:tcBorders>
          </w:tcPr>
          <w:p w14:paraId="68383DB5" w14:textId="77777777" w:rsidR="00FD21FE" w:rsidRDefault="00FD21FE">
            <w:pPr>
              <w:jc w:val="center"/>
              <w:rPr>
                <w:rFonts w:ascii="Verdana" w:hAnsi="Verdana" w:cs="Arial"/>
                <w:sz w:val="20"/>
                <w:szCs w:val="20"/>
                <w:lang w:val="es-CO"/>
              </w:rPr>
            </w:pPr>
          </w:p>
        </w:tc>
      </w:tr>
      <w:tr w:rsidR="00FD21FE" w14:paraId="7848F571" w14:textId="77777777" w:rsidTr="00FD21FE">
        <w:trPr>
          <w:jc w:val="center"/>
        </w:trPr>
        <w:tc>
          <w:tcPr>
            <w:tcW w:w="1392" w:type="dxa"/>
            <w:tcBorders>
              <w:top w:val="single" w:sz="4" w:space="0" w:color="auto"/>
              <w:left w:val="single" w:sz="4" w:space="0" w:color="auto"/>
              <w:bottom w:val="single" w:sz="4" w:space="0" w:color="auto"/>
              <w:right w:val="single" w:sz="4" w:space="0" w:color="auto"/>
            </w:tcBorders>
            <w:hideMark/>
          </w:tcPr>
          <w:p w14:paraId="470BCDA5" w14:textId="77777777" w:rsidR="00FD21FE" w:rsidRDefault="00FD21FE">
            <w:pPr>
              <w:jc w:val="both"/>
              <w:rPr>
                <w:rFonts w:ascii="Verdana" w:hAnsi="Verdana" w:cs="Arial"/>
                <w:b/>
                <w:bCs/>
                <w:sz w:val="20"/>
                <w:szCs w:val="20"/>
                <w:lang w:val="es-CO"/>
              </w:rPr>
            </w:pPr>
            <w:r>
              <w:rPr>
                <w:rFonts w:ascii="Verdana" w:hAnsi="Verdana" w:cs="Arial"/>
                <w:b/>
                <w:bCs/>
                <w:sz w:val="20"/>
                <w:szCs w:val="20"/>
                <w:lang w:val="es-CO"/>
              </w:rPr>
              <w:t>Aseo</w:t>
            </w:r>
          </w:p>
        </w:tc>
        <w:tc>
          <w:tcPr>
            <w:tcW w:w="1013" w:type="dxa"/>
            <w:tcBorders>
              <w:top w:val="single" w:sz="4" w:space="0" w:color="auto"/>
              <w:left w:val="single" w:sz="4" w:space="0" w:color="auto"/>
              <w:bottom w:val="single" w:sz="4" w:space="0" w:color="auto"/>
              <w:right w:val="single" w:sz="4" w:space="0" w:color="auto"/>
            </w:tcBorders>
            <w:hideMark/>
          </w:tcPr>
          <w:p w14:paraId="2ADD0EBB" w14:textId="77777777" w:rsidR="00FD21FE" w:rsidRDefault="00FD21FE">
            <w:pPr>
              <w:jc w:val="center"/>
              <w:rPr>
                <w:rFonts w:ascii="Verdana" w:hAnsi="Verdana" w:cs="Arial"/>
                <w:sz w:val="20"/>
                <w:szCs w:val="20"/>
                <w:lang w:val="es-CO"/>
              </w:rPr>
            </w:pPr>
            <w:r>
              <w:rPr>
                <w:rFonts w:ascii="Verdana" w:hAnsi="Verdana" w:cs="Arial"/>
                <w:sz w:val="20"/>
                <w:szCs w:val="20"/>
                <w:lang w:val="es-CO"/>
              </w:rPr>
              <w:t>100%</w:t>
            </w:r>
          </w:p>
        </w:tc>
        <w:tc>
          <w:tcPr>
            <w:tcW w:w="1000" w:type="dxa"/>
            <w:tcBorders>
              <w:top w:val="single" w:sz="4" w:space="0" w:color="auto"/>
              <w:left w:val="single" w:sz="4" w:space="0" w:color="auto"/>
              <w:bottom w:val="single" w:sz="4" w:space="0" w:color="auto"/>
              <w:right w:val="single" w:sz="4" w:space="0" w:color="auto"/>
            </w:tcBorders>
          </w:tcPr>
          <w:p w14:paraId="7D8AE2F6" w14:textId="77777777" w:rsidR="00FD21FE" w:rsidRDefault="00FD21FE">
            <w:pPr>
              <w:jc w:val="center"/>
              <w:rPr>
                <w:rFonts w:ascii="Verdana" w:hAnsi="Verdana" w:cs="Arial"/>
                <w:sz w:val="20"/>
                <w:szCs w:val="20"/>
                <w:lang w:val="es-CO"/>
              </w:rPr>
            </w:pPr>
          </w:p>
        </w:tc>
        <w:tc>
          <w:tcPr>
            <w:tcW w:w="701" w:type="dxa"/>
            <w:tcBorders>
              <w:top w:val="single" w:sz="4" w:space="0" w:color="auto"/>
              <w:left w:val="single" w:sz="4" w:space="0" w:color="auto"/>
              <w:bottom w:val="single" w:sz="4" w:space="0" w:color="auto"/>
              <w:right w:val="single" w:sz="4" w:space="0" w:color="auto"/>
            </w:tcBorders>
          </w:tcPr>
          <w:p w14:paraId="5431FF10" w14:textId="77777777" w:rsidR="00FD21FE" w:rsidRDefault="00FD21FE">
            <w:pPr>
              <w:jc w:val="center"/>
              <w:rPr>
                <w:rFonts w:ascii="Verdana" w:hAnsi="Verdana" w:cs="Arial"/>
                <w:sz w:val="20"/>
                <w:szCs w:val="20"/>
                <w:lang w:val="es-CO"/>
              </w:rPr>
            </w:pPr>
          </w:p>
        </w:tc>
        <w:tc>
          <w:tcPr>
            <w:tcW w:w="992" w:type="dxa"/>
            <w:tcBorders>
              <w:top w:val="single" w:sz="4" w:space="0" w:color="auto"/>
              <w:left w:val="single" w:sz="4" w:space="0" w:color="auto"/>
              <w:bottom w:val="single" w:sz="4" w:space="0" w:color="auto"/>
              <w:right w:val="single" w:sz="4" w:space="0" w:color="auto"/>
            </w:tcBorders>
          </w:tcPr>
          <w:p w14:paraId="1D12E0DB" w14:textId="77777777" w:rsidR="00FD21FE" w:rsidRDefault="00FD21FE">
            <w:pPr>
              <w:jc w:val="center"/>
              <w:rPr>
                <w:rFonts w:ascii="Verdana" w:hAnsi="Verdana" w:cs="Arial"/>
                <w:sz w:val="20"/>
                <w:szCs w:val="20"/>
                <w:lang w:val="es-CO"/>
              </w:rPr>
            </w:pPr>
          </w:p>
        </w:tc>
      </w:tr>
    </w:tbl>
    <w:p w14:paraId="21FCDF9F" w14:textId="77777777" w:rsidR="00FD21FE" w:rsidRDefault="00FD21FE" w:rsidP="00FD21FE">
      <w:pPr>
        <w:jc w:val="center"/>
        <w:rPr>
          <w:rFonts w:ascii="Verdana" w:hAnsi="Verdana" w:cs="Arial"/>
          <w:sz w:val="18"/>
          <w:szCs w:val="18"/>
          <w:lang w:val="es-CO"/>
        </w:rPr>
      </w:pPr>
      <w:r>
        <w:rPr>
          <w:rFonts w:ascii="Verdana" w:hAnsi="Verdana" w:cs="Arial"/>
          <w:sz w:val="18"/>
          <w:szCs w:val="18"/>
          <w:lang w:val="es-CO"/>
        </w:rPr>
        <w:t>Fuente: MVCT. Informe de Monitoreo</w:t>
      </w:r>
    </w:p>
    <w:p w14:paraId="7D1B9C11" w14:textId="77777777" w:rsidR="00FD21FE" w:rsidRDefault="00FD21FE" w:rsidP="00FD21FE">
      <w:pPr>
        <w:jc w:val="center"/>
        <w:rPr>
          <w:rFonts w:ascii="Verdana" w:hAnsi="Verdana" w:cs="Arial"/>
          <w:sz w:val="22"/>
          <w:szCs w:val="22"/>
          <w:lang w:val="es-CO"/>
        </w:rPr>
      </w:pPr>
    </w:p>
    <w:p w14:paraId="273F390E" w14:textId="77777777" w:rsidR="00FD21FE" w:rsidRDefault="00FD21FE" w:rsidP="00FD21FE">
      <w:pPr>
        <w:jc w:val="both"/>
        <w:rPr>
          <w:rFonts w:ascii="Verdana" w:hAnsi="Verdana" w:cs="Arial"/>
          <w:sz w:val="22"/>
          <w:szCs w:val="22"/>
          <w:lang w:val="es-CO"/>
        </w:rPr>
      </w:pPr>
    </w:p>
    <w:p w14:paraId="3F7C91BF"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La disposición final de los residuos sólidos, de acuerdo con los resultados del informe de monitoreo preventivo elaborado por el MVCT a diciembre de 2022, se efectuaba de manera adecuada en el relleno sanitario las Bateas con una cantidad de 9 ton/día.</w:t>
      </w:r>
    </w:p>
    <w:p w14:paraId="28F0270D" w14:textId="77777777" w:rsidR="00FD21FE" w:rsidRDefault="00FD21FE" w:rsidP="00FD21FE">
      <w:pPr>
        <w:jc w:val="both"/>
        <w:rPr>
          <w:rFonts w:ascii="Verdana" w:hAnsi="Verdana" w:cs="Arial"/>
          <w:sz w:val="22"/>
          <w:szCs w:val="22"/>
          <w:lang w:val="es-CO"/>
        </w:rPr>
      </w:pPr>
    </w:p>
    <w:p w14:paraId="2016EF52" w14:textId="77777777" w:rsidR="00FD21FE" w:rsidRDefault="00FD21FE" w:rsidP="00FD21FE">
      <w:pPr>
        <w:jc w:val="both"/>
        <w:rPr>
          <w:rFonts w:ascii="Verdana" w:eastAsia="Times New Roman" w:hAnsi="Verdana" w:cs="Arial"/>
          <w:color w:val="000000"/>
          <w:sz w:val="22"/>
          <w:szCs w:val="22"/>
          <w:lang w:val="es-CO" w:eastAsia="es-CO"/>
        </w:rPr>
      </w:pPr>
      <w:r>
        <w:rPr>
          <w:rFonts w:ascii="Verdana" w:eastAsia="Times New Roman" w:hAnsi="Verdana" w:cs="Arial"/>
          <w:color w:val="000000"/>
          <w:sz w:val="22"/>
          <w:szCs w:val="22"/>
          <w:lang w:val="es-CO" w:eastAsia="es-CO"/>
        </w:rPr>
        <w:t>De acuerdo con los reportes de la información sectorial de cobertura de la prestación de los servicios de acueducto y alcantarillado al REC, a nivel urbano logran indicadores del 100%. En el área rural no reportaron la información, el indicador de la cobertura de acueducto y alcantarillado es de 0%.</w:t>
      </w:r>
    </w:p>
    <w:p w14:paraId="2AE7EF36" w14:textId="77777777" w:rsidR="00FD21FE" w:rsidRDefault="00FD21FE" w:rsidP="00FD21FE">
      <w:pPr>
        <w:jc w:val="both"/>
        <w:rPr>
          <w:rFonts w:ascii="Verdana" w:eastAsia="Times New Roman" w:hAnsi="Verdana" w:cs="Arial"/>
          <w:color w:val="000000"/>
          <w:sz w:val="22"/>
          <w:szCs w:val="22"/>
          <w:lang w:val="es-CO" w:eastAsia="es-CO"/>
        </w:rPr>
      </w:pPr>
    </w:p>
    <w:p w14:paraId="1ED0BCF7" w14:textId="77777777" w:rsidR="00FD21FE" w:rsidRDefault="00FD21FE" w:rsidP="00FD21FE">
      <w:pPr>
        <w:jc w:val="both"/>
        <w:rPr>
          <w:rFonts w:ascii="Verdana" w:eastAsia="Times New Roman" w:hAnsi="Verdana" w:cs="Arial"/>
          <w:color w:val="000000"/>
          <w:sz w:val="22"/>
          <w:szCs w:val="22"/>
          <w:lang w:val="es-CO" w:eastAsia="es-CO"/>
        </w:rPr>
      </w:pPr>
      <w:r>
        <w:rPr>
          <w:rFonts w:ascii="Verdana" w:eastAsia="Times New Roman" w:hAnsi="Verdana" w:cs="Arial"/>
          <w:color w:val="000000"/>
          <w:sz w:val="22"/>
          <w:szCs w:val="22"/>
          <w:lang w:val="es-CO" w:eastAsia="es-CO"/>
        </w:rPr>
        <w:t>Con base en TERRIDATA</w:t>
      </w:r>
      <w:r>
        <w:rPr>
          <w:rStyle w:val="Refdenotaalpie"/>
          <w:rFonts w:ascii="Verdana" w:eastAsia="Times New Roman" w:hAnsi="Verdana" w:cs="Arial"/>
          <w:color w:val="000000"/>
          <w:sz w:val="22"/>
          <w:szCs w:val="22"/>
          <w:lang w:val="es-CO" w:eastAsia="es-CO"/>
        </w:rPr>
        <w:footnoteReference w:id="1"/>
      </w:r>
      <w:r>
        <w:rPr>
          <w:rFonts w:ascii="Verdana" w:eastAsia="Times New Roman" w:hAnsi="Verdana" w:cs="Arial"/>
          <w:color w:val="000000"/>
          <w:sz w:val="22"/>
          <w:szCs w:val="22"/>
          <w:lang w:val="es-CO" w:eastAsia="es-CO"/>
        </w:rPr>
        <w:t xml:space="preserve"> a 2021 la cobertura total de acueducto y alcantarillado en el Municipio de San Martin fue 44.3 % (Fuente: DNP a partir de información de la Superintendencia de Servicios Públicos Domiciliarios – 2021).</w:t>
      </w:r>
    </w:p>
    <w:p w14:paraId="48EE1B1C" w14:textId="77777777" w:rsidR="00FD21FE" w:rsidRDefault="00FD21FE" w:rsidP="00FD21FE">
      <w:pPr>
        <w:jc w:val="both"/>
        <w:rPr>
          <w:rFonts w:ascii="Verdana" w:hAnsi="Verdana" w:cs="Arial"/>
          <w:sz w:val="22"/>
          <w:szCs w:val="22"/>
          <w:lang w:val="es-CO"/>
        </w:rPr>
      </w:pPr>
    </w:p>
    <w:p w14:paraId="7192D0AB" w14:textId="77777777" w:rsidR="00FD21FE" w:rsidRDefault="00FD21FE" w:rsidP="00FD21FE">
      <w:pPr>
        <w:pStyle w:val="Ttulo1"/>
        <w:numPr>
          <w:ilvl w:val="0"/>
          <w:numId w:val="3"/>
        </w:numPr>
        <w:spacing w:before="0"/>
        <w:jc w:val="both"/>
        <w:rPr>
          <w:rFonts w:ascii="Verdana" w:hAnsi="Verdana" w:cs="Arial"/>
          <w:color w:val="auto"/>
          <w:sz w:val="22"/>
          <w:szCs w:val="22"/>
          <w:lang w:val="es-CO"/>
        </w:rPr>
      </w:pPr>
      <w:r>
        <w:rPr>
          <w:rFonts w:ascii="Verdana" w:hAnsi="Verdana" w:cs="Arial"/>
          <w:b/>
          <w:color w:val="auto"/>
          <w:sz w:val="22"/>
          <w:szCs w:val="22"/>
          <w:lang w:val="es-CO"/>
        </w:rPr>
        <w:t xml:space="preserve">ANÁLISIS FINANCIERO </w:t>
      </w:r>
    </w:p>
    <w:p w14:paraId="285C259C" w14:textId="77777777" w:rsidR="00FD21FE" w:rsidRDefault="00FD21FE" w:rsidP="00FD21FE">
      <w:pPr>
        <w:jc w:val="both"/>
        <w:rPr>
          <w:rFonts w:ascii="Verdana" w:hAnsi="Verdana" w:cs="Arial"/>
          <w:sz w:val="22"/>
          <w:szCs w:val="22"/>
          <w:lang w:val="es-CO"/>
        </w:rPr>
      </w:pPr>
    </w:p>
    <w:p w14:paraId="721BA451" w14:textId="77777777" w:rsidR="00FD21FE" w:rsidRDefault="00FD21FE" w:rsidP="00FD21FE">
      <w:pPr>
        <w:jc w:val="both"/>
        <w:rPr>
          <w:rFonts w:ascii="Verdana" w:hAnsi="Verdana" w:cs="Arial"/>
          <w:b/>
          <w:sz w:val="22"/>
          <w:szCs w:val="22"/>
          <w:u w:val="single"/>
          <w:lang w:val="es-CO" w:eastAsia="en-US"/>
        </w:rPr>
      </w:pPr>
      <w:r>
        <w:rPr>
          <w:rFonts w:ascii="Verdana" w:hAnsi="Verdana" w:cs="Arial"/>
          <w:b/>
          <w:sz w:val="22"/>
          <w:szCs w:val="22"/>
          <w:u w:val="single"/>
          <w:lang w:val="es-CO" w:eastAsia="en-US"/>
        </w:rPr>
        <w:t>INGRESOS.</w:t>
      </w:r>
    </w:p>
    <w:p w14:paraId="297B9EAE" w14:textId="77777777" w:rsidR="00FD21FE" w:rsidRDefault="00FD21FE" w:rsidP="00FD21FE">
      <w:pPr>
        <w:jc w:val="both"/>
        <w:rPr>
          <w:rFonts w:ascii="Verdana" w:hAnsi="Verdana" w:cs="Arial"/>
          <w:b/>
          <w:i/>
          <w:sz w:val="22"/>
          <w:szCs w:val="22"/>
          <w:u w:val="single"/>
          <w:lang w:val="es-CO" w:eastAsia="en-US"/>
        </w:rPr>
      </w:pPr>
    </w:p>
    <w:p w14:paraId="06833861" w14:textId="77777777" w:rsidR="00FD21FE" w:rsidRDefault="00FD21FE" w:rsidP="00FD21FE">
      <w:pPr>
        <w:jc w:val="both"/>
        <w:rPr>
          <w:rFonts w:ascii="Verdana" w:hAnsi="Verdana" w:cs="Arial"/>
          <w:bCs/>
          <w:iCs/>
          <w:sz w:val="22"/>
          <w:szCs w:val="22"/>
          <w:lang w:val="es-CO" w:eastAsia="en-US"/>
        </w:rPr>
      </w:pPr>
      <w:r>
        <w:rPr>
          <w:rFonts w:ascii="Verdana" w:hAnsi="Verdana" w:cs="Arial"/>
          <w:sz w:val="22"/>
          <w:szCs w:val="22"/>
          <w:lang w:val="es-CO" w:eastAsia="en-US"/>
        </w:rPr>
        <w:t xml:space="preserve">De acuerdo con la ejecución presupuestal de la vigencia 2021 </w:t>
      </w:r>
      <w:r>
        <w:rPr>
          <w:rFonts w:ascii="Verdana" w:hAnsi="Verdana" w:cs="Arial"/>
          <w:bCs/>
          <w:iCs/>
          <w:sz w:val="22"/>
          <w:szCs w:val="22"/>
          <w:lang w:val="es-CO" w:eastAsia="en-US"/>
        </w:rPr>
        <w:t>se identificó un recaudo sectorial SGP APSB por $1.626 millones, dentro de los que están la participación corriente de la transferencia del SGP - APSB por $1.614 millones, superávit fiscal de vigencias anteriores de $9 millones y rendimientos financieros por $3 millones.</w:t>
      </w:r>
    </w:p>
    <w:p w14:paraId="7316996F" w14:textId="77777777" w:rsidR="00FD21FE" w:rsidRDefault="00FD21FE" w:rsidP="00FD21FE">
      <w:pPr>
        <w:jc w:val="both"/>
        <w:rPr>
          <w:rFonts w:ascii="Verdana" w:hAnsi="Verdana" w:cs="Arial"/>
          <w:bCs/>
          <w:iCs/>
          <w:sz w:val="22"/>
          <w:szCs w:val="22"/>
          <w:lang w:val="es-CO" w:eastAsia="en-US"/>
        </w:rPr>
      </w:pPr>
    </w:p>
    <w:p w14:paraId="45091A01" w14:textId="77777777" w:rsidR="00FD21FE" w:rsidRDefault="00FD21FE" w:rsidP="00FD21FE">
      <w:pPr>
        <w:jc w:val="both"/>
        <w:rPr>
          <w:rFonts w:ascii="Verdana" w:hAnsi="Verdana" w:cs="Arial"/>
          <w:bCs/>
          <w:iCs/>
          <w:sz w:val="22"/>
          <w:szCs w:val="22"/>
          <w:lang w:val="es-CO" w:eastAsia="en-US"/>
        </w:rPr>
      </w:pPr>
      <w:r>
        <w:rPr>
          <w:rFonts w:ascii="Verdana" w:hAnsi="Verdana" w:cs="Arial"/>
          <w:bCs/>
          <w:iCs/>
          <w:sz w:val="22"/>
          <w:szCs w:val="22"/>
          <w:lang w:val="es-CO" w:eastAsia="en-US"/>
        </w:rPr>
        <w:t>De acuerdo con la información del MVCT, los giros sectoriales efectuados con base en los Documentos de Distribución SGP-52-2020 Y SGP-57-2021 al cierre de la vigencia 2021, correspondientes a la última doceava de la vigencia anterior más las once doceavas de la vigencia 2021, fueron por $1.614 millones, cifra coherente con el reporte de la información al CUIPO.</w:t>
      </w:r>
    </w:p>
    <w:p w14:paraId="09377ABF" w14:textId="77777777" w:rsidR="00FD21FE" w:rsidRDefault="00FD21FE" w:rsidP="00FD21FE">
      <w:pPr>
        <w:jc w:val="both"/>
        <w:rPr>
          <w:rFonts w:ascii="Verdana" w:hAnsi="Verdana" w:cs="Arial"/>
          <w:sz w:val="22"/>
          <w:szCs w:val="22"/>
          <w:lang w:val="es-CO" w:eastAsia="en-US"/>
        </w:rPr>
      </w:pPr>
    </w:p>
    <w:p w14:paraId="306CB7D2" w14:textId="77777777" w:rsidR="00FD21FE" w:rsidRDefault="00FD21FE" w:rsidP="00FD21FE">
      <w:pPr>
        <w:jc w:val="center"/>
        <w:rPr>
          <w:rFonts w:ascii="Verdana" w:hAnsi="Verdana" w:cs="Arial"/>
          <w:b/>
          <w:bCs/>
          <w:sz w:val="22"/>
          <w:szCs w:val="22"/>
          <w:lang w:val="es-CO" w:eastAsia="en-US"/>
        </w:rPr>
      </w:pPr>
      <w:r>
        <w:rPr>
          <w:rFonts w:ascii="Verdana" w:hAnsi="Verdana" w:cs="Arial"/>
          <w:b/>
          <w:bCs/>
          <w:sz w:val="22"/>
          <w:szCs w:val="22"/>
          <w:lang w:val="es-CO" w:eastAsia="en-US"/>
        </w:rPr>
        <w:t>TABLA 4: INGRESOS VIGENCIAS 2021-2022</w:t>
      </w:r>
    </w:p>
    <w:tbl>
      <w:tblPr>
        <w:tblW w:w="5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1"/>
        <w:gridCol w:w="1601"/>
        <w:gridCol w:w="1601"/>
      </w:tblGrid>
      <w:tr w:rsidR="00FD21FE" w14:paraId="2E70AA7B" w14:textId="77777777" w:rsidTr="00FD21FE">
        <w:trPr>
          <w:trHeight w:val="445"/>
          <w:tblHeader/>
          <w:jc w:val="center"/>
        </w:trPr>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D4C33D" w14:textId="77777777" w:rsidR="00FD21FE" w:rsidRDefault="00FD21FE">
            <w:pPr>
              <w:jc w:val="both"/>
              <w:rPr>
                <w:rFonts w:ascii="Verdana" w:hAnsi="Verdana" w:cs="Arial"/>
                <w:b/>
                <w:sz w:val="20"/>
                <w:szCs w:val="20"/>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52CDBB" w14:textId="77777777" w:rsidR="00FD21FE" w:rsidRDefault="00FD21FE">
            <w:pPr>
              <w:jc w:val="center"/>
              <w:rPr>
                <w:rFonts w:ascii="Verdana" w:hAnsi="Verdana" w:cs="Arial"/>
                <w:b/>
                <w:sz w:val="20"/>
                <w:szCs w:val="20"/>
              </w:rPr>
            </w:pPr>
            <w:r>
              <w:rPr>
                <w:rFonts w:ascii="Verdana" w:hAnsi="Verdana" w:cs="Arial"/>
                <w:b/>
                <w:sz w:val="20"/>
                <w:szCs w:val="20"/>
              </w:rPr>
              <w:t>2021</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AB5F38" w14:textId="77777777" w:rsidR="00FD21FE" w:rsidRDefault="00FD21FE">
            <w:pPr>
              <w:jc w:val="center"/>
              <w:rPr>
                <w:rFonts w:ascii="Verdana" w:hAnsi="Verdana" w:cs="Arial"/>
                <w:b/>
                <w:sz w:val="20"/>
                <w:szCs w:val="20"/>
              </w:rPr>
            </w:pPr>
            <w:r>
              <w:rPr>
                <w:rFonts w:ascii="Verdana" w:hAnsi="Verdana" w:cs="Arial"/>
                <w:b/>
                <w:sz w:val="20"/>
                <w:szCs w:val="20"/>
              </w:rPr>
              <w:t>2022</w:t>
            </w:r>
          </w:p>
        </w:tc>
      </w:tr>
      <w:tr w:rsidR="00FD21FE" w14:paraId="351D0644" w14:textId="77777777" w:rsidTr="00FD21FE">
        <w:trPr>
          <w:trHeight w:val="445"/>
          <w:tblHeader/>
          <w:jc w:val="center"/>
        </w:trPr>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4900EF" w14:textId="77777777" w:rsidR="00FD21FE" w:rsidRDefault="00FD21FE">
            <w:pPr>
              <w:jc w:val="both"/>
              <w:rPr>
                <w:rFonts w:ascii="Verdana" w:hAnsi="Verdana" w:cs="Arial"/>
                <w:b/>
                <w:sz w:val="20"/>
                <w:szCs w:val="20"/>
              </w:rPr>
            </w:pPr>
            <w:r>
              <w:rPr>
                <w:rFonts w:ascii="Verdana" w:hAnsi="Verdana" w:cs="Arial"/>
                <w:b/>
                <w:sz w:val="20"/>
                <w:szCs w:val="20"/>
              </w:rPr>
              <w:t> </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B598E9" w14:textId="77777777" w:rsidR="00FD21FE" w:rsidRDefault="00FD21FE">
            <w:pPr>
              <w:jc w:val="center"/>
              <w:rPr>
                <w:rFonts w:ascii="Verdana" w:hAnsi="Verdana" w:cs="Arial"/>
                <w:b/>
                <w:sz w:val="20"/>
                <w:szCs w:val="20"/>
              </w:rPr>
            </w:pPr>
            <w:r>
              <w:rPr>
                <w:rFonts w:ascii="Verdana" w:hAnsi="Verdana" w:cs="Arial"/>
                <w:b/>
                <w:sz w:val="20"/>
                <w:szCs w:val="20"/>
              </w:rPr>
              <w:t>Ejecución presupuestal</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B7CC14" w14:textId="77777777" w:rsidR="00FD21FE" w:rsidRDefault="00FD21FE">
            <w:pPr>
              <w:jc w:val="center"/>
              <w:rPr>
                <w:rFonts w:ascii="Verdana" w:hAnsi="Verdana" w:cs="Arial"/>
                <w:b/>
                <w:sz w:val="20"/>
                <w:szCs w:val="20"/>
              </w:rPr>
            </w:pPr>
            <w:r>
              <w:rPr>
                <w:rFonts w:ascii="Verdana" w:hAnsi="Verdana" w:cs="Arial"/>
                <w:b/>
                <w:sz w:val="20"/>
                <w:szCs w:val="20"/>
              </w:rPr>
              <w:t>Ejecución presupuestal</w:t>
            </w:r>
          </w:p>
        </w:tc>
      </w:tr>
      <w:tr w:rsidR="00FD21FE" w14:paraId="4A56EE51" w14:textId="77777777" w:rsidTr="00FD21FE">
        <w:trPr>
          <w:trHeight w:val="267"/>
          <w:jc w:val="center"/>
        </w:trPr>
        <w:tc>
          <w:tcPr>
            <w:tcW w:w="2071" w:type="dxa"/>
            <w:tcBorders>
              <w:top w:val="single" w:sz="4" w:space="0" w:color="auto"/>
              <w:left w:val="single" w:sz="4" w:space="0" w:color="auto"/>
              <w:bottom w:val="single" w:sz="4" w:space="0" w:color="auto"/>
              <w:right w:val="single" w:sz="4" w:space="0" w:color="auto"/>
            </w:tcBorders>
            <w:noWrap/>
            <w:vAlign w:val="center"/>
            <w:hideMark/>
          </w:tcPr>
          <w:p w14:paraId="358620DE" w14:textId="77777777" w:rsidR="00FD21FE" w:rsidRDefault="00FD21FE">
            <w:pPr>
              <w:jc w:val="both"/>
              <w:rPr>
                <w:rFonts w:ascii="Verdana" w:hAnsi="Verdana" w:cs="Arial"/>
                <w:b/>
                <w:sz w:val="20"/>
                <w:szCs w:val="20"/>
              </w:rPr>
            </w:pPr>
            <w:r>
              <w:rPr>
                <w:rFonts w:ascii="Verdana" w:hAnsi="Verdana" w:cs="Arial"/>
                <w:b/>
                <w:sz w:val="20"/>
                <w:szCs w:val="20"/>
              </w:rPr>
              <w:t>Ingresos Corrientes APSB</w:t>
            </w:r>
          </w:p>
        </w:tc>
        <w:tc>
          <w:tcPr>
            <w:tcW w:w="1601" w:type="dxa"/>
            <w:tcBorders>
              <w:top w:val="single" w:sz="4" w:space="0" w:color="auto"/>
              <w:left w:val="single" w:sz="4" w:space="0" w:color="auto"/>
              <w:bottom w:val="single" w:sz="4" w:space="0" w:color="auto"/>
              <w:right w:val="single" w:sz="4" w:space="0" w:color="auto"/>
            </w:tcBorders>
          </w:tcPr>
          <w:p w14:paraId="75A7A708" w14:textId="77777777" w:rsidR="00FD21FE" w:rsidRDefault="00FD21FE">
            <w:pPr>
              <w:jc w:val="center"/>
              <w:rPr>
                <w:rFonts w:ascii="Verdana" w:hAnsi="Verdana" w:cs="Arial"/>
                <w:sz w:val="20"/>
                <w:szCs w:val="20"/>
              </w:rPr>
            </w:pPr>
          </w:p>
        </w:tc>
        <w:tc>
          <w:tcPr>
            <w:tcW w:w="1601" w:type="dxa"/>
            <w:tcBorders>
              <w:top w:val="single" w:sz="4" w:space="0" w:color="auto"/>
              <w:left w:val="single" w:sz="4" w:space="0" w:color="auto"/>
              <w:bottom w:val="single" w:sz="4" w:space="0" w:color="auto"/>
              <w:right w:val="single" w:sz="4" w:space="0" w:color="auto"/>
            </w:tcBorders>
          </w:tcPr>
          <w:p w14:paraId="3BBFDB90" w14:textId="77777777" w:rsidR="00FD21FE" w:rsidRDefault="00FD21FE">
            <w:pPr>
              <w:jc w:val="center"/>
              <w:rPr>
                <w:rFonts w:ascii="Verdana" w:hAnsi="Verdana" w:cs="Arial"/>
                <w:sz w:val="20"/>
                <w:szCs w:val="20"/>
              </w:rPr>
            </w:pPr>
          </w:p>
        </w:tc>
      </w:tr>
      <w:tr w:rsidR="00FD21FE" w14:paraId="112D197B" w14:textId="77777777" w:rsidTr="00FD21FE">
        <w:trPr>
          <w:trHeight w:val="267"/>
          <w:jc w:val="center"/>
        </w:trPr>
        <w:tc>
          <w:tcPr>
            <w:tcW w:w="2071" w:type="dxa"/>
            <w:tcBorders>
              <w:top w:val="single" w:sz="4" w:space="0" w:color="auto"/>
              <w:left w:val="single" w:sz="4" w:space="0" w:color="auto"/>
              <w:bottom w:val="single" w:sz="4" w:space="0" w:color="auto"/>
              <w:right w:val="single" w:sz="4" w:space="0" w:color="auto"/>
            </w:tcBorders>
            <w:noWrap/>
            <w:vAlign w:val="center"/>
            <w:hideMark/>
          </w:tcPr>
          <w:p w14:paraId="04016C73" w14:textId="77777777" w:rsidR="00FD21FE" w:rsidRDefault="00FD21FE">
            <w:pPr>
              <w:jc w:val="both"/>
              <w:rPr>
                <w:rFonts w:ascii="Verdana" w:hAnsi="Verdana" w:cs="Arial"/>
                <w:sz w:val="20"/>
                <w:szCs w:val="20"/>
              </w:rPr>
            </w:pPr>
            <w:r>
              <w:rPr>
                <w:rFonts w:ascii="Verdana" w:hAnsi="Verdana" w:cs="Arial"/>
                <w:sz w:val="20"/>
                <w:szCs w:val="20"/>
              </w:rPr>
              <w:t xml:space="preserve">Participación APSB </w:t>
            </w:r>
          </w:p>
        </w:tc>
        <w:tc>
          <w:tcPr>
            <w:tcW w:w="1601" w:type="dxa"/>
            <w:tcBorders>
              <w:top w:val="single" w:sz="4" w:space="0" w:color="auto"/>
              <w:left w:val="single" w:sz="4" w:space="0" w:color="auto"/>
              <w:bottom w:val="single" w:sz="4" w:space="0" w:color="auto"/>
              <w:right w:val="single" w:sz="4" w:space="0" w:color="auto"/>
            </w:tcBorders>
            <w:hideMark/>
          </w:tcPr>
          <w:p w14:paraId="45AA3525" w14:textId="77777777" w:rsidR="00FD21FE" w:rsidRDefault="00FD21FE">
            <w:pPr>
              <w:jc w:val="center"/>
              <w:rPr>
                <w:rFonts w:ascii="Verdana" w:hAnsi="Verdana" w:cs="Arial"/>
                <w:sz w:val="20"/>
                <w:szCs w:val="20"/>
              </w:rPr>
            </w:pPr>
            <w:r>
              <w:rPr>
                <w:rFonts w:ascii="Verdana" w:hAnsi="Verdana" w:cs="Arial"/>
                <w:sz w:val="20"/>
                <w:szCs w:val="20"/>
              </w:rPr>
              <w:t>1.614</w:t>
            </w:r>
          </w:p>
        </w:tc>
        <w:tc>
          <w:tcPr>
            <w:tcW w:w="1601" w:type="dxa"/>
            <w:tcBorders>
              <w:top w:val="single" w:sz="4" w:space="0" w:color="auto"/>
              <w:left w:val="single" w:sz="4" w:space="0" w:color="auto"/>
              <w:bottom w:val="single" w:sz="4" w:space="0" w:color="auto"/>
              <w:right w:val="single" w:sz="4" w:space="0" w:color="auto"/>
            </w:tcBorders>
            <w:hideMark/>
          </w:tcPr>
          <w:p w14:paraId="2DC59D37" w14:textId="77777777" w:rsidR="00FD21FE" w:rsidRDefault="00FD21FE">
            <w:pPr>
              <w:jc w:val="center"/>
              <w:rPr>
                <w:rFonts w:ascii="Verdana" w:hAnsi="Verdana" w:cs="Arial"/>
                <w:sz w:val="20"/>
                <w:szCs w:val="20"/>
              </w:rPr>
            </w:pPr>
            <w:r>
              <w:rPr>
                <w:rFonts w:ascii="Verdana" w:hAnsi="Verdana" w:cs="Arial"/>
                <w:sz w:val="20"/>
                <w:szCs w:val="20"/>
              </w:rPr>
              <w:t>1.812</w:t>
            </w:r>
          </w:p>
        </w:tc>
      </w:tr>
      <w:tr w:rsidR="00FD21FE" w14:paraId="780E25FB" w14:textId="77777777" w:rsidTr="00FD21FE">
        <w:trPr>
          <w:trHeight w:val="267"/>
          <w:jc w:val="center"/>
        </w:trPr>
        <w:tc>
          <w:tcPr>
            <w:tcW w:w="2071" w:type="dxa"/>
            <w:tcBorders>
              <w:top w:val="single" w:sz="4" w:space="0" w:color="auto"/>
              <w:left w:val="single" w:sz="4" w:space="0" w:color="auto"/>
              <w:bottom w:val="single" w:sz="4" w:space="0" w:color="auto"/>
              <w:right w:val="single" w:sz="4" w:space="0" w:color="auto"/>
            </w:tcBorders>
            <w:noWrap/>
            <w:vAlign w:val="center"/>
            <w:hideMark/>
          </w:tcPr>
          <w:p w14:paraId="0A3736A3" w14:textId="77777777" w:rsidR="00FD21FE" w:rsidRDefault="00FD21FE">
            <w:pPr>
              <w:jc w:val="both"/>
              <w:rPr>
                <w:rFonts w:ascii="Verdana" w:hAnsi="Verdana" w:cs="Arial"/>
                <w:b/>
                <w:sz w:val="20"/>
                <w:szCs w:val="20"/>
              </w:rPr>
            </w:pPr>
            <w:r>
              <w:rPr>
                <w:rFonts w:ascii="Verdana" w:hAnsi="Verdana" w:cs="Arial"/>
                <w:b/>
                <w:sz w:val="20"/>
                <w:szCs w:val="20"/>
              </w:rPr>
              <w:t>Recursos de Capital APSB</w:t>
            </w:r>
          </w:p>
        </w:tc>
        <w:tc>
          <w:tcPr>
            <w:tcW w:w="1601" w:type="dxa"/>
            <w:tcBorders>
              <w:top w:val="single" w:sz="4" w:space="0" w:color="auto"/>
              <w:left w:val="single" w:sz="4" w:space="0" w:color="auto"/>
              <w:bottom w:val="single" w:sz="4" w:space="0" w:color="auto"/>
              <w:right w:val="single" w:sz="4" w:space="0" w:color="auto"/>
            </w:tcBorders>
          </w:tcPr>
          <w:p w14:paraId="0337D27A" w14:textId="77777777" w:rsidR="00FD21FE" w:rsidRDefault="00FD21FE">
            <w:pPr>
              <w:jc w:val="center"/>
              <w:rPr>
                <w:rFonts w:ascii="Verdana" w:hAnsi="Verdana" w:cs="Arial"/>
                <w:b/>
                <w:sz w:val="20"/>
                <w:szCs w:val="20"/>
              </w:rPr>
            </w:pPr>
          </w:p>
        </w:tc>
        <w:tc>
          <w:tcPr>
            <w:tcW w:w="1601" w:type="dxa"/>
            <w:tcBorders>
              <w:top w:val="single" w:sz="4" w:space="0" w:color="auto"/>
              <w:left w:val="single" w:sz="4" w:space="0" w:color="auto"/>
              <w:bottom w:val="single" w:sz="4" w:space="0" w:color="auto"/>
              <w:right w:val="single" w:sz="4" w:space="0" w:color="auto"/>
            </w:tcBorders>
          </w:tcPr>
          <w:p w14:paraId="0F923BD5" w14:textId="77777777" w:rsidR="00FD21FE" w:rsidRDefault="00FD21FE">
            <w:pPr>
              <w:jc w:val="center"/>
              <w:rPr>
                <w:rFonts w:ascii="Verdana" w:hAnsi="Verdana" w:cs="Arial"/>
                <w:b/>
                <w:sz w:val="20"/>
                <w:szCs w:val="20"/>
              </w:rPr>
            </w:pPr>
          </w:p>
        </w:tc>
      </w:tr>
      <w:tr w:rsidR="00FD21FE" w14:paraId="355A3873" w14:textId="77777777" w:rsidTr="00FD21FE">
        <w:trPr>
          <w:trHeight w:val="267"/>
          <w:jc w:val="center"/>
        </w:trPr>
        <w:tc>
          <w:tcPr>
            <w:tcW w:w="2071" w:type="dxa"/>
            <w:tcBorders>
              <w:top w:val="single" w:sz="4" w:space="0" w:color="auto"/>
              <w:left w:val="single" w:sz="4" w:space="0" w:color="auto"/>
              <w:bottom w:val="single" w:sz="4" w:space="0" w:color="auto"/>
              <w:right w:val="single" w:sz="4" w:space="0" w:color="auto"/>
            </w:tcBorders>
            <w:noWrap/>
            <w:vAlign w:val="center"/>
            <w:hideMark/>
          </w:tcPr>
          <w:p w14:paraId="51D40997" w14:textId="77777777" w:rsidR="00FD21FE" w:rsidRDefault="00FD21FE">
            <w:pPr>
              <w:jc w:val="both"/>
              <w:rPr>
                <w:rFonts w:ascii="Verdana" w:hAnsi="Verdana" w:cs="Arial"/>
                <w:sz w:val="20"/>
                <w:szCs w:val="20"/>
              </w:rPr>
            </w:pPr>
            <w:r>
              <w:rPr>
                <w:rFonts w:ascii="Verdana" w:hAnsi="Verdana" w:cs="Arial"/>
                <w:sz w:val="20"/>
                <w:szCs w:val="20"/>
              </w:rPr>
              <w:t>Superávit fiscal</w:t>
            </w:r>
          </w:p>
        </w:tc>
        <w:tc>
          <w:tcPr>
            <w:tcW w:w="1601" w:type="dxa"/>
            <w:tcBorders>
              <w:top w:val="single" w:sz="4" w:space="0" w:color="auto"/>
              <w:left w:val="single" w:sz="4" w:space="0" w:color="auto"/>
              <w:bottom w:val="single" w:sz="4" w:space="0" w:color="auto"/>
              <w:right w:val="single" w:sz="4" w:space="0" w:color="auto"/>
            </w:tcBorders>
            <w:hideMark/>
          </w:tcPr>
          <w:p w14:paraId="4E80C5FD" w14:textId="77777777" w:rsidR="00FD21FE" w:rsidRDefault="00FD21FE">
            <w:pPr>
              <w:jc w:val="center"/>
              <w:rPr>
                <w:rFonts w:ascii="Verdana" w:hAnsi="Verdana" w:cs="Arial"/>
                <w:sz w:val="20"/>
                <w:szCs w:val="20"/>
              </w:rPr>
            </w:pPr>
            <w:r>
              <w:rPr>
                <w:rFonts w:ascii="Verdana" w:hAnsi="Verdana" w:cs="Arial"/>
                <w:sz w:val="20"/>
                <w:szCs w:val="20"/>
              </w:rPr>
              <w:t>9</w:t>
            </w:r>
          </w:p>
        </w:tc>
        <w:tc>
          <w:tcPr>
            <w:tcW w:w="1601" w:type="dxa"/>
            <w:tcBorders>
              <w:top w:val="single" w:sz="4" w:space="0" w:color="auto"/>
              <w:left w:val="single" w:sz="4" w:space="0" w:color="auto"/>
              <w:bottom w:val="single" w:sz="4" w:space="0" w:color="auto"/>
              <w:right w:val="single" w:sz="4" w:space="0" w:color="auto"/>
            </w:tcBorders>
            <w:hideMark/>
          </w:tcPr>
          <w:p w14:paraId="3D385679" w14:textId="77777777" w:rsidR="00FD21FE" w:rsidRDefault="00FD21FE">
            <w:pPr>
              <w:jc w:val="center"/>
              <w:rPr>
                <w:rFonts w:ascii="Verdana" w:hAnsi="Verdana" w:cs="Arial"/>
                <w:sz w:val="20"/>
                <w:szCs w:val="20"/>
              </w:rPr>
            </w:pPr>
            <w:r>
              <w:rPr>
                <w:rFonts w:ascii="Verdana" w:hAnsi="Verdana" w:cs="Arial"/>
                <w:sz w:val="20"/>
                <w:szCs w:val="20"/>
              </w:rPr>
              <w:t>56</w:t>
            </w:r>
          </w:p>
        </w:tc>
      </w:tr>
      <w:tr w:rsidR="00FD21FE" w14:paraId="446F6D9A" w14:textId="77777777" w:rsidTr="00FD21FE">
        <w:trPr>
          <w:trHeight w:val="267"/>
          <w:jc w:val="center"/>
        </w:trPr>
        <w:tc>
          <w:tcPr>
            <w:tcW w:w="2071" w:type="dxa"/>
            <w:tcBorders>
              <w:top w:val="single" w:sz="4" w:space="0" w:color="auto"/>
              <w:left w:val="single" w:sz="4" w:space="0" w:color="auto"/>
              <w:bottom w:val="single" w:sz="4" w:space="0" w:color="auto"/>
              <w:right w:val="single" w:sz="4" w:space="0" w:color="auto"/>
            </w:tcBorders>
            <w:noWrap/>
            <w:vAlign w:val="center"/>
            <w:hideMark/>
          </w:tcPr>
          <w:p w14:paraId="61345B1B" w14:textId="77777777" w:rsidR="00FD21FE" w:rsidRDefault="00FD21FE">
            <w:pPr>
              <w:jc w:val="both"/>
              <w:rPr>
                <w:rFonts w:ascii="Verdana" w:hAnsi="Verdana" w:cs="Arial"/>
                <w:sz w:val="20"/>
                <w:szCs w:val="20"/>
              </w:rPr>
            </w:pPr>
            <w:r>
              <w:rPr>
                <w:rFonts w:ascii="Verdana" w:hAnsi="Verdana" w:cs="Arial"/>
                <w:sz w:val="20"/>
                <w:szCs w:val="20"/>
              </w:rPr>
              <w:t xml:space="preserve">Depósitos </w:t>
            </w:r>
          </w:p>
        </w:tc>
        <w:tc>
          <w:tcPr>
            <w:tcW w:w="1601" w:type="dxa"/>
            <w:tcBorders>
              <w:top w:val="single" w:sz="4" w:space="0" w:color="auto"/>
              <w:left w:val="single" w:sz="4" w:space="0" w:color="auto"/>
              <w:bottom w:val="single" w:sz="4" w:space="0" w:color="auto"/>
              <w:right w:val="single" w:sz="4" w:space="0" w:color="auto"/>
            </w:tcBorders>
          </w:tcPr>
          <w:p w14:paraId="30981804" w14:textId="77777777" w:rsidR="00FD21FE" w:rsidRDefault="00FD21FE">
            <w:pPr>
              <w:jc w:val="center"/>
              <w:rPr>
                <w:rFonts w:ascii="Verdana" w:hAnsi="Verdana" w:cs="Arial"/>
                <w:sz w:val="20"/>
                <w:szCs w:val="20"/>
              </w:rPr>
            </w:pPr>
          </w:p>
        </w:tc>
        <w:tc>
          <w:tcPr>
            <w:tcW w:w="1601" w:type="dxa"/>
            <w:tcBorders>
              <w:top w:val="single" w:sz="4" w:space="0" w:color="auto"/>
              <w:left w:val="single" w:sz="4" w:space="0" w:color="auto"/>
              <w:bottom w:val="single" w:sz="4" w:space="0" w:color="auto"/>
              <w:right w:val="single" w:sz="4" w:space="0" w:color="auto"/>
            </w:tcBorders>
          </w:tcPr>
          <w:p w14:paraId="55DE18EF" w14:textId="77777777" w:rsidR="00FD21FE" w:rsidRDefault="00FD21FE">
            <w:pPr>
              <w:jc w:val="center"/>
              <w:rPr>
                <w:rFonts w:ascii="Verdana" w:hAnsi="Verdana" w:cs="Arial"/>
                <w:sz w:val="20"/>
                <w:szCs w:val="20"/>
              </w:rPr>
            </w:pPr>
          </w:p>
        </w:tc>
      </w:tr>
      <w:tr w:rsidR="00FD21FE" w14:paraId="31F12C5D" w14:textId="77777777" w:rsidTr="00FD21FE">
        <w:trPr>
          <w:trHeight w:val="267"/>
          <w:jc w:val="center"/>
        </w:trPr>
        <w:tc>
          <w:tcPr>
            <w:tcW w:w="2071" w:type="dxa"/>
            <w:tcBorders>
              <w:top w:val="single" w:sz="4" w:space="0" w:color="auto"/>
              <w:left w:val="single" w:sz="4" w:space="0" w:color="auto"/>
              <w:bottom w:val="single" w:sz="4" w:space="0" w:color="auto"/>
              <w:right w:val="single" w:sz="4" w:space="0" w:color="auto"/>
            </w:tcBorders>
            <w:noWrap/>
            <w:vAlign w:val="center"/>
            <w:hideMark/>
          </w:tcPr>
          <w:p w14:paraId="01CC928D" w14:textId="77777777" w:rsidR="00FD21FE" w:rsidRDefault="00FD21FE">
            <w:pPr>
              <w:jc w:val="both"/>
              <w:rPr>
                <w:rFonts w:ascii="Verdana" w:hAnsi="Verdana" w:cs="Arial"/>
                <w:sz w:val="20"/>
                <w:szCs w:val="20"/>
              </w:rPr>
            </w:pPr>
            <w:r>
              <w:rPr>
                <w:rFonts w:ascii="Verdana" w:hAnsi="Verdana" w:cs="Arial"/>
                <w:sz w:val="20"/>
                <w:szCs w:val="20"/>
              </w:rPr>
              <w:t>Rendimientos financieros</w:t>
            </w:r>
          </w:p>
        </w:tc>
        <w:tc>
          <w:tcPr>
            <w:tcW w:w="1601" w:type="dxa"/>
            <w:tcBorders>
              <w:top w:val="single" w:sz="4" w:space="0" w:color="auto"/>
              <w:left w:val="single" w:sz="4" w:space="0" w:color="auto"/>
              <w:bottom w:val="single" w:sz="4" w:space="0" w:color="auto"/>
              <w:right w:val="single" w:sz="4" w:space="0" w:color="auto"/>
            </w:tcBorders>
            <w:hideMark/>
          </w:tcPr>
          <w:p w14:paraId="201EEA64" w14:textId="77777777" w:rsidR="00FD21FE" w:rsidRDefault="00FD21FE">
            <w:pPr>
              <w:jc w:val="center"/>
              <w:rPr>
                <w:rFonts w:ascii="Verdana" w:hAnsi="Verdana" w:cs="Arial"/>
                <w:sz w:val="20"/>
                <w:szCs w:val="20"/>
              </w:rPr>
            </w:pPr>
            <w:r>
              <w:rPr>
                <w:rFonts w:ascii="Verdana" w:hAnsi="Verdana" w:cs="Arial"/>
                <w:sz w:val="20"/>
                <w:szCs w:val="20"/>
              </w:rPr>
              <w:t>3</w:t>
            </w:r>
          </w:p>
        </w:tc>
        <w:tc>
          <w:tcPr>
            <w:tcW w:w="1601" w:type="dxa"/>
            <w:tcBorders>
              <w:top w:val="single" w:sz="4" w:space="0" w:color="auto"/>
              <w:left w:val="single" w:sz="4" w:space="0" w:color="auto"/>
              <w:bottom w:val="single" w:sz="4" w:space="0" w:color="auto"/>
              <w:right w:val="single" w:sz="4" w:space="0" w:color="auto"/>
            </w:tcBorders>
            <w:hideMark/>
          </w:tcPr>
          <w:p w14:paraId="5D12B686" w14:textId="77777777" w:rsidR="00FD21FE" w:rsidRDefault="00FD21FE">
            <w:pPr>
              <w:jc w:val="center"/>
              <w:rPr>
                <w:rFonts w:ascii="Verdana" w:hAnsi="Verdana" w:cs="Arial"/>
                <w:sz w:val="20"/>
                <w:szCs w:val="20"/>
              </w:rPr>
            </w:pPr>
            <w:r>
              <w:rPr>
                <w:rFonts w:ascii="Verdana" w:hAnsi="Verdana" w:cs="Arial"/>
                <w:sz w:val="20"/>
                <w:szCs w:val="20"/>
              </w:rPr>
              <w:t>3</w:t>
            </w:r>
          </w:p>
        </w:tc>
      </w:tr>
      <w:tr w:rsidR="00FD21FE" w14:paraId="2E4E961B" w14:textId="77777777" w:rsidTr="00FD21FE">
        <w:trPr>
          <w:trHeight w:val="267"/>
          <w:jc w:val="center"/>
        </w:trPr>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3FC507" w14:textId="77777777" w:rsidR="00FD21FE" w:rsidRDefault="00FD21FE">
            <w:pPr>
              <w:jc w:val="both"/>
              <w:rPr>
                <w:rFonts w:ascii="Verdana" w:hAnsi="Verdana" w:cs="Arial"/>
                <w:b/>
                <w:sz w:val="20"/>
                <w:szCs w:val="20"/>
              </w:rPr>
            </w:pPr>
            <w:r>
              <w:rPr>
                <w:rFonts w:ascii="Verdana" w:hAnsi="Verdana" w:cs="Arial"/>
                <w:b/>
                <w:sz w:val="20"/>
                <w:szCs w:val="20"/>
              </w:rPr>
              <w:t>INGRESOS TOTALES APSB</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765DD6" w14:textId="77777777" w:rsidR="00FD21FE" w:rsidRDefault="00FD21FE">
            <w:pPr>
              <w:jc w:val="center"/>
              <w:rPr>
                <w:rFonts w:ascii="Verdana" w:hAnsi="Verdana" w:cs="Arial"/>
                <w:b/>
                <w:sz w:val="20"/>
                <w:szCs w:val="20"/>
              </w:rPr>
            </w:pPr>
            <w:r>
              <w:rPr>
                <w:rFonts w:ascii="Verdana" w:hAnsi="Verdana" w:cs="Arial"/>
                <w:b/>
                <w:sz w:val="20"/>
                <w:szCs w:val="20"/>
              </w:rPr>
              <w:t>1.626</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A8860" w14:textId="77777777" w:rsidR="00FD21FE" w:rsidRDefault="00FD21FE">
            <w:pPr>
              <w:jc w:val="center"/>
              <w:rPr>
                <w:rFonts w:ascii="Verdana" w:hAnsi="Verdana" w:cs="Arial"/>
                <w:b/>
                <w:sz w:val="20"/>
                <w:szCs w:val="20"/>
              </w:rPr>
            </w:pPr>
            <w:r>
              <w:rPr>
                <w:rFonts w:ascii="Verdana" w:hAnsi="Verdana" w:cs="Arial"/>
                <w:b/>
                <w:sz w:val="20"/>
                <w:szCs w:val="20"/>
              </w:rPr>
              <w:t>1.871</w:t>
            </w:r>
          </w:p>
        </w:tc>
      </w:tr>
    </w:tbl>
    <w:p w14:paraId="17E14B60" w14:textId="77777777" w:rsidR="00FD21FE" w:rsidRDefault="00FD21FE" w:rsidP="00FD21FE">
      <w:pPr>
        <w:jc w:val="center"/>
        <w:rPr>
          <w:rFonts w:ascii="Verdana" w:hAnsi="Verdana" w:cs="Arial"/>
          <w:sz w:val="18"/>
          <w:szCs w:val="18"/>
          <w:lang w:val="es-CO" w:eastAsia="en-US"/>
        </w:rPr>
      </w:pPr>
      <w:r>
        <w:rPr>
          <w:rFonts w:ascii="Verdana" w:hAnsi="Verdana" w:cs="Arial"/>
          <w:sz w:val="18"/>
          <w:szCs w:val="18"/>
          <w:lang w:val="es-CO" w:eastAsia="en-US"/>
        </w:rPr>
        <w:t xml:space="preserve">Fuente: Entidad territorial – Ejecuciones presupuestales 2021-2022. </w:t>
      </w:r>
    </w:p>
    <w:p w14:paraId="391552E1" w14:textId="77777777" w:rsidR="00FD21FE" w:rsidRDefault="00FD21FE" w:rsidP="00FD21FE">
      <w:pPr>
        <w:jc w:val="center"/>
        <w:rPr>
          <w:rFonts w:ascii="Verdana" w:hAnsi="Verdana" w:cs="Arial"/>
          <w:sz w:val="18"/>
          <w:szCs w:val="18"/>
          <w:lang w:val="es-CO" w:eastAsia="en-US"/>
        </w:rPr>
      </w:pPr>
      <w:r>
        <w:rPr>
          <w:rFonts w:ascii="Verdana" w:hAnsi="Verdana" w:cs="Arial"/>
          <w:sz w:val="18"/>
          <w:szCs w:val="18"/>
          <w:lang w:val="es-CO" w:eastAsia="en-US"/>
        </w:rPr>
        <w:t>Cifras en millones de pesos.</w:t>
      </w:r>
    </w:p>
    <w:p w14:paraId="021953A4" w14:textId="77777777" w:rsidR="00FD21FE" w:rsidRDefault="00FD21FE" w:rsidP="00FD21FE">
      <w:pPr>
        <w:jc w:val="both"/>
        <w:rPr>
          <w:rFonts w:ascii="Verdana" w:hAnsi="Verdana" w:cs="Arial"/>
          <w:sz w:val="22"/>
          <w:szCs w:val="22"/>
          <w:lang w:val="es-CO" w:eastAsia="en-US"/>
        </w:rPr>
      </w:pPr>
    </w:p>
    <w:p w14:paraId="20AA5C26" w14:textId="77777777" w:rsidR="00FD21FE" w:rsidRDefault="00FD21FE" w:rsidP="00FD21FE">
      <w:pPr>
        <w:jc w:val="both"/>
        <w:rPr>
          <w:rFonts w:ascii="Verdana" w:hAnsi="Verdana" w:cs="Arial"/>
          <w:sz w:val="22"/>
          <w:szCs w:val="22"/>
          <w:lang w:val="es-CO"/>
        </w:rPr>
      </w:pPr>
    </w:p>
    <w:p w14:paraId="429DDFAB"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Los recursos sectoriales para el cierre de la vigencia 2022 con base en la ejecución presupuestal, fueron $1.871 millones. La transferencia corriente SGP APSB fue $1.812 millones, cifra coherente con lo reportado al CUIPO en la ejecución de ingreso. El superávit fiscal incorporado al presupuesto fue $56 millones y los rendimientos financieros $ 3 millones.</w:t>
      </w:r>
    </w:p>
    <w:p w14:paraId="3D9A8700" w14:textId="77777777" w:rsidR="00FD21FE" w:rsidRDefault="00FD21FE" w:rsidP="00FD21FE">
      <w:pPr>
        <w:jc w:val="both"/>
        <w:rPr>
          <w:rFonts w:ascii="Verdana" w:hAnsi="Verdana" w:cs="Arial"/>
          <w:sz w:val="22"/>
          <w:szCs w:val="22"/>
          <w:lang w:val="es-CO"/>
        </w:rPr>
      </w:pPr>
    </w:p>
    <w:p w14:paraId="6C39E9B5" w14:textId="77777777" w:rsidR="00FD21FE" w:rsidRDefault="00FD21FE" w:rsidP="00FD21FE">
      <w:pPr>
        <w:pStyle w:val="Ttulo2"/>
        <w:spacing w:before="0"/>
        <w:jc w:val="both"/>
        <w:rPr>
          <w:rFonts w:ascii="Verdana" w:hAnsi="Verdana" w:cs="Arial"/>
          <w:b/>
          <w:color w:val="auto"/>
          <w:sz w:val="22"/>
          <w:szCs w:val="22"/>
          <w:u w:val="single"/>
          <w:lang w:val="es-CO"/>
        </w:rPr>
      </w:pPr>
      <w:r>
        <w:rPr>
          <w:rFonts w:ascii="Verdana" w:hAnsi="Verdana" w:cs="Arial"/>
          <w:b/>
          <w:color w:val="auto"/>
          <w:sz w:val="22"/>
          <w:szCs w:val="22"/>
          <w:u w:val="single"/>
          <w:lang w:val="es-CO"/>
        </w:rPr>
        <w:t>GASTOS.</w:t>
      </w:r>
    </w:p>
    <w:p w14:paraId="04C7B560" w14:textId="77777777" w:rsidR="00FD21FE" w:rsidRDefault="00FD21FE" w:rsidP="00FD21FE">
      <w:pPr>
        <w:rPr>
          <w:rFonts w:ascii="Verdana" w:hAnsi="Verdana"/>
          <w:sz w:val="22"/>
          <w:szCs w:val="22"/>
          <w:lang w:val="es-CO"/>
        </w:rPr>
      </w:pPr>
    </w:p>
    <w:p w14:paraId="7C85D7A6"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El Municipio de San Martín, de acuerdo con la ejecución presupuestal a 2021, suscribió compromisos con los recursos del SGP - APSB por $1.574 millones, de los cuales obligó $1.426 millones y pagó $1.379 millones.</w:t>
      </w:r>
    </w:p>
    <w:p w14:paraId="35AEE8DA" w14:textId="77777777" w:rsidR="00FD21FE" w:rsidRDefault="00FD21FE" w:rsidP="00FD21FE">
      <w:pPr>
        <w:jc w:val="both"/>
        <w:rPr>
          <w:rFonts w:ascii="Verdana" w:hAnsi="Verdana" w:cs="Arial"/>
          <w:sz w:val="22"/>
          <w:szCs w:val="22"/>
          <w:lang w:val="es-CO"/>
        </w:rPr>
      </w:pPr>
    </w:p>
    <w:p w14:paraId="1227BC41"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Para la financiación de subsidios en la prestación de los Servicios Públicos Domiciliarios de Acueducto, Alcantarillado y Aseo, se comprometieron recursos por $647 millones ($301 millones para Acueducto, $144 millones Alcantarillado y $202 millones en Aseo) cifra coherente con el reporte de los registros presupuestales.</w:t>
      </w:r>
    </w:p>
    <w:p w14:paraId="196DC0EA" w14:textId="77777777" w:rsidR="00FD21FE" w:rsidRDefault="00FD21FE" w:rsidP="00FD21FE">
      <w:pPr>
        <w:jc w:val="both"/>
        <w:rPr>
          <w:rFonts w:ascii="Verdana" w:hAnsi="Verdana" w:cs="Arial"/>
          <w:sz w:val="22"/>
          <w:szCs w:val="22"/>
          <w:lang w:val="es-CO"/>
        </w:rPr>
      </w:pPr>
    </w:p>
    <w:p w14:paraId="228E866F"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Al cierre de 2021 los compromisos para subsidios de los recursos SGP - APSB fueron por $647 millones con cargo a esta fuente.</w:t>
      </w:r>
    </w:p>
    <w:p w14:paraId="50C8175B" w14:textId="77777777" w:rsidR="00FD21FE" w:rsidRDefault="00FD21FE" w:rsidP="00FD21FE">
      <w:pPr>
        <w:jc w:val="both"/>
        <w:rPr>
          <w:rFonts w:ascii="Verdana" w:hAnsi="Verdana" w:cs="Arial"/>
          <w:bCs/>
          <w:iCs/>
          <w:sz w:val="22"/>
          <w:szCs w:val="22"/>
          <w:lang w:val="es-ES_tradnl" w:eastAsia="en-US"/>
        </w:rPr>
      </w:pPr>
    </w:p>
    <w:p w14:paraId="2734DF64" w14:textId="77777777" w:rsidR="00FD21FE" w:rsidRDefault="00FD21FE" w:rsidP="00FD21FE">
      <w:pPr>
        <w:jc w:val="center"/>
        <w:rPr>
          <w:rFonts w:ascii="Verdana" w:hAnsi="Verdana" w:cs="Arial"/>
          <w:bCs/>
          <w:iCs/>
          <w:sz w:val="22"/>
          <w:szCs w:val="22"/>
          <w:lang w:val="es-CO" w:eastAsia="en-US"/>
        </w:rPr>
      </w:pPr>
    </w:p>
    <w:p w14:paraId="326AD74C" w14:textId="77777777" w:rsidR="00FD21FE" w:rsidRDefault="00FD21FE" w:rsidP="00FD21FE">
      <w:pPr>
        <w:jc w:val="center"/>
        <w:rPr>
          <w:rFonts w:ascii="Verdana" w:hAnsi="Verdana" w:cs="Arial"/>
          <w:b/>
          <w:iCs/>
          <w:sz w:val="22"/>
          <w:szCs w:val="22"/>
          <w:lang w:val="es-CO" w:eastAsia="en-US"/>
        </w:rPr>
      </w:pPr>
      <w:r>
        <w:rPr>
          <w:rFonts w:ascii="Verdana" w:hAnsi="Verdana" w:cs="Arial"/>
          <w:b/>
          <w:iCs/>
          <w:sz w:val="22"/>
          <w:szCs w:val="22"/>
          <w:lang w:val="es-CO" w:eastAsia="en-US"/>
        </w:rPr>
        <w:t>TABLA 5: GASTOS 2021-2022</w:t>
      </w:r>
    </w:p>
    <w:tbl>
      <w:tblPr>
        <w:tblpPr w:leftFromText="141" w:rightFromText="141" w:vertAnchor="text" w:tblpXSpec="center" w:tblpY="98"/>
        <w:tblW w:w="8760" w:type="dxa"/>
        <w:tblLayout w:type="fixed"/>
        <w:tblCellMar>
          <w:left w:w="70" w:type="dxa"/>
          <w:right w:w="70" w:type="dxa"/>
        </w:tblCellMar>
        <w:tblLook w:val="04A0" w:firstRow="1" w:lastRow="0" w:firstColumn="1" w:lastColumn="0" w:noHBand="0" w:noVBand="1"/>
      </w:tblPr>
      <w:tblGrid>
        <w:gridCol w:w="2136"/>
        <w:gridCol w:w="1118"/>
        <w:gridCol w:w="850"/>
        <w:gridCol w:w="919"/>
        <w:gridCol w:w="1231"/>
        <w:gridCol w:w="1252"/>
        <w:gridCol w:w="1254"/>
      </w:tblGrid>
      <w:tr w:rsidR="00FD21FE" w14:paraId="641ADF94" w14:textId="77777777" w:rsidTr="00FD21FE">
        <w:trPr>
          <w:trHeight w:val="320"/>
          <w:tblHeader/>
        </w:trPr>
        <w:tc>
          <w:tcPr>
            <w:tcW w:w="213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47D23B87" w14:textId="77777777" w:rsidR="00FD21FE" w:rsidRDefault="00FD21FE">
            <w:pPr>
              <w:jc w:val="both"/>
              <w:rPr>
                <w:rFonts w:ascii="Verdana" w:hAnsi="Verdana" w:cs="Arial"/>
                <w:b/>
                <w:sz w:val="20"/>
                <w:szCs w:val="20"/>
              </w:rPr>
            </w:pPr>
          </w:p>
        </w:tc>
        <w:tc>
          <w:tcPr>
            <w:tcW w:w="2886" w:type="dxa"/>
            <w:gridSpan w:val="3"/>
            <w:tcBorders>
              <w:top w:val="single" w:sz="8" w:space="0" w:color="auto"/>
              <w:left w:val="single" w:sz="4" w:space="0" w:color="auto"/>
              <w:bottom w:val="single" w:sz="8" w:space="0" w:color="auto"/>
              <w:right w:val="single" w:sz="8" w:space="0" w:color="auto"/>
            </w:tcBorders>
            <w:shd w:val="clear" w:color="auto" w:fill="FFFFFF" w:themeFill="background1"/>
            <w:hideMark/>
          </w:tcPr>
          <w:p w14:paraId="6742775E" w14:textId="77777777" w:rsidR="00FD21FE" w:rsidRDefault="00FD21FE">
            <w:pPr>
              <w:jc w:val="center"/>
              <w:rPr>
                <w:rFonts w:ascii="Verdana" w:hAnsi="Verdana" w:cs="Arial"/>
                <w:b/>
                <w:sz w:val="20"/>
                <w:szCs w:val="20"/>
              </w:rPr>
            </w:pPr>
            <w:r>
              <w:rPr>
                <w:rFonts w:ascii="Verdana" w:hAnsi="Verdana" w:cs="Arial"/>
                <w:b/>
                <w:sz w:val="20"/>
                <w:szCs w:val="20"/>
              </w:rPr>
              <w:t>2021</w:t>
            </w:r>
          </w:p>
        </w:tc>
        <w:tc>
          <w:tcPr>
            <w:tcW w:w="3737" w:type="dxa"/>
            <w:gridSpan w:val="3"/>
            <w:tcBorders>
              <w:top w:val="single" w:sz="8" w:space="0" w:color="auto"/>
              <w:left w:val="single" w:sz="4" w:space="0" w:color="auto"/>
              <w:bottom w:val="single" w:sz="8" w:space="0" w:color="auto"/>
              <w:right w:val="single" w:sz="8" w:space="0" w:color="auto"/>
            </w:tcBorders>
            <w:shd w:val="clear" w:color="auto" w:fill="FFFFFF" w:themeFill="background1"/>
            <w:hideMark/>
          </w:tcPr>
          <w:p w14:paraId="7BEA3C5E" w14:textId="77777777" w:rsidR="00FD21FE" w:rsidRDefault="00FD21FE">
            <w:pPr>
              <w:jc w:val="center"/>
              <w:rPr>
                <w:rFonts w:ascii="Verdana" w:hAnsi="Verdana" w:cs="Arial"/>
                <w:b/>
                <w:sz w:val="20"/>
                <w:szCs w:val="20"/>
              </w:rPr>
            </w:pPr>
            <w:r>
              <w:rPr>
                <w:rFonts w:ascii="Verdana" w:hAnsi="Verdana" w:cs="Arial"/>
                <w:b/>
                <w:sz w:val="20"/>
                <w:szCs w:val="20"/>
              </w:rPr>
              <w:t>2022</w:t>
            </w:r>
          </w:p>
        </w:tc>
      </w:tr>
      <w:tr w:rsidR="00FD21FE" w14:paraId="54AA9F7A" w14:textId="77777777" w:rsidTr="00FD21FE">
        <w:trPr>
          <w:trHeight w:val="320"/>
          <w:tblHeader/>
        </w:trPr>
        <w:tc>
          <w:tcPr>
            <w:tcW w:w="213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76000D4D" w14:textId="77777777" w:rsidR="00FD21FE" w:rsidRDefault="00FD21FE">
            <w:pPr>
              <w:jc w:val="both"/>
              <w:rPr>
                <w:rFonts w:ascii="Verdana" w:hAnsi="Verdana" w:cs="Arial"/>
                <w:b/>
                <w:sz w:val="16"/>
                <w:szCs w:val="16"/>
              </w:rPr>
            </w:pPr>
            <w:r>
              <w:rPr>
                <w:rFonts w:ascii="Verdana" w:hAnsi="Verdana" w:cs="Arial"/>
                <w:b/>
                <w:sz w:val="16"/>
                <w:szCs w:val="16"/>
              </w:rPr>
              <w:t>Descripción</w:t>
            </w:r>
          </w:p>
        </w:tc>
        <w:tc>
          <w:tcPr>
            <w:tcW w:w="1117" w:type="dxa"/>
            <w:tcBorders>
              <w:top w:val="single" w:sz="8" w:space="0" w:color="auto"/>
              <w:left w:val="nil"/>
              <w:bottom w:val="single" w:sz="4" w:space="0" w:color="auto"/>
              <w:right w:val="single" w:sz="8" w:space="0" w:color="auto"/>
            </w:tcBorders>
            <w:shd w:val="clear" w:color="auto" w:fill="FFFFFF" w:themeFill="background1"/>
            <w:hideMark/>
          </w:tcPr>
          <w:p w14:paraId="7B0B2952" w14:textId="77777777" w:rsidR="00FD21FE" w:rsidRDefault="00FD21FE">
            <w:pPr>
              <w:jc w:val="center"/>
              <w:rPr>
                <w:rFonts w:ascii="Verdana" w:hAnsi="Verdana" w:cs="Arial"/>
                <w:b/>
                <w:sz w:val="16"/>
                <w:szCs w:val="16"/>
              </w:rPr>
            </w:pPr>
            <w:r>
              <w:rPr>
                <w:rFonts w:ascii="Verdana" w:hAnsi="Verdana" w:cs="Arial"/>
                <w:b/>
                <w:sz w:val="16"/>
                <w:szCs w:val="16"/>
              </w:rPr>
              <w:t>Compromiso</w:t>
            </w:r>
          </w:p>
        </w:tc>
        <w:tc>
          <w:tcPr>
            <w:tcW w:w="850" w:type="dxa"/>
            <w:tcBorders>
              <w:top w:val="single" w:sz="8" w:space="0" w:color="auto"/>
              <w:left w:val="nil"/>
              <w:bottom w:val="single" w:sz="4" w:space="0" w:color="auto"/>
              <w:right w:val="single" w:sz="8" w:space="0" w:color="auto"/>
            </w:tcBorders>
            <w:shd w:val="clear" w:color="auto" w:fill="FFFFFF" w:themeFill="background1"/>
            <w:hideMark/>
          </w:tcPr>
          <w:p w14:paraId="763D33C9" w14:textId="77777777" w:rsidR="00FD21FE" w:rsidRDefault="00FD21FE">
            <w:pPr>
              <w:jc w:val="center"/>
              <w:rPr>
                <w:rFonts w:ascii="Verdana" w:hAnsi="Verdana" w:cs="Arial"/>
                <w:b/>
                <w:sz w:val="16"/>
                <w:szCs w:val="16"/>
              </w:rPr>
            </w:pPr>
            <w:r>
              <w:rPr>
                <w:rFonts w:ascii="Verdana" w:hAnsi="Verdana" w:cs="Arial"/>
                <w:b/>
                <w:sz w:val="16"/>
                <w:szCs w:val="16"/>
              </w:rPr>
              <w:t>Obligación</w:t>
            </w:r>
          </w:p>
        </w:tc>
        <w:tc>
          <w:tcPr>
            <w:tcW w:w="919" w:type="dxa"/>
            <w:tcBorders>
              <w:top w:val="single" w:sz="8" w:space="0" w:color="auto"/>
              <w:left w:val="nil"/>
              <w:bottom w:val="single" w:sz="4" w:space="0" w:color="auto"/>
              <w:right w:val="single" w:sz="4" w:space="0" w:color="auto"/>
            </w:tcBorders>
            <w:shd w:val="clear" w:color="auto" w:fill="FFFFFF" w:themeFill="background1"/>
            <w:hideMark/>
          </w:tcPr>
          <w:p w14:paraId="24F88FBF" w14:textId="77777777" w:rsidR="00FD21FE" w:rsidRDefault="00FD21FE">
            <w:pPr>
              <w:jc w:val="center"/>
              <w:rPr>
                <w:rFonts w:ascii="Verdana" w:hAnsi="Verdana" w:cs="Arial"/>
                <w:b/>
                <w:sz w:val="16"/>
                <w:szCs w:val="16"/>
              </w:rPr>
            </w:pPr>
            <w:r>
              <w:rPr>
                <w:rFonts w:ascii="Verdana" w:hAnsi="Verdana" w:cs="Arial"/>
                <w:b/>
                <w:sz w:val="16"/>
                <w:szCs w:val="16"/>
              </w:rPr>
              <w:t>Pago</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AF5140" w14:textId="77777777" w:rsidR="00FD21FE" w:rsidRDefault="00FD21FE">
            <w:pPr>
              <w:jc w:val="center"/>
              <w:rPr>
                <w:rFonts w:ascii="Verdana" w:hAnsi="Verdana" w:cs="Arial"/>
                <w:b/>
                <w:sz w:val="16"/>
                <w:szCs w:val="16"/>
              </w:rPr>
            </w:pPr>
            <w:r>
              <w:rPr>
                <w:rFonts w:ascii="Verdana" w:hAnsi="Verdana" w:cs="Arial"/>
                <w:b/>
                <w:sz w:val="16"/>
                <w:szCs w:val="16"/>
              </w:rPr>
              <w:t>Compromiso</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CCED4C" w14:textId="77777777" w:rsidR="00FD21FE" w:rsidRDefault="00FD21FE">
            <w:pPr>
              <w:jc w:val="center"/>
              <w:rPr>
                <w:rFonts w:ascii="Verdana" w:hAnsi="Verdana" w:cs="Arial"/>
                <w:b/>
                <w:sz w:val="16"/>
                <w:szCs w:val="16"/>
              </w:rPr>
            </w:pPr>
            <w:r>
              <w:rPr>
                <w:rFonts w:ascii="Verdana" w:hAnsi="Verdana" w:cs="Arial"/>
                <w:b/>
                <w:sz w:val="16"/>
                <w:szCs w:val="16"/>
              </w:rPr>
              <w:t>Obligación</w:t>
            </w:r>
          </w:p>
        </w:tc>
        <w:tc>
          <w:tcPr>
            <w:tcW w:w="1254" w:type="dxa"/>
            <w:tcBorders>
              <w:top w:val="single" w:sz="8" w:space="0" w:color="auto"/>
              <w:left w:val="single" w:sz="4" w:space="0" w:color="auto"/>
              <w:bottom w:val="single" w:sz="4" w:space="0" w:color="auto"/>
              <w:right w:val="single" w:sz="8" w:space="0" w:color="auto"/>
            </w:tcBorders>
            <w:shd w:val="clear" w:color="auto" w:fill="FFFFFF" w:themeFill="background1"/>
            <w:hideMark/>
          </w:tcPr>
          <w:p w14:paraId="0EB86FED" w14:textId="77777777" w:rsidR="00FD21FE" w:rsidRDefault="00FD21FE">
            <w:pPr>
              <w:jc w:val="center"/>
              <w:rPr>
                <w:rFonts w:ascii="Verdana" w:hAnsi="Verdana" w:cs="Arial"/>
                <w:b/>
                <w:sz w:val="16"/>
                <w:szCs w:val="16"/>
              </w:rPr>
            </w:pPr>
            <w:r>
              <w:rPr>
                <w:rFonts w:ascii="Verdana" w:hAnsi="Verdana" w:cs="Arial"/>
                <w:b/>
                <w:sz w:val="16"/>
                <w:szCs w:val="16"/>
              </w:rPr>
              <w:t>Pago</w:t>
            </w:r>
          </w:p>
        </w:tc>
      </w:tr>
      <w:tr w:rsidR="00FD21FE" w14:paraId="0E706EC4" w14:textId="77777777" w:rsidTr="00FD21FE">
        <w:trPr>
          <w:trHeight w:val="306"/>
        </w:trPr>
        <w:tc>
          <w:tcPr>
            <w:tcW w:w="2134" w:type="dxa"/>
            <w:tcBorders>
              <w:top w:val="nil"/>
              <w:left w:val="single" w:sz="8" w:space="0" w:color="auto"/>
              <w:bottom w:val="single" w:sz="4" w:space="0" w:color="auto"/>
              <w:right w:val="single" w:sz="12" w:space="0" w:color="auto"/>
            </w:tcBorders>
            <w:noWrap/>
            <w:vAlign w:val="bottom"/>
            <w:hideMark/>
          </w:tcPr>
          <w:p w14:paraId="30B4F6FE" w14:textId="77777777" w:rsidR="00FD21FE" w:rsidRDefault="00FD21FE">
            <w:pPr>
              <w:jc w:val="both"/>
              <w:rPr>
                <w:rFonts w:ascii="Verdana" w:hAnsi="Verdana" w:cs="Arial"/>
                <w:bCs/>
                <w:color w:val="000000"/>
                <w:sz w:val="16"/>
                <w:szCs w:val="16"/>
                <w:lang w:eastAsia="es-CO"/>
              </w:rPr>
            </w:pPr>
            <w:r>
              <w:rPr>
                <w:rFonts w:ascii="Verdana" w:hAnsi="Verdana" w:cs="Arial"/>
                <w:bCs/>
                <w:color w:val="000000"/>
                <w:sz w:val="16"/>
                <w:szCs w:val="16"/>
                <w:lang w:eastAsia="es-CO"/>
              </w:rPr>
              <w:t>Acueducto - tratamiento</w:t>
            </w:r>
          </w:p>
        </w:tc>
        <w:tc>
          <w:tcPr>
            <w:tcW w:w="1117" w:type="dxa"/>
            <w:tcBorders>
              <w:top w:val="single" w:sz="4" w:space="0" w:color="auto"/>
              <w:left w:val="single" w:sz="4" w:space="0" w:color="auto"/>
              <w:bottom w:val="single" w:sz="4" w:space="0" w:color="auto"/>
              <w:right w:val="single" w:sz="4" w:space="0" w:color="auto"/>
            </w:tcBorders>
          </w:tcPr>
          <w:p w14:paraId="297448CA" w14:textId="77777777" w:rsidR="00FD21FE" w:rsidRDefault="00FD21FE">
            <w:pPr>
              <w:jc w:val="center"/>
              <w:rPr>
                <w:rFonts w:ascii="Verdana" w:hAnsi="Verdana" w:cs="Arial"/>
                <w:bCs/>
                <w:color w:val="000000"/>
                <w:sz w:val="16"/>
                <w:szCs w:val="16"/>
                <w:lang w:eastAsia="es-CO"/>
              </w:rPr>
            </w:pPr>
          </w:p>
        </w:tc>
        <w:tc>
          <w:tcPr>
            <w:tcW w:w="850" w:type="dxa"/>
            <w:tcBorders>
              <w:top w:val="single" w:sz="4" w:space="0" w:color="auto"/>
              <w:left w:val="single" w:sz="4" w:space="0" w:color="auto"/>
              <w:bottom w:val="single" w:sz="4" w:space="0" w:color="auto"/>
              <w:right w:val="single" w:sz="4" w:space="0" w:color="auto"/>
            </w:tcBorders>
          </w:tcPr>
          <w:p w14:paraId="6D19310A" w14:textId="77777777" w:rsidR="00FD21FE" w:rsidRDefault="00FD21FE">
            <w:pPr>
              <w:jc w:val="center"/>
              <w:rPr>
                <w:rFonts w:ascii="Verdana" w:hAnsi="Verdana" w:cs="Arial"/>
                <w:bCs/>
                <w:color w:val="000000"/>
                <w:sz w:val="16"/>
                <w:szCs w:val="16"/>
                <w:lang w:eastAsia="es-CO"/>
              </w:rPr>
            </w:pPr>
          </w:p>
        </w:tc>
        <w:tc>
          <w:tcPr>
            <w:tcW w:w="919" w:type="dxa"/>
            <w:tcBorders>
              <w:top w:val="single" w:sz="4" w:space="0" w:color="auto"/>
              <w:left w:val="single" w:sz="4" w:space="0" w:color="auto"/>
              <w:bottom w:val="single" w:sz="4" w:space="0" w:color="auto"/>
              <w:right w:val="single" w:sz="4" w:space="0" w:color="auto"/>
            </w:tcBorders>
          </w:tcPr>
          <w:p w14:paraId="7A7B4DA8" w14:textId="77777777" w:rsidR="00FD21FE" w:rsidRDefault="00FD21FE">
            <w:pPr>
              <w:jc w:val="center"/>
              <w:rPr>
                <w:rFonts w:ascii="Verdana" w:hAnsi="Verdana" w:cs="Arial"/>
                <w:bCs/>
                <w:color w:val="000000"/>
                <w:sz w:val="16"/>
                <w:szCs w:val="16"/>
                <w:lang w:eastAsia="es-CO"/>
              </w:rPr>
            </w:pPr>
          </w:p>
        </w:tc>
        <w:tc>
          <w:tcPr>
            <w:tcW w:w="1231" w:type="dxa"/>
            <w:tcBorders>
              <w:top w:val="single" w:sz="4" w:space="0" w:color="auto"/>
              <w:left w:val="single" w:sz="4" w:space="0" w:color="auto"/>
              <w:bottom w:val="single" w:sz="4" w:space="0" w:color="auto"/>
              <w:right w:val="single" w:sz="4" w:space="0" w:color="auto"/>
            </w:tcBorders>
          </w:tcPr>
          <w:p w14:paraId="675F1E24" w14:textId="77777777" w:rsidR="00FD21FE" w:rsidRDefault="00FD21FE">
            <w:pPr>
              <w:jc w:val="center"/>
              <w:rPr>
                <w:rFonts w:ascii="Verdana" w:hAnsi="Verdana" w:cs="Arial"/>
                <w:bCs/>
                <w:color w:val="000000"/>
                <w:sz w:val="16"/>
                <w:szCs w:val="16"/>
                <w:lang w:eastAsia="es-CO"/>
              </w:rPr>
            </w:pPr>
          </w:p>
        </w:tc>
        <w:tc>
          <w:tcPr>
            <w:tcW w:w="1252" w:type="dxa"/>
            <w:tcBorders>
              <w:top w:val="single" w:sz="4" w:space="0" w:color="auto"/>
              <w:left w:val="single" w:sz="4" w:space="0" w:color="auto"/>
              <w:bottom w:val="single" w:sz="4" w:space="0" w:color="auto"/>
              <w:right w:val="single" w:sz="4" w:space="0" w:color="auto"/>
            </w:tcBorders>
          </w:tcPr>
          <w:p w14:paraId="47142B83" w14:textId="77777777" w:rsidR="00FD21FE" w:rsidRDefault="00FD21FE">
            <w:pPr>
              <w:jc w:val="center"/>
              <w:rPr>
                <w:rFonts w:ascii="Verdana" w:hAnsi="Verdana" w:cs="Arial"/>
                <w:bCs/>
                <w:color w:val="000000"/>
                <w:sz w:val="16"/>
                <w:szCs w:val="16"/>
                <w:lang w:eastAsia="es-CO"/>
              </w:rPr>
            </w:pPr>
          </w:p>
        </w:tc>
        <w:tc>
          <w:tcPr>
            <w:tcW w:w="1254" w:type="dxa"/>
            <w:tcBorders>
              <w:top w:val="single" w:sz="4" w:space="0" w:color="auto"/>
              <w:left w:val="single" w:sz="4" w:space="0" w:color="auto"/>
              <w:bottom w:val="single" w:sz="4" w:space="0" w:color="auto"/>
              <w:right w:val="single" w:sz="4" w:space="0" w:color="auto"/>
            </w:tcBorders>
          </w:tcPr>
          <w:p w14:paraId="6BD611A9" w14:textId="77777777" w:rsidR="00FD21FE" w:rsidRDefault="00FD21FE">
            <w:pPr>
              <w:jc w:val="center"/>
              <w:rPr>
                <w:rFonts w:ascii="Verdana" w:hAnsi="Verdana" w:cs="Arial"/>
                <w:bCs/>
                <w:color w:val="000000"/>
                <w:sz w:val="16"/>
                <w:szCs w:val="16"/>
                <w:lang w:eastAsia="es-CO"/>
              </w:rPr>
            </w:pPr>
          </w:p>
        </w:tc>
      </w:tr>
      <w:tr w:rsidR="00FD21FE" w14:paraId="502FC5B0" w14:textId="77777777" w:rsidTr="00FD21FE">
        <w:trPr>
          <w:trHeight w:val="306"/>
        </w:trPr>
        <w:tc>
          <w:tcPr>
            <w:tcW w:w="2134" w:type="dxa"/>
            <w:tcBorders>
              <w:top w:val="nil"/>
              <w:left w:val="single" w:sz="8" w:space="0" w:color="auto"/>
              <w:bottom w:val="single" w:sz="4" w:space="0" w:color="auto"/>
              <w:right w:val="single" w:sz="12" w:space="0" w:color="auto"/>
            </w:tcBorders>
            <w:noWrap/>
            <w:vAlign w:val="bottom"/>
            <w:hideMark/>
          </w:tcPr>
          <w:p w14:paraId="0A561E1D" w14:textId="77777777" w:rsidR="00FD21FE" w:rsidRDefault="00FD21FE">
            <w:pPr>
              <w:jc w:val="both"/>
              <w:rPr>
                <w:rFonts w:ascii="Verdana" w:hAnsi="Verdana" w:cs="Arial"/>
                <w:bCs/>
                <w:color w:val="000000"/>
                <w:sz w:val="16"/>
                <w:szCs w:val="16"/>
                <w:lang w:eastAsia="es-CO"/>
              </w:rPr>
            </w:pPr>
            <w:r>
              <w:rPr>
                <w:rFonts w:ascii="Verdana" w:hAnsi="Verdana" w:cs="Arial"/>
                <w:color w:val="000000"/>
                <w:sz w:val="16"/>
                <w:szCs w:val="16"/>
                <w:lang w:val="es-CO" w:eastAsia="es-CO"/>
              </w:rPr>
              <w:t>Acueductos optimizados</w:t>
            </w:r>
          </w:p>
        </w:tc>
        <w:tc>
          <w:tcPr>
            <w:tcW w:w="1117" w:type="dxa"/>
            <w:tcBorders>
              <w:top w:val="single" w:sz="4" w:space="0" w:color="auto"/>
              <w:left w:val="single" w:sz="4" w:space="0" w:color="auto"/>
              <w:bottom w:val="single" w:sz="4" w:space="0" w:color="auto"/>
              <w:right w:val="single" w:sz="4" w:space="0" w:color="auto"/>
            </w:tcBorders>
            <w:hideMark/>
          </w:tcPr>
          <w:p w14:paraId="24CDE7E6" w14:textId="77777777" w:rsidR="00FD21FE" w:rsidRDefault="00FD21FE">
            <w:pPr>
              <w:jc w:val="center"/>
              <w:rPr>
                <w:rFonts w:ascii="Verdana" w:hAnsi="Verdana" w:cs="Arial"/>
                <w:bCs/>
                <w:color w:val="000000"/>
                <w:sz w:val="16"/>
                <w:szCs w:val="16"/>
                <w:lang w:eastAsia="es-CO"/>
              </w:rPr>
            </w:pPr>
            <w:r>
              <w:rPr>
                <w:rFonts w:ascii="Verdana" w:hAnsi="Verdana" w:cs="Arial"/>
                <w:bCs/>
                <w:color w:val="000000"/>
                <w:sz w:val="16"/>
                <w:szCs w:val="16"/>
                <w:lang w:eastAsia="es-CO"/>
              </w:rPr>
              <w:t>278</w:t>
            </w:r>
          </w:p>
        </w:tc>
        <w:tc>
          <w:tcPr>
            <w:tcW w:w="850" w:type="dxa"/>
            <w:tcBorders>
              <w:top w:val="single" w:sz="4" w:space="0" w:color="auto"/>
              <w:left w:val="single" w:sz="4" w:space="0" w:color="auto"/>
              <w:bottom w:val="single" w:sz="4" w:space="0" w:color="auto"/>
              <w:right w:val="single" w:sz="4" w:space="0" w:color="auto"/>
            </w:tcBorders>
            <w:hideMark/>
          </w:tcPr>
          <w:p w14:paraId="0A462039" w14:textId="77777777" w:rsidR="00FD21FE" w:rsidRDefault="00FD21FE">
            <w:pPr>
              <w:jc w:val="center"/>
              <w:rPr>
                <w:rFonts w:ascii="Verdana" w:hAnsi="Verdana" w:cs="Arial"/>
                <w:bCs/>
                <w:color w:val="000000"/>
                <w:sz w:val="16"/>
                <w:szCs w:val="16"/>
                <w:lang w:eastAsia="es-CO"/>
              </w:rPr>
            </w:pPr>
            <w:r>
              <w:rPr>
                <w:rFonts w:ascii="Verdana" w:hAnsi="Verdana" w:cs="Arial"/>
                <w:bCs/>
                <w:color w:val="000000"/>
                <w:sz w:val="16"/>
                <w:szCs w:val="16"/>
                <w:lang w:eastAsia="es-CO"/>
              </w:rPr>
              <w:t>130</w:t>
            </w:r>
          </w:p>
        </w:tc>
        <w:tc>
          <w:tcPr>
            <w:tcW w:w="919" w:type="dxa"/>
            <w:tcBorders>
              <w:top w:val="single" w:sz="4" w:space="0" w:color="auto"/>
              <w:left w:val="single" w:sz="4" w:space="0" w:color="auto"/>
              <w:bottom w:val="single" w:sz="4" w:space="0" w:color="auto"/>
              <w:right w:val="single" w:sz="4" w:space="0" w:color="auto"/>
            </w:tcBorders>
            <w:hideMark/>
          </w:tcPr>
          <w:p w14:paraId="3F4EF0FD" w14:textId="77777777" w:rsidR="00FD21FE" w:rsidRDefault="00FD21FE">
            <w:pPr>
              <w:jc w:val="center"/>
              <w:rPr>
                <w:rFonts w:ascii="Verdana" w:hAnsi="Verdana" w:cs="Arial"/>
                <w:bCs/>
                <w:color w:val="000000"/>
                <w:sz w:val="16"/>
                <w:szCs w:val="16"/>
                <w:lang w:eastAsia="es-CO"/>
              </w:rPr>
            </w:pPr>
            <w:r>
              <w:rPr>
                <w:rFonts w:ascii="Verdana" w:hAnsi="Verdana" w:cs="Arial"/>
                <w:bCs/>
                <w:color w:val="000000"/>
                <w:sz w:val="16"/>
                <w:szCs w:val="16"/>
                <w:lang w:eastAsia="es-CO"/>
              </w:rPr>
              <w:t>107</w:t>
            </w:r>
          </w:p>
        </w:tc>
        <w:tc>
          <w:tcPr>
            <w:tcW w:w="1231" w:type="dxa"/>
            <w:tcBorders>
              <w:top w:val="single" w:sz="4" w:space="0" w:color="auto"/>
              <w:left w:val="single" w:sz="4" w:space="0" w:color="auto"/>
              <w:bottom w:val="single" w:sz="4" w:space="0" w:color="auto"/>
              <w:right w:val="single" w:sz="4" w:space="0" w:color="auto"/>
            </w:tcBorders>
            <w:hideMark/>
          </w:tcPr>
          <w:p w14:paraId="52800249" w14:textId="77777777" w:rsidR="00FD21FE" w:rsidRDefault="00FD21FE">
            <w:pPr>
              <w:jc w:val="center"/>
              <w:rPr>
                <w:rFonts w:ascii="Verdana" w:hAnsi="Verdana" w:cs="Arial"/>
                <w:bCs/>
                <w:color w:val="000000"/>
                <w:sz w:val="16"/>
                <w:szCs w:val="16"/>
                <w:lang w:eastAsia="es-CO"/>
              </w:rPr>
            </w:pPr>
            <w:r>
              <w:rPr>
                <w:rFonts w:ascii="Verdana" w:hAnsi="Verdana" w:cs="Arial"/>
                <w:bCs/>
                <w:color w:val="000000"/>
                <w:sz w:val="16"/>
                <w:szCs w:val="16"/>
                <w:lang w:eastAsia="es-CO"/>
              </w:rPr>
              <w:t>211</w:t>
            </w:r>
          </w:p>
        </w:tc>
        <w:tc>
          <w:tcPr>
            <w:tcW w:w="1252" w:type="dxa"/>
            <w:tcBorders>
              <w:top w:val="single" w:sz="4" w:space="0" w:color="auto"/>
              <w:left w:val="single" w:sz="4" w:space="0" w:color="auto"/>
              <w:bottom w:val="single" w:sz="4" w:space="0" w:color="auto"/>
              <w:right w:val="single" w:sz="4" w:space="0" w:color="auto"/>
            </w:tcBorders>
            <w:hideMark/>
          </w:tcPr>
          <w:p w14:paraId="13E48556" w14:textId="77777777" w:rsidR="00FD21FE" w:rsidRDefault="00FD21FE">
            <w:pPr>
              <w:jc w:val="center"/>
              <w:rPr>
                <w:rFonts w:ascii="Verdana" w:hAnsi="Verdana" w:cs="Arial"/>
                <w:bCs/>
                <w:color w:val="000000"/>
                <w:sz w:val="16"/>
                <w:szCs w:val="16"/>
                <w:lang w:eastAsia="es-CO"/>
              </w:rPr>
            </w:pPr>
            <w:r>
              <w:rPr>
                <w:rFonts w:ascii="Verdana" w:hAnsi="Verdana" w:cs="Arial"/>
                <w:bCs/>
                <w:color w:val="000000"/>
                <w:sz w:val="16"/>
                <w:szCs w:val="16"/>
                <w:lang w:eastAsia="es-CO"/>
              </w:rPr>
              <w:t>211</w:t>
            </w:r>
          </w:p>
        </w:tc>
        <w:tc>
          <w:tcPr>
            <w:tcW w:w="1254" w:type="dxa"/>
            <w:tcBorders>
              <w:top w:val="single" w:sz="4" w:space="0" w:color="auto"/>
              <w:left w:val="single" w:sz="4" w:space="0" w:color="auto"/>
              <w:bottom w:val="single" w:sz="4" w:space="0" w:color="auto"/>
              <w:right w:val="single" w:sz="4" w:space="0" w:color="auto"/>
            </w:tcBorders>
            <w:hideMark/>
          </w:tcPr>
          <w:p w14:paraId="40DBED6A" w14:textId="77777777" w:rsidR="00FD21FE" w:rsidRDefault="00FD21FE">
            <w:pPr>
              <w:jc w:val="center"/>
              <w:rPr>
                <w:rFonts w:ascii="Verdana" w:hAnsi="Verdana" w:cs="Arial"/>
                <w:bCs/>
                <w:color w:val="000000"/>
                <w:sz w:val="16"/>
                <w:szCs w:val="16"/>
                <w:lang w:eastAsia="es-CO"/>
              </w:rPr>
            </w:pPr>
            <w:r>
              <w:rPr>
                <w:rFonts w:ascii="Verdana" w:hAnsi="Verdana" w:cs="Arial"/>
                <w:bCs/>
                <w:color w:val="000000"/>
                <w:sz w:val="16"/>
                <w:szCs w:val="16"/>
                <w:lang w:eastAsia="es-CO"/>
              </w:rPr>
              <w:t>211</w:t>
            </w:r>
          </w:p>
        </w:tc>
      </w:tr>
      <w:tr w:rsidR="00FD21FE" w14:paraId="4DDD4505" w14:textId="77777777" w:rsidTr="00FD21FE">
        <w:trPr>
          <w:trHeight w:val="306"/>
        </w:trPr>
        <w:tc>
          <w:tcPr>
            <w:tcW w:w="2134" w:type="dxa"/>
            <w:tcBorders>
              <w:top w:val="nil"/>
              <w:left w:val="single" w:sz="8" w:space="0" w:color="auto"/>
              <w:bottom w:val="single" w:sz="4" w:space="0" w:color="auto"/>
              <w:right w:val="single" w:sz="12" w:space="0" w:color="auto"/>
            </w:tcBorders>
            <w:noWrap/>
            <w:vAlign w:val="bottom"/>
            <w:hideMark/>
          </w:tcPr>
          <w:p w14:paraId="53BFC408" w14:textId="77777777" w:rsidR="00FD21FE" w:rsidRDefault="00FD21FE">
            <w:pPr>
              <w:jc w:val="both"/>
              <w:rPr>
                <w:rFonts w:ascii="Verdana" w:hAnsi="Verdana" w:cs="Arial"/>
                <w:bCs/>
                <w:color w:val="000000"/>
                <w:sz w:val="16"/>
                <w:szCs w:val="16"/>
                <w:lang w:eastAsia="es-CO"/>
              </w:rPr>
            </w:pPr>
            <w:r>
              <w:rPr>
                <w:rFonts w:ascii="Verdana" w:hAnsi="Verdana" w:cs="Arial"/>
                <w:bCs/>
                <w:color w:val="000000"/>
                <w:sz w:val="16"/>
                <w:szCs w:val="16"/>
                <w:lang w:eastAsia="es-CO"/>
              </w:rPr>
              <w:t>Alcantarillado (Recolección y transporte)</w:t>
            </w:r>
          </w:p>
        </w:tc>
        <w:tc>
          <w:tcPr>
            <w:tcW w:w="1117" w:type="dxa"/>
            <w:tcBorders>
              <w:top w:val="single" w:sz="4" w:space="0" w:color="auto"/>
              <w:left w:val="single" w:sz="4" w:space="0" w:color="auto"/>
              <w:bottom w:val="single" w:sz="4" w:space="0" w:color="auto"/>
              <w:right w:val="single" w:sz="4" w:space="0" w:color="auto"/>
            </w:tcBorders>
          </w:tcPr>
          <w:p w14:paraId="7ED0519A" w14:textId="77777777" w:rsidR="00FD21FE" w:rsidRDefault="00FD21FE">
            <w:pPr>
              <w:jc w:val="center"/>
              <w:rPr>
                <w:rFonts w:ascii="Verdana" w:hAnsi="Verdana" w:cs="Arial"/>
                <w:bCs/>
                <w:color w:val="000000"/>
                <w:sz w:val="16"/>
                <w:szCs w:val="16"/>
                <w:lang w:eastAsia="es-CO"/>
              </w:rPr>
            </w:pPr>
          </w:p>
        </w:tc>
        <w:tc>
          <w:tcPr>
            <w:tcW w:w="850" w:type="dxa"/>
            <w:tcBorders>
              <w:top w:val="single" w:sz="4" w:space="0" w:color="auto"/>
              <w:left w:val="single" w:sz="4" w:space="0" w:color="auto"/>
              <w:bottom w:val="single" w:sz="4" w:space="0" w:color="auto"/>
              <w:right w:val="single" w:sz="4" w:space="0" w:color="auto"/>
            </w:tcBorders>
          </w:tcPr>
          <w:p w14:paraId="18D773F7" w14:textId="77777777" w:rsidR="00FD21FE" w:rsidRDefault="00FD21FE">
            <w:pPr>
              <w:jc w:val="center"/>
              <w:rPr>
                <w:rFonts w:ascii="Verdana" w:hAnsi="Verdana" w:cs="Arial"/>
                <w:bCs/>
                <w:color w:val="000000"/>
                <w:sz w:val="16"/>
                <w:szCs w:val="16"/>
                <w:lang w:eastAsia="es-CO"/>
              </w:rPr>
            </w:pPr>
          </w:p>
        </w:tc>
        <w:tc>
          <w:tcPr>
            <w:tcW w:w="919" w:type="dxa"/>
            <w:tcBorders>
              <w:top w:val="single" w:sz="4" w:space="0" w:color="auto"/>
              <w:left w:val="single" w:sz="4" w:space="0" w:color="auto"/>
              <w:bottom w:val="single" w:sz="4" w:space="0" w:color="auto"/>
              <w:right w:val="single" w:sz="4" w:space="0" w:color="auto"/>
            </w:tcBorders>
          </w:tcPr>
          <w:p w14:paraId="1C887751" w14:textId="77777777" w:rsidR="00FD21FE" w:rsidRDefault="00FD21FE">
            <w:pPr>
              <w:jc w:val="center"/>
              <w:rPr>
                <w:rFonts w:ascii="Verdana" w:hAnsi="Verdana" w:cs="Arial"/>
                <w:bCs/>
                <w:color w:val="000000"/>
                <w:sz w:val="16"/>
                <w:szCs w:val="16"/>
                <w:lang w:eastAsia="es-CO"/>
              </w:rPr>
            </w:pPr>
          </w:p>
        </w:tc>
        <w:tc>
          <w:tcPr>
            <w:tcW w:w="1231" w:type="dxa"/>
            <w:tcBorders>
              <w:top w:val="single" w:sz="4" w:space="0" w:color="auto"/>
              <w:left w:val="single" w:sz="4" w:space="0" w:color="auto"/>
              <w:bottom w:val="single" w:sz="4" w:space="0" w:color="auto"/>
              <w:right w:val="single" w:sz="4" w:space="0" w:color="auto"/>
            </w:tcBorders>
          </w:tcPr>
          <w:p w14:paraId="3A5614D3" w14:textId="77777777" w:rsidR="00FD21FE" w:rsidRDefault="00FD21FE">
            <w:pPr>
              <w:jc w:val="center"/>
              <w:rPr>
                <w:rFonts w:ascii="Verdana" w:hAnsi="Verdana" w:cs="Arial"/>
                <w:bCs/>
                <w:color w:val="000000"/>
                <w:sz w:val="16"/>
                <w:szCs w:val="16"/>
                <w:lang w:eastAsia="es-CO"/>
              </w:rPr>
            </w:pPr>
          </w:p>
        </w:tc>
        <w:tc>
          <w:tcPr>
            <w:tcW w:w="1252" w:type="dxa"/>
            <w:tcBorders>
              <w:top w:val="single" w:sz="4" w:space="0" w:color="auto"/>
              <w:left w:val="single" w:sz="4" w:space="0" w:color="auto"/>
              <w:bottom w:val="single" w:sz="4" w:space="0" w:color="auto"/>
              <w:right w:val="single" w:sz="4" w:space="0" w:color="auto"/>
            </w:tcBorders>
          </w:tcPr>
          <w:p w14:paraId="1369B78D" w14:textId="77777777" w:rsidR="00FD21FE" w:rsidRDefault="00FD21FE">
            <w:pPr>
              <w:jc w:val="center"/>
              <w:rPr>
                <w:rFonts w:ascii="Verdana" w:hAnsi="Verdana" w:cs="Arial"/>
                <w:bCs/>
                <w:color w:val="000000"/>
                <w:sz w:val="16"/>
                <w:szCs w:val="16"/>
                <w:lang w:eastAsia="es-CO"/>
              </w:rPr>
            </w:pPr>
          </w:p>
        </w:tc>
        <w:tc>
          <w:tcPr>
            <w:tcW w:w="1254" w:type="dxa"/>
            <w:tcBorders>
              <w:top w:val="single" w:sz="4" w:space="0" w:color="auto"/>
              <w:left w:val="single" w:sz="4" w:space="0" w:color="auto"/>
              <w:bottom w:val="single" w:sz="4" w:space="0" w:color="auto"/>
              <w:right w:val="single" w:sz="4" w:space="0" w:color="auto"/>
            </w:tcBorders>
          </w:tcPr>
          <w:p w14:paraId="59B347FB" w14:textId="77777777" w:rsidR="00FD21FE" w:rsidRDefault="00FD21FE">
            <w:pPr>
              <w:jc w:val="center"/>
              <w:rPr>
                <w:rFonts w:ascii="Verdana" w:hAnsi="Verdana" w:cs="Arial"/>
                <w:bCs/>
                <w:color w:val="000000"/>
                <w:sz w:val="16"/>
                <w:szCs w:val="16"/>
                <w:lang w:eastAsia="es-CO"/>
              </w:rPr>
            </w:pPr>
          </w:p>
        </w:tc>
      </w:tr>
      <w:tr w:rsidR="00FD21FE" w14:paraId="15CC9251" w14:textId="77777777" w:rsidTr="00FD21FE">
        <w:trPr>
          <w:trHeight w:val="306"/>
        </w:trPr>
        <w:tc>
          <w:tcPr>
            <w:tcW w:w="2134" w:type="dxa"/>
            <w:tcBorders>
              <w:top w:val="nil"/>
              <w:left w:val="single" w:sz="8" w:space="0" w:color="auto"/>
              <w:bottom w:val="single" w:sz="4" w:space="0" w:color="auto"/>
              <w:right w:val="single" w:sz="12" w:space="0" w:color="auto"/>
            </w:tcBorders>
            <w:noWrap/>
            <w:vAlign w:val="center"/>
            <w:hideMark/>
          </w:tcPr>
          <w:p w14:paraId="3CADACAE" w14:textId="77777777" w:rsidR="00FD21FE" w:rsidRDefault="00FD21FE">
            <w:pPr>
              <w:jc w:val="both"/>
              <w:rPr>
                <w:rFonts w:ascii="Verdana" w:hAnsi="Verdana" w:cs="Arial"/>
                <w:bCs/>
                <w:color w:val="000000"/>
                <w:sz w:val="16"/>
                <w:szCs w:val="16"/>
                <w:lang w:eastAsia="es-CO"/>
              </w:rPr>
            </w:pPr>
            <w:r>
              <w:rPr>
                <w:rFonts w:ascii="Verdana" w:hAnsi="Verdana" w:cs="Arial"/>
                <w:color w:val="000000"/>
                <w:sz w:val="16"/>
                <w:szCs w:val="16"/>
                <w:lang w:val="es-CO" w:eastAsia="es-CO"/>
              </w:rPr>
              <w:t xml:space="preserve">Alcantarillados optimizados </w:t>
            </w:r>
          </w:p>
        </w:tc>
        <w:tc>
          <w:tcPr>
            <w:tcW w:w="1117" w:type="dxa"/>
            <w:tcBorders>
              <w:top w:val="single" w:sz="4" w:space="0" w:color="auto"/>
              <w:left w:val="single" w:sz="4" w:space="0" w:color="auto"/>
              <w:bottom w:val="single" w:sz="4" w:space="0" w:color="auto"/>
              <w:right w:val="single" w:sz="4" w:space="0" w:color="auto"/>
            </w:tcBorders>
            <w:hideMark/>
          </w:tcPr>
          <w:p w14:paraId="6DC65D35" w14:textId="77777777" w:rsidR="00FD21FE" w:rsidRDefault="00FD21FE">
            <w:pPr>
              <w:jc w:val="center"/>
              <w:rPr>
                <w:rFonts w:ascii="Verdana" w:hAnsi="Verdana" w:cs="Arial"/>
                <w:bCs/>
                <w:color w:val="000000"/>
                <w:sz w:val="16"/>
                <w:szCs w:val="16"/>
                <w:lang w:eastAsia="es-CO"/>
              </w:rPr>
            </w:pPr>
            <w:r>
              <w:rPr>
                <w:rFonts w:ascii="Verdana" w:hAnsi="Verdana" w:cs="Arial"/>
                <w:color w:val="000000"/>
                <w:sz w:val="16"/>
                <w:szCs w:val="16"/>
                <w:lang w:val="es-CO" w:eastAsia="es-CO"/>
              </w:rPr>
              <w:t>649</w:t>
            </w:r>
          </w:p>
        </w:tc>
        <w:tc>
          <w:tcPr>
            <w:tcW w:w="850" w:type="dxa"/>
            <w:tcBorders>
              <w:top w:val="single" w:sz="4" w:space="0" w:color="auto"/>
              <w:left w:val="single" w:sz="4" w:space="0" w:color="auto"/>
              <w:bottom w:val="single" w:sz="4" w:space="0" w:color="auto"/>
              <w:right w:val="single" w:sz="4" w:space="0" w:color="auto"/>
            </w:tcBorders>
            <w:hideMark/>
          </w:tcPr>
          <w:p w14:paraId="6DF2BDD3" w14:textId="77777777" w:rsidR="00FD21FE" w:rsidRDefault="00FD21FE">
            <w:pPr>
              <w:jc w:val="center"/>
              <w:rPr>
                <w:rFonts w:ascii="Verdana" w:hAnsi="Verdana" w:cs="Arial"/>
                <w:bCs/>
                <w:color w:val="000000"/>
                <w:sz w:val="16"/>
                <w:szCs w:val="16"/>
                <w:lang w:eastAsia="es-CO"/>
              </w:rPr>
            </w:pPr>
            <w:r>
              <w:rPr>
                <w:rFonts w:ascii="Verdana" w:hAnsi="Verdana" w:cs="Arial"/>
                <w:color w:val="000000"/>
                <w:sz w:val="16"/>
                <w:szCs w:val="16"/>
                <w:lang w:val="es-CO" w:eastAsia="es-CO"/>
              </w:rPr>
              <w:t>649</w:t>
            </w:r>
          </w:p>
        </w:tc>
        <w:tc>
          <w:tcPr>
            <w:tcW w:w="919" w:type="dxa"/>
            <w:tcBorders>
              <w:top w:val="single" w:sz="4" w:space="0" w:color="auto"/>
              <w:left w:val="single" w:sz="4" w:space="0" w:color="auto"/>
              <w:bottom w:val="single" w:sz="4" w:space="0" w:color="auto"/>
              <w:right w:val="single" w:sz="4" w:space="0" w:color="auto"/>
            </w:tcBorders>
            <w:hideMark/>
          </w:tcPr>
          <w:p w14:paraId="1469465C" w14:textId="77777777" w:rsidR="00FD21FE" w:rsidRDefault="00FD21FE">
            <w:pPr>
              <w:jc w:val="center"/>
              <w:rPr>
                <w:rFonts w:ascii="Verdana" w:hAnsi="Verdana" w:cs="Arial"/>
                <w:bCs/>
                <w:color w:val="000000"/>
                <w:sz w:val="16"/>
                <w:szCs w:val="16"/>
                <w:lang w:eastAsia="es-CO"/>
              </w:rPr>
            </w:pPr>
            <w:r>
              <w:rPr>
                <w:rFonts w:ascii="Verdana" w:hAnsi="Verdana" w:cs="Arial"/>
                <w:bCs/>
                <w:color w:val="000000"/>
                <w:sz w:val="16"/>
                <w:szCs w:val="16"/>
                <w:lang w:eastAsia="es-CO"/>
              </w:rPr>
              <w:t>625</w:t>
            </w:r>
          </w:p>
        </w:tc>
        <w:tc>
          <w:tcPr>
            <w:tcW w:w="1231" w:type="dxa"/>
            <w:tcBorders>
              <w:top w:val="single" w:sz="4" w:space="0" w:color="auto"/>
              <w:left w:val="single" w:sz="4" w:space="0" w:color="auto"/>
              <w:bottom w:val="single" w:sz="4" w:space="0" w:color="auto"/>
              <w:right w:val="single" w:sz="4" w:space="0" w:color="auto"/>
            </w:tcBorders>
            <w:hideMark/>
          </w:tcPr>
          <w:p w14:paraId="25BCF0E5" w14:textId="77777777" w:rsidR="00FD21FE" w:rsidRDefault="00FD21FE">
            <w:pPr>
              <w:jc w:val="center"/>
              <w:rPr>
                <w:rFonts w:ascii="Verdana" w:hAnsi="Verdana" w:cs="Arial"/>
                <w:bCs/>
                <w:color w:val="000000"/>
                <w:sz w:val="16"/>
                <w:szCs w:val="16"/>
                <w:lang w:eastAsia="es-CO"/>
              </w:rPr>
            </w:pPr>
            <w:r>
              <w:rPr>
                <w:rFonts w:ascii="Verdana" w:hAnsi="Verdana" w:cs="Arial"/>
                <w:bCs/>
                <w:color w:val="000000"/>
                <w:sz w:val="16"/>
                <w:szCs w:val="16"/>
                <w:lang w:eastAsia="es-CO"/>
              </w:rPr>
              <w:t>397</w:t>
            </w:r>
          </w:p>
        </w:tc>
        <w:tc>
          <w:tcPr>
            <w:tcW w:w="1252" w:type="dxa"/>
            <w:tcBorders>
              <w:top w:val="single" w:sz="4" w:space="0" w:color="auto"/>
              <w:left w:val="single" w:sz="4" w:space="0" w:color="auto"/>
              <w:bottom w:val="single" w:sz="4" w:space="0" w:color="auto"/>
              <w:right w:val="single" w:sz="4" w:space="0" w:color="auto"/>
            </w:tcBorders>
            <w:hideMark/>
          </w:tcPr>
          <w:p w14:paraId="5C7240E1" w14:textId="77777777" w:rsidR="00FD21FE" w:rsidRDefault="00FD21FE">
            <w:pPr>
              <w:jc w:val="center"/>
              <w:rPr>
                <w:rFonts w:ascii="Verdana" w:hAnsi="Verdana" w:cs="Arial"/>
                <w:bCs/>
                <w:color w:val="000000"/>
                <w:sz w:val="16"/>
                <w:szCs w:val="16"/>
                <w:lang w:eastAsia="es-CO"/>
              </w:rPr>
            </w:pPr>
            <w:r>
              <w:rPr>
                <w:rFonts w:ascii="Verdana" w:hAnsi="Verdana" w:cs="Arial"/>
                <w:bCs/>
                <w:color w:val="000000"/>
                <w:sz w:val="16"/>
                <w:szCs w:val="16"/>
                <w:lang w:eastAsia="es-CO"/>
              </w:rPr>
              <w:t>347</w:t>
            </w:r>
          </w:p>
        </w:tc>
        <w:tc>
          <w:tcPr>
            <w:tcW w:w="1254" w:type="dxa"/>
            <w:tcBorders>
              <w:top w:val="single" w:sz="4" w:space="0" w:color="auto"/>
              <w:left w:val="single" w:sz="4" w:space="0" w:color="auto"/>
              <w:bottom w:val="single" w:sz="4" w:space="0" w:color="auto"/>
              <w:right w:val="single" w:sz="4" w:space="0" w:color="auto"/>
            </w:tcBorders>
            <w:hideMark/>
          </w:tcPr>
          <w:p w14:paraId="262FE0B7" w14:textId="77777777" w:rsidR="00FD21FE" w:rsidRDefault="00FD21FE">
            <w:pPr>
              <w:jc w:val="center"/>
              <w:rPr>
                <w:rFonts w:ascii="Verdana" w:hAnsi="Verdana" w:cs="Arial"/>
                <w:bCs/>
                <w:color w:val="000000"/>
                <w:sz w:val="16"/>
                <w:szCs w:val="16"/>
                <w:lang w:eastAsia="es-CO"/>
              </w:rPr>
            </w:pPr>
            <w:r>
              <w:rPr>
                <w:rFonts w:ascii="Verdana" w:hAnsi="Verdana" w:cs="Arial"/>
                <w:bCs/>
                <w:color w:val="000000"/>
                <w:sz w:val="16"/>
                <w:szCs w:val="16"/>
                <w:lang w:eastAsia="es-CO"/>
              </w:rPr>
              <w:t>347</w:t>
            </w:r>
          </w:p>
        </w:tc>
      </w:tr>
      <w:tr w:rsidR="00FD21FE" w14:paraId="15F94C05" w14:textId="77777777" w:rsidTr="00FD21FE">
        <w:trPr>
          <w:trHeight w:val="306"/>
        </w:trPr>
        <w:tc>
          <w:tcPr>
            <w:tcW w:w="2134" w:type="dxa"/>
            <w:tcBorders>
              <w:top w:val="nil"/>
              <w:left w:val="single" w:sz="8" w:space="0" w:color="auto"/>
              <w:bottom w:val="single" w:sz="4" w:space="0" w:color="auto"/>
              <w:right w:val="single" w:sz="12" w:space="0" w:color="auto"/>
            </w:tcBorders>
            <w:noWrap/>
            <w:vAlign w:val="center"/>
            <w:hideMark/>
          </w:tcPr>
          <w:p w14:paraId="6415EBFD" w14:textId="77777777" w:rsidR="00FD21FE" w:rsidRDefault="00FD21FE">
            <w:pPr>
              <w:jc w:val="both"/>
              <w:rPr>
                <w:rFonts w:ascii="Verdana" w:hAnsi="Verdana" w:cs="Arial"/>
                <w:color w:val="000000"/>
                <w:sz w:val="16"/>
                <w:szCs w:val="16"/>
                <w:lang w:val="es-CO" w:eastAsia="es-CO"/>
              </w:rPr>
            </w:pPr>
            <w:r>
              <w:rPr>
                <w:rFonts w:ascii="Verdana" w:hAnsi="Verdana" w:cs="Arial"/>
                <w:color w:val="000000"/>
                <w:sz w:val="16"/>
                <w:szCs w:val="16"/>
                <w:lang w:val="es-CO" w:eastAsia="es-CO"/>
              </w:rPr>
              <w:t>Alcantarillado y plantas de tratamiento de agua</w:t>
            </w:r>
          </w:p>
        </w:tc>
        <w:tc>
          <w:tcPr>
            <w:tcW w:w="1117" w:type="dxa"/>
            <w:tcBorders>
              <w:top w:val="single" w:sz="4" w:space="0" w:color="auto"/>
              <w:left w:val="single" w:sz="4" w:space="0" w:color="auto"/>
              <w:bottom w:val="single" w:sz="4" w:space="0" w:color="auto"/>
              <w:right w:val="single" w:sz="4" w:space="0" w:color="auto"/>
            </w:tcBorders>
          </w:tcPr>
          <w:p w14:paraId="380B3C73" w14:textId="77777777" w:rsidR="00FD21FE" w:rsidRDefault="00FD21FE">
            <w:pPr>
              <w:jc w:val="center"/>
              <w:rPr>
                <w:rFonts w:ascii="Verdana" w:hAnsi="Verdana" w:cs="Arial"/>
                <w:color w:val="000000"/>
                <w:sz w:val="16"/>
                <w:szCs w:val="16"/>
                <w:lang w:val="es-CO" w:eastAsia="es-CO"/>
              </w:rPr>
            </w:pPr>
          </w:p>
        </w:tc>
        <w:tc>
          <w:tcPr>
            <w:tcW w:w="850" w:type="dxa"/>
            <w:tcBorders>
              <w:top w:val="single" w:sz="4" w:space="0" w:color="auto"/>
              <w:left w:val="single" w:sz="4" w:space="0" w:color="auto"/>
              <w:bottom w:val="single" w:sz="4" w:space="0" w:color="auto"/>
              <w:right w:val="single" w:sz="4" w:space="0" w:color="auto"/>
            </w:tcBorders>
          </w:tcPr>
          <w:p w14:paraId="221AE511" w14:textId="77777777" w:rsidR="00FD21FE" w:rsidRDefault="00FD21FE">
            <w:pPr>
              <w:jc w:val="center"/>
              <w:rPr>
                <w:rFonts w:ascii="Verdana" w:hAnsi="Verdana" w:cs="Arial"/>
                <w:color w:val="000000"/>
                <w:sz w:val="16"/>
                <w:szCs w:val="16"/>
                <w:lang w:val="es-CO" w:eastAsia="es-CO"/>
              </w:rPr>
            </w:pPr>
          </w:p>
        </w:tc>
        <w:tc>
          <w:tcPr>
            <w:tcW w:w="919" w:type="dxa"/>
            <w:tcBorders>
              <w:top w:val="single" w:sz="4" w:space="0" w:color="auto"/>
              <w:left w:val="single" w:sz="4" w:space="0" w:color="auto"/>
              <w:bottom w:val="single" w:sz="4" w:space="0" w:color="auto"/>
              <w:right w:val="single" w:sz="4" w:space="0" w:color="auto"/>
            </w:tcBorders>
          </w:tcPr>
          <w:p w14:paraId="7CD2761E" w14:textId="77777777" w:rsidR="00FD21FE" w:rsidRDefault="00FD21FE">
            <w:pPr>
              <w:jc w:val="center"/>
              <w:rPr>
                <w:rFonts w:ascii="Verdana" w:hAnsi="Verdana" w:cs="Arial"/>
                <w:bCs/>
                <w:color w:val="000000"/>
                <w:sz w:val="16"/>
                <w:szCs w:val="16"/>
                <w:lang w:eastAsia="es-CO"/>
              </w:rPr>
            </w:pPr>
          </w:p>
        </w:tc>
        <w:tc>
          <w:tcPr>
            <w:tcW w:w="1231" w:type="dxa"/>
            <w:tcBorders>
              <w:top w:val="single" w:sz="4" w:space="0" w:color="auto"/>
              <w:left w:val="single" w:sz="4" w:space="0" w:color="auto"/>
              <w:bottom w:val="single" w:sz="4" w:space="0" w:color="auto"/>
              <w:right w:val="single" w:sz="4" w:space="0" w:color="auto"/>
            </w:tcBorders>
          </w:tcPr>
          <w:p w14:paraId="310A5EE6" w14:textId="77777777" w:rsidR="00FD21FE" w:rsidRDefault="00FD21FE">
            <w:pPr>
              <w:jc w:val="center"/>
              <w:rPr>
                <w:rFonts w:ascii="Verdana" w:hAnsi="Verdana" w:cs="Arial"/>
                <w:color w:val="000000"/>
                <w:sz w:val="16"/>
                <w:szCs w:val="16"/>
                <w:lang w:val="es-CO" w:eastAsia="es-CO"/>
              </w:rPr>
            </w:pPr>
          </w:p>
        </w:tc>
        <w:tc>
          <w:tcPr>
            <w:tcW w:w="1252" w:type="dxa"/>
            <w:tcBorders>
              <w:top w:val="single" w:sz="4" w:space="0" w:color="auto"/>
              <w:left w:val="single" w:sz="4" w:space="0" w:color="auto"/>
              <w:bottom w:val="single" w:sz="4" w:space="0" w:color="auto"/>
              <w:right w:val="single" w:sz="4" w:space="0" w:color="auto"/>
            </w:tcBorders>
          </w:tcPr>
          <w:p w14:paraId="75E77D16" w14:textId="77777777" w:rsidR="00FD21FE" w:rsidRDefault="00FD21FE">
            <w:pPr>
              <w:jc w:val="center"/>
              <w:rPr>
                <w:rFonts w:ascii="Verdana" w:hAnsi="Verdana" w:cs="Arial"/>
                <w:color w:val="000000"/>
                <w:sz w:val="16"/>
                <w:szCs w:val="16"/>
                <w:lang w:val="es-CO" w:eastAsia="es-CO"/>
              </w:rPr>
            </w:pPr>
          </w:p>
        </w:tc>
        <w:tc>
          <w:tcPr>
            <w:tcW w:w="1254" w:type="dxa"/>
            <w:tcBorders>
              <w:top w:val="single" w:sz="4" w:space="0" w:color="auto"/>
              <w:left w:val="single" w:sz="4" w:space="0" w:color="auto"/>
              <w:bottom w:val="single" w:sz="4" w:space="0" w:color="auto"/>
              <w:right w:val="single" w:sz="4" w:space="0" w:color="auto"/>
            </w:tcBorders>
          </w:tcPr>
          <w:p w14:paraId="4CB6A589" w14:textId="77777777" w:rsidR="00FD21FE" w:rsidRDefault="00FD21FE">
            <w:pPr>
              <w:jc w:val="center"/>
              <w:rPr>
                <w:rFonts w:ascii="Verdana" w:hAnsi="Verdana" w:cs="Arial"/>
                <w:color w:val="000000"/>
                <w:sz w:val="16"/>
                <w:szCs w:val="16"/>
                <w:lang w:val="es-CO" w:eastAsia="es-CO"/>
              </w:rPr>
            </w:pPr>
          </w:p>
        </w:tc>
      </w:tr>
      <w:tr w:rsidR="00FD21FE" w14:paraId="59D85A53" w14:textId="77777777" w:rsidTr="00FD21FE">
        <w:trPr>
          <w:trHeight w:val="306"/>
        </w:trPr>
        <w:tc>
          <w:tcPr>
            <w:tcW w:w="2134" w:type="dxa"/>
            <w:tcBorders>
              <w:top w:val="nil"/>
              <w:left w:val="single" w:sz="8" w:space="0" w:color="auto"/>
              <w:bottom w:val="single" w:sz="4" w:space="0" w:color="auto"/>
              <w:right w:val="single" w:sz="12" w:space="0" w:color="auto"/>
            </w:tcBorders>
            <w:noWrap/>
            <w:vAlign w:val="center"/>
            <w:hideMark/>
          </w:tcPr>
          <w:p w14:paraId="17E607BA" w14:textId="77777777" w:rsidR="00FD21FE" w:rsidRDefault="00FD21FE">
            <w:pPr>
              <w:jc w:val="both"/>
              <w:rPr>
                <w:rFonts w:ascii="Verdana" w:hAnsi="Verdana" w:cs="Arial"/>
                <w:color w:val="000000"/>
                <w:sz w:val="16"/>
                <w:szCs w:val="16"/>
                <w:lang w:val="es-CO" w:eastAsia="es-CO"/>
              </w:rPr>
            </w:pPr>
            <w:r>
              <w:rPr>
                <w:rFonts w:ascii="Verdana" w:hAnsi="Verdana" w:cs="Arial"/>
                <w:color w:val="000000"/>
                <w:sz w:val="16"/>
                <w:szCs w:val="16"/>
                <w:lang w:val="es-CO" w:eastAsia="es-CO"/>
              </w:rPr>
              <w:t>Acueductos y otros conductos de suministro de agua excepto gasoductos</w:t>
            </w:r>
          </w:p>
        </w:tc>
        <w:tc>
          <w:tcPr>
            <w:tcW w:w="1117" w:type="dxa"/>
            <w:tcBorders>
              <w:top w:val="single" w:sz="4" w:space="0" w:color="auto"/>
              <w:left w:val="single" w:sz="4" w:space="0" w:color="auto"/>
              <w:bottom w:val="single" w:sz="4" w:space="0" w:color="auto"/>
              <w:right w:val="single" w:sz="4" w:space="0" w:color="auto"/>
            </w:tcBorders>
          </w:tcPr>
          <w:p w14:paraId="6EC32EFA" w14:textId="77777777" w:rsidR="00FD21FE" w:rsidRDefault="00FD21FE">
            <w:pPr>
              <w:jc w:val="center"/>
              <w:rPr>
                <w:rFonts w:ascii="Verdana" w:hAnsi="Verdana" w:cs="Arial"/>
                <w:color w:val="000000"/>
                <w:sz w:val="16"/>
                <w:szCs w:val="16"/>
                <w:lang w:val="es-CO" w:eastAsia="es-CO"/>
              </w:rPr>
            </w:pPr>
          </w:p>
        </w:tc>
        <w:tc>
          <w:tcPr>
            <w:tcW w:w="850" w:type="dxa"/>
            <w:tcBorders>
              <w:top w:val="single" w:sz="4" w:space="0" w:color="auto"/>
              <w:left w:val="single" w:sz="4" w:space="0" w:color="auto"/>
              <w:bottom w:val="single" w:sz="4" w:space="0" w:color="auto"/>
              <w:right w:val="single" w:sz="4" w:space="0" w:color="auto"/>
            </w:tcBorders>
          </w:tcPr>
          <w:p w14:paraId="50EE26CE" w14:textId="77777777" w:rsidR="00FD21FE" w:rsidRDefault="00FD21FE">
            <w:pPr>
              <w:jc w:val="center"/>
              <w:rPr>
                <w:rFonts w:ascii="Verdana" w:hAnsi="Verdana" w:cs="Arial"/>
                <w:color w:val="000000"/>
                <w:sz w:val="16"/>
                <w:szCs w:val="16"/>
                <w:lang w:val="es-CO" w:eastAsia="es-CO"/>
              </w:rPr>
            </w:pPr>
          </w:p>
        </w:tc>
        <w:tc>
          <w:tcPr>
            <w:tcW w:w="919" w:type="dxa"/>
            <w:tcBorders>
              <w:top w:val="single" w:sz="4" w:space="0" w:color="auto"/>
              <w:left w:val="single" w:sz="4" w:space="0" w:color="auto"/>
              <w:bottom w:val="single" w:sz="4" w:space="0" w:color="auto"/>
              <w:right w:val="single" w:sz="4" w:space="0" w:color="auto"/>
            </w:tcBorders>
          </w:tcPr>
          <w:p w14:paraId="5B537B96" w14:textId="77777777" w:rsidR="00FD21FE" w:rsidRDefault="00FD21FE">
            <w:pPr>
              <w:jc w:val="center"/>
              <w:rPr>
                <w:rFonts w:ascii="Verdana" w:hAnsi="Verdana" w:cs="Arial"/>
                <w:bCs/>
                <w:color w:val="000000"/>
                <w:sz w:val="16"/>
                <w:szCs w:val="16"/>
                <w:lang w:eastAsia="es-CO"/>
              </w:rPr>
            </w:pPr>
          </w:p>
        </w:tc>
        <w:tc>
          <w:tcPr>
            <w:tcW w:w="1231" w:type="dxa"/>
            <w:tcBorders>
              <w:top w:val="single" w:sz="4" w:space="0" w:color="auto"/>
              <w:left w:val="single" w:sz="4" w:space="0" w:color="auto"/>
              <w:bottom w:val="single" w:sz="4" w:space="0" w:color="auto"/>
              <w:right w:val="single" w:sz="4" w:space="0" w:color="auto"/>
            </w:tcBorders>
          </w:tcPr>
          <w:p w14:paraId="2CB8FFA9" w14:textId="77777777" w:rsidR="00FD21FE" w:rsidRDefault="00FD21FE">
            <w:pPr>
              <w:jc w:val="center"/>
              <w:rPr>
                <w:rFonts w:ascii="Verdana" w:hAnsi="Verdana" w:cs="Arial"/>
                <w:bCs/>
                <w:color w:val="000000"/>
                <w:sz w:val="16"/>
                <w:szCs w:val="16"/>
                <w:lang w:eastAsia="es-CO"/>
              </w:rPr>
            </w:pPr>
          </w:p>
        </w:tc>
        <w:tc>
          <w:tcPr>
            <w:tcW w:w="1252" w:type="dxa"/>
            <w:tcBorders>
              <w:top w:val="single" w:sz="4" w:space="0" w:color="auto"/>
              <w:left w:val="single" w:sz="4" w:space="0" w:color="auto"/>
              <w:bottom w:val="single" w:sz="4" w:space="0" w:color="auto"/>
              <w:right w:val="single" w:sz="4" w:space="0" w:color="auto"/>
            </w:tcBorders>
          </w:tcPr>
          <w:p w14:paraId="5034CBE3" w14:textId="77777777" w:rsidR="00FD21FE" w:rsidRDefault="00FD21FE">
            <w:pPr>
              <w:jc w:val="center"/>
              <w:rPr>
                <w:rFonts w:ascii="Verdana" w:hAnsi="Verdana" w:cs="Arial"/>
                <w:bCs/>
                <w:color w:val="000000"/>
                <w:sz w:val="16"/>
                <w:szCs w:val="16"/>
                <w:lang w:eastAsia="es-CO"/>
              </w:rPr>
            </w:pPr>
          </w:p>
        </w:tc>
        <w:tc>
          <w:tcPr>
            <w:tcW w:w="1254" w:type="dxa"/>
            <w:tcBorders>
              <w:top w:val="single" w:sz="4" w:space="0" w:color="auto"/>
              <w:left w:val="single" w:sz="4" w:space="0" w:color="auto"/>
              <w:bottom w:val="single" w:sz="4" w:space="0" w:color="auto"/>
              <w:right w:val="single" w:sz="4" w:space="0" w:color="auto"/>
            </w:tcBorders>
          </w:tcPr>
          <w:p w14:paraId="147EA6F9" w14:textId="77777777" w:rsidR="00FD21FE" w:rsidRDefault="00FD21FE">
            <w:pPr>
              <w:jc w:val="center"/>
              <w:rPr>
                <w:rFonts w:ascii="Verdana" w:hAnsi="Verdana" w:cs="Arial"/>
                <w:bCs/>
                <w:color w:val="000000"/>
                <w:sz w:val="16"/>
                <w:szCs w:val="16"/>
                <w:lang w:eastAsia="es-CO"/>
              </w:rPr>
            </w:pPr>
          </w:p>
        </w:tc>
      </w:tr>
      <w:tr w:rsidR="00FD21FE" w14:paraId="09F65CF7" w14:textId="77777777" w:rsidTr="00FD21FE">
        <w:trPr>
          <w:trHeight w:val="306"/>
        </w:trPr>
        <w:tc>
          <w:tcPr>
            <w:tcW w:w="2134" w:type="dxa"/>
            <w:tcBorders>
              <w:top w:val="nil"/>
              <w:left w:val="single" w:sz="8" w:space="0" w:color="auto"/>
              <w:bottom w:val="single" w:sz="4" w:space="0" w:color="auto"/>
              <w:right w:val="single" w:sz="12" w:space="0" w:color="auto"/>
            </w:tcBorders>
            <w:noWrap/>
            <w:vAlign w:val="bottom"/>
            <w:hideMark/>
          </w:tcPr>
          <w:p w14:paraId="5C0E0103" w14:textId="77777777" w:rsidR="00FD21FE" w:rsidRDefault="00FD21FE">
            <w:pPr>
              <w:jc w:val="both"/>
              <w:rPr>
                <w:rFonts w:ascii="Verdana" w:hAnsi="Verdana" w:cs="Arial"/>
                <w:bCs/>
                <w:color w:val="000000"/>
                <w:sz w:val="16"/>
                <w:szCs w:val="16"/>
                <w:lang w:eastAsia="es-CO"/>
              </w:rPr>
            </w:pPr>
            <w:r>
              <w:rPr>
                <w:rFonts w:ascii="Verdana" w:hAnsi="Verdana" w:cs="Arial"/>
                <w:bCs/>
                <w:color w:val="000000"/>
                <w:sz w:val="16"/>
                <w:szCs w:val="16"/>
                <w:lang w:eastAsia="es-CO"/>
              </w:rPr>
              <w:t>Subsidios (Acueducto)</w:t>
            </w:r>
          </w:p>
        </w:tc>
        <w:tc>
          <w:tcPr>
            <w:tcW w:w="1117" w:type="dxa"/>
            <w:tcBorders>
              <w:top w:val="single" w:sz="4" w:space="0" w:color="auto"/>
              <w:left w:val="single" w:sz="4" w:space="0" w:color="auto"/>
              <w:bottom w:val="single" w:sz="4" w:space="0" w:color="auto"/>
              <w:right w:val="single" w:sz="4" w:space="0" w:color="auto"/>
            </w:tcBorders>
            <w:hideMark/>
          </w:tcPr>
          <w:p w14:paraId="2049A848" w14:textId="77777777" w:rsidR="00FD21FE" w:rsidRDefault="00FD21FE">
            <w:pPr>
              <w:jc w:val="center"/>
              <w:rPr>
                <w:rFonts w:ascii="Verdana" w:hAnsi="Verdana" w:cs="Arial"/>
                <w:bCs/>
                <w:color w:val="000000"/>
                <w:sz w:val="16"/>
                <w:szCs w:val="16"/>
                <w:lang w:eastAsia="es-CO"/>
              </w:rPr>
            </w:pPr>
            <w:r>
              <w:rPr>
                <w:rFonts w:ascii="Verdana" w:hAnsi="Verdana" w:cs="Arial"/>
                <w:color w:val="000000"/>
                <w:sz w:val="16"/>
                <w:szCs w:val="16"/>
                <w:lang w:val="es-CO" w:eastAsia="es-CO"/>
              </w:rPr>
              <w:t>301</w:t>
            </w:r>
          </w:p>
        </w:tc>
        <w:tc>
          <w:tcPr>
            <w:tcW w:w="850" w:type="dxa"/>
            <w:tcBorders>
              <w:top w:val="single" w:sz="4" w:space="0" w:color="auto"/>
              <w:left w:val="single" w:sz="4" w:space="0" w:color="auto"/>
              <w:bottom w:val="single" w:sz="4" w:space="0" w:color="auto"/>
              <w:right w:val="single" w:sz="4" w:space="0" w:color="auto"/>
            </w:tcBorders>
            <w:hideMark/>
          </w:tcPr>
          <w:p w14:paraId="44C9A3FA" w14:textId="77777777" w:rsidR="00FD21FE" w:rsidRDefault="00FD21FE">
            <w:pPr>
              <w:jc w:val="center"/>
              <w:rPr>
                <w:rFonts w:ascii="Verdana" w:hAnsi="Verdana" w:cs="Arial"/>
                <w:bCs/>
                <w:color w:val="000000"/>
                <w:sz w:val="16"/>
                <w:szCs w:val="16"/>
                <w:lang w:eastAsia="es-CO"/>
              </w:rPr>
            </w:pPr>
            <w:r>
              <w:rPr>
                <w:rFonts w:ascii="Verdana" w:hAnsi="Verdana" w:cs="Arial"/>
                <w:color w:val="000000"/>
                <w:sz w:val="16"/>
                <w:szCs w:val="16"/>
                <w:lang w:val="es-CO" w:eastAsia="es-CO"/>
              </w:rPr>
              <w:t>301</w:t>
            </w:r>
          </w:p>
        </w:tc>
        <w:tc>
          <w:tcPr>
            <w:tcW w:w="919" w:type="dxa"/>
            <w:tcBorders>
              <w:top w:val="single" w:sz="4" w:space="0" w:color="auto"/>
              <w:left w:val="single" w:sz="4" w:space="0" w:color="auto"/>
              <w:bottom w:val="single" w:sz="4" w:space="0" w:color="auto"/>
              <w:right w:val="single" w:sz="4" w:space="0" w:color="auto"/>
            </w:tcBorders>
            <w:hideMark/>
          </w:tcPr>
          <w:p w14:paraId="06A49526" w14:textId="77777777" w:rsidR="00FD21FE" w:rsidRDefault="00FD21FE">
            <w:pPr>
              <w:jc w:val="center"/>
              <w:rPr>
                <w:rFonts w:ascii="Verdana" w:hAnsi="Verdana" w:cs="Arial"/>
                <w:bCs/>
                <w:color w:val="000000"/>
                <w:sz w:val="16"/>
                <w:szCs w:val="16"/>
                <w:lang w:eastAsia="es-CO"/>
              </w:rPr>
            </w:pPr>
            <w:r>
              <w:rPr>
                <w:rFonts w:ascii="Verdana" w:hAnsi="Verdana" w:cs="Arial"/>
                <w:color w:val="000000"/>
                <w:sz w:val="16"/>
                <w:szCs w:val="16"/>
                <w:lang w:val="es-CO" w:eastAsia="es-CO"/>
              </w:rPr>
              <w:t>301</w:t>
            </w:r>
          </w:p>
        </w:tc>
        <w:tc>
          <w:tcPr>
            <w:tcW w:w="1231" w:type="dxa"/>
            <w:tcBorders>
              <w:top w:val="single" w:sz="4" w:space="0" w:color="auto"/>
              <w:left w:val="single" w:sz="4" w:space="0" w:color="auto"/>
              <w:bottom w:val="single" w:sz="4" w:space="0" w:color="auto"/>
              <w:right w:val="single" w:sz="4" w:space="0" w:color="auto"/>
            </w:tcBorders>
            <w:hideMark/>
          </w:tcPr>
          <w:p w14:paraId="72FA98C9" w14:textId="77777777" w:rsidR="00FD21FE" w:rsidRDefault="00FD21FE">
            <w:pPr>
              <w:jc w:val="center"/>
              <w:rPr>
                <w:rFonts w:ascii="Verdana" w:hAnsi="Verdana" w:cs="Arial"/>
                <w:color w:val="000000"/>
                <w:sz w:val="16"/>
                <w:szCs w:val="16"/>
                <w:lang w:val="es-CO" w:eastAsia="es-CO"/>
              </w:rPr>
            </w:pPr>
            <w:r>
              <w:rPr>
                <w:rFonts w:ascii="Verdana" w:hAnsi="Verdana" w:cs="Arial"/>
                <w:color w:val="000000"/>
                <w:sz w:val="16"/>
                <w:szCs w:val="16"/>
                <w:lang w:val="es-CO" w:eastAsia="es-CO"/>
              </w:rPr>
              <w:t>368</w:t>
            </w:r>
          </w:p>
        </w:tc>
        <w:tc>
          <w:tcPr>
            <w:tcW w:w="1252" w:type="dxa"/>
            <w:tcBorders>
              <w:top w:val="single" w:sz="4" w:space="0" w:color="auto"/>
              <w:left w:val="single" w:sz="4" w:space="0" w:color="auto"/>
              <w:bottom w:val="single" w:sz="4" w:space="0" w:color="auto"/>
              <w:right w:val="single" w:sz="4" w:space="0" w:color="auto"/>
            </w:tcBorders>
            <w:hideMark/>
          </w:tcPr>
          <w:p w14:paraId="12C449E3" w14:textId="77777777" w:rsidR="00FD21FE" w:rsidRDefault="00FD21FE">
            <w:pPr>
              <w:jc w:val="center"/>
              <w:rPr>
                <w:rFonts w:ascii="Verdana" w:hAnsi="Verdana" w:cs="Arial"/>
                <w:color w:val="000000"/>
                <w:sz w:val="16"/>
                <w:szCs w:val="16"/>
                <w:lang w:val="es-CO" w:eastAsia="es-CO"/>
              </w:rPr>
            </w:pPr>
            <w:r>
              <w:rPr>
                <w:rFonts w:ascii="Verdana" w:hAnsi="Verdana" w:cs="Arial"/>
                <w:color w:val="000000"/>
                <w:sz w:val="16"/>
                <w:szCs w:val="16"/>
                <w:lang w:val="es-CO" w:eastAsia="es-CO"/>
              </w:rPr>
              <w:t>368</w:t>
            </w:r>
          </w:p>
        </w:tc>
        <w:tc>
          <w:tcPr>
            <w:tcW w:w="1254" w:type="dxa"/>
            <w:tcBorders>
              <w:top w:val="single" w:sz="4" w:space="0" w:color="auto"/>
              <w:left w:val="single" w:sz="4" w:space="0" w:color="auto"/>
              <w:bottom w:val="single" w:sz="4" w:space="0" w:color="auto"/>
              <w:right w:val="single" w:sz="4" w:space="0" w:color="auto"/>
            </w:tcBorders>
            <w:hideMark/>
          </w:tcPr>
          <w:p w14:paraId="0F534E7A" w14:textId="77777777" w:rsidR="00FD21FE" w:rsidRDefault="00FD21FE">
            <w:pPr>
              <w:jc w:val="center"/>
              <w:rPr>
                <w:rFonts w:ascii="Verdana" w:hAnsi="Verdana" w:cs="Arial"/>
                <w:color w:val="000000"/>
                <w:sz w:val="16"/>
                <w:szCs w:val="16"/>
                <w:lang w:val="es-CO" w:eastAsia="es-CO"/>
              </w:rPr>
            </w:pPr>
            <w:r>
              <w:rPr>
                <w:rFonts w:ascii="Verdana" w:hAnsi="Verdana" w:cs="Arial"/>
                <w:color w:val="000000"/>
                <w:sz w:val="16"/>
                <w:szCs w:val="16"/>
                <w:lang w:val="es-CO" w:eastAsia="es-CO"/>
              </w:rPr>
              <w:t>368</w:t>
            </w:r>
          </w:p>
        </w:tc>
      </w:tr>
      <w:tr w:rsidR="00FD21FE" w14:paraId="473C9691" w14:textId="77777777" w:rsidTr="00FD21FE">
        <w:trPr>
          <w:trHeight w:val="306"/>
        </w:trPr>
        <w:tc>
          <w:tcPr>
            <w:tcW w:w="2134" w:type="dxa"/>
            <w:tcBorders>
              <w:top w:val="nil"/>
              <w:left w:val="single" w:sz="8" w:space="0" w:color="auto"/>
              <w:bottom w:val="single" w:sz="4" w:space="0" w:color="auto"/>
              <w:right w:val="single" w:sz="12" w:space="0" w:color="auto"/>
            </w:tcBorders>
            <w:noWrap/>
            <w:vAlign w:val="bottom"/>
            <w:hideMark/>
          </w:tcPr>
          <w:p w14:paraId="4B591D83" w14:textId="77777777" w:rsidR="00FD21FE" w:rsidRDefault="00FD21FE">
            <w:pPr>
              <w:jc w:val="both"/>
              <w:rPr>
                <w:rFonts w:ascii="Verdana" w:hAnsi="Verdana" w:cs="Arial"/>
                <w:bCs/>
                <w:color w:val="000000"/>
                <w:sz w:val="16"/>
                <w:szCs w:val="16"/>
                <w:lang w:eastAsia="es-CO"/>
              </w:rPr>
            </w:pPr>
            <w:r>
              <w:rPr>
                <w:rFonts w:ascii="Verdana" w:hAnsi="Verdana" w:cs="Arial"/>
                <w:bCs/>
                <w:color w:val="000000"/>
                <w:sz w:val="16"/>
                <w:szCs w:val="16"/>
                <w:lang w:eastAsia="es-CO"/>
              </w:rPr>
              <w:t>Subsidios (Alcantarillado)</w:t>
            </w:r>
          </w:p>
        </w:tc>
        <w:tc>
          <w:tcPr>
            <w:tcW w:w="1117" w:type="dxa"/>
            <w:tcBorders>
              <w:top w:val="single" w:sz="4" w:space="0" w:color="auto"/>
              <w:left w:val="single" w:sz="4" w:space="0" w:color="auto"/>
              <w:bottom w:val="single" w:sz="4" w:space="0" w:color="auto"/>
              <w:right w:val="single" w:sz="4" w:space="0" w:color="auto"/>
            </w:tcBorders>
            <w:hideMark/>
          </w:tcPr>
          <w:p w14:paraId="34CE03C1" w14:textId="77777777" w:rsidR="00FD21FE" w:rsidRDefault="00FD21FE">
            <w:pPr>
              <w:jc w:val="center"/>
              <w:rPr>
                <w:rFonts w:ascii="Verdana" w:hAnsi="Verdana" w:cs="Arial"/>
                <w:bCs/>
                <w:color w:val="000000"/>
                <w:sz w:val="16"/>
                <w:szCs w:val="16"/>
                <w:lang w:eastAsia="es-CO"/>
              </w:rPr>
            </w:pPr>
            <w:r>
              <w:rPr>
                <w:rFonts w:ascii="Verdana" w:hAnsi="Verdana" w:cs="Arial"/>
                <w:color w:val="000000"/>
                <w:sz w:val="16"/>
                <w:szCs w:val="16"/>
                <w:lang w:val="es-CO" w:eastAsia="es-CO"/>
              </w:rPr>
              <w:t>144</w:t>
            </w:r>
          </w:p>
        </w:tc>
        <w:tc>
          <w:tcPr>
            <w:tcW w:w="850" w:type="dxa"/>
            <w:tcBorders>
              <w:top w:val="single" w:sz="4" w:space="0" w:color="auto"/>
              <w:left w:val="single" w:sz="4" w:space="0" w:color="auto"/>
              <w:bottom w:val="single" w:sz="4" w:space="0" w:color="auto"/>
              <w:right w:val="single" w:sz="4" w:space="0" w:color="auto"/>
            </w:tcBorders>
            <w:hideMark/>
          </w:tcPr>
          <w:p w14:paraId="5E72E2CC" w14:textId="77777777" w:rsidR="00FD21FE" w:rsidRDefault="00FD21FE">
            <w:pPr>
              <w:jc w:val="center"/>
              <w:rPr>
                <w:rFonts w:ascii="Verdana" w:hAnsi="Verdana" w:cs="Arial"/>
                <w:bCs/>
                <w:color w:val="000000"/>
                <w:sz w:val="16"/>
                <w:szCs w:val="16"/>
                <w:lang w:eastAsia="es-CO"/>
              </w:rPr>
            </w:pPr>
            <w:r>
              <w:rPr>
                <w:rFonts w:ascii="Verdana" w:hAnsi="Verdana" w:cs="Arial"/>
                <w:color w:val="000000"/>
                <w:sz w:val="16"/>
                <w:szCs w:val="16"/>
                <w:lang w:val="es-CO" w:eastAsia="es-CO"/>
              </w:rPr>
              <w:t>144</w:t>
            </w:r>
          </w:p>
        </w:tc>
        <w:tc>
          <w:tcPr>
            <w:tcW w:w="919" w:type="dxa"/>
            <w:tcBorders>
              <w:top w:val="single" w:sz="4" w:space="0" w:color="auto"/>
              <w:left w:val="single" w:sz="4" w:space="0" w:color="auto"/>
              <w:bottom w:val="single" w:sz="4" w:space="0" w:color="auto"/>
              <w:right w:val="single" w:sz="4" w:space="0" w:color="auto"/>
            </w:tcBorders>
            <w:hideMark/>
          </w:tcPr>
          <w:p w14:paraId="78738439" w14:textId="77777777" w:rsidR="00FD21FE" w:rsidRDefault="00FD21FE">
            <w:pPr>
              <w:jc w:val="center"/>
              <w:rPr>
                <w:rFonts w:ascii="Verdana" w:hAnsi="Verdana" w:cs="Arial"/>
                <w:bCs/>
                <w:color w:val="000000"/>
                <w:sz w:val="16"/>
                <w:szCs w:val="16"/>
                <w:lang w:eastAsia="es-CO"/>
              </w:rPr>
            </w:pPr>
            <w:r>
              <w:rPr>
                <w:rFonts w:ascii="Verdana" w:hAnsi="Verdana" w:cs="Arial"/>
                <w:color w:val="000000"/>
                <w:sz w:val="16"/>
                <w:szCs w:val="16"/>
                <w:lang w:val="es-CO" w:eastAsia="es-CO"/>
              </w:rPr>
              <w:t>144</w:t>
            </w:r>
          </w:p>
        </w:tc>
        <w:tc>
          <w:tcPr>
            <w:tcW w:w="1231" w:type="dxa"/>
            <w:tcBorders>
              <w:top w:val="single" w:sz="4" w:space="0" w:color="auto"/>
              <w:left w:val="single" w:sz="4" w:space="0" w:color="auto"/>
              <w:bottom w:val="single" w:sz="4" w:space="0" w:color="auto"/>
              <w:right w:val="single" w:sz="4" w:space="0" w:color="auto"/>
            </w:tcBorders>
            <w:hideMark/>
          </w:tcPr>
          <w:p w14:paraId="02A46FEE" w14:textId="77777777" w:rsidR="00FD21FE" w:rsidRDefault="00FD21FE">
            <w:pPr>
              <w:jc w:val="center"/>
              <w:rPr>
                <w:rFonts w:ascii="Verdana" w:hAnsi="Verdana" w:cs="Arial"/>
                <w:color w:val="000000"/>
                <w:sz w:val="16"/>
                <w:szCs w:val="16"/>
                <w:lang w:val="es-CO" w:eastAsia="es-CO"/>
              </w:rPr>
            </w:pPr>
            <w:r>
              <w:rPr>
                <w:rFonts w:ascii="Verdana" w:hAnsi="Verdana" w:cs="Arial"/>
                <w:color w:val="000000"/>
                <w:sz w:val="16"/>
                <w:szCs w:val="16"/>
                <w:lang w:val="es-CO" w:eastAsia="es-CO"/>
              </w:rPr>
              <w:t>210</w:t>
            </w:r>
          </w:p>
        </w:tc>
        <w:tc>
          <w:tcPr>
            <w:tcW w:w="1252" w:type="dxa"/>
            <w:tcBorders>
              <w:top w:val="single" w:sz="4" w:space="0" w:color="auto"/>
              <w:left w:val="single" w:sz="4" w:space="0" w:color="auto"/>
              <w:bottom w:val="single" w:sz="4" w:space="0" w:color="auto"/>
              <w:right w:val="single" w:sz="4" w:space="0" w:color="auto"/>
            </w:tcBorders>
            <w:hideMark/>
          </w:tcPr>
          <w:p w14:paraId="79669C41" w14:textId="77777777" w:rsidR="00FD21FE" w:rsidRDefault="00FD21FE">
            <w:pPr>
              <w:jc w:val="center"/>
              <w:rPr>
                <w:rFonts w:ascii="Verdana" w:hAnsi="Verdana" w:cs="Arial"/>
                <w:color w:val="000000"/>
                <w:sz w:val="16"/>
                <w:szCs w:val="16"/>
                <w:lang w:val="es-CO" w:eastAsia="es-CO"/>
              </w:rPr>
            </w:pPr>
            <w:r>
              <w:rPr>
                <w:rFonts w:ascii="Verdana" w:hAnsi="Verdana" w:cs="Arial"/>
                <w:color w:val="000000"/>
                <w:sz w:val="16"/>
                <w:szCs w:val="16"/>
                <w:lang w:val="es-CO" w:eastAsia="es-CO"/>
              </w:rPr>
              <w:t>210</w:t>
            </w:r>
          </w:p>
        </w:tc>
        <w:tc>
          <w:tcPr>
            <w:tcW w:w="1254" w:type="dxa"/>
            <w:tcBorders>
              <w:top w:val="single" w:sz="4" w:space="0" w:color="auto"/>
              <w:left w:val="single" w:sz="4" w:space="0" w:color="auto"/>
              <w:bottom w:val="single" w:sz="4" w:space="0" w:color="auto"/>
              <w:right w:val="single" w:sz="4" w:space="0" w:color="auto"/>
            </w:tcBorders>
            <w:hideMark/>
          </w:tcPr>
          <w:p w14:paraId="70855C8E" w14:textId="77777777" w:rsidR="00FD21FE" w:rsidRDefault="00FD21FE">
            <w:pPr>
              <w:jc w:val="center"/>
              <w:rPr>
                <w:rFonts w:ascii="Verdana" w:hAnsi="Verdana" w:cs="Arial"/>
                <w:color w:val="000000"/>
                <w:sz w:val="16"/>
                <w:szCs w:val="16"/>
                <w:lang w:val="es-CO" w:eastAsia="es-CO"/>
              </w:rPr>
            </w:pPr>
            <w:r>
              <w:rPr>
                <w:rFonts w:ascii="Verdana" w:hAnsi="Verdana" w:cs="Arial"/>
                <w:color w:val="000000"/>
                <w:sz w:val="16"/>
                <w:szCs w:val="16"/>
                <w:lang w:val="es-CO" w:eastAsia="es-CO"/>
              </w:rPr>
              <w:t>210</w:t>
            </w:r>
          </w:p>
        </w:tc>
      </w:tr>
      <w:tr w:rsidR="00FD21FE" w14:paraId="05F44821" w14:textId="77777777" w:rsidTr="00FD21FE">
        <w:trPr>
          <w:trHeight w:val="306"/>
        </w:trPr>
        <w:tc>
          <w:tcPr>
            <w:tcW w:w="2134" w:type="dxa"/>
            <w:tcBorders>
              <w:top w:val="nil"/>
              <w:left w:val="single" w:sz="8" w:space="0" w:color="auto"/>
              <w:bottom w:val="single" w:sz="4" w:space="0" w:color="auto"/>
              <w:right w:val="single" w:sz="12" w:space="0" w:color="auto"/>
            </w:tcBorders>
            <w:noWrap/>
            <w:vAlign w:val="bottom"/>
            <w:hideMark/>
          </w:tcPr>
          <w:p w14:paraId="7A691090" w14:textId="77777777" w:rsidR="00FD21FE" w:rsidRDefault="00FD21FE">
            <w:pPr>
              <w:jc w:val="both"/>
              <w:rPr>
                <w:rFonts w:ascii="Verdana" w:hAnsi="Verdana" w:cs="Arial"/>
                <w:bCs/>
                <w:color w:val="000000"/>
                <w:sz w:val="16"/>
                <w:szCs w:val="16"/>
                <w:lang w:eastAsia="es-CO"/>
              </w:rPr>
            </w:pPr>
            <w:r>
              <w:rPr>
                <w:rFonts w:ascii="Verdana" w:hAnsi="Verdana" w:cs="Arial"/>
                <w:bCs/>
                <w:color w:val="000000"/>
                <w:sz w:val="16"/>
                <w:szCs w:val="16"/>
                <w:lang w:eastAsia="es-CO"/>
              </w:rPr>
              <w:t>Subsidios (Aseo)</w:t>
            </w:r>
          </w:p>
        </w:tc>
        <w:tc>
          <w:tcPr>
            <w:tcW w:w="1117" w:type="dxa"/>
            <w:tcBorders>
              <w:top w:val="single" w:sz="4" w:space="0" w:color="auto"/>
              <w:left w:val="single" w:sz="4" w:space="0" w:color="auto"/>
              <w:bottom w:val="single" w:sz="4" w:space="0" w:color="auto"/>
              <w:right w:val="single" w:sz="4" w:space="0" w:color="auto"/>
            </w:tcBorders>
            <w:hideMark/>
          </w:tcPr>
          <w:p w14:paraId="2BAD66FD" w14:textId="77777777" w:rsidR="00FD21FE" w:rsidRDefault="00FD21FE">
            <w:pPr>
              <w:jc w:val="center"/>
              <w:rPr>
                <w:rFonts w:ascii="Verdana" w:hAnsi="Verdana" w:cs="Arial"/>
                <w:b/>
                <w:bCs/>
                <w:color w:val="000000"/>
                <w:sz w:val="16"/>
                <w:szCs w:val="16"/>
                <w:lang w:eastAsia="es-CO"/>
              </w:rPr>
            </w:pPr>
            <w:r>
              <w:rPr>
                <w:rFonts w:ascii="Verdana" w:hAnsi="Verdana" w:cs="Arial"/>
                <w:color w:val="000000"/>
                <w:sz w:val="16"/>
                <w:szCs w:val="16"/>
                <w:lang w:val="es-CO" w:eastAsia="es-CO"/>
              </w:rPr>
              <w:t>202</w:t>
            </w:r>
          </w:p>
        </w:tc>
        <w:tc>
          <w:tcPr>
            <w:tcW w:w="850" w:type="dxa"/>
            <w:tcBorders>
              <w:top w:val="single" w:sz="4" w:space="0" w:color="auto"/>
              <w:left w:val="single" w:sz="4" w:space="0" w:color="auto"/>
              <w:bottom w:val="single" w:sz="4" w:space="0" w:color="auto"/>
              <w:right w:val="single" w:sz="4" w:space="0" w:color="auto"/>
            </w:tcBorders>
            <w:hideMark/>
          </w:tcPr>
          <w:p w14:paraId="3654C95C" w14:textId="77777777" w:rsidR="00FD21FE" w:rsidRDefault="00FD21FE">
            <w:pPr>
              <w:jc w:val="center"/>
              <w:rPr>
                <w:rFonts w:ascii="Verdana" w:hAnsi="Verdana" w:cs="Arial"/>
                <w:b/>
                <w:bCs/>
                <w:color w:val="000000"/>
                <w:sz w:val="16"/>
                <w:szCs w:val="16"/>
                <w:lang w:eastAsia="es-CO"/>
              </w:rPr>
            </w:pPr>
            <w:r>
              <w:rPr>
                <w:rFonts w:ascii="Verdana" w:hAnsi="Verdana" w:cs="Arial"/>
                <w:color w:val="000000"/>
                <w:sz w:val="16"/>
                <w:szCs w:val="16"/>
                <w:lang w:val="es-CO" w:eastAsia="es-CO"/>
              </w:rPr>
              <w:t>202</w:t>
            </w:r>
          </w:p>
        </w:tc>
        <w:tc>
          <w:tcPr>
            <w:tcW w:w="919" w:type="dxa"/>
            <w:tcBorders>
              <w:top w:val="single" w:sz="4" w:space="0" w:color="auto"/>
              <w:left w:val="single" w:sz="4" w:space="0" w:color="auto"/>
              <w:bottom w:val="single" w:sz="4" w:space="0" w:color="auto"/>
              <w:right w:val="single" w:sz="4" w:space="0" w:color="auto"/>
            </w:tcBorders>
            <w:hideMark/>
          </w:tcPr>
          <w:p w14:paraId="6DBD92E7" w14:textId="77777777" w:rsidR="00FD21FE" w:rsidRDefault="00FD21FE">
            <w:pPr>
              <w:jc w:val="center"/>
              <w:rPr>
                <w:rFonts w:ascii="Verdana" w:hAnsi="Verdana" w:cs="Arial"/>
                <w:b/>
                <w:bCs/>
                <w:color w:val="000000"/>
                <w:sz w:val="16"/>
                <w:szCs w:val="16"/>
                <w:lang w:eastAsia="es-CO"/>
              </w:rPr>
            </w:pPr>
            <w:r>
              <w:rPr>
                <w:rFonts w:ascii="Verdana" w:hAnsi="Verdana" w:cs="Arial"/>
                <w:color w:val="000000"/>
                <w:sz w:val="16"/>
                <w:szCs w:val="16"/>
                <w:lang w:val="es-CO" w:eastAsia="es-CO"/>
              </w:rPr>
              <w:t>202</w:t>
            </w:r>
          </w:p>
        </w:tc>
        <w:tc>
          <w:tcPr>
            <w:tcW w:w="1231" w:type="dxa"/>
            <w:tcBorders>
              <w:top w:val="single" w:sz="4" w:space="0" w:color="auto"/>
              <w:left w:val="single" w:sz="4" w:space="0" w:color="auto"/>
              <w:bottom w:val="single" w:sz="4" w:space="0" w:color="auto"/>
              <w:right w:val="single" w:sz="4" w:space="0" w:color="auto"/>
            </w:tcBorders>
            <w:hideMark/>
          </w:tcPr>
          <w:p w14:paraId="1CB9A8DF" w14:textId="77777777" w:rsidR="00FD21FE" w:rsidRDefault="00FD21FE">
            <w:pPr>
              <w:jc w:val="center"/>
              <w:rPr>
                <w:rFonts w:ascii="Verdana" w:hAnsi="Verdana" w:cs="Arial"/>
                <w:color w:val="000000"/>
                <w:sz w:val="16"/>
                <w:szCs w:val="16"/>
                <w:lang w:val="es-CO" w:eastAsia="es-CO"/>
              </w:rPr>
            </w:pPr>
            <w:r>
              <w:rPr>
                <w:rFonts w:ascii="Verdana" w:hAnsi="Verdana" w:cs="Arial"/>
                <w:color w:val="000000"/>
                <w:sz w:val="16"/>
                <w:szCs w:val="16"/>
                <w:lang w:val="es-CO" w:eastAsia="es-CO"/>
              </w:rPr>
              <w:t>621</w:t>
            </w:r>
          </w:p>
        </w:tc>
        <w:tc>
          <w:tcPr>
            <w:tcW w:w="1252" w:type="dxa"/>
            <w:tcBorders>
              <w:top w:val="single" w:sz="4" w:space="0" w:color="auto"/>
              <w:left w:val="single" w:sz="4" w:space="0" w:color="auto"/>
              <w:bottom w:val="single" w:sz="4" w:space="0" w:color="auto"/>
              <w:right w:val="single" w:sz="4" w:space="0" w:color="auto"/>
            </w:tcBorders>
            <w:hideMark/>
          </w:tcPr>
          <w:p w14:paraId="19903DB8" w14:textId="77777777" w:rsidR="00FD21FE" w:rsidRDefault="00FD21FE">
            <w:pPr>
              <w:jc w:val="center"/>
              <w:rPr>
                <w:rFonts w:ascii="Verdana" w:hAnsi="Verdana" w:cs="Arial"/>
                <w:color w:val="000000"/>
                <w:sz w:val="16"/>
                <w:szCs w:val="16"/>
                <w:lang w:val="es-CO" w:eastAsia="es-CO"/>
              </w:rPr>
            </w:pPr>
            <w:r>
              <w:rPr>
                <w:rFonts w:ascii="Verdana" w:hAnsi="Verdana" w:cs="Arial"/>
                <w:color w:val="000000"/>
                <w:sz w:val="16"/>
                <w:szCs w:val="16"/>
                <w:lang w:val="es-CO" w:eastAsia="es-CO"/>
              </w:rPr>
              <w:t>621</w:t>
            </w:r>
          </w:p>
        </w:tc>
        <w:tc>
          <w:tcPr>
            <w:tcW w:w="1254" w:type="dxa"/>
            <w:tcBorders>
              <w:top w:val="single" w:sz="4" w:space="0" w:color="auto"/>
              <w:left w:val="single" w:sz="4" w:space="0" w:color="auto"/>
              <w:bottom w:val="single" w:sz="4" w:space="0" w:color="auto"/>
              <w:right w:val="single" w:sz="4" w:space="0" w:color="auto"/>
            </w:tcBorders>
            <w:hideMark/>
          </w:tcPr>
          <w:p w14:paraId="4D9C72FE" w14:textId="77777777" w:rsidR="00FD21FE" w:rsidRDefault="00FD21FE">
            <w:pPr>
              <w:jc w:val="center"/>
              <w:rPr>
                <w:rFonts w:ascii="Verdana" w:hAnsi="Verdana" w:cs="Arial"/>
                <w:color w:val="000000"/>
                <w:sz w:val="16"/>
                <w:szCs w:val="16"/>
                <w:lang w:val="es-CO" w:eastAsia="es-CO"/>
              </w:rPr>
            </w:pPr>
            <w:r>
              <w:rPr>
                <w:rFonts w:ascii="Verdana" w:hAnsi="Verdana" w:cs="Arial"/>
                <w:color w:val="000000"/>
                <w:sz w:val="16"/>
                <w:szCs w:val="16"/>
                <w:lang w:val="es-CO" w:eastAsia="es-CO"/>
              </w:rPr>
              <w:t>621</w:t>
            </w:r>
          </w:p>
        </w:tc>
      </w:tr>
      <w:tr w:rsidR="00FD21FE" w14:paraId="4C443D1A" w14:textId="77777777" w:rsidTr="00FD21FE">
        <w:trPr>
          <w:trHeight w:val="306"/>
        </w:trPr>
        <w:tc>
          <w:tcPr>
            <w:tcW w:w="2134" w:type="dxa"/>
            <w:tcBorders>
              <w:top w:val="nil"/>
              <w:left w:val="single" w:sz="8" w:space="0" w:color="auto"/>
              <w:bottom w:val="single" w:sz="4" w:space="0" w:color="auto"/>
              <w:right w:val="single" w:sz="12" w:space="0" w:color="auto"/>
            </w:tcBorders>
            <w:noWrap/>
            <w:vAlign w:val="bottom"/>
            <w:hideMark/>
          </w:tcPr>
          <w:p w14:paraId="077FC2E7" w14:textId="77777777" w:rsidR="00FD21FE" w:rsidRDefault="00FD21FE">
            <w:pPr>
              <w:jc w:val="both"/>
              <w:rPr>
                <w:rFonts w:ascii="Verdana" w:hAnsi="Verdana" w:cs="Arial"/>
                <w:bCs/>
                <w:color w:val="000000"/>
                <w:sz w:val="16"/>
                <w:szCs w:val="16"/>
                <w:lang w:eastAsia="es-CO"/>
              </w:rPr>
            </w:pPr>
            <w:r>
              <w:rPr>
                <w:rFonts w:ascii="Verdana" w:hAnsi="Verdana" w:cs="Arial"/>
                <w:bCs/>
                <w:color w:val="000000"/>
                <w:sz w:val="16"/>
                <w:szCs w:val="16"/>
                <w:lang w:eastAsia="es-CO"/>
              </w:rPr>
              <w:t xml:space="preserve">Aseo – Disposición Final </w:t>
            </w:r>
          </w:p>
        </w:tc>
        <w:tc>
          <w:tcPr>
            <w:tcW w:w="1117" w:type="dxa"/>
            <w:tcBorders>
              <w:top w:val="single" w:sz="4" w:space="0" w:color="auto"/>
              <w:left w:val="single" w:sz="4" w:space="0" w:color="auto"/>
              <w:bottom w:val="single" w:sz="4" w:space="0" w:color="auto"/>
              <w:right w:val="single" w:sz="4" w:space="0" w:color="auto"/>
            </w:tcBorders>
          </w:tcPr>
          <w:p w14:paraId="4B64D223" w14:textId="77777777" w:rsidR="00FD21FE" w:rsidRDefault="00FD21FE">
            <w:pPr>
              <w:jc w:val="center"/>
              <w:rPr>
                <w:rFonts w:ascii="Verdana" w:hAnsi="Verdana" w:cs="Arial"/>
                <w:b/>
                <w:bCs/>
                <w:color w:val="000000"/>
                <w:sz w:val="16"/>
                <w:szCs w:val="16"/>
                <w:lang w:eastAsia="es-CO"/>
              </w:rPr>
            </w:pPr>
          </w:p>
        </w:tc>
        <w:tc>
          <w:tcPr>
            <w:tcW w:w="850" w:type="dxa"/>
            <w:tcBorders>
              <w:top w:val="single" w:sz="4" w:space="0" w:color="auto"/>
              <w:left w:val="single" w:sz="4" w:space="0" w:color="auto"/>
              <w:bottom w:val="single" w:sz="4" w:space="0" w:color="auto"/>
              <w:right w:val="single" w:sz="4" w:space="0" w:color="auto"/>
            </w:tcBorders>
          </w:tcPr>
          <w:p w14:paraId="75DE67B9" w14:textId="77777777" w:rsidR="00FD21FE" w:rsidRDefault="00FD21FE">
            <w:pPr>
              <w:jc w:val="center"/>
              <w:rPr>
                <w:rFonts w:ascii="Verdana" w:hAnsi="Verdana" w:cs="Arial"/>
                <w:b/>
                <w:bCs/>
                <w:color w:val="000000"/>
                <w:sz w:val="16"/>
                <w:szCs w:val="16"/>
                <w:lang w:eastAsia="es-CO"/>
              </w:rPr>
            </w:pPr>
          </w:p>
        </w:tc>
        <w:tc>
          <w:tcPr>
            <w:tcW w:w="919" w:type="dxa"/>
            <w:tcBorders>
              <w:top w:val="single" w:sz="4" w:space="0" w:color="auto"/>
              <w:left w:val="single" w:sz="4" w:space="0" w:color="auto"/>
              <w:bottom w:val="single" w:sz="4" w:space="0" w:color="auto"/>
              <w:right w:val="single" w:sz="4" w:space="0" w:color="auto"/>
            </w:tcBorders>
          </w:tcPr>
          <w:p w14:paraId="703E0A55" w14:textId="77777777" w:rsidR="00FD21FE" w:rsidRDefault="00FD21FE">
            <w:pPr>
              <w:jc w:val="center"/>
              <w:rPr>
                <w:rFonts w:ascii="Verdana" w:hAnsi="Verdana" w:cs="Arial"/>
                <w:b/>
                <w:bCs/>
                <w:color w:val="000000"/>
                <w:sz w:val="16"/>
                <w:szCs w:val="16"/>
                <w:lang w:eastAsia="es-CO"/>
              </w:rPr>
            </w:pPr>
          </w:p>
        </w:tc>
        <w:tc>
          <w:tcPr>
            <w:tcW w:w="1231" w:type="dxa"/>
            <w:tcBorders>
              <w:top w:val="single" w:sz="4" w:space="0" w:color="auto"/>
              <w:left w:val="single" w:sz="4" w:space="0" w:color="auto"/>
              <w:bottom w:val="single" w:sz="4" w:space="0" w:color="auto"/>
              <w:right w:val="single" w:sz="4" w:space="0" w:color="auto"/>
            </w:tcBorders>
          </w:tcPr>
          <w:p w14:paraId="171F4EE6" w14:textId="77777777" w:rsidR="00FD21FE" w:rsidRDefault="00FD21FE">
            <w:pPr>
              <w:rPr>
                <w:rFonts w:ascii="Verdana" w:hAnsi="Verdana" w:cs="Arial"/>
                <w:b/>
                <w:bCs/>
                <w:color w:val="000000"/>
                <w:sz w:val="16"/>
                <w:szCs w:val="16"/>
                <w:lang w:eastAsia="es-CO"/>
              </w:rPr>
            </w:pPr>
          </w:p>
        </w:tc>
        <w:tc>
          <w:tcPr>
            <w:tcW w:w="1252" w:type="dxa"/>
            <w:tcBorders>
              <w:top w:val="single" w:sz="4" w:space="0" w:color="auto"/>
              <w:left w:val="single" w:sz="4" w:space="0" w:color="auto"/>
              <w:bottom w:val="single" w:sz="4" w:space="0" w:color="auto"/>
              <w:right w:val="single" w:sz="4" w:space="0" w:color="auto"/>
            </w:tcBorders>
          </w:tcPr>
          <w:p w14:paraId="27229650" w14:textId="77777777" w:rsidR="00FD21FE" w:rsidRDefault="00FD21FE">
            <w:pPr>
              <w:rPr>
                <w:rFonts w:ascii="Verdana" w:hAnsi="Verdana" w:cs="Arial"/>
                <w:b/>
                <w:bCs/>
                <w:color w:val="000000"/>
                <w:sz w:val="16"/>
                <w:szCs w:val="16"/>
                <w:lang w:eastAsia="es-CO"/>
              </w:rPr>
            </w:pPr>
          </w:p>
        </w:tc>
        <w:tc>
          <w:tcPr>
            <w:tcW w:w="1254" w:type="dxa"/>
            <w:tcBorders>
              <w:top w:val="single" w:sz="4" w:space="0" w:color="auto"/>
              <w:left w:val="single" w:sz="4" w:space="0" w:color="auto"/>
              <w:bottom w:val="single" w:sz="4" w:space="0" w:color="auto"/>
              <w:right w:val="single" w:sz="4" w:space="0" w:color="auto"/>
            </w:tcBorders>
          </w:tcPr>
          <w:p w14:paraId="74ED3CD9" w14:textId="77777777" w:rsidR="00FD21FE" w:rsidRDefault="00FD21FE">
            <w:pPr>
              <w:rPr>
                <w:rFonts w:ascii="Verdana" w:hAnsi="Verdana" w:cs="Arial"/>
                <w:b/>
                <w:bCs/>
                <w:color w:val="000000"/>
                <w:sz w:val="16"/>
                <w:szCs w:val="16"/>
                <w:lang w:eastAsia="es-CO"/>
              </w:rPr>
            </w:pPr>
          </w:p>
        </w:tc>
      </w:tr>
      <w:tr w:rsidR="00FD21FE" w14:paraId="3551A3AD" w14:textId="77777777" w:rsidTr="00FD21FE">
        <w:trPr>
          <w:trHeight w:val="320"/>
        </w:trPr>
        <w:tc>
          <w:tcPr>
            <w:tcW w:w="2134" w:type="dxa"/>
            <w:tcBorders>
              <w:top w:val="nil"/>
              <w:left w:val="single" w:sz="8" w:space="0" w:color="auto"/>
              <w:bottom w:val="single" w:sz="8" w:space="0" w:color="auto"/>
              <w:right w:val="single" w:sz="12" w:space="0" w:color="auto"/>
            </w:tcBorders>
            <w:noWrap/>
            <w:vAlign w:val="bottom"/>
            <w:hideMark/>
          </w:tcPr>
          <w:p w14:paraId="70E8FA6A" w14:textId="77777777" w:rsidR="00FD21FE" w:rsidRDefault="00FD21FE">
            <w:pPr>
              <w:jc w:val="both"/>
              <w:rPr>
                <w:rFonts w:ascii="Verdana" w:hAnsi="Verdana" w:cs="Arial"/>
                <w:b/>
                <w:bCs/>
                <w:color w:val="000000"/>
                <w:sz w:val="16"/>
                <w:szCs w:val="16"/>
                <w:lang w:eastAsia="es-CO"/>
              </w:rPr>
            </w:pPr>
            <w:r>
              <w:rPr>
                <w:rFonts w:ascii="Verdana" w:hAnsi="Verdana" w:cs="Arial"/>
                <w:b/>
                <w:bCs/>
                <w:color w:val="000000"/>
                <w:sz w:val="16"/>
                <w:szCs w:val="16"/>
                <w:lang w:eastAsia="es-CO"/>
              </w:rPr>
              <w:t>Total</w:t>
            </w:r>
          </w:p>
        </w:tc>
        <w:tc>
          <w:tcPr>
            <w:tcW w:w="1117" w:type="dxa"/>
            <w:tcBorders>
              <w:top w:val="single" w:sz="4" w:space="0" w:color="auto"/>
              <w:left w:val="single" w:sz="4" w:space="0" w:color="auto"/>
              <w:bottom w:val="single" w:sz="4" w:space="0" w:color="auto"/>
              <w:right w:val="single" w:sz="4" w:space="0" w:color="auto"/>
            </w:tcBorders>
            <w:hideMark/>
          </w:tcPr>
          <w:p w14:paraId="34DBAAE5" w14:textId="77777777" w:rsidR="00FD21FE" w:rsidRDefault="00FD21FE">
            <w:pPr>
              <w:jc w:val="center"/>
              <w:rPr>
                <w:rFonts w:ascii="Verdana" w:hAnsi="Verdana" w:cs="Arial"/>
                <w:b/>
                <w:bCs/>
                <w:color w:val="000000"/>
                <w:sz w:val="16"/>
                <w:szCs w:val="16"/>
                <w:lang w:eastAsia="es-CO"/>
              </w:rPr>
            </w:pPr>
            <w:r>
              <w:rPr>
                <w:rFonts w:ascii="Verdana" w:hAnsi="Verdana" w:cs="Arial"/>
                <w:b/>
                <w:bCs/>
                <w:color w:val="000000"/>
                <w:sz w:val="16"/>
                <w:szCs w:val="16"/>
                <w:lang w:val="es-CO" w:eastAsia="es-CO"/>
              </w:rPr>
              <w:t>1.574</w:t>
            </w:r>
          </w:p>
        </w:tc>
        <w:tc>
          <w:tcPr>
            <w:tcW w:w="850" w:type="dxa"/>
            <w:tcBorders>
              <w:top w:val="single" w:sz="4" w:space="0" w:color="auto"/>
              <w:left w:val="single" w:sz="4" w:space="0" w:color="auto"/>
              <w:bottom w:val="single" w:sz="4" w:space="0" w:color="auto"/>
              <w:right w:val="single" w:sz="4" w:space="0" w:color="auto"/>
            </w:tcBorders>
            <w:hideMark/>
          </w:tcPr>
          <w:p w14:paraId="6A37ECBA" w14:textId="77777777" w:rsidR="00FD21FE" w:rsidRDefault="00FD21FE">
            <w:pPr>
              <w:jc w:val="center"/>
              <w:rPr>
                <w:rFonts w:ascii="Verdana" w:hAnsi="Verdana" w:cs="Arial"/>
                <w:b/>
                <w:bCs/>
                <w:color w:val="000000"/>
                <w:sz w:val="16"/>
                <w:szCs w:val="16"/>
                <w:lang w:eastAsia="es-CO"/>
              </w:rPr>
            </w:pPr>
            <w:r>
              <w:rPr>
                <w:rFonts w:ascii="Verdana" w:hAnsi="Verdana" w:cs="Arial"/>
                <w:b/>
                <w:bCs/>
                <w:color w:val="000000"/>
                <w:sz w:val="16"/>
                <w:szCs w:val="16"/>
                <w:lang w:val="es-CO" w:eastAsia="es-CO"/>
              </w:rPr>
              <w:t>$1.426</w:t>
            </w:r>
          </w:p>
        </w:tc>
        <w:tc>
          <w:tcPr>
            <w:tcW w:w="919" w:type="dxa"/>
            <w:tcBorders>
              <w:top w:val="single" w:sz="4" w:space="0" w:color="auto"/>
              <w:left w:val="single" w:sz="4" w:space="0" w:color="auto"/>
              <w:bottom w:val="single" w:sz="4" w:space="0" w:color="auto"/>
              <w:right w:val="single" w:sz="4" w:space="0" w:color="auto"/>
            </w:tcBorders>
            <w:hideMark/>
          </w:tcPr>
          <w:p w14:paraId="7E819E18" w14:textId="77777777" w:rsidR="00FD21FE" w:rsidRDefault="00FD21FE">
            <w:pPr>
              <w:jc w:val="center"/>
              <w:rPr>
                <w:rFonts w:ascii="Verdana" w:hAnsi="Verdana" w:cs="Arial"/>
                <w:b/>
                <w:bCs/>
                <w:color w:val="000000"/>
                <w:sz w:val="16"/>
                <w:szCs w:val="16"/>
                <w:lang w:eastAsia="es-CO"/>
              </w:rPr>
            </w:pPr>
            <w:r>
              <w:rPr>
                <w:rFonts w:ascii="Verdana" w:hAnsi="Verdana" w:cs="Arial"/>
                <w:b/>
                <w:bCs/>
                <w:color w:val="000000"/>
                <w:sz w:val="16"/>
                <w:szCs w:val="16"/>
                <w:lang w:val="es-CO" w:eastAsia="es-CO"/>
              </w:rPr>
              <w:t>1.379</w:t>
            </w:r>
          </w:p>
        </w:tc>
        <w:tc>
          <w:tcPr>
            <w:tcW w:w="1231" w:type="dxa"/>
            <w:tcBorders>
              <w:top w:val="single" w:sz="4" w:space="0" w:color="auto"/>
              <w:left w:val="single" w:sz="4" w:space="0" w:color="auto"/>
              <w:bottom w:val="single" w:sz="4" w:space="0" w:color="auto"/>
              <w:right w:val="single" w:sz="4" w:space="0" w:color="auto"/>
            </w:tcBorders>
            <w:hideMark/>
          </w:tcPr>
          <w:p w14:paraId="4D9AE898" w14:textId="77777777" w:rsidR="00FD21FE" w:rsidRDefault="00FD21FE">
            <w:pPr>
              <w:jc w:val="center"/>
              <w:rPr>
                <w:rFonts w:ascii="Verdana" w:hAnsi="Verdana" w:cs="Arial"/>
                <w:b/>
                <w:bCs/>
                <w:color w:val="000000"/>
                <w:sz w:val="16"/>
                <w:szCs w:val="16"/>
                <w:lang w:val="es-CO" w:eastAsia="es-CO"/>
              </w:rPr>
            </w:pPr>
            <w:r>
              <w:rPr>
                <w:rFonts w:ascii="Verdana" w:hAnsi="Verdana" w:cs="Arial"/>
                <w:b/>
                <w:bCs/>
                <w:color w:val="000000"/>
                <w:sz w:val="16"/>
                <w:szCs w:val="16"/>
                <w:lang w:val="es-CO" w:eastAsia="es-CO"/>
              </w:rPr>
              <w:t>1.807</w:t>
            </w:r>
          </w:p>
        </w:tc>
        <w:tc>
          <w:tcPr>
            <w:tcW w:w="1252" w:type="dxa"/>
            <w:tcBorders>
              <w:top w:val="single" w:sz="4" w:space="0" w:color="auto"/>
              <w:left w:val="single" w:sz="4" w:space="0" w:color="auto"/>
              <w:bottom w:val="single" w:sz="4" w:space="0" w:color="auto"/>
              <w:right w:val="single" w:sz="4" w:space="0" w:color="auto"/>
            </w:tcBorders>
            <w:hideMark/>
          </w:tcPr>
          <w:p w14:paraId="4AD9DC05" w14:textId="77777777" w:rsidR="00FD21FE" w:rsidRDefault="00FD21FE">
            <w:pPr>
              <w:jc w:val="center"/>
              <w:rPr>
                <w:rFonts w:ascii="Verdana" w:hAnsi="Verdana" w:cs="Arial"/>
                <w:b/>
                <w:bCs/>
                <w:color w:val="000000"/>
                <w:sz w:val="16"/>
                <w:szCs w:val="16"/>
                <w:lang w:val="es-CO" w:eastAsia="es-CO"/>
              </w:rPr>
            </w:pPr>
            <w:r>
              <w:rPr>
                <w:rFonts w:ascii="Verdana" w:hAnsi="Verdana" w:cs="Arial"/>
                <w:b/>
                <w:bCs/>
                <w:color w:val="000000"/>
                <w:sz w:val="16"/>
                <w:szCs w:val="16"/>
                <w:lang w:val="es-CO" w:eastAsia="es-CO"/>
              </w:rPr>
              <w:t>1.757</w:t>
            </w:r>
          </w:p>
        </w:tc>
        <w:tc>
          <w:tcPr>
            <w:tcW w:w="1254" w:type="dxa"/>
            <w:tcBorders>
              <w:top w:val="single" w:sz="4" w:space="0" w:color="auto"/>
              <w:left w:val="single" w:sz="4" w:space="0" w:color="auto"/>
              <w:bottom w:val="single" w:sz="4" w:space="0" w:color="auto"/>
              <w:right w:val="single" w:sz="4" w:space="0" w:color="auto"/>
            </w:tcBorders>
            <w:hideMark/>
          </w:tcPr>
          <w:p w14:paraId="22DA8CA0" w14:textId="77777777" w:rsidR="00FD21FE" w:rsidRDefault="00FD21FE">
            <w:pPr>
              <w:jc w:val="center"/>
              <w:rPr>
                <w:rFonts w:ascii="Verdana" w:hAnsi="Verdana" w:cs="Arial"/>
                <w:b/>
                <w:bCs/>
                <w:color w:val="000000"/>
                <w:sz w:val="16"/>
                <w:szCs w:val="16"/>
                <w:lang w:val="es-CO" w:eastAsia="es-CO"/>
              </w:rPr>
            </w:pPr>
            <w:r>
              <w:rPr>
                <w:rFonts w:ascii="Verdana" w:hAnsi="Verdana" w:cs="Arial"/>
                <w:b/>
                <w:bCs/>
                <w:color w:val="000000"/>
                <w:sz w:val="16"/>
                <w:szCs w:val="16"/>
                <w:lang w:val="es-CO" w:eastAsia="es-CO"/>
              </w:rPr>
              <w:t>1.757</w:t>
            </w:r>
          </w:p>
        </w:tc>
      </w:tr>
    </w:tbl>
    <w:p w14:paraId="1800FD9D" w14:textId="77777777" w:rsidR="00FD21FE" w:rsidRDefault="00FD21FE" w:rsidP="00FD21FE">
      <w:pPr>
        <w:jc w:val="center"/>
        <w:rPr>
          <w:rFonts w:ascii="Verdana" w:hAnsi="Verdana" w:cs="Arial"/>
          <w:bCs/>
          <w:iCs/>
          <w:sz w:val="18"/>
          <w:szCs w:val="18"/>
          <w:lang w:val="es-CO" w:eastAsia="en-US"/>
        </w:rPr>
      </w:pPr>
      <w:r>
        <w:rPr>
          <w:rFonts w:ascii="Verdana" w:hAnsi="Verdana" w:cs="Arial"/>
          <w:bCs/>
          <w:iCs/>
          <w:sz w:val="18"/>
          <w:szCs w:val="18"/>
          <w:lang w:val="es-CO" w:eastAsia="en-US"/>
        </w:rPr>
        <w:t>Fuente: Entidad Territorial - Ejecuciones presupuestales– Cifras en millones de pesos</w:t>
      </w:r>
    </w:p>
    <w:p w14:paraId="790E3ABC" w14:textId="77777777" w:rsidR="00FD21FE" w:rsidRDefault="00FD21FE" w:rsidP="00FD21FE">
      <w:pPr>
        <w:jc w:val="both"/>
        <w:rPr>
          <w:rFonts w:ascii="Verdana" w:hAnsi="Verdana" w:cs="Arial"/>
          <w:bCs/>
          <w:iCs/>
          <w:sz w:val="22"/>
          <w:szCs w:val="22"/>
          <w:lang w:val="es-CO" w:eastAsia="en-US"/>
        </w:rPr>
      </w:pPr>
    </w:p>
    <w:p w14:paraId="31F0422C" w14:textId="77777777" w:rsidR="00FD21FE" w:rsidRDefault="00FD21FE" w:rsidP="00FD21FE">
      <w:pPr>
        <w:jc w:val="both"/>
        <w:rPr>
          <w:rFonts w:ascii="Verdana" w:hAnsi="Verdana" w:cs="Arial"/>
          <w:bCs/>
          <w:iCs/>
          <w:sz w:val="22"/>
          <w:szCs w:val="22"/>
          <w:lang w:val="es-CO" w:eastAsia="en-US"/>
        </w:rPr>
      </w:pPr>
    </w:p>
    <w:p w14:paraId="69275FD5" w14:textId="77777777" w:rsidR="00FD21FE" w:rsidRDefault="00FD21FE" w:rsidP="00FD21FE">
      <w:pPr>
        <w:jc w:val="both"/>
        <w:rPr>
          <w:rFonts w:ascii="Verdana" w:hAnsi="Verdana" w:cs="Arial"/>
          <w:bCs/>
          <w:iCs/>
          <w:sz w:val="22"/>
          <w:szCs w:val="22"/>
          <w:lang w:val="es-CO" w:eastAsia="en-US"/>
        </w:rPr>
      </w:pPr>
      <w:r>
        <w:rPr>
          <w:rFonts w:ascii="Verdana" w:hAnsi="Verdana" w:cs="Arial"/>
          <w:bCs/>
          <w:iCs/>
          <w:sz w:val="22"/>
          <w:szCs w:val="22"/>
          <w:lang w:val="es-CO" w:eastAsia="en-US"/>
        </w:rPr>
        <w:t>De acuerdo con la ejecución presupuestal, los compromisos con los recursos del SGP APSB para la vigencia 2022, (Incluidas las transferencias corrientes, recursos del balance &amp; rendimientos financieros) fueron del orden de $1.807 millones con obligaciones y pagos por $1.757 millones.</w:t>
      </w:r>
    </w:p>
    <w:p w14:paraId="26946405" w14:textId="77777777" w:rsidR="00FD21FE" w:rsidRDefault="00FD21FE" w:rsidP="00FD21FE">
      <w:pPr>
        <w:jc w:val="both"/>
        <w:rPr>
          <w:rFonts w:ascii="Verdana" w:hAnsi="Verdana" w:cs="Arial"/>
          <w:bCs/>
          <w:iCs/>
          <w:sz w:val="22"/>
          <w:szCs w:val="22"/>
          <w:lang w:val="es-CO" w:eastAsia="en-US"/>
        </w:rPr>
      </w:pPr>
    </w:p>
    <w:p w14:paraId="25CDCE0A" w14:textId="77777777" w:rsidR="00FD21FE" w:rsidRDefault="00FD21FE" w:rsidP="00FD21FE">
      <w:pPr>
        <w:jc w:val="both"/>
        <w:rPr>
          <w:rFonts w:ascii="Verdana" w:hAnsi="Verdana" w:cs="Arial"/>
          <w:bCs/>
          <w:iCs/>
          <w:sz w:val="22"/>
          <w:szCs w:val="22"/>
          <w:lang w:val="es-CO" w:eastAsia="en-US"/>
        </w:rPr>
      </w:pPr>
      <w:r>
        <w:rPr>
          <w:rFonts w:ascii="Verdana" w:hAnsi="Verdana" w:cs="Arial"/>
          <w:bCs/>
          <w:iCs/>
          <w:sz w:val="22"/>
          <w:szCs w:val="22"/>
          <w:lang w:val="es-CO" w:eastAsia="en-US"/>
        </w:rPr>
        <w:t>El mayor compromiso fue el asociado a la financiación de los subsidios en la prestación del servicio de aseo, que pasó de la vigencia 2021 por $202 millones a $621 millones en 2022. Tal situación es manifestada en el informe de reconocimiento y en el plan de desempeño que ejecuta la Entidad Territorial.</w:t>
      </w:r>
    </w:p>
    <w:p w14:paraId="63660E47" w14:textId="77777777" w:rsidR="00FD21FE" w:rsidRDefault="00FD21FE" w:rsidP="00FD21FE">
      <w:pPr>
        <w:jc w:val="both"/>
        <w:rPr>
          <w:rFonts w:ascii="Verdana" w:hAnsi="Verdana" w:cs="Arial"/>
          <w:bCs/>
          <w:iCs/>
          <w:sz w:val="22"/>
          <w:szCs w:val="22"/>
          <w:lang w:val="es-CO" w:eastAsia="en-US"/>
        </w:rPr>
      </w:pPr>
    </w:p>
    <w:p w14:paraId="5D3E9FEB" w14:textId="77777777" w:rsidR="00FD21FE" w:rsidRDefault="00FD21FE" w:rsidP="00FD21FE">
      <w:pPr>
        <w:jc w:val="both"/>
        <w:rPr>
          <w:rFonts w:ascii="Verdana" w:hAnsi="Verdana" w:cs="Arial"/>
          <w:bCs/>
          <w:iCs/>
          <w:sz w:val="22"/>
          <w:szCs w:val="22"/>
          <w:lang w:val="es-CO" w:eastAsia="en-US"/>
        </w:rPr>
      </w:pPr>
      <w:r>
        <w:rPr>
          <w:rFonts w:ascii="Verdana" w:hAnsi="Verdana" w:cs="Arial"/>
          <w:bCs/>
          <w:iCs/>
          <w:sz w:val="22"/>
          <w:szCs w:val="22"/>
          <w:lang w:val="es-CO" w:eastAsia="en-US"/>
        </w:rPr>
        <w:t>El resto de los compromisos fue para acueductos y alcantarillados optimizados por $ 211 millones y $ 397 millones respectivamente.</w:t>
      </w:r>
    </w:p>
    <w:p w14:paraId="4689EA50" w14:textId="77777777" w:rsidR="00FD21FE" w:rsidRDefault="00FD21FE" w:rsidP="00FD21FE">
      <w:pPr>
        <w:jc w:val="both"/>
        <w:rPr>
          <w:rFonts w:ascii="Verdana" w:hAnsi="Verdana" w:cs="Arial"/>
          <w:bCs/>
          <w:iCs/>
          <w:sz w:val="22"/>
          <w:szCs w:val="22"/>
          <w:highlight w:val="yellow"/>
          <w:lang w:val="es-CO" w:eastAsia="en-US"/>
        </w:rPr>
      </w:pPr>
    </w:p>
    <w:p w14:paraId="33EEE724" w14:textId="77777777" w:rsidR="00FD21FE" w:rsidRDefault="00FD21FE" w:rsidP="00FD21FE">
      <w:pPr>
        <w:jc w:val="both"/>
        <w:rPr>
          <w:rFonts w:ascii="Verdana" w:hAnsi="Verdana" w:cs="Arial"/>
          <w:bCs/>
          <w:iCs/>
          <w:sz w:val="22"/>
          <w:szCs w:val="22"/>
          <w:lang w:val="es-CO" w:eastAsia="en-US"/>
        </w:rPr>
      </w:pPr>
      <w:r>
        <w:rPr>
          <w:rFonts w:ascii="Verdana" w:hAnsi="Verdana" w:cs="Arial"/>
          <w:bCs/>
          <w:iCs/>
          <w:sz w:val="22"/>
          <w:szCs w:val="22"/>
          <w:lang w:val="es-CO" w:eastAsia="en-US"/>
        </w:rPr>
        <w:t>Vale la pena resaltar que otras fuentes de financiación del sector son los recursos del SGP de propósito general y los ingresos corrientes de libre destinación, de los cuales se efectuó al cierre de 2022 la optimización de acueductos y alcantarillados $30 millones y $629 millones, respectivamente.</w:t>
      </w:r>
    </w:p>
    <w:p w14:paraId="6F260F04" w14:textId="77777777" w:rsidR="00FD21FE" w:rsidRDefault="00FD21FE" w:rsidP="00FD21FE">
      <w:pPr>
        <w:jc w:val="both"/>
        <w:rPr>
          <w:rFonts w:ascii="Verdana" w:hAnsi="Verdana" w:cs="Arial"/>
          <w:bCs/>
          <w:iCs/>
          <w:sz w:val="22"/>
          <w:szCs w:val="22"/>
          <w:lang w:val="es-CO" w:eastAsia="en-US"/>
        </w:rPr>
      </w:pPr>
    </w:p>
    <w:p w14:paraId="221AFC79" w14:textId="77777777" w:rsidR="00FD21FE" w:rsidRDefault="00FD21FE" w:rsidP="00FD21FE">
      <w:pPr>
        <w:jc w:val="both"/>
        <w:rPr>
          <w:rFonts w:ascii="Verdana" w:hAnsi="Verdana" w:cs="Arial"/>
          <w:bCs/>
          <w:iCs/>
          <w:sz w:val="22"/>
          <w:szCs w:val="22"/>
          <w:lang w:val="es-CO" w:eastAsia="en-US"/>
        </w:rPr>
      </w:pPr>
      <w:r>
        <w:rPr>
          <w:rFonts w:ascii="Verdana" w:hAnsi="Verdana" w:cs="Arial"/>
          <w:bCs/>
          <w:iCs/>
          <w:sz w:val="22"/>
          <w:szCs w:val="22"/>
          <w:lang w:val="es-CO" w:eastAsia="en-US"/>
        </w:rPr>
        <w:t>Adicional a la financiación de los subsidios en la prestación de los servicios de AAA, con recursos de los Ingresos Corrientes de Libre destinación, se comprometieron recursos por $308 millones ($56 millones en acueducto, $85 millones Alcantarillado y $167 millones en aseo). Lo que demuestra que los subsidios en aseo representaron una cifra relevante ya que con las diferentes fuentes de financiación (reportadas al CUIPO), los compromisos fueron por $788 millones ($167 millones ICLD y $621 millones con SGP APSB).</w:t>
      </w:r>
    </w:p>
    <w:p w14:paraId="005476B7" w14:textId="77777777" w:rsidR="00FD21FE" w:rsidRDefault="00FD21FE" w:rsidP="00FD21FE">
      <w:pPr>
        <w:jc w:val="both"/>
        <w:rPr>
          <w:rFonts w:ascii="Verdana" w:hAnsi="Verdana" w:cs="Arial"/>
          <w:bCs/>
          <w:iCs/>
          <w:sz w:val="22"/>
          <w:szCs w:val="22"/>
          <w:lang w:val="es-CO" w:eastAsia="en-US"/>
        </w:rPr>
      </w:pPr>
    </w:p>
    <w:p w14:paraId="435B0C45" w14:textId="77777777" w:rsidR="00FD21FE" w:rsidRDefault="00FD21FE" w:rsidP="00FD21FE">
      <w:pPr>
        <w:jc w:val="both"/>
        <w:rPr>
          <w:rFonts w:ascii="Verdana" w:hAnsi="Verdana" w:cs="Arial"/>
          <w:bCs/>
          <w:i/>
          <w:sz w:val="22"/>
          <w:szCs w:val="22"/>
          <w:lang w:eastAsia="en-US"/>
        </w:rPr>
      </w:pPr>
    </w:p>
    <w:p w14:paraId="16F278FB" w14:textId="77777777" w:rsidR="00FD21FE" w:rsidRDefault="00FD21FE" w:rsidP="00FD21FE">
      <w:pPr>
        <w:jc w:val="both"/>
        <w:rPr>
          <w:rFonts w:ascii="Verdana" w:hAnsi="Verdana" w:cs="Arial"/>
          <w:sz w:val="22"/>
          <w:szCs w:val="22"/>
          <w:lang w:val="es-CO"/>
        </w:rPr>
      </w:pPr>
    </w:p>
    <w:p w14:paraId="6F17E2BD" w14:textId="77777777" w:rsidR="00FD21FE" w:rsidRDefault="00FD21FE" w:rsidP="00FD21FE">
      <w:pPr>
        <w:pStyle w:val="Ttulo2"/>
        <w:spacing w:before="0"/>
        <w:jc w:val="both"/>
        <w:rPr>
          <w:rFonts w:ascii="Verdana" w:hAnsi="Verdana" w:cs="Arial"/>
          <w:color w:val="auto"/>
          <w:sz w:val="22"/>
          <w:szCs w:val="22"/>
          <w:lang w:val="es-CO"/>
        </w:rPr>
      </w:pPr>
      <w:r>
        <w:rPr>
          <w:rFonts w:ascii="Verdana" w:hAnsi="Verdana" w:cs="Arial"/>
          <w:b/>
          <w:color w:val="auto"/>
          <w:sz w:val="22"/>
          <w:szCs w:val="22"/>
          <w:lang w:val="es-CO"/>
        </w:rPr>
        <w:t xml:space="preserve">Cierre Fiscal </w:t>
      </w:r>
    </w:p>
    <w:p w14:paraId="0262574A" w14:textId="77777777" w:rsidR="00FD21FE" w:rsidRDefault="00FD21FE" w:rsidP="00FD21FE">
      <w:pPr>
        <w:rPr>
          <w:rFonts w:ascii="Verdana" w:hAnsi="Verdana"/>
          <w:sz w:val="22"/>
          <w:szCs w:val="22"/>
          <w:lang w:val="es-CO"/>
        </w:rPr>
      </w:pPr>
    </w:p>
    <w:p w14:paraId="11BB5148" w14:textId="77777777" w:rsidR="00FD21FE" w:rsidRDefault="00FD21FE" w:rsidP="00FD21FE">
      <w:pPr>
        <w:jc w:val="both"/>
        <w:rPr>
          <w:rFonts w:ascii="Verdana" w:hAnsi="Verdana" w:cs="Arial"/>
          <w:bCs/>
          <w:iCs/>
          <w:sz w:val="22"/>
          <w:szCs w:val="22"/>
          <w:lang w:val="es-CO" w:eastAsia="en-US"/>
        </w:rPr>
      </w:pPr>
      <w:r>
        <w:rPr>
          <w:rFonts w:ascii="Verdana" w:hAnsi="Verdana" w:cs="Arial"/>
          <w:bCs/>
          <w:iCs/>
          <w:sz w:val="22"/>
          <w:szCs w:val="22"/>
          <w:lang w:val="es-CO" w:eastAsia="en-US"/>
        </w:rPr>
        <w:t>Con base en la ejecución presupuestal al cierre de la vigencia 2021 el resultado sectorial es superavitario por $ 52 millones, en la medida en que se comprometieron $1.574 millones, de los $1.626 millones recaudados. Debieron constituirse cuentas por pagar por un monto de $47 millones. De acuerdo con el cálculo DAF el saldo en caja y bancos debió ser por $247millones.</w:t>
      </w:r>
    </w:p>
    <w:p w14:paraId="5A29EEC1" w14:textId="77777777" w:rsidR="00FD21FE" w:rsidRDefault="00FD21FE" w:rsidP="00FD21FE">
      <w:pPr>
        <w:jc w:val="both"/>
        <w:rPr>
          <w:rFonts w:ascii="Verdana" w:hAnsi="Verdana" w:cs="Arial"/>
          <w:bCs/>
          <w:iCs/>
          <w:sz w:val="22"/>
          <w:szCs w:val="22"/>
          <w:lang w:val="es-CO" w:eastAsia="en-US"/>
        </w:rPr>
      </w:pPr>
    </w:p>
    <w:p w14:paraId="15B94A6B" w14:textId="77777777" w:rsidR="00FD21FE" w:rsidRDefault="00FD21FE" w:rsidP="00FD21FE">
      <w:pPr>
        <w:jc w:val="center"/>
        <w:rPr>
          <w:rFonts w:ascii="Verdana" w:hAnsi="Verdana" w:cs="Arial"/>
          <w:b/>
          <w:iCs/>
          <w:sz w:val="22"/>
          <w:szCs w:val="22"/>
          <w:lang w:val="es-CO" w:eastAsia="en-US"/>
        </w:rPr>
      </w:pPr>
    </w:p>
    <w:p w14:paraId="0068985B" w14:textId="77777777" w:rsidR="00FD21FE" w:rsidRDefault="00FD21FE" w:rsidP="00FD21FE">
      <w:pPr>
        <w:jc w:val="center"/>
        <w:rPr>
          <w:rFonts w:ascii="Verdana" w:hAnsi="Verdana" w:cs="Arial"/>
          <w:b/>
          <w:iCs/>
          <w:sz w:val="22"/>
          <w:szCs w:val="22"/>
          <w:lang w:val="es-CO" w:eastAsia="en-US"/>
        </w:rPr>
      </w:pPr>
      <w:r>
        <w:rPr>
          <w:rFonts w:ascii="Verdana" w:hAnsi="Verdana" w:cs="Arial"/>
          <w:b/>
          <w:iCs/>
          <w:sz w:val="22"/>
          <w:szCs w:val="22"/>
          <w:lang w:val="es-CO" w:eastAsia="en-US"/>
        </w:rPr>
        <w:t>Tabla 6: RESULTADOS 2021-2022</w:t>
      </w:r>
    </w:p>
    <w:tbl>
      <w:tblPr>
        <w:tblW w:w="6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9"/>
        <w:gridCol w:w="1695"/>
        <w:gridCol w:w="1695"/>
      </w:tblGrid>
      <w:tr w:rsidR="00FD21FE" w14:paraId="4CF7FE02" w14:textId="77777777" w:rsidTr="00FD21FE">
        <w:trPr>
          <w:trHeight w:val="309"/>
          <w:jc w:val="center"/>
        </w:trPr>
        <w:tc>
          <w:tcPr>
            <w:tcW w:w="31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A9985A" w14:textId="77777777" w:rsidR="00FD21FE" w:rsidRDefault="00FD21FE">
            <w:pPr>
              <w:jc w:val="both"/>
              <w:rPr>
                <w:rFonts w:ascii="Verdana" w:hAnsi="Verdana" w:cs="Arial"/>
                <w:b/>
                <w:sz w:val="20"/>
                <w:szCs w:val="20"/>
              </w:rPr>
            </w:pPr>
            <w:r>
              <w:rPr>
                <w:rFonts w:ascii="Verdana" w:hAnsi="Verdana" w:cs="Arial"/>
                <w:b/>
                <w:sz w:val="20"/>
                <w:szCs w:val="20"/>
              </w:rPr>
              <w:t>Concepto</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467E80" w14:textId="77777777" w:rsidR="00FD21FE" w:rsidRDefault="00FD21FE">
            <w:pPr>
              <w:jc w:val="center"/>
              <w:rPr>
                <w:rFonts w:ascii="Verdana" w:hAnsi="Verdana" w:cs="Arial"/>
                <w:b/>
                <w:sz w:val="20"/>
                <w:szCs w:val="20"/>
              </w:rPr>
            </w:pPr>
            <w:r>
              <w:rPr>
                <w:rFonts w:ascii="Verdana" w:hAnsi="Verdana" w:cs="Arial"/>
                <w:b/>
                <w:sz w:val="20"/>
                <w:szCs w:val="20"/>
              </w:rPr>
              <w:t>2021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FD981" w14:textId="77777777" w:rsidR="00FD21FE" w:rsidRDefault="00FD21FE">
            <w:pPr>
              <w:jc w:val="center"/>
              <w:rPr>
                <w:rFonts w:ascii="Verdana" w:hAnsi="Verdana" w:cs="Arial"/>
                <w:b/>
                <w:sz w:val="20"/>
                <w:szCs w:val="20"/>
              </w:rPr>
            </w:pPr>
            <w:r>
              <w:rPr>
                <w:rFonts w:ascii="Verdana" w:hAnsi="Verdana" w:cs="Arial"/>
                <w:b/>
                <w:sz w:val="20"/>
                <w:szCs w:val="20"/>
              </w:rPr>
              <w:t>2022</w:t>
            </w:r>
          </w:p>
        </w:tc>
      </w:tr>
      <w:tr w:rsidR="00FD21FE" w14:paraId="790CD09B" w14:textId="77777777" w:rsidTr="00FD21FE">
        <w:trPr>
          <w:trHeight w:val="2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86BE4" w14:textId="77777777" w:rsidR="00FD21FE" w:rsidRDefault="00FD21FE">
            <w:pPr>
              <w:rPr>
                <w:rFonts w:ascii="Verdana" w:hAnsi="Verdana" w:cs="Arial"/>
                <w:b/>
                <w:sz w:val="20"/>
                <w:szCs w:val="2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FE982" w14:textId="77777777" w:rsidR="00FD21FE" w:rsidRDefault="00FD21FE">
            <w:pPr>
              <w:jc w:val="center"/>
              <w:rPr>
                <w:rFonts w:ascii="Verdana" w:hAnsi="Verdana" w:cs="Arial"/>
                <w:b/>
                <w:sz w:val="20"/>
                <w:szCs w:val="20"/>
              </w:rPr>
            </w:pPr>
            <w:r>
              <w:rPr>
                <w:rFonts w:ascii="Verdana" w:hAnsi="Verdana" w:cs="Arial"/>
                <w:b/>
                <w:sz w:val="20"/>
                <w:szCs w:val="20"/>
              </w:rPr>
              <w:t>Ejecución PPtal</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9E1EB5" w14:textId="77777777" w:rsidR="00FD21FE" w:rsidRDefault="00FD21FE">
            <w:pPr>
              <w:jc w:val="center"/>
              <w:rPr>
                <w:rFonts w:ascii="Verdana" w:hAnsi="Verdana" w:cs="Arial"/>
                <w:b/>
                <w:sz w:val="20"/>
                <w:szCs w:val="20"/>
              </w:rPr>
            </w:pPr>
            <w:r>
              <w:rPr>
                <w:rFonts w:ascii="Verdana" w:hAnsi="Verdana" w:cs="Arial"/>
                <w:b/>
                <w:sz w:val="20"/>
                <w:szCs w:val="20"/>
              </w:rPr>
              <w:t>Ejecución PPtal</w:t>
            </w:r>
          </w:p>
        </w:tc>
      </w:tr>
      <w:tr w:rsidR="00FD21FE" w14:paraId="4FB473A5" w14:textId="77777777" w:rsidTr="00FD21FE">
        <w:trPr>
          <w:trHeight w:val="318"/>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7BABB5C1" w14:textId="77777777" w:rsidR="00FD21FE" w:rsidRDefault="00FD21FE">
            <w:pPr>
              <w:jc w:val="both"/>
              <w:rPr>
                <w:rFonts w:ascii="Verdana" w:hAnsi="Verdana" w:cs="Arial"/>
                <w:sz w:val="20"/>
                <w:szCs w:val="20"/>
              </w:rPr>
            </w:pPr>
            <w:r>
              <w:rPr>
                <w:rFonts w:ascii="Verdana" w:hAnsi="Verdana" w:cs="Arial"/>
                <w:sz w:val="20"/>
                <w:szCs w:val="20"/>
              </w:rPr>
              <w:t xml:space="preserve"> 1. Ingresos (Recaudados)</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68993D" w14:textId="77777777" w:rsidR="00FD21FE" w:rsidRDefault="00FD21FE">
            <w:pPr>
              <w:jc w:val="center"/>
              <w:rPr>
                <w:rFonts w:ascii="Verdana" w:hAnsi="Verdana" w:cs="Arial"/>
                <w:sz w:val="20"/>
                <w:szCs w:val="20"/>
              </w:rPr>
            </w:pPr>
            <w:r>
              <w:rPr>
                <w:rFonts w:ascii="Verdana" w:hAnsi="Verdana" w:cs="Arial"/>
                <w:sz w:val="20"/>
                <w:szCs w:val="20"/>
              </w:rPr>
              <w:t>1.626</w:t>
            </w:r>
          </w:p>
        </w:tc>
        <w:tc>
          <w:tcPr>
            <w:tcW w:w="1695" w:type="dxa"/>
            <w:tcBorders>
              <w:top w:val="single" w:sz="4" w:space="0" w:color="auto"/>
              <w:left w:val="single" w:sz="4" w:space="0" w:color="auto"/>
              <w:bottom w:val="single" w:sz="4" w:space="0" w:color="auto"/>
              <w:right w:val="single" w:sz="4" w:space="0" w:color="auto"/>
            </w:tcBorders>
            <w:hideMark/>
          </w:tcPr>
          <w:p w14:paraId="18CB70D6" w14:textId="77777777" w:rsidR="00FD21FE" w:rsidRDefault="00FD21FE">
            <w:pPr>
              <w:jc w:val="center"/>
              <w:rPr>
                <w:rFonts w:ascii="Verdana" w:hAnsi="Verdana" w:cs="Arial"/>
                <w:sz w:val="20"/>
                <w:szCs w:val="20"/>
              </w:rPr>
            </w:pPr>
            <w:r>
              <w:rPr>
                <w:rFonts w:ascii="Verdana" w:hAnsi="Verdana" w:cs="Arial"/>
                <w:sz w:val="20"/>
                <w:szCs w:val="20"/>
              </w:rPr>
              <w:t>1.871</w:t>
            </w:r>
          </w:p>
        </w:tc>
      </w:tr>
      <w:tr w:rsidR="00FD21FE" w14:paraId="459FDEAB" w14:textId="77777777" w:rsidTr="00FD21FE">
        <w:trPr>
          <w:trHeight w:val="322"/>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58C559BB" w14:textId="77777777" w:rsidR="00FD21FE" w:rsidRDefault="00FD21FE">
            <w:pPr>
              <w:jc w:val="both"/>
              <w:rPr>
                <w:rFonts w:ascii="Verdana" w:hAnsi="Verdana" w:cs="Arial"/>
                <w:sz w:val="20"/>
                <w:szCs w:val="20"/>
              </w:rPr>
            </w:pPr>
            <w:r>
              <w:rPr>
                <w:rFonts w:ascii="Verdana" w:hAnsi="Verdana" w:cs="Arial"/>
                <w:sz w:val="20"/>
                <w:szCs w:val="20"/>
              </w:rPr>
              <w:t xml:space="preserve"> 2. Gastos (Comprometidos) </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103E24" w14:textId="77777777" w:rsidR="00FD21FE" w:rsidRDefault="00FD21FE">
            <w:pPr>
              <w:jc w:val="center"/>
              <w:rPr>
                <w:rFonts w:ascii="Verdana" w:hAnsi="Verdana" w:cs="Arial"/>
                <w:color w:val="000000"/>
                <w:sz w:val="20"/>
                <w:szCs w:val="20"/>
                <w:lang w:eastAsia="es-CO"/>
              </w:rPr>
            </w:pPr>
            <w:r>
              <w:rPr>
                <w:rFonts w:ascii="Verdana" w:hAnsi="Verdana" w:cs="Arial"/>
                <w:color w:val="000000"/>
                <w:sz w:val="20"/>
                <w:szCs w:val="20"/>
                <w:lang w:eastAsia="es-CO"/>
              </w:rPr>
              <w:t>1.574</w:t>
            </w:r>
          </w:p>
        </w:tc>
        <w:tc>
          <w:tcPr>
            <w:tcW w:w="1695" w:type="dxa"/>
            <w:tcBorders>
              <w:top w:val="single" w:sz="4" w:space="0" w:color="auto"/>
              <w:left w:val="single" w:sz="4" w:space="0" w:color="auto"/>
              <w:bottom w:val="single" w:sz="4" w:space="0" w:color="auto"/>
              <w:right w:val="single" w:sz="4" w:space="0" w:color="auto"/>
            </w:tcBorders>
            <w:hideMark/>
          </w:tcPr>
          <w:p w14:paraId="582CB16F" w14:textId="77777777" w:rsidR="00FD21FE" w:rsidRDefault="00FD21FE">
            <w:pPr>
              <w:jc w:val="center"/>
              <w:rPr>
                <w:rFonts w:ascii="Verdana" w:hAnsi="Verdana" w:cs="Arial"/>
                <w:color w:val="000000"/>
                <w:sz w:val="20"/>
                <w:szCs w:val="20"/>
                <w:lang w:eastAsia="es-CO"/>
              </w:rPr>
            </w:pPr>
            <w:r>
              <w:rPr>
                <w:rFonts w:ascii="Verdana" w:hAnsi="Verdana" w:cs="Arial"/>
                <w:color w:val="000000"/>
                <w:sz w:val="20"/>
                <w:szCs w:val="20"/>
                <w:lang w:eastAsia="es-CO"/>
              </w:rPr>
              <w:t>1.807</w:t>
            </w:r>
          </w:p>
        </w:tc>
      </w:tr>
      <w:tr w:rsidR="00FD21FE" w14:paraId="5A48E2E3" w14:textId="77777777" w:rsidTr="00FD21FE">
        <w:trPr>
          <w:trHeight w:val="257"/>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212E1CD1" w14:textId="77777777" w:rsidR="00FD21FE" w:rsidRDefault="00FD21FE">
            <w:pPr>
              <w:jc w:val="both"/>
              <w:rPr>
                <w:rFonts w:ascii="Verdana" w:hAnsi="Verdana" w:cs="Arial"/>
                <w:sz w:val="20"/>
                <w:szCs w:val="20"/>
              </w:rPr>
            </w:pPr>
            <w:r>
              <w:rPr>
                <w:rFonts w:ascii="Verdana" w:hAnsi="Verdana" w:cs="Arial"/>
                <w:sz w:val="20"/>
                <w:szCs w:val="20"/>
              </w:rPr>
              <w:t xml:space="preserve"> 3. Gastos (Obligados) </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14377A" w14:textId="77777777" w:rsidR="00FD21FE" w:rsidRDefault="00FD21FE">
            <w:pPr>
              <w:jc w:val="center"/>
              <w:rPr>
                <w:rFonts w:ascii="Verdana" w:hAnsi="Verdana" w:cs="Arial"/>
                <w:color w:val="000000"/>
                <w:sz w:val="20"/>
                <w:szCs w:val="20"/>
                <w:lang w:eastAsia="es-CO"/>
              </w:rPr>
            </w:pPr>
            <w:r>
              <w:rPr>
                <w:rFonts w:ascii="Verdana" w:hAnsi="Verdana" w:cs="Arial"/>
                <w:color w:val="000000"/>
                <w:sz w:val="20"/>
                <w:szCs w:val="20"/>
                <w:lang w:eastAsia="es-CO"/>
              </w:rPr>
              <w:t>1.426</w:t>
            </w:r>
          </w:p>
        </w:tc>
        <w:tc>
          <w:tcPr>
            <w:tcW w:w="1695" w:type="dxa"/>
            <w:tcBorders>
              <w:top w:val="single" w:sz="4" w:space="0" w:color="auto"/>
              <w:left w:val="single" w:sz="4" w:space="0" w:color="auto"/>
              <w:bottom w:val="single" w:sz="4" w:space="0" w:color="auto"/>
              <w:right w:val="single" w:sz="4" w:space="0" w:color="auto"/>
            </w:tcBorders>
            <w:hideMark/>
          </w:tcPr>
          <w:p w14:paraId="7FA0E39C" w14:textId="77777777" w:rsidR="00FD21FE" w:rsidRDefault="00FD21FE">
            <w:pPr>
              <w:jc w:val="center"/>
              <w:rPr>
                <w:rFonts w:ascii="Verdana" w:hAnsi="Verdana" w:cs="Arial"/>
                <w:color w:val="000000"/>
                <w:sz w:val="20"/>
                <w:szCs w:val="20"/>
                <w:lang w:eastAsia="es-CO"/>
              </w:rPr>
            </w:pPr>
            <w:r>
              <w:rPr>
                <w:rFonts w:ascii="Verdana" w:hAnsi="Verdana" w:cs="Arial"/>
                <w:color w:val="000000"/>
                <w:sz w:val="16"/>
                <w:szCs w:val="16"/>
                <w:lang w:val="es-CO" w:eastAsia="es-CO"/>
              </w:rPr>
              <w:t>1.757</w:t>
            </w:r>
          </w:p>
        </w:tc>
      </w:tr>
      <w:tr w:rsidR="00FD21FE" w14:paraId="5AEB970A" w14:textId="77777777" w:rsidTr="00FD21FE">
        <w:trPr>
          <w:trHeight w:val="191"/>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39351693" w14:textId="77777777" w:rsidR="00FD21FE" w:rsidRDefault="00FD21FE">
            <w:pPr>
              <w:jc w:val="both"/>
              <w:rPr>
                <w:rFonts w:ascii="Verdana" w:hAnsi="Verdana" w:cs="Arial"/>
                <w:sz w:val="20"/>
                <w:szCs w:val="20"/>
              </w:rPr>
            </w:pPr>
            <w:r>
              <w:rPr>
                <w:rFonts w:ascii="Verdana" w:hAnsi="Verdana" w:cs="Arial"/>
                <w:sz w:val="20"/>
                <w:szCs w:val="20"/>
              </w:rPr>
              <w:t xml:space="preserve"> 4. Pagos </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AFE5C3" w14:textId="77777777" w:rsidR="00FD21FE" w:rsidRDefault="00FD21FE">
            <w:pPr>
              <w:jc w:val="center"/>
              <w:rPr>
                <w:rFonts w:ascii="Verdana" w:hAnsi="Verdana" w:cs="Arial"/>
                <w:color w:val="000000"/>
                <w:sz w:val="20"/>
                <w:szCs w:val="20"/>
                <w:lang w:eastAsia="es-CO"/>
              </w:rPr>
            </w:pPr>
            <w:r>
              <w:rPr>
                <w:rFonts w:ascii="Verdana" w:hAnsi="Verdana" w:cs="Arial"/>
                <w:color w:val="000000"/>
                <w:sz w:val="20"/>
                <w:szCs w:val="20"/>
                <w:lang w:eastAsia="es-CO"/>
              </w:rPr>
              <w:t>1.379</w:t>
            </w:r>
          </w:p>
        </w:tc>
        <w:tc>
          <w:tcPr>
            <w:tcW w:w="1695" w:type="dxa"/>
            <w:tcBorders>
              <w:top w:val="single" w:sz="4" w:space="0" w:color="auto"/>
              <w:left w:val="single" w:sz="4" w:space="0" w:color="auto"/>
              <w:bottom w:val="single" w:sz="4" w:space="0" w:color="auto"/>
              <w:right w:val="single" w:sz="4" w:space="0" w:color="auto"/>
            </w:tcBorders>
            <w:hideMark/>
          </w:tcPr>
          <w:p w14:paraId="2B0E33F2" w14:textId="77777777" w:rsidR="00FD21FE" w:rsidRDefault="00FD21FE">
            <w:pPr>
              <w:jc w:val="center"/>
              <w:rPr>
                <w:rFonts w:ascii="Verdana" w:hAnsi="Verdana" w:cs="Arial"/>
                <w:color w:val="000000"/>
                <w:sz w:val="20"/>
                <w:szCs w:val="20"/>
                <w:lang w:val="es-CO" w:eastAsia="es-CO"/>
              </w:rPr>
            </w:pPr>
            <w:r>
              <w:rPr>
                <w:rFonts w:ascii="Verdana" w:hAnsi="Verdana" w:cs="Arial"/>
                <w:color w:val="000000"/>
                <w:sz w:val="16"/>
                <w:szCs w:val="16"/>
                <w:lang w:val="es-CO" w:eastAsia="es-CO"/>
              </w:rPr>
              <w:t>1.757</w:t>
            </w:r>
          </w:p>
        </w:tc>
      </w:tr>
      <w:tr w:rsidR="00FD21FE" w14:paraId="7DA582BC" w14:textId="77777777" w:rsidTr="00FD21FE">
        <w:trPr>
          <w:trHeight w:val="199"/>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1B0E4974" w14:textId="77777777" w:rsidR="00FD21FE" w:rsidRDefault="00FD21FE">
            <w:pPr>
              <w:jc w:val="both"/>
              <w:rPr>
                <w:rFonts w:ascii="Verdana" w:hAnsi="Verdana" w:cs="Arial"/>
                <w:b/>
                <w:bCs/>
                <w:sz w:val="20"/>
                <w:szCs w:val="20"/>
              </w:rPr>
            </w:pPr>
            <w:r>
              <w:rPr>
                <w:rFonts w:ascii="Verdana" w:hAnsi="Verdana" w:cs="Arial"/>
                <w:sz w:val="20"/>
                <w:szCs w:val="20"/>
              </w:rPr>
              <w:t xml:space="preserve"> </w:t>
            </w:r>
            <w:r>
              <w:rPr>
                <w:rFonts w:ascii="Verdana" w:hAnsi="Verdana" w:cs="Arial"/>
                <w:b/>
                <w:bCs/>
                <w:sz w:val="20"/>
                <w:szCs w:val="20"/>
              </w:rPr>
              <w:t xml:space="preserve">Déficit o superávit (1) - (2 ) </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24B36C" w14:textId="77777777" w:rsidR="00FD21FE" w:rsidRDefault="00FD21FE">
            <w:pPr>
              <w:jc w:val="center"/>
              <w:rPr>
                <w:rFonts w:ascii="Verdana" w:hAnsi="Verdana" w:cs="Arial"/>
                <w:b/>
                <w:bCs/>
                <w:sz w:val="20"/>
                <w:szCs w:val="20"/>
              </w:rPr>
            </w:pPr>
            <w:r>
              <w:rPr>
                <w:rFonts w:ascii="Verdana" w:hAnsi="Verdana" w:cs="Arial"/>
                <w:b/>
                <w:bCs/>
                <w:sz w:val="20"/>
                <w:szCs w:val="20"/>
              </w:rPr>
              <w:t>52</w:t>
            </w:r>
          </w:p>
        </w:tc>
        <w:tc>
          <w:tcPr>
            <w:tcW w:w="1695" w:type="dxa"/>
            <w:tcBorders>
              <w:top w:val="single" w:sz="4" w:space="0" w:color="auto"/>
              <w:left w:val="single" w:sz="4" w:space="0" w:color="auto"/>
              <w:bottom w:val="single" w:sz="4" w:space="0" w:color="auto"/>
              <w:right w:val="single" w:sz="4" w:space="0" w:color="auto"/>
            </w:tcBorders>
            <w:hideMark/>
          </w:tcPr>
          <w:p w14:paraId="3103E644" w14:textId="77777777" w:rsidR="00FD21FE" w:rsidRDefault="00FD21FE">
            <w:pPr>
              <w:jc w:val="center"/>
              <w:rPr>
                <w:rFonts w:ascii="Verdana" w:hAnsi="Verdana" w:cs="Arial"/>
                <w:b/>
                <w:bCs/>
                <w:sz w:val="20"/>
                <w:szCs w:val="20"/>
              </w:rPr>
            </w:pPr>
            <w:r>
              <w:rPr>
                <w:rFonts w:ascii="Verdana" w:hAnsi="Verdana" w:cs="Arial"/>
                <w:b/>
                <w:bCs/>
                <w:sz w:val="20"/>
                <w:szCs w:val="20"/>
              </w:rPr>
              <w:t>64</w:t>
            </w:r>
          </w:p>
        </w:tc>
      </w:tr>
      <w:tr w:rsidR="00FD21FE" w14:paraId="19375ED8" w14:textId="77777777" w:rsidTr="00FD21FE">
        <w:trPr>
          <w:trHeight w:val="191"/>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519563CD" w14:textId="77777777" w:rsidR="00FD21FE" w:rsidRDefault="00FD21FE">
            <w:pPr>
              <w:jc w:val="both"/>
              <w:rPr>
                <w:rFonts w:ascii="Verdana" w:hAnsi="Verdana" w:cs="Arial"/>
                <w:sz w:val="20"/>
                <w:szCs w:val="20"/>
              </w:rPr>
            </w:pPr>
            <w:r>
              <w:rPr>
                <w:rFonts w:ascii="Verdana" w:hAnsi="Verdana" w:cs="Arial"/>
                <w:sz w:val="20"/>
                <w:szCs w:val="20"/>
              </w:rPr>
              <w:t xml:space="preserve"> Reservas (2) - (3 ) </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292E6" w14:textId="77777777" w:rsidR="00FD21FE" w:rsidRDefault="00FD21FE">
            <w:pPr>
              <w:jc w:val="center"/>
              <w:rPr>
                <w:rFonts w:ascii="Verdana" w:hAnsi="Verdana" w:cs="Arial"/>
                <w:sz w:val="20"/>
                <w:szCs w:val="20"/>
              </w:rPr>
            </w:pPr>
            <w:r>
              <w:rPr>
                <w:rFonts w:ascii="Verdana" w:hAnsi="Verdana" w:cs="Arial"/>
                <w:sz w:val="20"/>
                <w:szCs w:val="20"/>
              </w:rPr>
              <w:t>148</w:t>
            </w:r>
          </w:p>
        </w:tc>
        <w:tc>
          <w:tcPr>
            <w:tcW w:w="1695" w:type="dxa"/>
            <w:tcBorders>
              <w:top w:val="single" w:sz="4" w:space="0" w:color="auto"/>
              <w:left w:val="single" w:sz="4" w:space="0" w:color="auto"/>
              <w:bottom w:val="single" w:sz="4" w:space="0" w:color="auto"/>
              <w:right w:val="single" w:sz="4" w:space="0" w:color="auto"/>
            </w:tcBorders>
            <w:hideMark/>
          </w:tcPr>
          <w:p w14:paraId="286A832F" w14:textId="77777777" w:rsidR="00FD21FE" w:rsidRDefault="00FD21FE">
            <w:pPr>
              <w:jc w:val="center"/>
              <w:rPr>
                <w:rFonts w:ascii="Verdana" w:hAnsi="Verdana" w:cs="Arial"/>
                <w:sz w:val="20"/>
                <w:szCs w:val="20"/>
              </w:rPr>
            </w:pPr>
            <w:r>
              <w:rPr>
                <w:rFonts w:ascii="Verdana" w:hAnsi="Verdana" w:cs="Arial"/>
                <w:sz w:val="20"/>
                <w:szCs w:val="20"/>
              </w:rPr>
              <w:t>50</w:t>
            </w:r>
          </w:p>
        </w:tc>
      </w:tr>
      <w:tr w:rsidR="00FD21FE" w14:paraId="5FF81383" w14:textId="77777777" w:rsidTr="00FD21FE">
        <w:trPr>
          <w:trHeight w:val="191"/>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7C3E43DB" w14:textId="77777777" w:rsidR="00FD21FE" w:rsidRDefault="00FD21FE">
            <w:pPr>
              <w:jc w:val="both"/>
              <w:rPr>
                <w:rFonts w:ascii="Verdana" w:hAnsi="Verdana" w:cs="Arial"/>
                <w:sz w:val="20"/>
                <w:szCs w:val="20"/>
              </w:rPr>
            </w:pPr>
            <w:r>
              <w:rPr>
                <w:rFonts w:ascii="Verdana" w:hAnsi="Verdana" w:cs="Arial"/>
                <w:sz w:val="20"/>
                <w:szCs w:val="20"/>
              </w:rPr>
              <w:t xml:space="preserve"> Cuentas por pagar (3 ) - ( 4 ) </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BE1C05" w14:textId="77777777" w:rsidR="00FD21FE" w:rsidRDefault="00FD21FE">
            <w:pPr>
              <w:jc w:val="center"/>
              <w:rPr>
                <w:rFonts w:ascii="Verdana" w:hAnsi="Verdana" w:cs="Arial"/>
                <w:sz w:val="20"/>
                <w:szCs w:val="20"/>
              </w:rPr>
            </w:pPr>
            <w:r>
              <w:rPr>
                <w:rFonts w:ascii="Verdana" w:hAnsi="Verdana" w:cs="Arial"/>
                <w:sz w:val="20"/>
                <w:szCs w:val="20"/>
              </w:rPr>
              <w:t>47</w:t>
            </w:r>
          </w:p>
        </w:tc>
        <w:tc>
          <w:tcPr>
            <w:tcW w:w="1695" w:type="dxa"/>
            <w:tcBorders>
              <w:top w:val="single" w:sz="4" w:space="0" w:color="auto"/>
              <w:left w:val="single" w:sz="4" w:space="0" w:color="auto"/>
              <w:bottom w:val="single" w:sz="4" w:space="0" w:color="auto"/>
              <w:right w:val="single" w:sz="4" w:space="0" w:color="auto"/>
            </w:tcBorders>
            <w:hideMark/>
          </w:tcPr>
          <w:p w14:paraId="4745E892" w14:textId="77777777" w:rsidR="00FD21FE" w:rsidRDefault="00FD21FE">
            <w:pPr>
              <w:jc w:val="center"/>
              <w:rPr>
                <w:rFonts w:ascii="Verdana" w:hAnsi="Verdana" w:cs="Arial"/>
                <w:sz w:val="20"/>
                <w:szCs w:val="20"/>
              </w:rPr>
            </w:pPr>
            <w:r>
              <w:rPr>
                <w:rFonts w:ascii="Verdana" w:hAnsi="Verdana" w:cs="Arial"/>
                <w:sz w:val="20"/>
                <w:szCs w:val="20"/>
              </w:rPr>
              <w:t>0</w:t>
            </w:r>
          </w:p>
        </w:tc>
      </w:tr>
      <w:tr w:rsidR="00FD21FE" w14:paraId="6711F374" w14:textId="77777777" w:rsidTr="00FD21FE">
        <w:trPr>
          <w:trHeight w:val="191"/>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4B1166B3" w14:textId="77777777" w:rsidR="00FD21FE" w:rsidRDefault="00FD21FE">
            <w:pPr>
              <w:jc w:val="both"/>
              <w:rPr>
                <w:rFonts w:ascii="Verdana" w:hAnsi="Verdana" w:cs="Arial"/>
                <w:sz w:val="20"/>
                <w:szCs w:val="20"/>
              </w:rPr>
            </w:pPr>
            <w:r>
              <w:rPr>
                <w:rFonts w:ascii="Verdana" w:hAnsi="Verdana" w:cs="Arial"/>
                <w:sz w:val="20"/>
                <w:szCs w:val="20"/>
              </w:rPr>
              <w:t xml:space="preserve"> Saldo en Caja y Bancos ( 1 ) - ( 4 ) </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9DC042" w14:textId="77777777" w:rsidR="00FD21FE" w:rsidRDefault="00FD21FE">
            <w:pPr>
              <w:jc w:val="center"/>
              <w:rPr>
                <w:rFonts w:ascii="Verdana" w:hAnsi="Verdana" w:cs="Arial"/>
                <w:sz w:val="20"/>
                <w:szCs w:val="20"/>
              </w:rPr>
            </w:pPr>
            <w:r>
              <w:rPr>
                <w:rFonts w:ascii="Verdana" w:hAnsi="Verdana" w:cs="Arial"/>
                <w:sz w:val="20"/>
                <w:szCs w:val="20"/>
              </w:rPr>
              <w:t>247</w:t>
            </w:r>
          </w:p>
        </w:tc>
        <w:tc>
          <w:tcPr>
            <w:tcW w:w="1695" w:type="dxa"/>
            <w:tcBorders>
              <w:top w:val="single" w:sz="4" w:space="0" w:color="auto"/>
              <w:left w:val="single" w:sz="4" w:space="0" w:color="auto"/>
              <w:bottom w:val="single" w:sz="4" w:space="0" w:color="auto"/>
              <w:right w:val="single" w:sz="4" w:space="0" w:color="auto"/>
            </w:tcBorders>
            <w:hideMark/>
          </w:tcPr>
          <w:p w14:paraId="3FE59F02" w14:textId="77777777" w:rsidR="00FD21FE" w:rsidRDefault="00FD21FE">
            <w:pPr>
              <w:jc w:val="center"/>
              <w:rPr>
                <w:rFonts w:ascii="Verdana" w:hAnsi="Verdana" w:cs="Arial"/>
                <w:sz w:val="20"/>
                <w:szCs w:val="20"/>
              </w:rPr>
            </w:pPr>
            <w:r>
              <w:rPr>
                <w:rFonts w:ascii="Verdana" w:hAnsi="Verdana" w:cs="Arial"/>
                <w:sz w:val="20"/>
                <w:szCs w:val="20"/>
              </w:rPr>
              <w:t>114</w:t>
            </w:r>
          </w:p>
        </w:tc>
      </w:tr>
    </w:tbl>
    <w:p w14:paraId="36B5A047" w14:textId="77777777" w:rsidR="00FD21FE" w:rsidRDefault="00FD21FE" w:rsidP="00FD21FE">
      <w:pPr>
        <w:jc w:val="center"/>
        <w:rPr>
          <w:rFonts w:ascii="Verdana" w:hAnsi="Verdana" w:cs="Arial"/>
          <w:bCs/>
          <w:iCs/>
          <w:sz w:val="16"/>
          <w:szCs w:val="16"/>
          <w:lang w:val="es-CO" w:eastAsia="en-US"/>
        </w:rPr>
      </w:pPr>
      <w:r>
        <w:rPr>
          <w:rFonts w:ascii="Verdana" w:hAnsi="Verdana" w:cs="Arial"/>
          <w:bCs/>
          <w:iCs/>
          <w:sz w:val="16"/>
          <w:szCs w:val="16"/>
          <w:lang w:val="es-CO" w:eastAsia="en-US"/>
        </w:rPr>
        <w:t>Fuente: Cálculos DAF con la información de la Entidad Territorial.</w:t>
      </w:r>
    </w:p>
    <w:p w14:paraId="70D29649" w14:textId="77777777" w:rsidR="00FD21FE" w:rsidRDefault="00FD21FE" w:rsidP="00FD21FE">
      <w:pPr>
        <w:jc w:val="center"/>
        <w:rPr>
          <w:rFonts w:ascii="Verdana" w:hAnsi="Verdana" w:cs="Arial"/>
          <w:bCs/>
          <w:iCs/>
          <w:sz w:val="16"/>
          <w:szCs w:val="16"/>
          <w:lang w:val="es-CO" w:eastAsia="en-US"/>
        </w:rPr>
      </w:pPr>
      <w:r>
        <w:rPr>
          <w:rFonts w:ascii="Verdana" w:hAnsi="Verdana" w:cs="Arial"/>
          <w:bCs/>
          <w:iCs/>
          <w:sz w:val="16"/>
          <w:szCs w:val="16"/>
          <w:lang w:val="es-CO" w:eastAsia="en-US"/>
        </w:rPr>
        <w:t>Cifras en millones de pesos</w:t>
      </w:r>
    </w:p>
    <w:p w14:paraId="59DC6E32" w14:textId="77777777" w:rsidR="00FD21FE" w:rsidRDefault="00FD21FE" w:rsidP="00FD21FE">
      <w:pPr>
        <w:jc w:val="both"/>
        <w:rPr>
          <w:rFonts w:ascii="Verdana" w:hAnsi="Verdana" w:cs="Arial"/>
          <w:bCs/>
          <w:iCs/>
          <w:sz w:val="22"/>
          <w:szCs w:val="22"/>
          <w:lang w:val="es-CO" w:eastAsia="en-US"/>
        </w:rPr>
      </w:pPr>
    </w:p>
    <w:p w14:paraId="787C61C8" w14:textId="77777777" w:rsidR="00FD21FE" w:rsidRDefault="00FD21FE" w:rsidP="00FD21FE">
      <w:pPr>
        <w:jc w:val="both"/>
        <w:rPr>
          <w:rFonts w:ascii="Verdana" w:hAnsi="Verdana" w:cs="Arial"/>
          <w:bCs/>
          <w:iCs/>
          <w:sz w:val="22"/>
          <w:szCs w:val="22"/>
          <w:lang w:val="es-CO" w:eastAsia="en-US"/>
        </w:rPr>
      </w:pPr>
    </w:p>
    <w:p w14:paraId="56C02BE4" w14:textId="77777777" w:rsidR="00FD21FE" w:rsidRDefault="00FD21FE" w:rsidP="00FD21FE">
      <w:pPr>
        <w:jc w:val="both"/>
        <w:rPr>
          <w:rFonts w:ascii="Verdana" w:hAnsi="Verdana" w:cs="Arial"/>
          <w:bCs/>
          <w:iCs/>
          <w:sz w:val="22"/>
          <w:szCs w:val="22"/>
          <w:lang w:val="es-CO" w:eastAsia="en-US"/>
        </w:rPr>
      </w:pPr>
      <w:r>
        <w:rPr>
          <w:rFonts w:ascii="Verdana" w:hAnsi="Verdana" w:cs="Arial"/>
          <w:bCs/>
          <w:iCs/>
          <w:sz w:val="22"/>
          <w:szCs w:val="22"/>
          <w:lang w:val="es-CO" w:eastAsia="en-US"/>
        </w:rPr>
        <w:t>Para la vigencia 2022 continuó el comportamiento superavitario sectorial, mostrando recursos por $64 millones, resultado de recaudos de $1.871 millones contra $1.807 millones en apropiaciones comprometidas.</w:t>
      </w:r>
    </w:p>
    <w:p w14:paraId="2560BBF2" w14:textId="77777777" w:rsidR="00FD21FE" w:rsidRDefault="00FD21FE" w:rsidP="00FD21FE">
      <w:pPr>
        <w:jc w:val="both"/>
        <w:rPr>
          <w:rFonts w:ascii="Verdana" w:hAnsi="Verdana" w:cs="Arial"/>
          <w:bCs/>
          <w:iCs/>
          <w:sz w:val="22"/>
          <w:szCs w:val="22"/>
          <w:highlight w:val="yellow"/>
          <w:lang w:val="es-CO" w:eastAsia="en-US"/>
        </w:rPr>
      </w:pPr>
    </w:p>
    <w:p w14:paraId="0B16FEE5" w14:textId="77777777" w:rsidR="00FD21FE" w:rsidRDefault="00FD21FE" w:rsidP="00FD21FE">
      <w:pPr>
        <w:jc w:val="both"/>
        <w:rPr>
          <w:rFonts w:ascii="Verdana" w:hAnsi="Verdana"/>
          <w:sz w:val="22"/>
          <w:szCs w:val="22"/>
          <w:lang w:val="es-CO"/>
        </w:rPr>
      </w:pPr>
    </w:p>
    <w:p w14:paraId="0C3D51B7" w14:textId="77777777" w:rsidR="00FD21FE" w:rsidRDefault="00FD21FE" w:rsidP="00FD21FE">
      <w:pPr>
        <w:jc w:val="both"/>
        <w:rPr>
          <w:rFonts w:ascii="Verdana" w:hAnsi="Verdana"/>
          <w:b/>
          <w:bCs/>
          <w:sz w:val="22"/>
          <w:szCs w:val="22"/>
          <w:lang w:val="es-CO"/>
        </w:rPr>
      </w:pPr>
      <w:r>
        <w:rPr>
          <w:rFonts w:ascii="Verdana" w:hAnsi="Verdana"/>
          <w:b/>
          <w:bCs/>
          <w:sz w:val="22"/>
          <w:szCs w:val="22"/>
          <w:lang w:val="es-CO"/>
        </w:rPr>
        <w:t>REGISTROS PRESUPUESTALES</w:t>
      </w:r>
    </w:p>
    <w:p w14:paraId="277487A3" w14:textId="77777777" w:rsidR="00FD21FE" w:rsidRDefault="00FD21FE" w:rsidP="00FD21FE">
      <w:pPr>
        <w:jc w:val="both"/>
        <w:rPr>
          <w:rFonts w:ascii="Verdana" w:hAnsi="Verdana"/>
          <w:b/>
          <w:bCs/>
          <w:sz w:val="22"/>
          <w:szCs w:val="22"/>
          <w:lang w:val="es-CO"/>
        </w:rPr>
      </w:pPr>
    </w:p>
    <w:p w14:paraId="3C844DDC" w14:textId="77777777" w:rsidR="00FD21FE" w:rsidRDefault="00FD21FE" w:rsidP="00FD21FE">
      <w:pPr>
        <w:jc w:val="both"/>
        <w:rPr>
          <w:rFonts w:ascii="Verdana" w:hAnsi="Verdana"/>
          <w:sz w:val="22"/>
          <w:szCs w:val="22"/>
          <w:lang w:val="es-CO"/>
        </w:rPr>
      </w:pPr>
      <w:r>
        <w:rPr>
          <w:rFonts w:ascii="Verdana" w:hAnsi="Verdana"/>
          <w:sz w:val="22"/>
          <w:szCs w:val="22"/>
          <w:lang w:val="es-CO"/>
        </w:rPr>
        <w:t>Este aparte, se realiza con base en los reportes al Sistema Consolidador de Hacienda e Información Pública relacionados con la categoría FUT del formato de Registros Presupuestales del corte al 31 de marzo de 2023, efectuados por la Entidad Territorial. Este reporte se hace con aquellos registros que tienen como fuente de financiación los recursos del SGP APSB.</w:t>
      </w:r>
    </w:p>
    <w:p w14:paraId="3AABBC00" w14:textId="77777777" w:rsidR="00FD21FE" w:rsidRDefault="00FD21FE" w:rsidP="00FD21FE">
      <w:pPr>
        <w:jc w:val="both"/>
        <w:rPr>
          <w:rFonts w:ascii="Verdana" w:hAnsi="Verdana"/>
          <w:sz w:val="22"/>
          <w:szCs w:val="22"/>
          <w:lang w:val="es-CO"/>
        </w:rPr>
      </w:pPr>
    </w:p>
    <w:p w14:paraId="695825FD" w14:textId="77777777" w:rsidR="00FD21FE" w:rsidRDefault="00FD21FE" w:rsidP="00FD21FE">
      <w:pPr>
        <w:jc w:val="center"/>
        <w:rPr>
          <w:rFonts w:ascii="Verdana" w:hAnsi="Verdana"/>
          <w:b/>
          <w:bCs/>
          <w:sz w:val="22"/>
          <w:szCs w:val="22"/>
          <w:lang w:val="es-CO"/>
        </w:rPr>
      </w:pPr>
    </w:p>
    <w:p w14:paraId="75B63A84" w14:textId="77777777" w:rsidR="00FD21FE" w:rsidRDefault="00FD21FE" w:rsidP="00FD21FE">
      <w:pPr>
        <w:jc w:val="center"/>
        <w:rPr>
          <w:rFonts w:ascii="Verdana" w:hAnsi="Verdana"/>
          <w:b/>
          <w:bCs/>
          <w:sz w:val="22"/>
          <w:szCs w:val="22"/>
          <w:lang w:val="es-CO"/>
        </w:rPr>
      </w:pPr>
      <w:r>
        <w:rPr>
          <w:rFonts w:ascii="Verdana" w:hAnsi="Verdana"/>
          <w:b/>
          <w:bCs/>
          <w:sz w:val="22"/>
          <w:szCs w:val="22"/>
          <w:lang w:val="es-CO"/>
        </w:rPr>
        <w:t>TABLA 7 – REGISTROS PRESUPUESTALES 2023</w:t>
      </w:r>
    </w:p>
    <w:tbl>
      <w:tblPr>
        <w:tblW w:w="7787" w:type="dxa"/>
        <w:jc w:val="center"/>
        <w:tblCellMar>
          <w:left w:w="70" w:type="dxa"/>
          <w:right w:w="70" w:type="dxa"/>
        </w:tblCellMar>
        <w:tblLook w:val="04A0" w:firstRow="1" w:lastRow="0" w:firstColumn="1" w:lastColumn="0" w:noHBand="0" w:noVBand="1"/>
      </w:tblPr>
      <w:tblGrid>
        <w:gridCol w:w="1026"/>
        <w:gridCol w:w="1066"/>
        <w:gridCol w:w="1557"/>
        <w:gridCol w:w="1589"/>
        <w:gridCol w:w="2549"/>
      </w:tblGrid>
      <w:tr w:rsidR="00FD21FE" w14:paraId="2C6AE247" w14:textId="77777777" w:rsidTr="00FD21FE">
        <w:trPr>
          <w:trHeight w:val="1125"/>
          <w:jc w:val="center"/>
        </w:trPr>
        <w:tc>
          <w:tcPr>
            <w:tcW w:w="86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AEFD176" w14:textId="77777777" w:rsidR="00FD21FE" w:rsidRDefault="00FD21FE">
            <w:pPr>
              <w:jc w:val="center"/>
              <w:rPr>
                <w:rFonts w:ascii="Verdana" w:eastAsia="Times New Roman" w:hAnsi="Verdana" w:cs="Arial"/>
                <w:b/>
                <w:bCs/>
                <w:sz w:val="18"/>
                <w:szCs w:val="18"/>
                <w:lang w:val="es-CO" w:eastAsia="es-CO"/>
              </w:rPr>
            </w:pPr>
            <w:r>
              <w:rPr>
                <w:rFonts w:ascii="Verdana" w:eastAsia="Times New Roman" w:hAnsi="Verdana" w:cs="Arial"/>
                <w:b/>
                <w:bCs/>
                <w:sz w:val="18"/>
                <w:szCs w:val="18"/>
                <w:lang w:val="es-CO" w:eastAsia="es-CO"/>
              </w:rPr>
              <w:t>NUMERO RP</w:t>
            </w:r>
          </w:p>
        </w:tc>
        <w:tc>
          <w:tcPr>
            <w:tcW w:w="1106"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0D439149" w14:textId="77777777" w:rsidR="00FD21FE" w:rsidRDefault="00FD21FE">
            <w:pPr>
              <w:jc w:val="center"/>
              <w:rPr>
                <w:rFonts w:ascii="Verdana" w:eastAsia="Times New Roman" w:hAnsi="Verdana" w:cs="Arial"/>
                <w:b/>
                <w:bCs/>
                <w:sz w:val="18"/>
                <w:szCs w:val="18"/>
                <w:lang w:val="es-CO" w:eastAsia="es-CO"/>
              </w:rPr>
            </w:pPr>
            <w:r>
              <w:rPr>
                <w:rFonts w:ascii="Verdana" w:eastAsia="Times New Roman" w:hAnsi="Verdana" w:cs="Arial"/>
                <w:b/>
                <w:bCs/>
                <w:sz w:val="18"/>
                <w:szCs w:val="18"/>
                <w:lang w:val="es-CO" w:eastAsia="es-CO"/>
              </w:rPr>
              <w:t>FECHA</w:t>
            </w:r>
          </w:p>
        </w:tc>
        <w:tc>
          <w:tcPr>
            <w:tcW w:w="1417"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742942E8" w14:textId="77777777" w:rsidR="00FD21FE" w:rsidRDefault="00FD21FE">
            <w:pPr>
              <w:jc w:val="center"/>
              <w:rPr>
                <w:rFonts w:ascii="Verdana" w:eastAsia="Times New Roman" w:hAnsi="Verdana" w:cs="Arial"/>
                <w:b/>
                <w:bCs/>
                <w:sz w:val="18"/>
                <w:szCs w:val="18"/>
                <w:lang w:val="es-CO" w:eastAsia="es-CO"/>
              </w:rPr>
            </w:pPr>
            <w:r>
              <w:rPr>
                <w:rFonts w:ascii="Verdana" w:eastAsia="Times New Roman" w:hAnsi="Verdana" w:cs="Arial"/>
                <w:b/>
                <w:bCs/>
                <w:sz w:val="18"/>
                <w:szCs w:val="18"/>
                <w:lang w:val="es-CO" w:eastAsia="es-CO"/>
              </w:rPr>
              <w:t>ACTIVIDADES</w:t>
            </w:r>
          </w:p>
        </w:tc>
        <w:tc>
          <w:tcPr>
            <w:tcW w:w="1701"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6DF8B09F" w14:textId="77777777" w:rsidR="00FD21FE" w:rsidRDefault="00FD21FE">
            <w:pPr>
              <w:jc w:val="center"/>
              <w:rPr>
                <w:rFonts w:ascii="Verdana" w:eastAsia="Times New Roman" w:hAnsi="Verdana" w:cs="Arial"/>
                <w:b/>
                <w:bCs/>
                <w:sz w:val="18"/>
                <w:szCs w:val="18"/>
                <w:lang w:val="es-CO" w:eastAsia="es-CO"/>
              </w:rPr>
            </w:pPr>
            <w:r>
              <w:rPr>
                <w:rFonts w:ascii="Verdana" w:eastAsia="Times New Roman" w:hAnsi="Verdana" w:cs="Arial"/>
                <w:b/>
                <w:bCs/>
                <w:sz w:val="18"/>
                <w:szCs w:val="18"/>
                <w:lang w:val="es-CO" w:eastAsia="es-CO"/>
              </w:rPr>
              <w:t>VALOR RP CON CARGO A SGP APSB</w:t>
            </w:r>
          </w:p>
        </w:tc>
        <w:tc>
          <w:tcPr>
            <w:tcW w:w="2694"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789CA4CA" w14:textId="77777777" w:rsidR="00FD21FE" w:rsidRDefault="00FD21FE">
            <w:pPr>
              <w:jc w:val="center"/>
              <w:rPr>
                <w:rFonts w:ascii="Verdana" w:eastAsia="Times New Roman" w:hAnsi="Verdana" w:cs="Arial"/>
                <w:b/>
                <w:bCs/>
                <w:sz w:val="18"/>
                <w:szCs w:val="18"/>
                <w:lang w:val="es-CO" w:eastAsia="es-CO"/>
              </w:rPr>
            </w:pPr>
            <w:r>
              <w:rPr>
                <w:rFonts w:ascii="Verdana" w:eastAsia="Times New Roman" w:hAnsi="Verdana" w:cs="Arial"/>
                <w:b/>
                <w:bCs/>
                <w:sz w:val="18"/>
                <w:szCs w:val="18"/>
                <w:lang w:val="es-CO" w:eastAsia="es-CO"/>
              </w:rPr>
              <w:t>NOMBRE CONTRATISTA</w:t>
            </w:r>
          </w:p>
        </w:tc>
      </w:tr>
      <w:tr w:rsidR="00FD21FE" w14:paraId="73C77CCA" w14:textId="77777777" w:rsidTr="00FD21FE">
        <w:trPr>
          <w:trHeight w:val="450"/>
          <w:jc w:val="center"/>
        </w:trPr>
        <w:tc>
          <w:tcPr>
            <w:tcW w:w="869" w:type="dxa"/>
            <w:tcBorders>
              <w:top w:val="nil"/>
              <w:left w:val="single" w:sz="4" w:space="0" w:color="000000"/>
              <w:bottom w:val="single" w:sz="4" w:space="0" w:color="000000"/>
              <w:right w:val="single" w:sz="4" w:space="0" w:color="000000"/>
            </w:tcBorders>
            <w:vAlign w:val="center"/>
            <w:hideMark/>
          </w:tcPr>
          <w:p w14:paraId="1B77923D"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0209 2  </w:t>
            </w:r>
          </w:p>
        </w:tc>
        <w:tc>
          <w:tcPr>
            <w:tcW w:w="1106" w:type="dxa"/>
            <w:tcBorders>
              <w:top w:val="nil"/>
              <w:left w:val="nil"/>
              <w:bottom w:val="single" w:sz="4" w:space="0" w:color="000000"/>
              <w:right w:val="single" w:sz="4" w:space="0" w:color="000000"/>
            </w:tcBorders>
            <w:vAlign w:val="center"/>
            <w:hideMark/>
          </w:tcPr>
          <w:p w14:paraId="5531FCD5"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09-02-2023 </w:t>
            </w:r>
          </w:p>
        </w:tc>
        <w:tc>
          <w:tcPr>
            <w:tcW w:w="1417" w:type="dxa"/>
            <w:tcBorders>
              <w:top w:val="nil"/>
              <w:left w:val="nil"/>
              <w:bottom w:val="single" w:sz="4" w:space="0" w:color="000000"/>
              <w:right w:val="single" w:sz="4" w:space="0" w:color="000000"/>
            </w:tcBorders>
            <w:vAlign w:val="center"/>
            <w:hideMark/>
          </w:tcPr>
          <w:p w14:paraId="79BD6CF0"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Acueducto- Subsidios </w:t>
            </w:r>
          </w:p>
        </w:tc>
        <w:tc>
          <w:tcPr>
            <w:tcW w:w="1701" w:type="dxa"/>
            <w:tcBorders>
              <w:top w:val="nil"/>
              <w:left w:val="nil"/>
              <w:bottom w:val="single" w:sz="4" w:space="0" w:color="000000"/>
              <w:right w:val="single" w:sz="4" w:space="0" w:color="000000"/>
            </w:tcBorders>
            <w:vAlign w:val="center"/>
            <w:hideMark/>
          </w:tcPr>
          <w:p w14:paraId="7309332A" w14:textId="77777777" w:rsidR="00FD21FE" w:rsidRDefault="00FD21FE">
            <w:pPr>
              <w:jc w:val="center"/>
              <w:rPr>
                <w:rFonts w:ascii="Verdana" w:eastAsia="Times New Roman" w:hAnsi="Verdana" w:cs="Arial"/>
                <w:sz w:val="18"/>
                <w:szCs w:val="18"/>
                <w:lang w:val="es-CO" w:eastAsia="es-CO"/>
              </w:rPr>
            </w:pPr>
            <w:r>
              <w:rPr>
                <w:rFonts w:ascii="Verdana" w:eastAsia="Times New Roman" w:hAnsi="Verdana" w:cs="Arial"/>
                <w:sz w:val="18"/>
                <w:szCs w:val="18"/>
                <w:lang w:val="es-CO" w:eastAsia="es-CO"/>
              </w:rPr>
              <w:t>531</w:t>
            </w:r>
          </w:p>
        </w:tc>
        <w:tc>
          <w:tcPr>
            <w:tcW w:w="2694" w:type="dxa"/>
            <w:tcBorders>
              <w:top w:val="nil"/>
              <w:left w:val="nil"/>
              <w:bottom w:val="single" w:sz="4" w:space="0" w:color="000000"/>
              <w:right w:val="single" w:sz="4" w:space="0" w:color="000000"/>
            </w:tcBorders>
            <w:vAlign w:val="center"/>
            <w:hideMark/>
          </w:tcPr>
          <w:p w14:paraId="42FCB563"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Administradora Publica Cooperativa Empresa Solidar </w:t>
            </w:r>
          </w:p>
        </w:tc>
      </w:tr>
      <w:tr w:rsidR="00FD21FE" w14:paraId="433433D0" w14:textId="77777777" w:rsidTr="00FD21FE">
        <w:trPr>
          <w:trHeight w:val="450"/>
          <w:jc w:val="center"/>
        </w:trPr>
        <w:tc>
          <w:tcPr>
            <w:tcW w:w="869" w:type="dxa"/>
            <w:tcBorders>
              <w:top w:val="nil"/>
              <w:left w:val="single" w:sz="4" w:space="0" w:color="000000"/>
              <w:bottom w:val="single" w:sz="4" w:space="0" w:color="000000"/>
              <w:right w:val="single" w:sz="4" w:space="0" w:color="000000"/>
            </w:tcBorders>
            <w:vAlign w:val="center"/>
            <w:hideMark/>
          </w:tcPr>
          <w:p w14:paraId="470B4BD1"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0209 2  </w:t>
            </w:r>
          </w:p>
        </w:tc>
        <w:tc>
          <w:tcPr>
            <w:tcW w:w="1106" w:type="dxa"/>
            <w:tcBorders>
              <w:top w:val="nil"/>
              <w:left w:val="nil"/>
              <w:bottom w:val="single" w:sz="4" w:space="0" w:color="000000"/>
              <w:right w:val="single" w:sz="4" w:space="0" w:color="000000"/>
            </w:tcBorders>
            <w:vAlign w:val="center"/>
            <w:hideMark/>
          </w:tcPr>
          <w:p w14:paraId="17686346"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09-02-2023 </w:t>
            </w:r>
          </w:p>
        </w:tc>
        <w:tc>
          <w:tcPr>
            <w:tcW w:w="1417" w:type="dxa"/>
            <w:tcBorders>
              <w:top w:val="nil"/>
              <w:left w:val="nil"/>
              <w:bottom w:val="single" w:sz="4" w:space="0" w:color="000000"/>
              <w:right w:val="single" w:sz="4" w:space="0" w:color="000000"/>
            </w:tcBorders>
            <w:vAlign w:val="center"/>
            <w:hideMark/>
          </w:tcPr>
          <w:p w14:paraId="1AB53FCF"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Alcantarillado- Subsidios. </w:t>
            </w:r>
          </w:p>
        </w:tc>
        <w:tc>
          <w:tcPr>
            <w:tcW w:w="1701" w:type="dxa"/>
            <w:tcBorders>
              <w:top w:val="nil"/>
              <w:left w:val="nil"/>
              <w:bottom w:val="single" w:sz="4" w:space="0" w:color="000000"/>
              <w:right w:val="single" w:sz="4" w:space="0" w:color="000000"/>
            </w:tcBorders>
            <w:vAlign w:val="center"/>
            <w:hideMark/>
          </w:tcPr>
          <w:p w14:paraId="365DB7B3" w14:textId="77777777" w:rsidR="00FD21FE" w:rsidRDefault="00FD21FE">
            <w:pPr>
              <w:jc w:val="center"/>
              <w:rPr>
                <w:rFonts w:ascii="Verdana" w:eastAsia="Times New Roman" w:hAnsi="Verdana" w:cs="Arial"/>
                <w:sz w:val="18"/>
                <w:szCs w:val="18"/>
                <w:lang w:val="es-CO" w:eastAsia="es-CO"/>
              </w:rPr>
            </w:pPr>
            <w:r>
              <w:rPr>
                <w:rFonts w:ascii="Verdana" w:eastAsia="Times New Roman" w:hAnsi="Verdana" w:cs="Arial"/>
                <w:sz w:val="18"/>
                <w:szCs w:val="18"/>
                <w:lang w:val="es-CO" w:eastAsia="es-CO"/>
              </w:rPr>
              <w:t>295</w:t>
            </w:r>
          </w:p>
        </w:tc>
        <w:tc>
          <w:tcPr>
            <w:tcW w:w="2694" w:type="dxa"/>
            <w:tcBorders>
              <w:top w:val="nil"/>
              <w:left w:val="nil"/>
              <w:bottom w:val="single" w:sz="4" w:space="0" w:color="000000"/>
              <w:right w:val="single" w:sz="4" w:space="0" w:color="000000"/>
            </w:tcBorders>
            <w:vAlign w:val="center"/>
            <w:hideMark/>
          </w:tcPr>
          <w:p w14:paraId="445D1D27"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Administradora Publica Cooperativa Empresa Solidar </w:t>
            </w:r>
          </w:p>
        </w:tc>
      </w:tr>
      <w:tr w:rsidR="00FD21FE" w14:paraId="44233C7C" w14:textId="77777777" w:rsidTr="00FD21FE">
        <w:trPr>
          <w:trHeight w:val="450"/>
          <w:jc w:val="center"/>
        </w:trPr>
        <w:tc>
          <w:tcPr>
            <w:tcW w:w="869" w:type="dxa"/>
            <w:tcBorders>
              <w:top w:val="nil"/>
              <w:left w:val="single" w:sz="4" w:space="0" w:color="000000"/>
              <w:bottom w:val="single" w:sz="4" w:space="0" w:color="000000"/>
              <w:right w:val="single" w:sz="4" w:space="0" w:color="000000"/>
            </w:tcBorders>
            <w:vAlign w:val="center"/>
            <w:hideMark/>
          </w:tcPr>
          <w:p w14:paraId="44B499D0"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0217 6  </w:t>
            </w:r>
          </w:p>
        </w:tc>
        <w:tc>
          <w:tcPr>
            <w:tcW w:w="1106" w:type="dxa"/>
            <w:tcBorders>
              <w:top w:val="nil"/>
              <w:left w:val="nil"/>
              <w:bottom w:val="single" w:sz="4" w:space="0" w:color="000000"/>
              <w:right w:val="single" w:sz="4" w:space="0" w:color="000000"/>
            </w:tcBorders>
            <w:vAlign w:val="center"/>
            <w:hideMark/>
          </w:tcPr>
          <w:p w14:paraId="5F7DA5F0"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17-02-2023 </w:t>
            </w:r>
          </w:p>
        </w:tc>
        <w:tc>
          <w:tcPr>
            <w:tcW w:w="1417" w:type="dxa"/>
            <w:tcBorders>
              <w:top w:val="nil"/>
              <w:left w:val="nil"/>
              <w:bottom w:val="single" w:sz="4" w:space="0" w:color="000000"/>
              <w:right w:val="single" w:sz="4" w:space="0" w:color="000000"/>
            </w:tcBorders>
            <w:vAlign w:val="center"/>
            <w:hideMark/>
          </w:tcPr>
          <w:p w14:paraId="7253DF2C"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Aseo- Subsidios. </w:t>
            </w:r>
          </w:p>
        </w:tc>
        <w:tc>
          <w:tcPr>
            <w:tcW w:w="1701" w:type="dxa"/>
            <w:tcBorders>
              <w:top w:val="nil"/>
              <w:left w:val="nil"/>
              <w:bottom w:val="single" w:sz="4" w:space="0" w:color="000000"/>
              <w:right w:val="single" w:sz="4" w:space="0" w:color="000000"/>
            </w:tcBorders>
            <w:vAlign w:val="center"/>
            <w:hideMark/>
          </w:tcPr>
          <w:p w14:paraId="16A585E9" w14:textId="77777777" w:rsidR="00FD21FE" w:rsidRDefault="00FD21FE">
            <w:pPr>
              <w:jc w:val="center"/>
              <w:rPr>
                <w:rFonts w:ascii="Verdana" w:eastAsia="Times New Roman" w:hAnsi="Verdana" w:cs="Arial"/>
                <w:sz w:val="18"/>
                <w:szCs w:val="18"/>
                <w:lang w:val="es-CO" w:eastAsia="es-CO"/>
              </w:rPr>
            </w:pPr>
            <w:r>
              <w:rPr>
                <w:rFonts w:ascii="Verdana" w:eastAsia="Times New Roman" w:hAnsi="Verdana" w:cs="Arial"/>
                <w:sz w:val="18"/>
                <w:szCs w:val="18"/>
                <w:lang w:val="es-CO" w:eastAsia="es-CO"/>
              </w:rPr>
              <w:t>788</w:t>
            </w:r>
          </w:p>
        </w:tc>
        <w:tc>
          <w:tcPr>
            <w:tcW w:w="2694" w:type="dxa"/>
            <w:tcBorders>
              <w:top w:val="nil"/>
              <w:left w:val="nil"/>
              <w:bottom w:val="single" w:sz="4" w:space="0" w:color="000000"/>
              <w:right w:val="single" w:sz="4" w:space="0" w:color="000000"/>
            </w:tcBorders>
            <w:vAlign w:val="center"/>
            <w:hideMark/>
          </w:tcPr>
          <w:p w14:paraId="670EF6E9"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Operador De Soluciones Ambientales ASAF SA ESP </w:t>
            </w:r>
          </w:p>
        </w:tc>
      </w:tr>
      <w:tr w:rsidR="00FD21FE" w14:paraId="6ED29BF3" w14:textId="77777777" w:rsidTr="00FD21FE">
        <w:trPr>
          <w:trHeight w:val="450"/>
          <w:jc w:val="center"/>
        </w:trPr>
        <w:tc>
          <w:tcPr>
            <w:tcW w:w="869" w:type="dxa"/>
            <w:tcBorders>
              <w:top w:val="nil"/>
              <w:left w:val="single" w:sz="4" w:space="0" w:color="000000"/>
              <w:bottom w:val="single" w:sz="4" w:space="0" w:color="auto"/>
              <w:right w:val="single" w:sz="4" w:space="0" w:color="000000"/>
            </w:tcBorders>
            <w:vAlign w:val="center"/>
            <w:hideMark/>
          </w:tcPr>
          <w:p w14:paraId="16D433D8"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0217 6  </w:t>
            </w:r>
          </w:p>
        </w:tc>
        <w:tc>
          <w:tcPr>
            <w:tcW w:w="1106" w:type="dxa"/>
            <w:tcBorders>
              <w:top w:val="nil"/>
              <w:left w:val="nil"/>
              <w:bottom w:val="single" w:sz="4" w:space="0" w:color="auto"/>
              <w:right w:val="single" w:sz="4" w:space="0" w:color="000000"/>
            </w:tcBorders>
            <w:vAlign w:val="center"/>
            <w:hideMark/>
          </w:tcPr>
          <w:p w14:paraId="65D5B44B"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17-02-2023 </w:t>
            </w:r>
          </w:p>
        </w:tc>
        <w:tc>
          <w:tcPr>
            <w:tcW w:w="1417" w:type="dxa"/>
            <w:tcBorders>
              <w:top w:val="nil"/>
              <w:left w:val="nil"/>
              <w:bottom w:val="single" w:sz="4" w:space="0" w:color="auto"/>
              <w:right w:val="single" w:sz="4" w:space="0" w:color="000000"/>
            </w:tcBorders>
            <w:vAlign w:val="center"/>
            <w:hideMark/>
          </w:tcPr>
          <w:p w14:paraId="52727E62"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Aseo- Subsidios. </w:t>
            </w:r>
          </w:p>
        </w:tc>
        <w:tc>
          <w:tcPr>
            <w:tcW w:w="1701" w:type="dxa"/>
            <w:tcBorders>
              <w:top w:val="nil"/>
              <w:left w:val="nil"/>
              <w:bottom w:val="single" w:sz="4" w:space="0" w:color="auto"/>
              <w:right w:val="single" w:sz="4" w:space="0" w:color="000000"/>
            </w:tcBorders>
            <w:vAlign w:val="center"/>
            <w:hideMark/>
          </w:tcPr>
          <w:p w14:paraId="0D6746FA" w14:textId="77777777" w:rsidR="00FD21FE" w:rsidRDefault="00FD21FE">
            <w:pPr>
              <w:jc w:val="center"/>
              <w:rPr>
                <w:rFonts w:ascii="Verdana" w:eastAsia="Times New Roman" w:hAnsi="Verdana" w:cs="Arial"/>
                <w:sz w:val="18"/>
                <w:szCs w:val="18"/>
                <w:lang w:val="es-CO" w:eastAsia="es-CO"/>
              </w:rPr>
            </w:pPr>
            <w:r>
              <w:rPr>
                <w:rFonts w:ascii="Verdana" w:eastAsia="Times New Roman" w:hAnsi="Verdana" w:cs="Arial"/>
                <w:sz w:val="18"/>
                <w:szCs w:val="18"/>
                <w:lang w:val="es-CO" w:eastAsia="es-CO"/>
              </w:rPr>
              <w:t>3</w:t>
            </w:r>
          </w:p>
        </w:tc>
        <w:tc>
          <w:tcPr>
            <w:tcW w:w="2694" w:type="dxa"/>
            <w:tcBorders>
              <w:top w:val="nil"/>
              <w:left w:val="nil"/>
              <w:bottom w:val="single" w:sz="4" w:space="0" w:color="auto"/>
              <w:right w:val="single" w:sz="4" w:space="0" w:color="000000"/>
            </w:tcBorders>
            <w:vAlign w:val="center"/>
            <w:hideMark/>
          </w:tcPr>
          <w:p w14:paraId="4E1AA256" w14:textId="77777777" w:rsidR="00FD21FE" w:rsidRDefault="00FD21FE">
            <w:pPr>
              <w:rPr>
                <w:rFonts w:ascii="Verdana" w:eastAsia="Times New Roman" w:hAnsi="Verdana" w:cs="Arial"/>
                <w:sz w:val="18"/>
                <w:szCs w:val="18"/>
                <w:lang w:val="es-CO" w:eastAsia="es-CO"/>
              </w:rPr>
            </w:pPr>
            <w:r>
              <w:rPr>
                <w:rFonts w:ascii="Verdana" w:eastAsia="Times New Roman" w:hAnsi="Verdana" w:cs="Arial"/>
                <w:sz w:val="18"/>
                <w:szCs w:val="18"/>
                <w:lang w:val="es-CO" w:eastAsia="es-CO"/>
              </w:rPr>
              <w:t xml:space="preserve">Operador De Soluciones Ambientales ASAF SA ESP </w:t>
            </w:r>
          </w:p>
        </w:tc>
      </w:tr>
      <w:tr w:rsidR="00FD21FE" w14:paraId="574832DE" w14:textId="77777777" w:rsidTr="00FD21FE">
        <w:trPr>
          <w:trHeight w:val="450"/>
          <w:jc w:val="center"/>
        </w:trPr>
        <w:tc>
          <w:tcPr>
            <w:tcW w:w="3392" w:type="dxa"/>
            <w:gridSpan w:val="3"/>
            <w:tcBorders>
              <w:top w:val="single" w:sz="4" w:space="0" w:color="auto"/>
              <w:left w:val="single" w:sz="4" w:space="0" w:color="auto"/>
              <w:bottom w:val="single" w:sz="4" w:space="0" w:color="auto"/>
              <w:right w:val="single" w:sz="4" w:space="0" w:color="auto"/>
            </w:tcBorders>
            <w:vAlign w:val="center"/>
            <w:hideMark/>
          </w:tcPr>
          <w:p w14:paraId="20B5A9E6" w14:textId="77777777" w:rsidR="00FD21FE" w:rsidRDefault="00FD21FE">
            <w:pPr>
              <w:rPr>
                <w:rFonts w:ascii="Verdana" w:eastAsia="Times New Roman" w:hAnsi="Verdana" w:cs="Arial"/>
                <w:b/>
                <w:bCs/>
                <w:sz w:val="18"/>
                <w:szCs w:val="18"/>
                <w:lang w:val="es-CO" w:eastAsia="es-CO"/>
              </w:rPr>
            </w:pPr>
            <w:r>
              <w:rPr>
                <w:rFonts w:ascii="Verdana" w:eastAsia="Times New Roman" w:hAnsi="Verdana" w:cs="Arial"/>
                <w:b/>
                <w:bCs/>
                <w:sz w:val="18"/>
                <w:szCs w:val="18"/>
                <w:lang w:val="es-CO" w:eastAsia="es-CO"/>
              </w:rPr>
              <w:t>TOTAL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439054" w14:textId="77777777" w:rsidR="00FD21FE" w:rsidRDefault="00FD21FE">
            <w:pPr>
              <w:jc w:val="center"/>
              <w:rPr>
                <w:rFonts w:ascii="Verdana" w:eastAsia="Times New Roman" w:hAnsi="Verdana" w:cs="Arial"/>
                <w:b/>
                <w:bCs/>
                <w:sz w:val="18"/>
                <w:szCs w:val="18"/>
                <w:lang w:val="es-CO" w:eastAsia="es-CO"/>
              </w:rPr>
            </w:pPr>
            <w:r>
              <w:rPr>
                <w:rFonts w:ascii="Verdana" w:eastAsia="Times New Roman" w:hAnsi="Verdana" w:cs="Arial"/>
                <w:b/>
                <w:bCs/>
                <w:sz w:val="18"/>
                <w:szCs w:val="18"/>
                <w:lang w:val="es-CO" w:eastAsia="es-CO"/>
              </w:rPr>
              <w:t>1.617</w:t>
            </w:r>
          </w:p>
        </w:tc>
        <w:tc>
          <w:tcPr>
            <w:tcW w:w="2694" w:type="dxa"/>
            <w:tcBorders>
              <w:top w:val="single" w:sz="4" w:space="0" w:color="auto"/>
              <w:left w:val="single" w:sz="4" w:space="0" w:color="auto"/>
              <w:bottom w:val="single" w:sz="4" w:space="0" w:color="auto"/>
              <w:right w:val="single" w:sz="4" w:space="0" w:color="auto"/>
            </w:tcBorders>
            <w:vAlign w:val="center"/>
          </w:tcPr>
          <w:p w14:paraId="5F04D40F" w14:textId="77777777" w:rsidR="00FD21FE" w:rsidRDefault="00FD21FE">
            <w:pPr>
              <w:rPr>
                <w:rFonts w:ascii="Verdana" w:eastAsia="Times New Roman" w:hAnsi="Verdana" w:cs="Arial"/>
                <w:sz w:val="18"/>
                <w:szCs w:val="18"/>
                <w:lang w:val="es-CO" w:eastAsia="es-CO"/>
              </w:rPr>
            </w:pPr>
          </w:p>
        </w:tc>
      </w:tr>
    </w:tbl>
    <w:p w14:paraId="07D44C50" w14:textId="77777777" w:rsidR="00FD21FE" w:rsidRDefault="00FD21FE" w:rsidP="00FD21FE">
      <w:pPr>
        <w:jc w:val="center"/>
        <w:rPr>
          <w:rFonts w:ascii="Verdana" w:hAnsi="Verdana"/>
          <w:sz w:val="16"/>
          <w:szCs w:val="16"/>
          <w:lang w:val="es-CO"/>
        </w:rPr>
      </w:pPr>
      <w:r>
        <w:rPr>
          <w:rFonts w:ascii="Verdana" w:hAnsi="Verdana"/>
          <w:sz w:val="16"/>
          <w:szCs w:val="16"/>
          <w:lang w:val="es-CO"/>
        </w:rPr>
        <w:t>Fuente: Reportes FUT- RP de la Entidad Territorial. Cifras en millones de pesos</w:t>
      </w:r>
    </w:p>
    <w:p w14:paraId="76804E7C" w14:textId="77777777" w:rsidR="00FD21FE" w:rsidRDefault="00FD21FE" w:rsidP="00FD21FE">
      <w:pPr>
        <w:jc w:val="both"/>
        <w:rPr>
          <w:rFonts w:ascii="Verdana" w:hAnsi="Verdana"/>
          <w:sz w:val="22"/>
          <w:szCs w:val="22"/>
          <w:lang w:val="es-CO"/>
        </w:rPr>
      </w:pPr>
    </w:p>
    <w:p w14:paraId="334FD871" w14:textId="77777777" w:rsidR="00FD21FE" w:rsidRDefault="00FD21FE" w:rsidP="00FD21FE">
      <w:pPr>
        <w:jc w:val="both"/>
        <w:rPr>
          <w:rFonts w:ascii="Verdana" w:hAnsi="Verdana"/>
          <w:sz w:val="22"/>
          <w:szCs w:val="22"/>
          <w:lang w:val="es-CO"/>
        </w:rPr>
      </w:pPr>
    </w:p>
    <w:p w14:paraId="192F4863" w14:textId="77777777" w:rsidR="00FD21FE" w:rsidRDefault="00FD21FE" w:rsidP="00FD21FE">
      <w:pPr>
        <w:jc w:val="both"/>
        <w:rPr>
          <w:rFonts w:ascii="Verdana" w:hAnsi="Verdana"/>
          <w:sz w:val="22"/>
          <w:szCs w:val="22"/>
          <w:lang w:val="es-CO"/>
        </w:rPr>
      </w:pPr>
      <w:r>
        <w:rPr>
          <w:rFonts w:ascii="Verdana" w:hAnsi="Verdana"/>
          <w:sz w:val="22"/>
          <w:szCs w:val="22"/>
          <w:lang w:val="es-CO"/>
        </w:rPr>
        <w:t xml:space="preserve">Al primer trimestre de la vigencia se identifica que se expidieron registros presupuestales que ampararon la financiación de los subsidios con cargo al SGP APSB por $1.617 millones, de los cuales $791 millones tenían destino al subsidio de aseo, $531 millones acueducto y $295 millones alcantarillado. La distribución sectorial del recurso para la vigencia 2023 fue de </w:t>
      </w:r>
      <w:r>
        <w:rPr>
          <w:rFonts w:ascii="Verdana" w:hAnsi="Verdana"/>
          <w:b/>
          <w:bCs/>
          <w:sz w:val="22"/>
          <w:szCs w:val="22"/>
          <w:lang w:val="es-CO"/>
        </w:rPr>
        <w:t>$ 2.166 millones</w:t>
      </w:r>
      <w:r>
        <w:rPr>
          <w:rFonts w:ascii="Verdana" w:hAnsi="Verdana"/>
          <w:sz w:val="22"/>
          <w:szCs w:val="22"/>
          <w:lang w:val="es-CO"/>
        </w:rPr>
        <w:t>.</w:t>
      </w:r>
    </w:p>
    <w:p w14:paraId="45F8AF91" w14:textId="77777777" w:rsidR="00FD21FE" w:rsidRDefault="00FD21FE" w:rsidP="00FD21FE">
      <w:pPr>
        <w:jc w:val="both"/>
        <w:rPr>
          <w:rFonts w:ascii="Verdana" w:hAnsi="Verdana"/>
          <w:sz w:val="22"/>
          <w:szCs w:val="22"/>
          <w:lang w:val="es-CO"/>
        </w:rPr>
      </w:pPr>
    </w:p>
    <w:p w14:paraId="707430F4" w14:textId="77777777" w:rsidR="00FD21FE" w:rsidRDefault="00FD21FE" w:rsidP="00FD21FE">
      <w:pPr>
        <w:jc w:val="both"/>
        <w:rPr>
          <w:rFonts w:ascii="Verdana" w:hAnsi="Verdana"/>
          <w:sz w:val="22"/>
          <w:szCs w:val="22"/>
          <w:lang w:val="es-CO"/>
        </w:rPr>
      </w:pPr>
    </w:p>
    <w:p w14:paraId="3486F455" w14:textId="77777777" w:rsidR="00FD21FE" w:rsidRDefault="00FD21FE" w:rsidP="00FD21FE">
      <w:pPr>
        <w:pStyle w:val="Ttulo1"/>
        <w:numPr>
          <w:ilvl w:val="0"/>
          <w:numId w:val="3"/>
        </w:numPr>
        <w:spacing w:before="0"/>
        <w:jc w:val="both"/>
        <w:rPr>
          <w:rFonts w:ascii="Verdana" w:hAnsi="Verdana" w:cs="Arial"/>
          <w:color w:val="auto"/>
          <w:sz w:val="22"/>
          <w:szCs w:val="22"/>
          <w:lang w:val="es-CO"/>
        </w:rPr>
      </w:pPr>
      <w:r>
        <w:rPr>
          <w:rFonts w:ascii="Verdana" w:hAnsi="Verdana" w:cs="Arial"/>
          <w:b/>
          <w:color w:val="auto"/>
          <w:sz w:val="22"/>
          <w:szCs w:val="22"/>
          <w:lang w:val="es-CO"/>
        </w:rPr>
        <w:t xml:space="preserve">RESULTADO DE EVALUACIÓN DE LA MEDIDA </w:t>
      </w:r>
    </w:p>
    <w:p w14:paraId="385825BD" w14:textId="77777777" w:rsidR="00FD21FE" w:rsidRDefault="00FD21FE" w:rsidP="00FD21FE">
      <w:pPr>
        <w:rPr>
          <w:rFonts w:ascii="Verdana" w:hAnsi="Verdana"/>
          <w:sz w:val="22"/>
          <w:szCs w:val="22"/>
          <w:lang w:val="es-CO"/>
        </w:rPr>
      </w:pPr>
    </w:p>
    <w:p w14:paraId="28AC9ABB" w14:textId="77777777" w:rsidR="00FD21FE" w:rsidRDefault="00FD21FE" w:rsidP="00FD21FE">
      <w:pPr>
        <w:jc w:val="both"/>
        <w:rPr>
          <w:rFonts w:ascii="Verdana" w:hAnsi="Verdana"/>
          <w:sz w:val="22"/>
          <w:szCs w:val="22"/>
          <w:lang w:val="es-CO"/>
        </w:rPr>
      </w:pPr>
      <w:r>
        <w:rPr>
          <w:rFonts w:ascii="Verdana" w:hAnsi="Verdana"/>
          <w:sz w:val="22"/>
          <w:szCs w:val="22"/>
          <w:lang w:val="es-CO"/>
        </w:rPr>
        <w:t xml:space="preserve">En el siguiente cuadro se presenta el avance de la ejecución del plan de desempeño, con base en la evidencia entregada por </w:t>
      </w:r>
      <w:r>
        <w:rPr>
          <w:rFonts w:ascii="Verdana" w:eastAsia="Times New Roman" w:hAnsi="Verdana" w:cs="Calibri"/>
          <w:sz w:val="22"/>
          <w:szCs w:val="22"/>
          <w:lang w:val="es-CO" w:eastAsia="en-US"/>
        </w:rPr>
        <w:t>el Municipio el día 31 de mayo de 2023 a través del radicado 1-2023-04579 en un archivo comprimido en formato Win RAR con un contenido de 163 Megas en 46 archivos.</w:t>
      </w:r>
    </w:p>
    <w:p w14:paraId="00B8ADF6" w14:textId="77777777" w:rsidR="00FD21FE" w:rsidRDefault="00FD21FE" w:rsidP="00FD21FE">
      <w:pPr>
        <w:jc w:val="both"/>
        <w:rPr>
          <w:rFonts w:ascii="Verdana" w:hAnsi="Verdana"/>
          <w:sz w:val="22"/>
          <w:szCs w:val="22"/>
          <w:lang w:val="es-CO"/>
        </w:rPr>
      </w:pPr>
    </w:p>
    <w:p w14:paraId="47F6686B" w14:textId="77777777" w:rsidR="00FD21FE" w:rsidRDefault="00FD21FE" w:rsidP="00FD21FE">
      <w:pPr>
        <w:jc w:val="both"/>
        <w:rPr>
          <w:rFonts w:ascii="Verdana" w:hAnsi="Verdana"/>
          <w:sz w:val="22"/>
          <w:szCs w:val="22"/>
          <w:lang w:val="es-CO"/>
        </w:rPr>
      </w:pPr>
      <w:r>
        <w:rPr>
          <w:rFonts w:ascii="Verdana" w:hAnsi="Verdana"/>
          <w:sz w:val="22"/>
          <w:szCs w:val="22"/>
          <w:lang w:val="es-CO"/>
        </w:rPr>
        <w:t>En una primera columna se describe la actividad, le sigue una columna con el producto, la tercera columna es la información aportada por la Entidad Territorial que evidencia el cumplimiento de la actividad y del producto y en la última columna las observaciones del análisis de la información, realizada por la DAF, y concluyen con incumplimiento, cumplimiento, cumplimiento parcial.</w:t>
      </w:r>
    </w:p>
    <w:p w14:paraId="5310B799" w14:textId="77777777" w:rsidR="00FD21FE" w:rsidRDefault="00FD21FE" w:rsidP="00FD21FE">
      <w:pPr>
        <w:jc w:val="both"/>
        <w:rPr>
          <w:rFonts w:ascii="Verdana" w:hAnsi="Verdana"/>
          <w:sz w:val="22"/>
          <w:szCs w:val="22"/>
          <w:lang w:val="es-CO"/>
        </w:rPr>
      </w:pPr>
    </w:p>
    <w:p w14:paraId="43604F02" w14:textId="77777777" w:rsidR="00FD21FE" w:rsidRDefault="00FD21FE" w:rsidP="00FD21FE">
      <w:pPr>
        <w:jc w:val="both"/>
        <w:rPr>
          <w:rFonts w:ascii="Verdana" w:hAnsi="Verdana"/>
          <w:i/>
          <w:iCs/>
          <w:sz w:val="22"/>
          <w:szCs w:val="22"/>
          <w:lang w:val="es-CO"/>
        </w:rPr>
      </w:pPr>
      <w:r>
        <w:rPr>
          <w:rFonts w:ascii="Verdana" w:hAnsi="Verdana"/>
          <w:sz w:val="22"/>
          <w:szCs w:val="22"/>
          <w:lang w:val="es-CO"/>
        </w:rPr>
        <w:t>La Entidad aportó un documento denominado “</w:t>
      </w:r>
      <w:r>
        <w:rPr>
          <w:rFonts w:ascii="Verdana" w:hAnsi="Verdana"/>
          <w:i/>
          <w:iCs/>
          <w:sz w:val="22"/>
          <w:szCs w:val="22"/>
          <w:lang w:val="es-CO"/>
        </w:rPr>
        <w:t>Informe: Avance del Cumplimiento al Plan de Desempeño en el Sector de Agua Potable Saneamiento Básico”</w:t>
      </w:r>
      <w:r>
        <w:rPr>
          <w:rFonts w:ascii="Verdana" w:hAnsi="Verdana"/>
          <w:sz w:val="22"/>
          <w:szCs w:val="22"/>
          <w:lang w:val="es-CO"/>
        </w:rPr>
        <w:t>, en el cual se describe de manera organizada, la forma como se consolida y presenta la evidencia del cumplimiento del Decreto No. 0181 de fecha 7 de diciembre de 2022, “</w:t>
      </w:r>
      <w:r>
        <w:rPr>
          <w:rFonts w:ascii="Verdana" w:hAnsi="Verdana"/>
          <w:i/>
          <w:iCs/>
          <w:sz w:val="22"/>
          <w:szCs w:val="22"/>
          <w:lang w:val="es-CO"/>
        </w:rPr>
        <w:t>Por el medio de la cual se adopta el Plan de Desempeño en el Sector de Agua Potable Saneamiento Básico presentado por el Municipio de San Martin-Cesar, en cumplimiento de la medida preventiva de Plan de Desempeño impuesta mediante la Resolución No. 2869 de fecha 31 de octubre de 2022, en cumplimiento legal del Decreto 028 de 2008”.</w:t>
      </w:r>
    </w:p>
    <w:p w14:paraId="60C3E52E" w14:textId="77777777" w:rsidR="00FD21FE" w:rsidRDefault="00FD21FE" w:rsidP="00FD21FE">
      <w:pPr>
        <w:rPr>
          <w:rFonts w:ascii="Verdana" w:hAnsi="Verdana"/>
          <w:sz w:val="22"/>
          <w:szCs w:val="22"/>
          <w:lang w:val="es-CO"/>
        </w:rPr>
      </w:pPr>
    </w:p>
    <w:p w14:paraId="563BED4D" w14:textId="77777777" w:rsidR="00FD21FE" w:rsidRDefault="00FD21FE" w:rsidP="00FD21FE">
      <w:pPr>
        <w:rPr>
          <w:rFonts w:ascii="Verdana" w:hAnsi="Verdana"/>
          <w:sz w:val="22"/>
          <w:szCs w:val="22"/>
          <w:lang w:val="es-CO"/>
        </w:rPr>
      </w:pPr>
    </w:p>
    <w:p w14:paraId="540B89C6" w14:textId="77777777" w:rsidR="00FD21FE" w:rsidRDefault="00FD21FE" w:rsidP="00FD21FE">
      <w:pPr>
        <w:rPr>
          <w:rFonts w:ascii="Verdana" w:hAnsi="Verdana"/>
          <w:sz w:val="22"/>
          <w:szCs w:val="22"/>
          <w:lang w:val="es-CO"/>
        </w:rPr>
      </w:pPr>
    </w:p>
    <w:p w14:paraId="59B152DC" w14:textId="77777777" w:rsidR="00FD21FE" w:rsidRDefault="00FD21FE" w:rsidP="00FD21FE">
      <w:pPr>
        <w:rPr>
          <w:rFonts w:ascii="Verdana" w:hAnsi="Verdana"/>
          <w:sz w:val="22"/>
          <w:szCs w:val="22"/>
          <w:lang w:val="es-CO"/>
        </w:rPr>
      </w:pPr>
    </w:p>
    <w:p w14:paraId="02C4AB46" w14:textId="77777777" w:rsidR="00FD21FE" w:rsidRDefault="00FD21FE" w:rsidP="00FD21FE">
      <w:pPr>
        <w:jc w:val="center"/>
        <w:rPr>
          <w:rFonts w:ascii="Verdana" w:hAnsi="Verdana"/>
          <w:b/>
          <w:bCs/>
          <w:sz w:val="22"/>
          <w:szCs w:val="22"/>
          <w:lang w:val="es-CO"/>
        </w:rPr>
      </w:pPr>
      <w:r>
        <w:rPr>
          <w:rFonts w:ascii="Verdana" w:hAnsi="Verdana"/>
          <w:b/>
          <w:bCs/>
          <w:sz w:val="22"/>
          <w:szCs w:val="22"/>
          <w:lang w:val="es-CO"/>
        </w:rPr>
        <w:t>TABLA 8. EVALUACION DE LA MEDIDA</w:t>
      </w:r>
    </w:p>
    <w:tbl>
      <w:tblPr>
        <w:tblStyle w:val="Tablaconcuadrcula"/>
        <w:tblW w:w="8550" w:type="dxa"/>
        <w:jc w:val="center"/>
        <w:tblLayout w:type="fixed"/>
        <w:tblLook w:val="04A0" w:firstRow="1" w:lastRow="0" w:firstColumn="1" w:lastColumn="0" w:noHBand="0" w:noVBand="1"/>
      </w:tblPr>
      <w:tblGrid>
        <w:gridCol w:w="445"/>
        <w:gridCol w:w="1535"/>
        <w:gridCol w:w="1558"/>
        <w:gridCol w:w="2125"/>
        <w:gridCol w:w="2887"/>
      </w:tblGrid>
      <w:tr w:rsidR="00FD21FE" w14:paraId="7A2F3C82"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4DEB5EBE" w14:textId="77777777" w:rsidR="00FD21FE" w:rsidRDefault="00FD21FE">
            <w:pPr>
              <w:jc w:val="center"/>
              <w:rPr>
                <w:rFonts w:ascii="Verdana" w:hAnsi="Verdana"/>
                <w:b/>
                <w:bCs/>
                <w:sz w:val="16"/>
                <w:szCs w:val="16"/>
                <w:lang w:val="es-CO"/>
              </w:rPr>
            </w:pPr>
            <w:r>
              <w:rPr>
                <w:rFonts w:ascii="Verdana" w:hAnsi="Verdana"/>
                <w:b/>
                <w:bCs/>
                <w:sz w:val="16"/>
                <w:szCs w:val="16"/>
                <w:lang w:val="es-CO"/>
              </w:rPr>
              <w:t>#</w:t>
            </w:r>
          </w:p>
        </w:tc>
        <w:tc>
          <w:tcPr>
            <w:tcW w:w="1536" w:type="dxa"/>
            <w:tcBorders>
              <w:top w:val="single" w:sz="4" w:space="0" w:color="auto"/>
              <w:left w:val="single" w:sz="4" w:space="0" w:color="auto"/>
              <w:bottom w:val="single" w:sz="4" w:space="0" w:color="auto"/>
              <w:right w:val="single" w:sz="4" w:space="0" w:color="auto"/>
            </w:tcBorders>
            <w:hideMark/>
          </w:tcPr>
          <w:p w14:paraId="599E6F59" w14:textId="77777777" w:rsidR="00FD21FE" w:rsidRDefault="00FD21FE">
            <w:pPr>
              <w:jc w:val="center"/>
              <w:rPr>
                <w:rFonts w:ascii="Verdana" w:hAnsi="Verdana"/>
                <w:b/>
                <w:bCs/>
                <w:sz w:val="16"/>
                <w:szCs w:val="16"/>
                <w:lang w:val="es-CO"/>
              </w:rPr>
            </w:pPr>
            <w:r>
              <w:rPr>
                <w:rFonts w:ascii="Verdana" w:hAnsi="Verdana"/>
                <w:b/>
                <w:bCs/>
                <w:sz w:val="16"/>
                <w:szCs w:val="16"/>
                <w:lang w:val="es-CO"/>
              </w:rPr>
              <w:t>Actividad</w:t>
            </w:r>
          </w:p>
        </w:tc>
        <w:tc>
          <w:tcPr>
            <w:tcW w:w="1559" w:type="dxa"/>
            <w:tcBorders>
              <w:top w:val="single" w:sz="4" w:space="0" w:color="auto"/>
              <w:left w:val="single" w:sz="4" w:space="0" w:color="auto"/>
              <w:bottom w:val="single" w:sz="4" w:space="0" w:color="auto"/>
              <w:right w:val="single" w:sz="4" w:space="0" w:color="auto"/>
            </w:tcBorders>
            <w:hideMark/>
          </w:tcPr>
          <w:p w14:paraId="2E228F63" w14:textId="77777777" w:rsidR="00FD21FE" w:rsidRDefault="00FD21FE">
            <w:pPr>
              <w:jc w:val="center"/>
              <w:rPr>
                <w:rFonts w:ascii="Verdana" w:hAnsi="Verdana"/>
                <w:b/>
                <w:bCs/>
                <w:sz w:val="16"/>
                <w:szCs w:val="16"/>
                <w:lang w:val="es-CO"/>
              </w:rPr>
            </w:pPr>
            <w:r>
              <w:rPr>
                <w:rFonts w:ascii="Verdana" w:hAnsi="Verdana"/>
                <w:b/>
                <w:bCs/>
                <w:sz w:val="16"/>
                <w:szCs w:val="16"/>
                <w:lang w:val="es-CO"/>
              </w:rPr>
              <w:t>Producto</w:t>
            </w:r>
          </w:p>
        </w:tc>
        <w:tc>
          <w:tcPr>
            <w:tcW w:w="2126" w:type="dxa"/>
            <w:tcBorders>
              <w:top w:val="single" w:sz="4" w:space="0" w:color="auto"/>
              <w:left w:val="single" w:sz="4" w:space="0" w:color="auto"/>
              <w:bottom w:val="single" w:sz="4" w:space="0" w:color="auto"/>
              <w:right w:val="single" w:sz="4" w:space="0" w:color="auto"/>
            </w:tcBorders>
            <w:hideMark/>
          </w:tcPr>
          <w:p w14:paraId="7EE38B93" w14:textId="77777777" w:rsidR="00FD21FE" w:rsidRDefault="00FD21FE">
            <w:pPr>
              <w:jc w:val="center"/>
              <w:rPr>
                <w:rFonts w:ascii="Verdana" w:hAnsi="Verdana"/>
                <w:b/>
                <w:bCs/>
                <w:sz w:val="16"/>
                <w:szCs w:val="16"/>
                <w:lang w:val="es-CO"/>
              </w:rPr>
            </w:pPr>
            <w:r>
              <w:rPr>
                <w:rFonts w:ascii="Verdana" w:hAnsi="Verdana"/>
                <w:b/>
                <w:bCs/>
                <w:sz w:val="16"/>
                <w:szCs w:val="16"/>
                <w:lang w:val="es-CO"/>
              </w:rPr>
              <w:t>E.T.</w:t>
            </w:r>
          </w:p>
        </w:tc>
        <w:tc>
          <w:tcPr>
            <w:tcW w:w="2888" w:type="dxa"/>
            <w:tcBorders>
              <w:top w:val="single" w:sz="4" w:space="0" w:color="auto"/>
              <w:left w:val="single" w:sz="4" w:space="0" w:color="auto"/>
              <w:bottom w:val="single" w:sz="4" w:space="0" w:color="auto"/>
              <w:right w:val="single" w:sz="4" w:space="0" w:color="auto"/>
            </w:tcBorders>
            <w:hideMark/>
          </w:tcPr>
          <w:p w14:paraId="7A6E7298" w14:textId="77777777" w:rsidR="00FD21FE" w:rsidRDefault="00FD21FE">
            <w:pPr>
              <w:jc w:val="center"/>
              <w:rPr>
                <w:rFonts w:ascii="Verdana" w:hAnsi="Verdana"/>
                <w:b/>
                <w:bCs/>
                <w:sz w:val="16"/>
                <w:szCs w:val="16"/>
                <w:lang w:val="es-CO"/>
              </w:rPr>
            </w:pPr>
            <w:r>
              <w:rPr>
                <w:rFonts w:ascii="Verdana" w:hAnsi="Verdana"/>
                <w:b/>
                <w:bCs/>
                <w:sz w:val="16"/>
                <w:szCs w:val="16"/>
                <w:lang w:val="es-CO"/>
              </w:rPr>
              <w:t>Observación DAF</w:t>
            </w:r>
          </w:p>
        </w:tc>
      </w:tr>
      <w:tr w:rsidR="00FD21FE" w14:paraId="727EBDA1"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01313AD8" w14:textId="77777777" w:rsidR="00FD21FE" w:rsidRDefault="00FD21FE">
            <w:pPr>
              <w:jc w:val="center"/>
              <w:rPr>
                <w:rFonts w:ascii="Verdana" w:hAnsi="Verdana"/>
                <w:b/>
                <w:bCs/>
                <w:sz w:val="16"/>
                <w:szCs w:val="16"/>
                <w:lang w:val="es-CO"/>
              </w:rPr>
            </w:pPr>
            <w:r>
              <w:rPr>
                <w:rFonts w:ascii="Verdana" w:hAnsi="Verdana"/>
                <w:b/>
                <w:bCs/>
                <w:sz w:val="16"/>
                <w:szCs w:val="16"/>
                <w:lang w:val="es-CO"/>
              </w:rPr>
              <w:t>1</w:t>
            </w:r>
          </w:p>
        </w:tc>
        <w:tc>
          <w:tcPr>
            <w:tcW w:w="1536" w:type="dxa"/>
            <w:tcBorders>
              <w:top w:val="single" w:sz="4" w:space="0" w:color="auto"/>
              <w:left w:val="single" w:sz="4" w:space="0" w:color="auto"/>
              <w:bottom w:val="single" w:sz="4" w:space="0" w:color="auto"/>
              <w:right w:val="single" w:sz="4" w:space="0" w:color="auto"/>
            </w:tcBorders>
            <w:hideMark/>
          </w:tcPr>
          <w:p w14:paraId="58AB2E6F" w14:textId="77777777" w:rsidR="00FD21FE" w:rsidRDefault="00FD21FE">
            <w:pPr>
              <w:jc w:val="both"/>
              <w:rPr>
                <w:rFonts w:ascii="Verdana" w:hAnsi="Verdana"/>
                <w:sz w:val="16"/>
                <w:szCs w:val="16"/>
                <w:lang w:val="es-CO"/>
              </w:rPr>
            </w:pPr>
            <w:r>
              <w:rPr>
                <w:rFonts w:ascii="Verdana" w:hAnsi="Verdana"/>
                <w:sz w:val="16"/>
                <w:szCs w:val="16"/>
                <w:lang w:val="es-CO"/>
              </w:rPr>
              <w:t>Diseñar mecanismo y definir los responsables y equipos necesarios para el de cargue de información presupuestal y sectorial a los sistemas dispuestos por el Gobierno Nacional para este fin, con una previa verificación y validación de la completitud, calidad y pertinencia de la información a reportar.</w:t>
            </w:r>
          </w:p>
        </w:tc>
        <w:tc>
          <w:tcPr>
            <w:tcW w:w="1559" w:type="dxa"/>
            <w:tcBorders>
              <w:top w:val="single" w:sz="4" w:space="0" w:color="auto"/>
              <w:left w:val="single" w:sz="4" w:space="0" w:color="auto"/>
              <w:bottom w:val="single" w:sz="4" w:space="0" w:color="auto"/>
              <w:right w:val="single" w:sz="4" w:space="0" w:color="auto"/>
            </w:tcBorders>
            <w:hideMark/>
          </w:tcPr>
          <w:p w14:paraId="3A213A7B" w14:textId="77777777" w:rsidR="00FD21FE" w:rsidRDefault="00FD21FE">
            <w:pPr>
              <w:jc w:val="both"/>
              <w:rPr>
                <w:rFonts w:ascii="Verdana" w:hAnsi="Verdana"/>
                <w:sz w:val="16"/>
                <w:szCs w:val="16"/>
                <w:lang w:val="es-CO"/>
              </w:rPr>
            </w:pPr>
            <w:r>
              <w:rPr>
                <w:rFonts w:ascii="Verdana" w:hAnsi="Verdana"/>
                <w:sz w:val="16"/>
                <w:szCs w:val="16"/>
                <w:lang w:val="es-CO"/>
              </w:rPr>
              <w:t>Informe de revisión y/o ajuste de proyectos, programas a ejecutar incluidos en presupuesto municipal, banco de proyectos, plan de desarrollo y compromisos adquiridos en convenios.</w:t>
            </w:r>
          </w:p>
        </w:tc>
        <w:tc>
          <w:tcPr>
            <w:tcW w:w="2126" w:type="dxa"/>
            <w:tcBorders>
              <w:top w:val="single" w:sz="4" w:space="0" w:color="auto"/>
              <w:left w:val="single" w:sz="4" w:space="0" w:color="auto"/>
              <w:bottom w:val="single" w:sz="4" w:space="0" w:color="auto"/>
              <w:right w:val="single" w:sz="4" w:space="0" w:color="auto"/>
            </w:tcBorders>
            <w:hideMark/>
          </w:tcPr>
          <w:p w14:paraId="27CD640A" w14:textId="77777777" w:rsidR="00FD21FE" w:rsidRDefault="00FD21FE">
            <w:pPr>
              <w:jc w:val="both"/>
              <w:rPr>
                <w:rFonts w:ascii="Verdana" w:hAnsi="Verdana"/>
                <w:sz w:val="16"/>
                <w:szCs w:val="16"/>
                <w:lang w:val="es-CO"/>
              </w:rPr>
            </w:pPr>
            <w:r>
              <w:rPr>
                <w:rFonts w:ascii="Verdana" w:hAnsi="Verdana"/>
                <w:sz w:val="16"/>
                <w:szCs w:val="16"/>
              </w:rPr>
              <w:t xml:space="preserve">De acuerdo con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la entidad Territorial revisó los proyectos, los programas del plan de desarrollo y el respectivo rubro presupuestal que guardaran concurrencia para la consolidación y posterior ejecución de los proyectos. Esta revisión arrojó que lo proyectado es pertinente y guarda relación directa con las herramientas de planificación territorial y presupuestal.</w:t>
            </w:r>
          </w:p>
        </w:tc>
        <w:tc>
          <w:tcPr>
            <w:tcW w:w="2888" w:type="dxa"/>
            <w:tcBorders>
              <w:top w:val="single" w:sz="4" w:space="0" w:color="auto"/>
              <w:left w:val="single" w:sz="4" w:space="0" w:color="auto"/>
              <w:bottom w:val="single" w:sz="4" w:space="0" w:color="auto"/>
              <w:right w:val="single" w:sz="4" w:space="0" w:color="auto"/>
            </w:tcBorders>
          </w:tcPr>
          <w:p w14:paraId="0D83A7EE" w14:textId="77777777" w:rsidR="00FD21FE" w:rsidRDefault="00FD21FE">
            <w:pPr>
              <w:jc w:val="both"/>
              <w:rPr>
                <w:rFonts w:ascii="Verdana" w:hAnsi="Verdana"/>
                <w:sz w:val="16"/>
                <w:szCs w:val="16"/>
              </w:rPr>
            </w:pPr>
            <w:r>
              <w:rPr>
                <w:rFonts w:ascii="Verdana" w:hAnsi="Verdana"/>
                <w:sz w:val="16"/>
                <w:szCs w:val="16"/>
              </w:rPr>
              <w:t xml:space="preserve">Si bien en el documento </w:t>
            </w:r>
            <w:r>
              <w:rPr>
                <w:rFonts w:ascii="Verdana" w:hAnsi="Verdana"/>
                <w:i/>
                <w:iCs/>
                <w:sz w:val="16"/>
                <w:szCs w:val="16"/>
              </w:rPr>
              <w:t xml:space="preserve">“Informe: Avance del Cumplimiento al Plan de Desempeño en el Sector de Agua Potable Saneamiento Básico” </w:t>
            </w:r>
            <w:r>
              <w:rPr>
                <w:rFonts w:ascii="Verdana" w:hAnsi="Verdana"/>
                <w:sz w:val="16"/>
                <w:szCs w:val="16"/>
              </w:rPr>
              <w:t xml:space="preserve">hace mención a la revisión, el producto asociado a esta actividad es un informe, el cual no se encuentra en los anexos. </w:t>
            </w:r>
          </w:p>
          <w:p w14:paraId="0ECE1634" w14:textId="77777777" w:rsidR="00FD21FE" w:rsidRDefault="00FD21FE">
            <w:pPr>
              <w:jc w:val="both"/>
              <w:rPr>
                <w:rFonts w:ascii="Verdana" w:hAnsi="Verdana"/>
                <w:sz w:val="16"/>
                <w:szCs w:val="16"/>
              </w:rPr>
            </w:pPr>
          </w:p>
          <w:p w14:paraId="133679F9" w14:textId="77777777" w:rsidR="00FD21FE" w:rsidRDefault="00FD21FE">
            <w:pPr>
              <w:jc w:val="both"/>
              <w:rPr>
                <w:rFonts w:ascii="Verdana" w:hAnsi="Verdana"/>
                <w:sz w:val="16"/>
                <w:szCs w:val="16"/>
              </w:rPr>
            </w:pPr>
            <w:r>
              <w:rPr>
                <w:rFonts w:ascii="Verdana" w:hAnsi="Verdana"/>
                <w:sz w:val="16"/>
                <w:szCs w:val="16"/>
              </w:rPr>
              <w:t xml:space="preserve">En lo aportado, que no es un informe, si se definen responsables y equipos necesarios para el cargue de la información presupuestal y sectorial y se hace un flujograma del reporte de la información. En este sentido no se establece cómo se ajustan los programas y proyectos a ejecutar, en caso de no ser aprobados por los responsables, ni se estima el procedimiento para, antes de cargar la información, efectuar una validación previa al cargue. </w:t>
            </w:r>
          </w:p>
          <w:p w14:paraId="2BF1F7F6" w14:textId="77777777" w:rsidR="00FD21FE" w:rsidRDefault="00FD21FE">
            <w:pPr>
              <w:jc w:val="both"/>
              <w:rPr>
                <w:rFonts w:ascii="Verdana" w:hAnsi="Verdana"/>
                <w:sz w:val="16"/>
                <w:szCs w:val="16"/>
              </w:rPr>
            </w:pPr>
          </w:p>
          <w:p w14:paraId="7CC25C2D" w14:textId="77777777" w:rsidR="00FD21FE" w:rsidRDefault="00FD21FE">
            <w:pPr>
              <w:jc w:val="both"/>
              <w:rPr>
                <w:rFonts w:ascii="Verdana" w:hAnsi="Verdana"/>
                <w:b/>
                <w:bCs/>
                <w:sz w:val="16"/>
                <w:szCs w:val="16"/>
              </w:rPr>
            </w:pPr>
            <w:r>
              <w:rPr>
                <w:rFonts w:ascii="Verdana" w:hAnsi="Verdana"/>
                <w:b/>
                <w:bCs/>
                <w:sz w:val="16"/>
                <w:szCs w:val="16"/>
              </w:rPr>
              <w:t>CUMPLIMIENTO PARCIAL</w:t>
            </w:r>
          </w:p>
          <w:p w14:paraId="475712F3" w14:textId="77777777" w:rsidR="00FD21FE" w:rsidRDefault="00FD21FE">
            <w:pPr>
              <w:jc w:val="both"/>
              <w:rPr>
                <w:rFonts w:ascii="Verdana" w:hAnsi="Verdana"/>
                <w:sz w:val="16"/>
                <w:szCs w:val="16"/>
                <w:lang w:eastAsia="ja-JP"/>
              </w:rPr>
            </w:pPr>
          </w:p>
        </w:tc>
      </w:tr>
      <w:tr w:rsidR="00FD21FE" w14:paraId="48FBB370"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033DC307" w14:textId="77777777" w:rsidR="00FD21FE" w:rsidRDefault="00FD21FE">
            <w:pPr>
              <w:jc w:val="center"/>
              <w:rPr>
                <w:rFonts w:ascii="Verdana" w:hAnsi="Verdana"/>
                <w:b/>
                <w:bCs/>
                <w:sz w:val="16"/>
                <w:szCs w:val="16"/>
                <w:lang w:val="es-CO"/>
              </w:rPr>
            </w:pPr>
            <w:r>
              <w:rPr>
                <w:rFonts w:ascii="Verdana" w:hAnsi="Verdana"/>
                <w:b/>
                <w:bCs/>
                <w:sz w:val="16"/>
                <w:szCs w:val="16"/>
                <w:lang w:val="es-CO"/>
              </w:rPr>
              <w:t>2</w:t>
            </w:r>
          </w:p>
        </w:tc>
        <w:tc>
          <w:tcPr>
            <w:tcW w:w="1536" w:type="dxa"/>
            <w:tcBorders>
              <w:top w:val="single" w:sz="4" w:space="0" w:color="auto"/>
              <w:left w:val="single" w:sz="4" w:space="0" w:color="auto"/>
              <w:bottom w:val="single" w:sz="4" w:space="0" w:color="auto"/>
              <w:right w:val="single" w:sz="4" w:space="0" w:color="auto"/>
            </w:tcBorders>
            <w:hideMark/>
          </w:tcPr>
          <w:p w14:paraId="736F88A1" w14:textId="77777777" w:rsidR="00FD21FE" w:rsidRDefault="00FD21FE">
            <w:pPr>
              <w:rPr>
                <w:rFonts w:ascii="Verdana" w:hAnsi="Verdana"/>
                <w:sz w:val="16"/>
                <w:szCs w:val="16"/>
                <w:lang w:val="es-CO"/>
              </w:rPr>
            </w:pPr>
            <w:r>
              <w:rPr>
                <w:rFonts w:ascii="Verdana" w:hAnsi="Verdana"/>
                <w:sz w:val="16"/>
                <w:szCs w:val="16"/>
                <w:lang w:val="es-CO"/>
              </w:rPr>
              <w:t>Revisar y capacitar a los responsables de los procesos contractuales a realizar y/o ejecutar para que sus objetos y actividades estén dentro del marco legal de las actividades permitidas en artículo 11 de la ley 1176 de 2007.</w:t>
            </w:r>
          </w:p>
        </w:tc>
        <w:tc>
          <w:tcPr>
            <w:tcW w:w="1559" w:type="dxa"/>
            <w:tcBorders>
              <w:top w:val="single" w:sz="4" w:space="0" w:color="auto"/>
              <w:left w:val="single" w:sz="4" w:space="0" w:color="auto"/>
              <w:bottom w:val="single" w:sz="4" w:space="0" w:color="auto"/>
              <w:right w:val="single" w:sz="4" w:space="0" w:color="auto"/>
            </w:tcBorders>
            <w:hideMark/>
          </w:tcPr>
          <w:p w14:paraId="18D98553" w14:textId="77777777" w:rsidR="00FD21FE" w:rsidRDefault="00FD21FE">
            <w:pPr>
              <w:rPr>
                <w:rFonts w:ascii="Verdana" w:hAnsi="Verdana"/>
                <w:sz w:val="16"/>
                <w:szCs w:val="16"/>
                <w:lang w:val="es-CO"/>
              </w:rPr>
            </w:pPr>
            <w:r>
              <w:rPr>
                <w:rFonts w:ascii="Verdana" w:hAnsi="Verdana"/>
                <w:sz w:val="16"/>
                <w:szCs w:val="16"/>
                <w:lang w:val="es-CO"/>
              </w:rPr>
              <w:t>Informe capacitación y acta de asistencia</w:t>
            </w:r>
          </w:p>
        </w:tc>
        <w:tc>
          <w:tcPr>
            <w:tcW w:w="2126" w:type="dxa"/>
            <w:tcBorders>
              <w:top w:val="single" w:sz="4" w:space="0" w:color="auto"/>
              <w:left w:val="single" w:sz="4" w:space="0" w:color="auto"/>
              <w:bottom w:val="single" w:sz="4" w:space="0" w:color="auto"/>
              <w:right w:val="single" w:sz="4" w:space="0" w:color="auto"/>
            </w:tcBorders>
            <w:hideMark/>
          </w:tcPr>
          <w:p w14:paraId="6BDC7CDE" w14:textId="77777777" w:rsidR="00FD21FE" w:rsidRDefault="00FD21FE">
            <w:pPr>
              <w:jc w:val="both"/>
              <w:rPr>
                <w:rFonts w:ascii="Verdana" w:hAnsi="Verdana"/>
                <w:sz w:val="16"/>
                <w:szCs w:val="16"/>
                <w:lang w:val="es-CO"/>
              </w:rPr>
            </w:pPr>
            <w:r>
              <w:rPr>
                <w:rFonts w:ascii="Verdana" w:hAnsi="Verdana"/>
                <w:sz w:val="16"/>
                <w:szCs w:val="16"/>
              </w:rPr>
              <w:t>El día 28 de febrero del presente año a partir de las 02:00 p.m. se desarrolló la capacitación virtual respecto de las actividades permitidas en artículo 11 de la ley 1176 de 2007; a través de la plataforma google meet (https://meet.google.com/mtq-ewjq-mbw) dirigida a funcionarios públicos del banco de programas y proyectos municipal, área de contratación estatal, secretaría de hacienda, secretaría de planeación, asesores jurídicos, y las empresas prestadoras de servicio de agua potable y aseo. Ver anexos 1 y 2</w:t>
            </w:r>
          </w:p>
        </w:tc>
        <w:tc>
          <w:tcPr>
            <w:tcW w:w="2888" w:type="dxa"/>
            <w:tcBorders>
              <w:top w:val="single" w:sz="4" w:space="0" w:color="auto"/>
              <w:left w:val="single" w:sz="4" w:space="0" w:color="auto"/>
              <w:bottom w:val="single" w:sz="4" w:space="0" w:color="auto"/>
              <w:right w:val="single" w:sz="4" w:space="0" w:color="auto"/>
            </w:tcBorders>
          </w:tcPr>
          <w:p w14:paraId="04AF47F0" w14:textId="77777777" w:rsidR="00FD21FE" w:rsidRDefault="00FD21FE">
            <w:pPr>
              <w:jc w:val="both"/>
              <w:rPr>
                <w:rFonts w:ascii="Verdana" w:hAnsi="Verdana"/>
                <w:sz w:val="16"/>
                <w:szCs w:val="16"/>
              </w:rPr>
            </w:pPr>
            <w:r>
              <w:rPr>
                <w:rFonts w:ascii="Verdana" w:hAnsi="Verdana"/>
                <w:sz w:val="16"/>
                <w:szCs w:val="16"/>
                <w:lang w:val="es-CO"/>
              </w:rPr>
              <w:t xml:space="preserve">Los productos asociados a esta actividad están relacionados con </w:t>
            </w:r>
            <w:r>
              <w:rPr>
                <w:rFonts w:ascii="Verdana" w:hAnsi="Verdana"/>
                <w:b/>
                <w:bCs/>
                <w:sz w:val="16"/>
                <w:szCs w:val="16"/>
                <w:lang w:val="es-CO"/>
              </w:rPr>
              <w:t>informe</w:t>
            </w:r>
            <w:r>
              <w:rPr>
                <w:rFonts w:ascii="Verdana" w:hAnsi="Verdana"/>
                <w:sz w:val="16"/>
                <w:szCs w:val="16"/>
                <w:lang w:val="es-CO"/>
              </w:rPr>
              <w:t xml:space="preserve"> y acta de asistencia. El acta al </w:t>
            </w:r>
            <w:r>
              <w:rPr>
                <w:rFonts w:ascii="Verdana" w:hAnsi="Verdana"/>
                <w:sz w:val="16"/>
                <w:szCs w:val="16"/>
              </w:rPr>
              <w:t>que hacen referencia presenta un listado de 13 personas.</w:t>
            </w:r>
          </w:p>
          <w:p w14:paraId="53677C42" w14:textId="77777777" w:rsidR="00FD21FE" w:rsidRDefault="00FD21FE">
            <w:pPr>
              <w:jc w:val="both"/>
              <w:rPr>
                <w:rFonts w:ascii="Verdana" w:hAnsi="Verdana"/>
                <w:sz w:val="16"/>
                <w:szCs w:val="16"/>
              </w:rPr>
            </w:pPr>
            <w:r>
              <w:rPr>
                <w:rFonts w:ascii="Verdana" w:hAnsi="Verdana"/>
                <w:sz w:val="16"/>
                <w:szCs w:val="16"/>
              </w:rPr>
              <w:t xml:space="preserve">En el documento entregado, (el cual es una presentación en Power Point y </w:t>
            </w:r>
            <w:r>
              <w:rPr>
                <w:rFonts w:ascii="Verdana" w:hAnsi="Verdana"/>
                <w:b/>
                <w:bCs/>
                <w:sz w:val="16"/>
                <w:szCs w:val="16"/>
              </w:rPr>
              <w:t>no un INFORME</w:t>
            </w:r>
            <w:r>
              <w:rPr>
                <w:rFonts w:ascii="Verdana" w:hAnsi="Verdana"/>
                <w:sz w:val="16"/>
                <w:szCs w:val="16"/>
              </w:rPr>
              <w:t>) se hace referencia al SGP, a las competencias en el sector, a la reglamentación vigente para subsidios, pago deuda, preinversión, estudios e interventoría, mejoramiento de los sistemas de servicios públicos, RAS, programas de macro y micromedidores, programas de reducción de agua no contabilizada, adquisición de equipo y pago de servicio de energía. El Monitoreo del SGP y los recursos distribuidos.</w:t>
            </w:r>
          </w:p>
          <w:p w14:paraId="4416C10D" w14:textId="77777777" w:rsidR="00FD21FE" w:rsidRDefault="00FD21FE">
            <w:pPr>
              <w:jc w:val="both"/>
              <w:rPr>
                <w:rFonts w:ascii="Verdana" w:hAnsi="Verdana"/>
                <w:sz w:val="16"/>
                <w:szCs w:val="16"/>
              </w:rPr>
            </w:pPr>
          </w:p>
          <w:p w14:paraId="37F8D7BB" w14:textId="77777777" w:rsidR="00FD21FE" w:rsidRDefault="00FD21FE">
            <w:pPr>
              <w:jc w:val="both"/>
              <w:rPr>
                <w:rFonts w:ascii="Verdana" w:hAnsi="Verdana"/>
                <w:sz w:val="16"/>
                <w:szCs w:val="16"/>
              </w:rPr>
            </w:pPr>
            <w:r>
              <w:rPr>
                <w:rFonts w:ascii="Verdana" w:hAnsi="Verdana"/>
                <w:sz w:val="16"/>
                <w:szCs w:val="16"/>
              </w:rPr>
              <w:t>No se evidencia en el material aportado, algún aparte que hable sobre los requisitos para inversión en acueductos rurales, Es importante aclarar que uno de los riesgos identificados en el uso de los recursos del SGP APSB es la inversión realizada en acueducto no formalizados. Se sugiere solicitar capacitación al Ministerio de Vivienda, Ciudad y Territorio para poder dar un cumplimiento total a este producto.</w:t>
            </w:r>
          </w:p>
          <w:p w14:paraId="6078E9C3" w14:textId="77777777" w:rsidR="00FD21FE" w:rsidRDefault="00FD21FE">
            <w:pPr>
              <w:jc w:val="both"/>
              <w:rPr>
                <w:rFonts w:ascii="Verdana" w:hAnsi="Verdana"/>
                <w:sz w:val="16"/>
                <w:szCs w:val="16"/>
              </w:rPr>
            </w:pPr>
          </w:p>
          <w:p w14:paraId="19ACCCF6" w14:textId="77777777" w:rsidR="00FD21FE" w:rsidRDefault="00FD21FE">
            <w:pPr>
              <w:jc w:val="both"/>
              <w:rPr>
                <w:rFonts w:ascii="Verdana" w:hAnsi="Verdana"/>
                <w:b/>
                <w:bCs/>
                <w:sz w:val="16"/>
                <w:szCs w:val="16"/>
              </w:rPr>
            </w:pPr>
            <w:r>
              <w:rPr>
                <w:rFonts w:ascii="Verdana" w:hAnsi="Verdana"/>
                <w:b/>
                <w:bCs/>
                <w:sz w:val="16"/>
                <w:szCs w:val="16"/>
              </w:rPr>
              <w:t>CUMPLIMIENTO PARCIAL</w:t>
            </w:r>
          </w:p>
          <w:p w14:paraId="153FBB28" w14:textId="77777777" w:rsidR="00FD21FE" w:rsidRDefault="00FD21FE">
            <w:pPr>
              <w:rPr>
                <w:rFonts w:ascii="Verdana" w:hAnsi="Verdana"/>
                <w:sz w:val="16"/>
                <w:szCs w:val="16"/>
              </w:rPr>
            </w:pPr>
          </w:p>
        </w:tc>
      </w:tr>
      <w:tr w:rsidR="00FD21FE" w14:paraId="07ACADD5"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7B1FBB95" w14:textId="77777777" w:rsidR="00FD21FE" w:rsidRDefault="00FD21FE">
            <w:pPr>
              <w:jc w:val="center"/>
              <w:rPr>
                <w:rFonts w:ascii="Verdana" w:hAnsi="Verdana"/>
                <w:b/>
                <w:bCs/>
                <w:sz w:val="16"/>
                <w:szCs w:val="16"/>
                <w:lang w:val="es-CO"/>
              </w:rPr>
            </w:pPr>
            <w:r>
              <w:rPr>
                <w:rFonts w:ascii="Verdana" w:hAnsi="Verdana"/>
                <w:b/>
                <w:bCs/>
                <w:sz w:val="16"/>
                <w:szCs w:val="16"/>
                <w:lang w:val="es-CO"/>
              </w:rPr>
              <w:t>3</w:t>
            </w:r>
          </w:p>
        </w:tc>
        <w:tc>
          <w:tcPr>
            <w:tcW w:w="1536" w:type="dxa"/>
            <w:tcBorders>
              <w:top w:val="single" w:sz="4" w:space="0" w:color="auto"/>
              <w:left w:val="single" w:sz="4" w:space="0" w:color="auto"/>
              <w:bottom w:val="single" w:sz="4" w:space="0" w:color="auto"/>
              <w:right w:val="single" w:sz="4" w:space="0" w:color="auto"/>
            </w:tcBorders>
            <w:hideMark/>
          </w:tcPr>
          <w:p w14:paraId="0B6C328D" w14:textId="77777777" w:rsidR="00FD21FE" w:rsidRDefault="00FD21FE">
            <w:pPr>
              <w:rPr>
                <w:rFonts w:ascii="Verdana" w:hAnsi="Verdana"/>
                <w:sz w:val="16"/>
                <w:szCs w:val="16"/>
                <w:lang w:val="es-CO"/>
              </w:rPr>
            </w:pPr>
            <w:r>
              <w:rPr>
                <w:rFonts w:ascii="Verdana" w:hAnsi="Verdana"/>
                <w:sz w:val="16"/>
                <w:szCs w:val="16"/>
                <w:lang w:val="es-CO"/>
              </w:rPr>
              <w:t>Enviar concepto del área jurídica al alcalde municipal, secretaria de planeación y tesorería junto con los pliegos o términos de los procesos contractuales, sobre la viabilidad legal de las actividades a ejecutar con recursos del SGP-APSB y así evitar eventos de riesgo en su uso.</w:t>
            </w:r>
          </w:p>
        </w:tc>
        <w:tc>
          <w:tcPr>
            <w:tcW w:w="1559" w:type="dxa"/>
            <w:tcBorders>
              <w:top w:val="single" w:sz="4" w:space="0" w:color="auto"/>
              <w:left w:val="single" w:sz="4" w:space="0" w:color="auto"/>
              <w:bottom w:val="single" w:sz="4" w:space="0" w:color="auto"/>
              <w:right w:val="single" w:sz="4" w:space="0" w:color="auto"/>
            </w:tcBorders>
            <w:hideMark/>
          </w:tcPr>
          <w:p w14:paraId="50DC0298" w14:textId="77777777" w:rsidR="00FD21FE" w:rsidRDefault="00FD21FE">
            <w:pPr>
              <w:rPr>
                <w:rFonts w:ascii="Verdana" w:hAnsi="Verdana"/>
                <w:sz w:val="16"/>
                <w:szCs w:val="16"/>
                <w:lang w:val="es-CO"/>
              </w:rPr>
            </w:pPr>
            <w:r>
              <w:rPr>
                <w:rFonts w:ascii="Verdana" w:hAnsi="Verdana"/>
                <w:sz w:val="16"/>
                <w:szCs w:val="16"/>
                <w:lang w:val="es-CO"/>
              </w:rPr>
              <w:t>Conceptos jurídicos previos, firmados por asesor en cada proceso contractual que se adelante con recurso del sector SGP-APSB</w:t>
            </w:r>
          </w:p>
        </w:tc>
        <w:tc>
          <w:tcPr>
            <w:tcW w:w="2126" w:type="dxa"/>
            <w:tcBorders>
              <w:top w:val="single" w:sz="4" w:space="0" w:color="auto"/>
              <w:left w:val="single" w:sz="4" w:space="0" w:color="auto"/>
              <w:bottom w:val="single" w:sz="4" w:space="0" w:color="auto"/>
              <w:right w:val="single" w:sz="4" w:space="0" w:color="auto"/>
            </w:tcBorders>
          </w:tcPr>
          <w:p w14:paraId="235C63FA" w14:textId="77777777" w:rsidR="00FD21FE" w:rsidRDefault="00FD21FE">
            <w:pPr>
              <w:jc w:val="both"/>
              <w:rPr>
                <w:rFonts w:ascii="Verdana" w:hAnsi="Verdana"/>
                <w:sz w:val="16"/>
                <w:szCs w:val="16"/>
                <w:lang w:val="es-CO"/>
              </w:rPr>
            </w:pPr>
            <w:r>
              <w:rPr>
                <w:rFonts w:ascii="Verdana" w:hAnsi="Verdana"/>
                <w:sz w:val="16"/>
                <w:szCs w:val="16"/>
                <w:lang w:val="es-CO"/>
              </w:rPr>
              <w:t xml:space="preserve">La Entidad hace referencia a lo siguiente en el </w:t>
            </w:r>
            <w:r>
              <w:rPr>
                <w:rFonts w:ascii="Verdana" w:hAnsi="Verdana"/>
                <w:b/>
                <w:bCs/>
                <w:i/>
                <w:iCs/>
                <w:sz w:val="16"/>
                <w:szCs w:val="16"/>
              </w:rPr>
              <w:t>“Informe: Avance del Cumplimiento al Plan de Desempeño en el Sector de Agua Potable Saneamiento Básico:</w:t>
            </w:r>
          </w:p>
          <w:p w14:paraId="2A7430BC" w14:textId="77777777" w:rsidR="00FD21FE" w:rsidRDefault="00FD21FE">
            <w:pPr>
              <w:rPr>
                <w:rFonts w:ascii="Verdana" w:hAnsi="Verdana"/>
                <w:sz w:val="16"/>
                <w:szCs w:val="16"/>
                <w:lang w:val="es-CO"/>
              </w:rPr>
            </w:pPr>
          </w:p>
          <w:p w14:paraId="467E57A4" w14:textId="77777777" w:rsidR="00FD21FE" w:rsidRDefault="00FD21FE">
            <w:pPr>
              <w:jc w:val="both"/>
              <w:rPr>
                <w:rFonts w:ascii="Verdana" w:hAnsi="Verdana"/>
                <w:sz w:val="16"/>
                <w:szCs w:val="16"/>
                <w:lang w:val="es-CO"/>
              </w:rPr>
            </w:pPr>
            <w:r>
              <w:rPr>
                <w:rFonts w:ascii="Verdana" w:hAnsi="Verdana"/>
                <w:sz w:val="16"/>
                <w:szCs w:val="16"/>
                <w:lang w:val="es-CO"/>
              </w:rPr>
              <w:t>Conceptos jurídicos previos, firmados por asesor en cada proceso contractual que se adelante con recurso del sector SGP-APSB. Seis (06) Folios. Anexo 3</w:t>
            </w:r>
          </w:p>
        </w:tc>
        <w:tc>
          <w:tcPr>
            <w:tcW w:w="2888" w:type="dxa"/>
            <w:tcBorders>
              <w:top w:val="single" w:sz="4" w:space="0" w:color="auto"/>
              <w:left w:val="single" w:sz="4" w:space="0" w:color="auto"/>
              <w:bottom w:val="single" w:sz="4" w:space="0" w:color="auto"/>
              <w:right w:val="single" w:sz="4" w:space="0" w:color="auto"/>
            </w:tcBorders>
          </w:tcPr>
          <w:p w14:paraId="77F50305" w14:textId="77777777" w:rsidR="00FD21FE" w:rsidRDefault="00FD21FE">
            <w:pPr>
              <w:jc w:val="both"/>
              <w:rPr>
                <w:rFonts w:ascii="Verdana" w:hAnsi="Verdana"/>
                <w:i/>
                <w:iCs/>
                <w:sz w:val="16"/>
                <w:szCs w:val="16"/>
                <w:lang w:val="es-CO"/>
              </w:rPr>
            </w:pPr>
            <w:r>
              <w:rPr>
                <w:rFonts w:ascii="Verdana" w:hAnsi="Verdana"/>
                <w:sz w:val="16"/>
                <w:szCs w:val="16"/>
                <w:lang w:val="es-CO"/>
              </w:rPr>
              <w:t xml:space="preserve">- El anexo 3 presenta conceptos jurídicos del pago de subsidios, a lo que el asesor aclara que debe haber unos requisitos que deben ser revisados por la Entidad Territorial como lo son: </w:t>
            </w:r>
            <w:r>
              <w:rPr>
                <w:rFonts w:ascii="Verdana" w:hAnsi="Verdana"/>
                <w:i/>
                <w:iCs/>
                <w:sz w:val="16"/>
                <w:szCs w:val="16"/>
                <w:lang w:val="es-CO"/>
              </w:rPr>
              <w:t>1. Verificar la necesidad del subsidio. 2. Aprobar recursos del SGP. 3. Verificar los montos solicitados por le operador. 4.Número de suscriptores por estrato, costos de referencia, %subsidios y contribuciones, consumos, y usos contribuyentes.</w:t>
            </w:r>
          </w:p>
          <w:p w14:paraId="0D81CBDC" w14:textId="77777777" w:rsidR="00FD21FE" w:rsidRDefault="00FD21FE">
            <w:pPr>
              <w:jc w:val="both"/>
              <w:rPr>
                <w:rFonts w:ascii="Verdana" w:hAnsi="Verdana"/>
                <w:i/>
                <w:iCs/>
                <w:sz w:val="16"/>
                <w:szCs w:val="16"/>
                <w:lang w:val="es-CO"/>
              </w:rPr>
            </w:pPr>
          </w:p>
          <w:p w14:paraId="47765FE8" w14:textId="77777777" w:rsidR="00FD21FE" w:rsidRDefault="00FD21FE">
            <w:pPr>
              <w:jc w:val="both"/>
              <w:rPr>
                <w:rFonts w:ascii="Verdana" w:hAnsi="Verdana"/>
                <w:i/>
                <w:iCs/>
                <w:sz w:val="16"/>
                <w:szCs w:val="16"/>
                <w:lang w:val="es-CO"/>
              </w:rPr>
            </w:pPr>
            <w:r>
              <w:rPr>
                <w:rFonts w:ascii="Verdana" w:hAnsi="Verdana"/>
                <w:i/>
                <w:iCs/>
                <w:sz w:val="16"/>
                <w:szCs w:val="16"/>
                <w:lang w:val="es-CO"/>
              </w:rPr>
              <w:t>Existe otro concepto jurídico sobre el Otrosi 1 al convenio N° 018 de 2022 cuyo objeto es aunar esfuerzos administrativos y financieros para ampliar el sistema de alcantarillado sanitario en el barrio 29 de mayo, sistema pluvial del sector la feria y la adecuación del tanque aéreo de almacenamiento de agua en el corregimiento los Bagre.</w:t>
            </w:r>
          </w:p>
          <w:p w14:paraId="234A2ED6" w14:textId="77777777" w:rsidR="00FD21FE" w:rsidRDefault="00FD21FE">
            <w:pPr>
              <w:jc w:val="both"/>
              <w:rPr>
                <w:rFonts w:ascii="Verdana" w:hAnsi="Verdana"/>
                <w:sz w:val="16"/>
                <w:szCs w:val="16"/>
                <w:lang w:val="es-CO"/>
              </w:rPr>
            </w:pPr>
            <w:r>
              <w:rPr>
                <w:rFonts w:ascii="Verdana" w:hAnsi="Verdana"/>
                <w:sz w:val="16"/>
                <w:szCs w:val="16"/>
                <w:lang w:val="es-CO"/>
              </w:rPr>
              <w:t>El concepto jurídico se basa en el literal e) del artículo 11 de la Ley 1176 de 2007.</w:t>
            </w:r>
          </w:p>
          <w:p w14:paraId="6FF37C44" w14:textId="77777777" w:rsidR="00FD21FE" w:rsidRDefault="00FD21FE">
            <w:pPr>
              <w:jc w:val="both"/>
              <w:rPr>
                <w:rFonts w:ascii="Verdana" w:hAnsi="Verdana"/>
                <w:sz w:val="16"/>
                <w:szCs w:val="16"/>
                <w:lang w:val="es-CO"/>
              </w:rPr>
            </w:pPr>
          </w:p>
          <w:p w14:paraId="6AF32334" w14:textId="77777777" w:rsidR="00FD21FE" w:rsidRDefault="00FD21FE">
            <w:pPr>
              <w:jc w:val="both"/>
              <w:rPr>
                <w:rFonts w:ascii="Verdana" w:hAnsi="Verdana"/>
                <w:sz w:val="16"/>
                <w:szCs w:val="16"/>
                <w:lang w:val="es-CO"/>
              </w:rPr>
            </w:pPr>
            <w:r>
              <w:rPr>
                <w:rFonts w:ascii="Verdana" w:hAnsi="Verdana"/>
                <w:sz w:val="16"/>
                <w:szCs w:val="16"/>
                <w:lang w:val="es-CO"/>
              </w:rPr>
              <w:t>En este sentido se identifica que diferente a los subsidios y al otrosí, no existieron conceptos jurídicos que avalaran el gasto con los recursos sectoriales, en otros procesos contractuales.</w:t>
            </w:r>
          </w:p>
          <w:p w14:paraId="0C9A6E51" w14:textId="77777777" w:rsidR="00FD21FE" w:rsidRDefault="00FD21FE">
            <w:pPr>
              <w:jc w:val="both"/>
              <w:rPr>
                <w:rFonts w:ascii="Verdana" w:hAnsi="Verdana"/>
                <w:sz w:val="16"/>
                <w:szCs w:val="16"/>
                <w:lang w:val="es-CO"/>
              </w:rPr>
            </w:pPr>
          </w:p>
          <w:p w14:paraId="1B86C69C" w14:textId="77777777" w:rsidR="00FD21FE" w:rsidRDefault="00FD21FE">
            <w:pPr>
              <w:jc w:val="both"/>
              <w:rPr>
                <w:rFonts w:ascii="Verdana" w:hAnsi="Verdana"/>
                <w:sz w:val="16"/>
                <w:szCs w:val="16"/>
                <w:lang w:val="es-CO"/>
              </w:rPr>
            </w:pPr>
            <w:r>
              <w:rPr>
                <w:rFonts w:ascii="Verdana" w:hAnsi="Verdana"/>
                <w:sz w:val="16"/>
                <w:szCs w:val="16"/>
                <w:lang w:val="es-CO"/>
              </w:rPr>
              <w:t xml:space="preserve">Vale la pena resaltar que en la vigencia 2022 existieron compromisos SGP APSB en conceptos asociados a la Optimización de Acueductos y Alcantarillados, que no se encuentran en este concepto. </w:t>
            </w:r>
          </w:p>
          <w:p w14:paraId="1C7E1675" w14:textId="77777777" w:rsidR="00FD21FE" w:rsidRDefault="00FD21FE">
            <w:pPr>
              <w:jc w:val="both"/>
              <w:rPr>
                <w:rFonts w:ascii="Verdana" w:hAnsi="Verdana"/>
                <w:sz w:val="16"/>
                <w:szCs w:val="16"/>
                <w:lang w:val="es-CO"/>
              </w:rPr>
            </w:pPr>
          </w:p>
          <w:p w14:paraId="2C303A6E" w14:textId="77777777" w:rsidR="00FD21FE" w:rsidRDefault="00FD21FE">
            <w:pPr>
              <w:jc w:val="both"/>
              <w:rPr>
                <w:rFonts w:ascii="Verdana" w:hAnsi="Verdana"/>
                <w:sz w:val="16"/>
                <w:szCs w:val="16"/>
                <w:lang w:val="es-CO"/>
              </w:rPr>
            </w:pPr>
            <w:r>
              <w:rPr>
                <w:rFonts w:ascii="Verdana" w:hAnsi="Verdana"/>
                <w:sz w:val="16"/>
                <w:szCs w:val="16"/>
                <w:lang w:val="es-CO"/>
              </w:rPr>
              <w:t xml:space="preserve">Adicional a lo anterior, se deberá verificar y analizar el gasto, en armonía con el artículo 11 de la Ley 1176 pero también con lo manifestado en </w:t>
            </w:r>
            <w:r>
              <w:rPr>
                <w:rFonts w:ascii="Verdana" w:hAnsi="Verdana"/>
                <w:sz w:val="16"/>
                <w:szCs w:val="16"/>
              </w:rPr>
              <w:t>los artículos 125, (subsidios y contribuciones para los servicios de AAA); 192 (Garantía al agua y saneamiento básico) y 272 (gestión comunitaria del agua y saneamiento básico) de la Ley 2294 de 2023 - Plan Nacional de Desarrollo 2022-2026.</w:t>
            </w:r>
          </w:p>
          <w:p w14:paraId="513E6314" w14:textId="77777777" w:rsidR="00FD21FE" w:rsidRDefault="00FD21FE">
            <w:pPr>
              <w:jc w:val="both"/>
              <w:rPr>
                <w:rFonts w:ascii="Verdana" w:hAnsi="Verdana"/>
                <w:sz w:val="16"/>
                <w:szCs w:val="16"/>
                <w:lang w:val="es-CO"/>
              </w:rPr>
            </w:pPr>
          </w:p>
          <w:p w14:paraId="616BDD4A" w14:textId="77777777" w:rsidR="00FD21FE" w:rsidRDefault="00FD21FE">
            <w:pPr>
              <w:jc w:val="both"/>
              <w:rPr>
                <w:rFonts w:ascii="Verdana" w:hAnsi="Verdana"/>
                <w:b/>
                <w:bCs/>
                <w:sz w:val="16"/>
                <w:szCs w:val="16"/>
              </w:rPr>
            </w:pPr>
            <w:r>
              <w:rPr>
                <w:rFonts w:ascii="Verdana" w:hAnsi="Verdana"/>
                <w:b/>
                <w:bCs/>
                <w:sz w:val="16"/>
                <w:szCs w:val="16"/>
              </w:rPr>
              <w:t>CUMPLIMIENTO PARCIAL</w:t>
            </w:r>
          </w:p>
          <w:p w14:paraId="021556B9" w14:textId="77777777" w:rsidR="00FD21FE" w:rsidRDefault="00FD21FE">
            <w:pPr>
              <w:jc w:val="both"/>
              <w:rPr>
                <w:rFonts w:ascii="Verdana" w:hAnsi="Verdana"/>
                <w:sz w:val="16"/>
                <w:szCs w:val="16"/>
                <w:lang w:val="es-CO"/>
              </w:rPr>
            </w:pPr>
          </w:p>
        </w:tc>
      </w:tr>
      <w:tr w:rsidR="00FD21FE" w14:paraId="440F38D0"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069587D2" w14:textId="77777777" w:rsidR="00FD21FE" w:rsidRDefault="00FD21FE">
            <w:pPr>
              <w:jc w:val="center"/>
              <w:rPr>
                <w:rFonts w:ascii="Verdana" w:hAnsi="Verdana"/>
                <w:b/>
                <w:bCs/>
                <w:sz w:val="16"/>
                <w:szCs w:val="16"/>
                <w:lang w:val="es-CO"/>
              </w:rPr>
            </w:pPr>
            <w:r>
              <w:rPr>
                <w:rFonts w:ascii="Verdana" w:hAnsi="Verdana"/>
                <w:b/>
                <w:bCs/>
                <w:sz w:val="16"/>
                <w:szCs w:val="16"/>
                <w:lang w:val="es-CO"/>
              </w:rPr>
              <w:t>4</w:t>
            </w:r>
          </w:p>
        </w:tc>
        <w:tc>
          <w:tcPr>
            <w:tcW w:w="1536" w:type="dxa"/>
            <w:tcBorders>
              <w:top w:val="single" w:sz="4" w:space="0" w:color="auto"/>
              <w:left w:val="single" w:sz="4" w:space="0" w:color="auto"/>
              <w:bottom w:val="single" w:sz="4" w:space="0" w:color="auto"/>
              <w:right w:val="single" w:sz="4" w:space="0" w:color="auto"/>
            </w:tcBorders>
            <w:hideMark/>
          </w:tcPr>
          <w:p w14:paraId="318839AE" w14:textId="77777777" w:rsidR="00FD21FE" w:rsidRDefault="00FD21FE">
            <w:pPr>
              <w:rPr>
                <w:rFonts w:ascii="Verdana" w:hAnsi="Verdana"/>
                <w:sz w:val="16"/>
                <w:szCs w:val="16"/>
                <w:lang w:val="es-CO"/>
              </w:rPr>
            </w:pPr>
            <w:r>
              <w:rPr>
                <w:rFonts w:ascii="Verdana" w:hAnsi="Verdana"/>
                <w:sz w:val="16"/>
                <w:szCs w:val="16"/>
                <w:lang w:val="es-CO"/>
              </w:rPr>
              <w:t>Socializar los convenios interadministrativos que se realicen especialmente con los prestadores de servicios públicos, para establecer actividades permitidas ley 1176 de 2007 y seguimiento a la ejecución de los mismo.</w:t>
            </w:r>
          </w:p>
        </w:tc>
        <w:tc>
          <w:tcPr>
            <w:tcW w:w="1559" w:type="dxa"/>
            <w:tcBorders>
              <w:top w:val="single" w:sz="4" w:space="0" w:color="auto"/>
              <w:left w:val="single" w:sz="4" w:space="0" w:color="auto"/>
              <w:bottom w:val="single" w:sz="4" w:space="0" w:color="auto"/>
              <w:right w:val="single" w:sz="4" w:space="0" w:color="auto"/>
            </w:tcBorders>
            <w:hideMark/>
          </w:tcPr>
          <w:p w14:paraId="52198DD9" w14:textId="77777777" w:rsidR="00FD21FE" w:rsidRDefault="00FD21FE">
            <w:pPr>
              <w:rPr>
                <w:rFonts w:ascii="Verdana" w:hAnsi="Verdana"/>
                <w:sz w:val="16"/>
                <w:szCs w:val="16"/>
                <w:lang w:val="es-CO"/>
              </w:rPr>
            </w:pPr>
            <w:r>
              <w:rPr>
                <w:rFonts w:ascii="Verdana" w:hAnsi="Verdana"/>
                <w:sz w:val="16"/>
                <w:szCs w:val="16"/>
                <w:lang w:val="es-CO"/>
              </w:rPr>
              <w:t>Actas de socialización de actividades a ejecutar con los prestadores de servicios públicos, excluyentes de componentes tarifarios.</w:t>
            </w:r>
          </w:p>
        </w:tc>
        <w:tc>
          <w:tcPr>
            <w:tcW w:w="2126" w:type="dxa"/>
            <w:tcBorders>
              <w:top w:val="single" w:sz="4" w:space="0" w:color="auto"/>
              <w:left w:val="single" w:sz="4" w:space="0" w:color="auto"/>
              <w:bottom w:val="single" w:sz="4" w:space="0" w:color="auto"/>
              <w:right w:val="single" w:sz="4" w:space="0" w:color="auto"/>
            </w:tcBorders>
            <w:hideMark/>
          </w:tcPr>
          <w:p w14:paraId="39639546" w14:textId="77777777" w:rsidR="00FD21FE" w:rsidRDefault="00FD21FE">
            <w:pPr>
              <w:jc w:val="both"/>
              <w:rPr>
                <w:rFonts w:ascii="Verdana" w:hAnsi="Verdana"/>
                <w:b/>
                <w:bCs/>
                <w:i/>
                <w:iCs/>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3C62774C" w14:textId="77777777" w:rsidR="00FD21FE" w:rsidRDefault="00FD21FE">
            <w:pPr>
              <w:jc w:val="both"/>
              <w:rPr>
                <w:rFonts w:ascii="Verdana" w:hAnsi="Verdana"/>
                <w:i/>
                <w:iCs/>
                <w:sz w:val="16"/>
                <w:szCs w:val="16"/>
                <w:lang w:val="es-CO"/>
              </w:rPr>
            </w:pPr>
            <w:r>
              <w:rPr>
                <w:rFonts w:ascii="Verdana" w:hAnsi="Verdana"/>
                <w:i/>
                <w:iCs/>
                <w:sz w:val="16"/>
                <w:szCs w:val="16"/>
                <w:lang w:val="es-CO"/>
              </w:rPr>
              <w:t xml:space="preserve">“Los convenios administrativos suscritos con los prestadores de servicio de agua potable y aseo, más exactamente para el caso del municipio de San Martín son Administradora Publica Cooperativa Empresa Solidaria de San Martin- Cesar (APCES E.S.P), y Operador de Soluciones Ambientales ASAF S.A. E.S.P. han venido siendo parte de todo el proceso de construcción y consolidación contractual a la hora de surtir la ruta definida por el área de contratación en la administración municipal. Por lo anterior, </w:t>
            </w:r>
            <w:r>
              <w:rPr>
                <w:rFonts w:ascii="Verdana" w:hAnsi="Verdana"/>
                <w:b/>
                <w:bCs/>
                <w:i/>
                <w:iCs/>
                <w:sz w:val="16"/>
                <w:szCs w:val="16"/>
                <w:lang w:val="es-CO"/>
              </w:rPr>
              <w:t>son conocedores</w:t>
            </w:r>
            <w:r>
              <w:rPr>
                <w:rFonts w:ascii="Verdana" w:hAnsi="Verdana"/>
                <w:i/>
                <w:iCs/>
                <w:sz w:val="16"/>
                <w:szCs w:val="16"/>
                <w:lang w:val="es-CO"/>
              </w:rPr>
              <w:t xml:space="preserve"> de primera mano de cada detalle convenido y pactado en este acto administrativo contractual”.</w:t>
            </w:r>
          </w:p>
          <w:p w14:paraId="2887626C" w14:textId="77777777" w:rsidR="00FD21FE" w:rsidRDefault="00FD21FE">
            <w:pPr>
              <w:rPr>
                <w:rFonts w:ascii="Verdana" w:hAnsi="Verdana"/>
                <w:sz w:val="16"/>
                <w:szCs w:val="16"/>
                <w:lang w:val="es-CO"/>
              </w:rPr>
            </w:pPr>
            <w:r>
              <w:rPr>
                <w:rFonts w:ascii="Verdana" w:hAnsi="Verdana"/>
                <w:sz w:val="16"/>
                <w:szCs w:val="16"/>
                <w:lang w:val="es-CO"/>
              </w:rPr>
              <w:t>Anexan la información 4, 5 y 6, relacionada con los convenios con APCES y ASAF.</w:t>
            </w:r>
          </w:p>
        </w:tc>
        <w:tc>
          <w:tcPr>
            <w:tcW w:w="2888" w:type="dxa"/>
            <w:tcBorders>
              <w:top w:val="single" w:sz="4" w:space="0" w:color="auto"/>
              <w:left w:val="single" w:sz="4" w:space="0" w:color="auto"/>
              <w:bottom w:val="single" w:sz="4" w:space="0" w:color="auto"/>
              <w:right w:val="single" w:sz="4" w:space="0" w:color="auto"/>
            </w:tcBorders>
          </w:tcPr>
          <w:p w14:paraId="6CD78B78" w14:textId="77777777" w:rsidR="00FD21FE" w:rsidRDefault="00FD21FE">
            <w:pPr>
              <w:jc w:val="both"/>
              <w:rPr>
                <w:rFonts w:ascii="Verdana" w:hAnsi="Verdana"/>
                <w:i/>
                <w:iCs/>
                <w:sz w:val="16"/>
                <w:szCs w:val="16"/>
                <w:lang w:val="es-CO"/>
              </w:rPr>
            </w:pPr>
            <w:r>
              <w:rPr>
                <w:rFonts w:ascii="Verdana" w:hAnsi="Verdana"/>
                <w:sz w:val="16"/>
                <w:szCs w:val="16"/>
                <w:lang w:val="es-CO"/>
              </w:rPr>
              <w:t xml:space="preserve">El convenio de operatividad con APCES define las obligaciones del operador, dentro de las cuales se encuentran: … </w:t>
            </w:r>
            <w:r>
              <w:rPr>
                <w:rFonts w:ascii="Verdana" w:hAnsi="Verdana"/>
                <w:i/>
                <w:iCs/>
                <w:sz w:val="16"/>
                <w:szCs w:val="16"/>
                <w:lang w:val="es-CO"/>
              </w:rPr>
              <w:t xml:space="preserve">4) </w:t>
            </w:r>
            <w:r>
              <w:rPr>
                <w:rFonts w:ascii="Verdana" w:hAnsi="Verdana"/>
                <w:b/>
                <w:bCs/>
                <w:i/>
                <w:iCs/>
                <w:sz w:val="16"/>
                <w:szCs w:val="16"/>
                <w:lang w:val="es-CO"/>
              </w:rPr>
              <w:t>Mantener</w:t>
            </w:r>
            <w:r>
              <w:rPr>
                <w:rFonts w:ascii="Verdana" w:hAnsi="Verdana"/>
                <w:i/>
                <w:iCs/>
                <w:sz w:val="16"/>
                <w:szCs w:val="16"/>
                <w:lang w:val="es-CO"/>
              </w:rPr>
              <w:t xml:space="preserve"> en buen estado de funcionamiento todos los componentes de los sistemas de Acueducto y Alcantarillado que opere. 11) Efectuar </w:t>
            </w:r>
            <w:r>
              <w:rPr>
                <w:rFonts w:ascii="Verdana" w:hAnsi="Verdana"/>
                <w:b/>
                <w:bCs/>
                <w:i/>
                <w:iCs/>
                <w:sz w:val="16"/>
                <w:szCs w:val="16"/>
                <w:lang w:val="es-CO"/>
              </w:rPr>
              <w:t>todas las inversiones</w:t>
            </w:r>
            <w:r>
              <w:rPr>
                <w:rFonts w:ascii="Verdana" w:hAnsi="Verdana"/>
                <w:i/>
                <w:iCs/>
                <w:sz w:val="16"/>
                <w:szCs w:val="16"/>
                <w:lang w:val="es-CO"/>
              </w:rPr>
              <w:t xml:space="preserve"> y gastos que demande el mantenimiento de los sistemas y 14) recuperar vía tarifa los costos correspondientes a Administración, Operación y  mantenimiento de los sistemas además de las </w:t>
            </w:r>
            <w:r>
              <w:rPr>
                <w:rFonts w:ascii="Verdana" w:hAnsi="Verdana"/>
                <w:b/>
                <w:bCs/>
                <w:i/>
                <w:iCs/>
                <w:sz w:val="16"/>
                <w:szCs w:val="16"/>
                <w:lang w:val="es-CO"/>
              </w:rPr>
              <w:t>reposiciones</w:t>
            </w:r>
            <w:r>
              <w:rPr>
                <w:rFonts w:ascii="Verdana" w:hAnsi="Verdana"/>
                <w:i/>
                <w:iCs/>
                <w:sz w:val="16"/>
                <w:szCs w:val="16"/>
                <w:lang w:val="es-CO"/>
              </w:rPr>
              <w:t xml:space="preserve"> que se requieran…</w:t>
            </w:r>
          </w:p>
          <w:p w14:paraId="240E6A50" w14:textId="77777777" w:rsidR="00FD21FE" w:rsidRDefault="00FD21FE">
            <w:pPr>
              <w:jc w:val="both"/>
              <w:rPr>
                <w:rFonts w:ascii="Verdana" w:hAnsi="Verdana"/>
                <w:i/>
                <w:iCs/>
                <w:sz w:val="16"/>
                <w:szCs w:val="16"/>
                <w:lang w:val="es-CO"/>
              </w:rPr>
            </w:pPr>
          </w:p>
          <w:p w14:paraId="5811524F" w14:textId="77777777" w:rsidR="00FD21FE" w:rsidRDefault="00FD21FE">
            <w:pPr>
              <w:jc w:val="both"/>
              <w:rPr>
                <w:rFonts w:ascii="Verdana" w:hAnsi="Verdana"/>
                <w:sz w:val="16"/>
                <w:szCs w:val="16"/>
                <w:lang w:val="es-CO"/>
              </w:rPr>
            </w:pPr>
            <w:r>
              <w:rPr>
                <w:rFonts w:ascii="Verdana" w:hAnsi="Verdana"/>
                <w:sz w:val="16"/>
                <w:szCs w:val="16"/>
                <w:lang w:val="es-CO"/>
              </w:rPr>
              <w:t xml:space="preserve">En la vigencia 2022 se identificó que en el sector de Acueducto y Alcantarillado con los recursos del SGP APSB y a través del RP 0824 14 del convenio de asociación con APCES, el Municipio llevó a cabo la financiación de la </w:t>
            </w:r>
            <w:r>
              <w:rPr>
                <w:rFonts w:ascii="Verdana" w:hAnsi="Verdana"/>
                <w:b/>
                <w:bCs/>
                <w:sz w:val="16"/>
                <w:szCs w:val="16"/>
                <w:lang w:val="es-CO"/>
              </w:rPr>
              <w:t>reposición</w:t>
            </w:r>
            <w:r>
              <w:rPr>
                <w:rFonts w:ascii="Verdana" w:hAnsi="Verdana"/>
                <w:sz w:val="16"/>
                <w:szCs w:val="16"/>
                <w:lang w:val="es-CO"/>
              </w:rPr>
              <w:t xml:space="preserve"> del sistema de Acueducto y Alcantarillado y sistema de drenaje de agua pluvial del Barrio Villanueva por $94 millones.</w:t>
            </w:r>
          </w:p>
          <w:p w14:paraId="2B8F72F9" w14:textId="77777777" w:rsidR="00FD21FE" w:rsidRDefault="00FD21FE">
            <w:pPr>
              <w:jc w:val="both"/>
              <w:rPr>
                <w:rFonts w:ascii="Verdana" w:hAnsi="Verdana"/>
                <w:sz w:val="16"/>
                <w:szCs w:val="16"/>
                <w:lang w:val="es-CO"/>
              </w:rPr>
            </w:pPr>
          </w:p>
          <w:p w14:paraId="393A7EDE" w14:textId="77777777" w:rsidR="00FD21FE" w:rsidRDefault="00FD21FE">
            <w:pPr>
              <w:jc w:val="both"/>
              <w:rPr>
                <w:rFonts w:ascii="Verdana" w:hAnsi="Verdana"/>
                <w:sz w:val="16"/>
                <w:szCs w:val="16"/>
                <w:lang w:val="es-CO"/>
              </w:rPr>
            </w:pPr>
            <w:r>
              <w:rPr>
                <w:rFonts w:ascii="Verdana" w:hAnsi="Verdana"/>
                <w:sz w:val="16"/>
                <w:szCs w:val="16"/>
                <w:lang w:val="es-CO"/>
              </w:rPr>
              <w:t xml:space="preserve">También existieron procesos contractuales asociados a la </w:t>
            </w:r>
            <w:r>
              <w:rPr>
                <w:rFonts w:ascii="Verdana" w:hAnsi="Verdana"/>
                <w:b/>
                <w:bCs/>
                <w:sz w:val="16"/>
                <w:szCs w:val="16"/>
                <w:lang w:val="es-CO"/>
              </w:rPr>
              <w:t>ampliación</w:t>
            </w:r>
            <w:r>
              <w:rPr>
                <w:rFonts w:ascii="Verdana" w:hAnsi="Verdana"/>
                <w:sz w:val="16"/>
                <w:szCs w:val="16"/>
                <w:lang w:val="es-CO"/>
              </w:rPr>
              <w:t xml:space="preserve"> del sistema de alcantarillado. </w:t>
            </w:r>
          </w:p>
          <w:p w14:paraId="1421DE45" w14:textId="77777777" w:rsidR="00FD21FE" w:rsidRDefault="00FD21FE">
            <w:pPr>
              <w:jc w:val="both"/>
              <w:rPr>
                <w:rFonts w:ascii="Verdana" w:hAnsi="Verdana"/>
                <w:sz w:val="16"/>
                <w:szCs w:val="16"/>
                <w:lang w:val="es-CO"/>
              </w:rPr>
            </w:pPr>
          </w:p>
          <w:p w14:paraId="7258CBD0" w14:textId="77777777" w:rsidR="00FD21FE" w:rsidRDefault="00FD21FE">
            <w:pPr>
              <w:jc w:val="both"/>
              <w:rPr>
                <w:rFonts w:ascii="Verdana" w:hAnsi="Verdana" w:cs="Arial"/>
                <w:sz w:val="16"/>
                <w:szCs w:val="16"/>
              </w:rPr>
            </w:pPr>
            <w:r>
              <w:rPr>
                <w:rFonts w:ascii="Verdana" w:hAnsi="Verdana"/>
                <w:sz w:val="16"/>
                <w:szCs w:val="16"/>
                <w:lang w:val="es-CO"/>
              </w:rPr>
              <w:t xml:space="preserve">Al respecto reiteramos lo manifestado por </w:t>
            </w:r>
            <w:r>
              <w:rPr>
                <w:rFonts w:ascii="Verdana" w:hAnsi="Verdana" w:cs="Arial"/>
                <w:sz w:val="16"/>
                <w:szCs w:val="16"/>
              </w:rPr>
              <w:t>la Ley 142 de 1.994.</w:t>
            </w:r>
          </w:p>
          <w:p w14:paraId="538FE718" w14:textId="77777777" w:rsidR="00FD21FE" w:rsidRDefault="00FD21FE">
            <w:pPr>
              <w:jc w:val="both"/>
              <w:rPr>
                <w:rFonts w:ascii="Verdana" w:hAnsi="Verdana" w:cs="Arial"/>
                <w:sz w:val="16"/>
                <w:szCs w:val="16"/>
              </w:rPr>
            </w:pPr>
          </w:p>
          <w:p w14:paraId="52A1595C" w14:textId="77777777" w:rsidR="00FD21FE" w:rsidRDefault="00FD21FE">
            <w:pPr>
              <w:jc w:val="both"/>
              <w:rPr>
                <w:rFonts w:ascii="Verdana" w:hAnsi="Verdana" w:cs="Arial"/>
                <w:i/>
                <w:iCs/>
                <w:sz w:val="16"/>
                <w:szCs w:val="16"/>
              </w:rPr>
            </w:pPr>
            <w:r>
              <w:rPr>
                <w:rFonts w:ascii="Verdana" w:hAnsi="Verdana" w:cs="Arial"/>
                <w:sz w:val="16"/>
                <w:szCs w:val="16"/>
              </w:rPr>
              <w:t>“</w:t>
            </w:r>
            <w:r>
              <w:rPr>
                <w:rFonts w:ascii="Verdana" w:hAnsi="Verdana" w:cs="Arial"/>
                <w:i/>
                <w:iCs/>
                <w:sz w:val="16"/>
                <w:szCs w:val="16"/>
              </w:rPr>
              <w:t>Articulo 23 Las empresas tienen la obligación de efectuar el mantenimiento y reparación de las redes locales, cuyos costos serán a cargo de ellas.</w:t>
            </w:r>
          </w:p>
          <w:p w14:paraId="12EE0FDE" w14:textId="77777777" w:rsidR="00FD21FE" w:rsidRDefault="00FD21FE">
            <w:pPr>
              <w:ind w:left="1416"/>
              <w:contextualSpacing/>
              <w:jc w:val="both"/>
              <w:rPr>
                <w:rFonts w:ascii="Verdana" w:hAnsi="Verdana" w:cs="Arial"/>
                <w:i/>
                <w:iCs/>
                <w:sz w:val="16"/>
                <w:szCs w:val="16"/>
              </w:rPr>
            </w:pPr>
          </w:p>
          <w:p w14:paraId="51E36B46" w14:textId="77777777" w:rsidR="00FD21FE" w:rsidRDefault="00FD21FE">
            <w:pPr>
              <w:jc w:val="both"/>
              <w:rPr>
                <w:rFonts w:ascii="Verdana" w:hAnsi="Verdana" w:cs="Arial"/>
                <w:i/>
                <w:iCs/>
                <w:sz w:val="16"/>
                <w:szCs w:val="16"/>
              </w:rPr>
            </w:pPr>
            <w:r>
              <w:rPr>
                <w:rFonts w:ascii="Verdana" w:hAnsi="Verdana" w:cs="Arial"/>
                <w:i/>
                <w:iCs/>
                <w:sz w:val="16"/>
                <w:szCs w:val="16"/>
              </w:rPr>
              <w:t>Artículo 28 es obligación de quienes presten servicios públicos, invertir en el mantenimiento y recuperación del bien público explotado.</w:t>
            </w:r>
          </w:p>
          <w:p w14:paraId="1C973C0A" w14:textId="77777777" w:rsidR="00FD21FE" w:rsidRDefault="00FD21FE">
            <w:pPr>
              <w:ind w:left="1416"/>
              <w:contextualSpacing/>
              <w:jc w:val="both"/>
              <w:rPr>
                <w:rFonts w:ascii="Verdana" w:hAnsi="Verdana" w:cs="Arial"/>
                <w:i/>
                <w:iCs/>
                <w:sz w:val="16"/>
                <w:szCs w:val="16"/>
              </w:rPr>
            </w:pPr>
          </w:p>
          <w:p w14:paraId="70E71CC7" w14:textId="77777777" w:rsidR="00FD21FE" w:rsidRDefault="00FD21FE">
            <w:pPr>
              <w:jc w:val="both"/>
              <w:rPr>
                <w:rFonts w:ascii="Verdana" w:hAnsi="Verdana"/>
                <w:sz w:val="16"/>
                <w:szCs w:val="16"/>
                <w:lang w:val="es-CO"/>
              </w:rPr>
            </w:pPr>
            <w:r>
              <w:rPr>
                <w:rFonts w:ascii="Verdana" w:hAnsi="Verdana" w:cs="Arial"/>
                <w:i/>
                <w:iCs/>
                <w:sz w:val="16"/>
                <w:szCs w:val="16"/>
              </w:rPr>
              <w:t xml:space="preserve">Artículo 163. Fórmulas tarifarias para empresas de acueducto y saneamiento básico. Las fórmulas tarifarias, además de tomar en cuenta los costos de </w:t>
            </w:r>
            <w:r>
              <w:rPr>
                <w:rFonts w:ascii="Verdana" w:hAnsi="Verdana" w:cs="Arial"/>
                <w:b/>
                <w:bCs/>
                <w:i/>
                <w:iCs/>
                <w:sz w:val="16"/>
                <w:szCs w:val="16"/>
              </w:rPr>
              <w:t>expansión</w:t>
            </w:r>
            <w:r>
              <w:rPr>
                <w:rFonts w:ascii="Verdana" w:hAnsi="Verdana" w:cs="Arial"/>
                <w:i/>
                <w:iCs/>
                <w:sz w:val="16"/>
                <w:szCs w:val="16"/>
              </w:rPr>
              <w:t xml:space="preserve"> y </w:t>
            </w:r>
            <w:r>
              <w:rPr>
                <w:rFonts w:ascii="Verdana" w:hAnsi="Verdana" w:cs="Arial"/>
                <w:b/>
                <w:bCs/>
                <w:i/>
                <w:iCs/>
                <w:sz w:val="16"/>
                <w:szCs w:val="16"/>
              </w:rPr>
              <w:t>reposición</w:t>
            </w:r>
            <w:r>
              <w:rPr>
                <w:rFonts w:ascii="Verdana" w:hAnsi="Verdana" w:cs="Arial"/>
                <w:i/>
                <w:iCs/>
                <w:sz w:val="16"/>
                <w:szCs w:val="16"/>
              </w:rPr>
              <w:t xml:space="preserve"> de los sistemas de agua potable y saneamiento básico, incluirán los costos de administración, operación y mantenimiento asociados con el servicio</w:t>
            </w:r>
            <w:r>
              <w:rPr>
                <w:rFonts w:ascii="Verdana" w:hAnsi="Verdana" w:cs="Arial"/>
                <w:sz w:val="16"/>
                <w:szCs w:val="16"/>
              </w:rPr>
              <w:t>”</w:t>
            </w:r>
            <w:r>
              <w:rPr>
                <w:rFonts w:ascii="Verdana" w:hAnsi="Verdana" w:cs="Arial"/>
                <w:i/>
                <w:iCs/>
                <w:sz w:val="16"/>
                <w:szCs w:val="16"/>
              </w:rPr>
              <w:t>.</w:t>
            </w:r>
            <w:r>
              <w:rPr>
                <w:rFonts w:ascii="Verdana" w:hAnsi="Verdana"/>
                <w:sz w:val="16"/>
                <w:szCs w:val="16"/>
                <w:lang w:val="es-CO"/>
              </w:rPr>
              <w:t xml:space="preserve"> </w:t>
            </w:r>
          </w:p>
          <w:p w14:paraId="6D47F3A1" w14:textId="77777777" w:rsidR="00FD21FE" w:rsidRDefault="00FD21FE">
            <w:pPr>
              <w:jc w:val="both"/>
              <w:rPr>
                <w:rFonts w:ascii="Verdana" w:hAnsi="Verdana"/>
                <w:sz w:val="16"/>
                <w:szCs w:val="16"/>
                <w:lang w:val="es-CO"/>
              </w:rPr>
            </w:pPr>
            <w:r>
              <w:rPr>
                <w:rFonts w:ascii="Verdana" w:hAnsi="Verdana"/>
                <w:sz w:val="16"/>
                <w:szCs w:val="16"/>
                <w:lang w:val="es-CO"/>
              </w:rPr>
              <w:t xml:space="preserve">Al respecto es necesario que la entidad territorial identifique estos procesos </w:t>
            </w:r>
            <w:r>
              <w:rPr>
                <w:rFonts w:ascii="Verdana" w:hAnsi="Verdana"/>
                <w:b/>
                <w:bCs/>
                <w:sz w:val="16"/>
                <w:szCs w:val="16"/>
                <w:lang w:val="es-CO"/>
              </w:rPr>
              <w:t>contractuales</w:t>
            </w:r>
            <w:r>
              <w:rPr>
                <w:rFonts w:ascii="Verdana" w:hAnsi="Verdana"/>
                <w:sz w:val="16"/>
                <w:szCs w:val="16"/>
                <w:lang w:val="es-CO"/>
              </w:rPr>
              <w:t xml:space="preserve"> vs la inversión tarifaria (CMI) de los diferentes prestadores.</w:t>
            </w:r>
          </w:p>
          <w:p w14:paraId="7C5A52B5" w14:textId="77777777" w:rsidR="00FD21FE" w:rsidRDefault="00FD21FE">
            <w:pPr>
              <w:jc w:val="both"/>
              <w:rPr>
                <w:rFonts w:ascii="Verdana" w:hAnsi="Verdana"/>
                <w:sz w:val="16"/>
                <w:szCs w:val="16"/>
                <w:lang w:val="es-CO"/>
              </w:rPr>
            </w:pPr>
          </w:p>
          <w:p w14:paraId="3023E743" w14:textId="77777777" w:rsidR="00FD21FE" w:rsidRDefault="00FD21FE">
            <w:pPr>
              <w:jc w:val="both"/>
              <w:rPr>
                <w:rFonts w:ascii="Verdana" w:hAnsi="Verdana"/>
                <w:sz w:val="16"/>
                <w:szCs w:val="16"/>
                <w:lang w:val="es-CO"/>
              </w:rPr>
            </w:pPr>
            <w:r>
              <w:rPr>
                <w:rFonts w:ascii="Verdana" w:hAnsi="Verdana"/>
                <w:sz w:val="16"/>
                <w:szCs w:val="16"/>
                <w:lang w:val="es-CO"/>
              </w:rPr>
              <w:t>Adicional a lo anterior, deberá existir una verificación del</w:t>
            </w:r>
            <w:r>
              <w:rPr>
                <w:rFonts w:ascii="Verdana" w:hAnsi="Verdana"/>
                <w:b/>
                <w:bCs/>
                <w:sz w:val="16"/>
                <w:szCs w:val="16"/>
                <w:lang w:val="es-CO"/>
              </w:rPr>
              <w:t xml:space="preserve"> </w:t>
            </w:r>
            <w:r>
              <w:rPr>
                <w:rFonts w:ascii="Verdana" w:hAnsi="Verdana"/>
                <w:sz w:val="16"/>
                <w:szCs w:val="16"/>
                <w:lang w:val="es-CO"/>
              </w:rPr>
              <w:t>detalle de los componentes técnicos de las facturas presentadas por los prestadores de AAA. Esta verificación, consiste en revisar la estratificación aplicada, los consumos, los % de subsidios y contribuciones aplicados, los componentes tarifarios de disposición final (Para el servicio de aseo), entre otros, la cual</w:t>
            </w:r>
            <w:r>
              <w:rPr>
                <w:rFonts w:ascii="Verdana" w:hAnsi="Verdana"/>
                <w:b/>
                <w:bCs/>
                <w:sz w:val="16"/>
                <w:szCs w:val="16"/>
                <w:lang w:val="es-CO"/>
              </w:rPr>
              <w:t xml:space="preserve"> </w:t>
            </w:r>
            <w:r>
              <w:rPr>
                <w:rFonts w:ascii="Verdana" w:hAnsi="Verdana"/>
                <w:sz w:val="16"/>
                <w:szCs w:val="16"/>
                <w:lang w:val="es-CO"/>
              </w:rPr>
              <w:t xml:space="preserve"> podría estar incluida en el clausulado del convenio de transferencia de los recursos por subsidios.</w:t>
            </w:r>
          </w:p>
          <w:p w14:paraId="6C6BB267" w14:textId="77777777" w:rsidR="00FD21FE" w:rsidRDefault="00FD21FE">
            <w:pPr>
              <w:jc w:val="both"/>
              <w:rPr>
                <w:rFonts w:ascii="Verdana" w:hAnsi="Verdana"/>
                <w:sz w:val="16"/>
                <w:szCs w:val="16"/>
                <w:lang w:val="es-CO"/>
              </w:rPr>
            </w:pPr>
          </w:p>
          <w:p w14:paraId="7AA81B0A" w14:textId="77777777" w:rsidR="00FD21FE" w:rsidRDefault="00FD21FE">
            <w:pPr>
              <w:jc w:val="both"/>
              <w:rPr>
                <w:rFonts w:ascii="Verdana" w:hAnsi="Verdana"/>
                <w:sz w:val="16"/>
                <w:szCs w:val="16"/>
                <w:lang w:val="es-CO"/>
              </w:rPr>
            </w:pPr>
            <w:r>
              <w:rPr>
                <w:rFonts w:ascii="Verdana" w:hAnsi="Verdana"/>
                <w:sz w:val="16"/>
                <w:szCs w:val="16"/>
                <w:lang w:val="es-CO"/>
              </w:rPr>
              <w:t>En este sentido, la reunión con los prestadores estaría enfocada en estas actividades.</w:t>
            </w:r>
          </w:p>
          <w:p w14:paraId="1E225821" w14:textId="77777777" w:rsidR="00FD21FE" w:rsidRDefault="00FD21FE">
            <w:pPr>
              <w:jc w:val="both"/>
              <w:rPr>
                <w:rFonts w:ascii="Verdana" w:hAnsi="Verdana"/>
                <w:sz w:val="16"/>
                <w:szCs w:val="16"/>
                <w:lang w:val="es-CO"/>
              </w:rPr>
            </w:pPr>
          </w:p>
          <w:p w14:paraId="269BA974" w14:textId="77777777" w:rsidR="00FD21FE" w:rsidRDefault="00FD21FE">
            <w:pPr>
              <w:jc w:val="both"/>
              <w:rPr>
                <w:rFonts w:ascii="Verdana" w:hAnsi="Verdana"/>
                <w:b/>
                <w:bCs/>
                <w:sz w:val="16"/>
                <w:szCs w:val="16"/>
                <w:lang w:val="es-CO"/>
              </w:rPr>
            </w:pPr>
            <w:r>
              <w:rPr>
                <w:rFonts w:ascii="Verdana" w:hAnsi="Verdana"/>
                <w:b/>
                <w:bCs/>
                <w:sz w:val="16"/>
                <w:szCs w:val="16"/>
                <w:lang w:val="es-CO"/>
              </w:rPr>
              <w:t>CUMPLIMIENTO PARCIAL</w:t>
            </w:r>
          </w:p>
          <w:p w14:paraId="3CC09B36" w14:textId="77777777" w:rsidR="00FD21FE" w:rsidRDefault="00FD21FE">
            <w:pPr>
              <w:jc w:val="both"/>
              <w:rPr>
                <w:rFonts w:ascii="Verdana" w:hAnsi="Verdana"/>
                <w:sz w:val="16"/>
                <w:szCs w:val="16"/>
                <w:lang w:val="es-CO"/>
              </w:rPr>
            </w:pPr>
          </w:p>
        </w:tc>
      </w:tr>
      <w:tr w:rsidR="00FD21FE" w14:paraId="5FC70F1B"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1703675F" w14:textId="77777777" w:rsidR="00FD21FE" w:rsidRDefault="00FD21FE">
            <w:pPr>
              <w:jc w:val="center"/>
              <w:rPr>
                <w:rFonts w:ascii="Verdana" w:hAnsi="Verdana"/>
                <w:b/>
                <w:bCs/>
                <w:sz w:val="16"/>
                <w:szCs w:val="16"/>
                <w:lang w:val="es-CO"/>
              </w:rPr>
            </w:pPr>
            <w:r>
              <w:rPr>
                <w:rFonts w:ascii="Verdana" w:hAnsi="Verdana"/>
                <w:b/>
                <w:bCs/>
                <w:sz w:val="16"/>
                <w:szCs w:val="16"/>
                <w:lang w:val="es-CO"/>
              </w:rPr>
              <w:t>5</w:t>
            </w:r>
          </w:p>
        </w:tc>
        <w:tc>
          <w:tcPr>
            <w:tcW w:w="1536" w:type="dxa"/>
            <w:tcBorders>
              <w:top w:val="single" w:sz="4" w:space="0" w:color="auto"/>
              <w:left w:val="single" w:sz="4" w:space="0" w:color="auto"/>
              <w:bottom w:val="single" w:sz="4" w:space="0" w:color="auto"/>
              <w:right w:val="single" w:sz="4" w:space="0" w:color="auto"/>
            </w:tcBorders>
            <w:hideMark/>
          </w:tcPr>
          <w:p w14:paraId="78A158E3" w14:textId="77777777" w:rsidR="00FD21FE" w:rsidRDefault="00FD21FE">
            <w:pPr>
              <w:rPr>
                <w:rFonts w:ascii="Verdana" w:hAnsi="Verdana"/>
                <w:sz w:val="16"/>
                <w:szCs w:val="16"/>
                <w:lang w:val="es-CO"/>
              </w:rPr>
            </w:pPr>
            <w:r>
              <w:rPr>
                <w:rFonts w:ascii="Verdana" w:hAnsi="Verdana"/>
                <w:sz w:val="16"/>
                <w:szCs w:val="16"/>
                <w:lang w:val="es-CO"/>
              </w:rPr>
              <w:t>Verificar y corregir en la ejecución presupuestal el evento de riesgo sobre la identificación del no ingreso, pero sí en la ejecución del gasto “Fondo de Solidaridad y Redistribución de Ingresos”. Debido a que en el ingreso no existe el Fondo.</w:t>
            </w:r>
          </w:p>
        </w:tc>
        <w:tc>
          <w:tcPr>
            <w:tcW w:w="1559" w:type="dxa"/>
            <w:tcBorders>
              <w:top w:val="single" w:sz="4" w:space="0" w:color="auto"/>
              <w:left w:val="single" w:sz="4" w:space="0" w:color="auto"/>
              <w:bottom w:val="single" w:sz="4" w:space="0" w:color="auto"/>
              <w:right w:val="single" w:sz="4" w:space="0" w:color="auto"/>
            </w:tcBorders>
            <w:hideMark/>
          </w:tcPr>
          <w:p w14:paraId="60DBF134" w14:textId="77777777" w:rsidR="00FD21FE" w:rsidRDefault="00FD21FE">
            <w:pPr>
              <w:rPr>
                <w:rFonts w:ascii="Verdana" w:hAnsi="Verdana"/>
                <w:sz w:val="16"/>
                <w:szCs w:val="16"/>
                <w:lang w:val="es-CO"/>
              </w:rPr>
            </w:pPr>
            <w:r>
              <w:rPr>
                <w:rFonts w:ascii="Verdana" w:hAnsi="Verdana"/>
                <w:sz w:val="16"/>
                <w:szCs w:val="16"/>
                <w:lang w:val="es-CO"/>
              </w:rPr>
              <w:t>Acto de ajuste presupuestal y contable sobre la identificación del ingreso de componente de subsidios.</w:t>
            </w:r>
          </w:p>
        </w:tc>
        <w:tc>
          <w:tcPr>
            <w:tcW w:w="2126" w:type="dxa"/>
            <w:tcBorders>
              <w:top w:val="single" w:sz="4" w:space="0" w:color="auto"/>
              <w:left w:val="single" w:sz="4" w:space="0" w:color="auto"/>
              <w:bottom w:val="single" w:sz="4" w:space="0" w:color="auto"/>
              <w:right w:val="single" w:sz="4" w:space="0" w:color="auto"/>
            </w:tcBorders>
          </w:tcPr>
          <w:p w14:paraId="70C131BA"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3E9DA49B" w14:textId="77777777" w:rsidR="00FD21FE" w:rsidRDefault="00FD21FE">
            <w:pPr>
              <w:jc w:val="both"/>
              <w:rPr>
                <w:rFonts w:ascii="Verdana" w:hAnsi="Verdana"/>
                <w:b/>
                <w:bCs/>
                <w:i/>
                <w:iCs/>
                <w:sz w:val="16"/>
                <w:szCs w:val="16"/>
              </w:rPr>
            </w:pPr>
          </w:p>
          <w:p w14:paraId="40C0A7D9" w14:textId="77777777" w:rsidR="00FD21FE" w:rsidRDefault="00FD21FE">
            <w:pPr>
              <w:pStyle w:val="Sinespaciado"/>
              <w:jc w:val="both"/>
              <w:rPr>
                <w:rFonts w:ascii="Verdana" w:eastAsia="MS Mincho" w:hAnsi="Verdana" w:cs="Times New Roman"/>
                <w:sz w:val="16"/>
                <w:szCs w:val="16"/>
                <w:lang w:val="es-ES" w:eastAsia="es-ES"/>
              </w:rPr>
            </w:pPr>
            <w:r>
              <w:rPr>
                <w:rFonts w:ascii="Verdana" w:eastAsia="MS Mincho" w:hAnsi="Verdana" w:cs="Times New Roman"/>
                <w:sz w:val="16"/>
                <w:szCs w:val="16"/>
                <w:lang w:val="es-ES" w:eastAsia="es-ES"/>
              </w:rPr>
              <w:t xml:space="preserve">Verificando la información y analizando la norma, teniendo en cuenta el nuevo catálogo presupuestal, nos encontramos con: </w:t>
            </w:r>
          </w:p>
          <w:p w14:paraId="39F40BFF" w14:textId="77777777" w:rsidR="00FD21FE" w:rsidRDefault="00FD21FE">
            <w:pPr>
              <w:pStyle w:val="Sinespaciado"/>
              <w:jc w:val="both"/>
              <w:rPr>
                <w:rFonts w:ascii="Verdana" w:eastAsia="MS Mincho" w:hAnsi="Verdana" w:cs="Times New Roman"/>
                <w:sz w:val="16"/>
                <w:szCs w:val="16"/>
                <w:lang w:val="es-ES" w:eastAsia="es-ES"/>
              </w:rPr>
            </w:pPr>
          </w:p>
          <w:p w14:paraId="627CF925" w14:textId="77777777" w:rsidR="00FD21FE" w:rsidRDefault="00FD21FE">
            <w:pPr>
              <w:pStyle w:val="Sinespaciado"/>
              <w:ind w:right="720"/>
              <w:jc w:val="both"/>
              <w:rPr>
                <w:rFonts w:ascii="Verdana" w:eastAsia="MS Mincho" w:hAnsi="Verdana" w:cs="Times New Roman"/>
                <w:i/>
                <w:iCs/>
                <w:sz w:val="16"/>
                <w:szCs w:val="16"/>
                <w:lang w:val="es-ES" w:eastAsia="es-ES"/>
              </w:rPr>
            </w:pPr>
            <w:r>
              <w:rPr>
                <w:rFonts w:ascii="Verdana" w:eastAsia="MS Mincho" w:hAnsi="Verdana" w:cs="Times New Roman"/>
                <w:i/>
                <w:iCs/>
                <w:sz w:val="16"/>
                <w:szCs w:val="16"/>
                <w:lang w:val="es-ES" w:eastAsia="es-ES"/>
              </w:rPr>
              <w:t>Conforme al artículo 30 del Decreto 111 de 1996:</w:t>
            </w:r>
          </w:p>
          <w:p w14:paraId="6F6EF387" w14:textId="77777777" w:rsidR="00FD21FE" w:rsidRDefault="00FD21FE">
            <w:pPr>
              <w:pStyle w:val="Sinespaciado"/>
              <w:ind w:left="1440"/>
              <w:jc w:val="both"/>
              <w:rPr>
                <w:rFonts w:ascii="Verdana" w:eastAsia="MS Mincho" w:hAnsi="Verdana" w:cs="Times New Roman"/>
                <w:i/>
                <w:iCs/>
                <w:sz w:val="16"/>
                <w:szCs w:val="16"/>
                <w:lang w:val="es-ES" w:eastAsia="es-ES"/>
              </w:rPr>
            </w:pPr>
          </w:p>
          <w:p w14:paraId="0E818240" w14:textId="77777777" w:rsidR="00FD21FE" w:rsidRDefault="00FD21FE">
            <w:pPr>
              <w:pStyle w:val="Sinespaciado"/>
              <w:jc w:val="both"/>
              <w:rPr>
                <w:rFonts w:ascii="Verdana" w:eastAsia="MS Mincho" w:hAnsi="Verdana" w:cs="Times New Roman"/>
                <w:i/>
                <w:iCs/>
                <w:sz w:val="16"/>
                <w:szCs w:val="16"/>
                <w:lang w:val="es-ES" w:eastAsia="es-ES"/>
              </w:rPr>
            </w:pPr>
            <w:r>
              <w:rPr>
                <w:rFonts w:ascii="Verdana" w:eastAsia="MS Mincho" w:hAnsi="Verdana" w:cs="Times New Roman"/>
                <w:i/>
                <w:iCs/>
                <w:sz w:val="16"/>
                <w:szCs w:val="16"/>
                <w:lang w:val="es-ES" w:eastAsia="es-ES"/>
              </w:rPr>
              <w:t xml:space="preserve">“Artículo 30. Constituyen fondos especiales en el orden nacional, los ingresos definidos en la ley para la prestación de un servicio público específico, así como los pertenecientes a fondos sin personería jurídica creados por el legislador (Ley 225 de 1995 art. 27)”. </w:t>
            </w:r>
          </w:p>
          <w:p w14:paraId="196E7CA3" w14:textId="77777777" w:rsidR="00FD21FE" w:rsidRDefault="00FD21FE">
            <w:pPr>
              <w:pStyle w:val="Sinespaciado"/>
              <w:ind w:right="720"/>
              <w:jc w:val="both"/>
              <w:rPr>
                <w:rFonts w:ascii="Verdana" w:eastAsia="MS Mincho" w:hAnsi="Verdana" w:cs="Times New Roman"/>
                <w:sz w:val="16"/>
                <w:szCs w:val="16"/>
                <w:lang w:val="es-ES" w:eastAsia="es-ES"/>
              </w:rPr>
            </w:pPr>
          </w:p>
          <w:p w14:paraId="3EB03336" w14:textId="77777777" w:rsidR="00FD21FE" w:rsidRDefault="00FD21FE">
            <w:pPr>
              <w:pStyle w:val="Sinespaciado"/>
              <w:ind w:right="720"/>
              <w:jc w:val="both"/>
              <w:rPr>
                <w:rFonts w:ascii="Verdana" w:eastAsia="MS Mincho" w:hAnsi="Verdana" w:cs="Times New Roman"/>
                <w:i/>
                <w:iCs/>
                <w:sz w:val="16"/>
                <w:szCs w:val="16"/>
                <w:lang w:val="es-ES" w:eastAsia="es-ES"/>
              </w:rPr>
            </w:pPr>
            <w:r>
              <w:rPr>
                <w:rFonts w:ascii="Verdana" w:eastAsia="MS Mincho" w:hAnsi="Verdana" w:cs="Times New Roman"/>
                <w:i/>
                <w:iCs/>
                <w:sz w:val="16"/>
                <w:szCs w:val="16"/>
                <w:lang w:val="es-ES" w:eastAsia="es-ES"/>
              </w:rPr>
              <w:t xml:space="preserve">Pero su manejo territorial es muy diferente según el libro GESTION PRESUPUESTAL 2012 DEL DNP en su página 154 nos habla de los fondos especiales a nivel territorial. </w:t>
            </w:r>
          </w:p>
          <w:p w14:paraId="08A968BA" w14:textId="77777777" w:rsidR="00FD21FE" w:rsidRDefault="00FD21FE">
            <w:pPr>
              <w:pStyle w:val="Sinespaciado"/>
              <w:ind w:left="1440" w:right="720"/>
              <w:jc w:val="both"/>
              <w:rPr>
                <w:rFonts w:ascii="Verdana" w:eastAsia="MS Mincho" w:hAnsi="Verdana" w:cs="Times New Roman"/>
                <w:sz w:val="16"/>
                <w:szCs w:val="16"/>
                <w:lang w:val="es-ES" w:eastAsia="es-ES"/>
              </w:rPr>
            </w:pPr>
          </w:p>
          <w:p w14:paraId="66234D55" w14:textId="77777777" w:rsidR="00FD21FE" w:rsidRDefault="00FD21FE">
            <w:pPr>
              <w:jc w:val="both"/>
              <w:rPr>
                <w:rFonts w:ascii="Verdana" w:hAnsi="Verdana"/>
                <w:b/>
                <w:bCs/>
                <w:sz w:val="16"/>
                <w:szCs w:val="16"/>
              </w:rPr>
            </w:pPr>
            <w:r>
              <w:rPr>
                <w:rFonts w:ascii="Verdana" w:hAnsi="Verdana"/>
                <w:sz w:val="16"/>
                <w:szCs w:val="16"/>
              </w:rPr>
              <w:t xml:space="preserve">“…Los recursos de los mismos, se distribuirán según las necesidades regionales de seguridad y serán administrados por el gobernador o por el alcalde, según el caso, o por el secretario del Despacho en quien se delegue esta responsabilidad. Las actividades de seguridad y de orden público que se financien con esos Fondos serán cumplidas exclusivamente por la Fuerza Pública y los organismos de seguridad del Estado”, es decir no es un fondo presupuestal sino contable. ello solo se incluye en el presupuesto Fondos de naturaleza presupuestal. Al incluir aquellos fondos de carácter presupuestal, </w:t>
            </w:r>
            <w:r>
              <w:rPr>
                <w:rFonts w:ascii="Verdana" w:hAnsi="Verdana"/>
                <w:b/>
                <w:bCs/>
                <w:sz w:val="16"/>
                <w:szCs w:val="16"/>
              </w:rPr>
              <w:t>se debe evitar la doble contabilización de los recursos en ingresos corrientes, recursos de capital y los del Fondo…”</w:t>
            </w:r>
          </w:p>
          <w:p w14:paraId="735AA4B2" w14:textId="77777777" w:rsidR="00FD21FE" w:rsidRDefault="00FD21FE">
            <w:pPr>
              <w:jc w:val="both"/>
              <w:rPr>
                <w:rFonts w:ascii="Verdana" w:hAnsi="Verdana"/>
                <w:sz w:val="16"/>
                <w:szCs w:val="16"/>
              </w:rPr>
            </w:pPr>
            <w:r>
              <w:rPr>
                <w:rFonts w:ascii="Verdana" w:hAnsi="Verdana"/>
                <w:sz w:val="16"/>
                <w:szCs w:val="16"/>
              </w:rPr>
              <w:t xml:space="preserve">El resaltado es nuestro. </w:t>
            </w:r>
          </w:p>
          <w:p w14:paraId="776D334D" w14:textId="77777777" w:rsidR="00FD21FE" w:rsidRDefault="00FD21FE">
            <w:pPr>
              <w:jc w:val="both"/>
              <w:rPr>
                <w:rFonts w:ascii="Verdana" w:hAnsi="Verdana"/>
                <w:sz w:val="16"/>
                <w:szCs w:val="16"/>
              </w:rPr>
            </w:pPr>
          </w:p>
          <w:p w14:paraId="33560DE1" w14:textId="77777777" w:rsidR="00FD21FE" w:rsidRDefault="00FD21FE">
            <w:pPr>
              <w:jc w:val="both"/>
              <w:rPr>
                <w:rFonts w:ascii="Verdana" w:hAnsi="Verdana"/>
                <w:sz w:val="16"/>
                <w:szCs w:val="16"/>
              </w:rPr>
            </w:pPr>
            <w:r>
              <w:rPr>
                <w:rFonts w:ascii="Verdana" w:hAnsi="Verdana"/>
                <w:sz w:val="16"/>
                <w:szCs w:val="16"/>
              </w:rPr>
              <w:t>Adicional a lo anterior, hacen mención al anexo 7. Concepto de la contraloría, sobre el fondo solidaridad y redistribución del ingreso y es este confirma la información antes mencionada.</w:t>
            </w:r>
          </w:p>
          <w:p w14:paraId="075F42CA" w14:textId="77777777" w:rsidR="00FD21FE" w:rsidRDefault="00FD21FE">
            <w:pPr>
              <w:jc w:val="both"/>
              <w:rPr>
                <w:rFonts w:ascii="Verdana" w:hAnsi="Verdana"/>
                <w:sz w:val="16"/>
                <w:szCs w:val="16"/>
              </w:rPr>
            </w:pPr>
          </w:p>
          <w:p w14:paraId="6C91EEE3" w14:textId="77777777" w:rsidR="00FD21FE" w:rsidRDefault="00FD21FE">
            <w:pPr>
              <w:jc w:val="both"/>
              <w:rPr>
                <w:rFonts w:ascii="Verdana" w:hAnsi="Verdana"/>
                <w:sz w:val="16"/>
                <w:szCs w:val="16"/>
              </w:rPr>
            </w:pPr>
            <w:r>
              <w:rPr>
                <w:rFonts w:ascii="Verdana" w:hAnsi="Verdana"/>
                <w:sz w:val="16"/>
                <w:szCs w:val="16"/>
              </w:rPr>
              <w:t>El anexo 7 es una respuesta de la Dirección de Apoyo Fiscal del Ministerio de Hacienda y Crédito Público de fecha 17 de octubre de 2019 radicado 2-2019-040436.</w:t>
            </w:r>
          </w:p>
        </w:tc>
        <w:tc>
          <w:tcPr>
            <w:tcW w:w="2888" w:type="dxa"/>
            <w:tcBorders>
              <w:top w:val="single" w:sz="4" w:space="0" w:color="auto"/>
              <w:left w:val="single" w:sz="4" w:space="0" w:color="auto"/>
              <w:bottom w:val="single" w:sz="4" w:space="0" w:color="auto"/>
              <w:right w:val="single" w:sz="4" w:space="0" w:color="auto"/>
            </w:tcBorders>
          </w:tcPr>
          <w:p w14:paraId="35865A73" w14:textId="77777777" w:rsidR="00FD21FE" w:rsidRDefault="00FD21FE">
            <w:pPr>
              <w:jc w:val="both"/>
              <w:rPr>
                <w:rFonts w:ascii="Verdana" w:hAnsi="Verdana"/>
                <w:sz w:val="16"/>
                <w:szCs w:val="16"/>
                <w:lang w:val="es-CO"/>
              </w:rPr>
            </w:pPr>
            <w:r>
              <w:rPr>
                <w:rFonts w:ascii="Verdana" w:hAnsi="Verdana"/>
                <w:sz w:val="16"/>
                <w:szCs w:val="16"/>
                <w:lang w:val="es-CO"/>
              </w:rPr>
              <w:t xml:space="preserve">De acuerdo con lo definido por el Ministerio de Hacienda en oficio 2-2022-030208 de julio de 2022, es necesario precisar que si bien los fondos especiales dentro de los que se encuentran los Fondos de Solidaridad y Redistribución del Ingreso (FSRI) son cuentas del ingreso, tal y como lo dispone el artículo 111 del Decreto 111 de 1996, no son conceptos de ingresos incluidos en el Catálogo de Cuentas Presupuestales para Entidades Territoriales y sus Descentralizadas (CCPET) porque no corresponden a ingresos independientes de la entidad territorial, sino que son el acopio de varias fuentes de ingresos presupuestales destinados a financiar el déficit por subsidios, es decir que los fondos especiales (FSRI) son cuentas del ingreso que dependen o se constituyen con el cien por ciento de la sobretasa solidaria y con algunas otras cuentas del ingreso presupuestal de las entidades territoriales, como el porcentaje de la participación para APSB del SGP que se destina a financiar el déficit por subsidios. </w:t>
            </w:r>
          </w:p>
          <w:p w14:paraId="7E48BB79" w14:textId="77777777" w:rsidR="00FD21FE" w:rsidRDefault="00FD21FE">
            <w:pPr>
              <w:jc w:val="both"/>
              <w:rPr>
                <w:rFonts w:ascii="Verdana" w:hAnsi="Verdana"/>
                <w:sz w:val="16"/>
                <w:szCs w:val="16"/>
                <w:lang w:val="es-CO"/>
              </w:rPr>
            </w:pPr>
          </w:p>
          <w:p w14:paraId="474D1F05" w14:textId="77777777" w:rsidR="00FD21FE" w:rsidRDefault="00FD21FE">
            <w:pPr>
              <w:jc w:val="both"/>
              <w:rPr>
                <w:rFonts w:ascii="Verdana" w:hAnsi="Verdana"/>
                <w:sz w:val="16"/>
                <w:szCs w:val="16"/>
                <w:lang w:val="es-CO"/>
              </w:rPr>
            </w:pPr>
            <w:r>
              <w:rPr>
                <w:rFonts w:ascii="Verdana" w:hAnsi="Verdana"/>
                <w:sz w:val="16"/>
                <w:szCs w:val="16"/>
                <w:lang w:val="es-CO"/>
              </w:rPr>
              <w:t xml:space="preserve">Así las cosas, los FSRI harán parte del presupuesto de los distritos y municipios como la sumatoria de la sobretasa solidaria y los recursos propios que las administraciones territoriales decidan registrar allí (acatando la normatividad vigente) para financiar el déficit por subsidios, que estará debidamente estimado después de aplicar la metodología de equilibrio establecida en el Decreto 1013 de 2005 compilado en el Decreto 1077 de 2015. </w:t>
            </w:r>
          </w:p>
          <w:p w14:paraId="74ABEBA3" w14:textId="77777777" w:rsidR="00FD21FE" w:rsidRDefault="00FD21FE">
            <w:pPr>
              <w:jc w:val="both"/>
              <w:rPr>
                <w:rFonts w:ascii="Verdana" w:hAnsi="Verdana"/>
                <w:sz w:val="16"/>
                <w:szCs w:val="16"/>
                <w:lang w:val="es-CO"/>
              </w:rPr>
            </w:pPr>
          </w:p>
          <w:p w14:paraId="027BD0D8" w14:textId="77777777" w:rsidR="00FD21FE" w:rsidRDefault="00FD21FE">
            <w:pPr>
              <w:jc w:val="both"/>
              <w:rPr>
                <w:rFonts w:ascii="Verdana" w:hAnsi="Verdana"/>
                <w:sz w:val="16"/>
                <w:szCs w:val="16"/>
                <w:lang w:val="es-CO"/>
              </w:rPr>
            </w:pPr>
            <w:r>
              <w:rPr>
                <w:rFonts w:ascii="Verdana" w:hAnsi="Verdana"/>
                <w:sz w:val="16"/>
                <w:szCs w:val="16"/>
                <w:lang w:val="es-CO"/>
              </w:rPr>
              <w:t xml:space="preserve">Los FSRI deben reflejarse en los presupuestos de los distritos y municipios independientemente de que </w:t>
            </w:r>
            <w:r>
              <w:rPr>
                <w:rFonts w:ascii="Verdana" w:hAnsi="Verdana"/>
                <w:b/>
                <w:bCs/>
                <w:sz w:val="16"/>
                <w:szCs w:val="16"/>
                <w:lang w:val="es-CO"/>
              </w:rPr>
              <w:t>no son conceptos de ingresos en el CCPET</w:t>
            </w:r>
            <w:r>
              <w:rPr>
                <w:rFonts w:ascii="Verdana" w:hAnsi="Verdana"/>
                <w:sz w:val="16"/>
                <w:szCs w:val="16"/>
                <w:lang w:val="es-CO"/>
              </w:rPr>
              <w:t>. Allí registrarán los recursos que lo conforman mencionando el código CCPET, nombre de los conceptos de ingresos y el monto que se destina a la financiación del déficit por subsidios.</w:t>
            </w:r>
          </w:p>
          <w:p w14:paraId="63078F10" w14:textId="77777777" w:rsidR="00FD21FE" w:rsidRDefault="00FD21FE">
            <w:pPr>
              <w:jc w:val="both"/>
              <w:rPr>
                <w:rFonts w:ascii="Verdana" w:hAnsi="Verdana"/>
                <w:sz w:val="16"/>
                <w:szCs w:val="16"/>
                <w:lang w:val="es-CO"/>
              </w:rPr>
            </w:pPr>
          </w:p>
          <w:p w14:paraId="3408332E" w14:textId="77777777" w:rsidR="00FD21FE" w:rsidRDefault="00FD21FE">
            <w:pPr>
              <w:jc w:val="both"/>
              <w:rPr>
                <w:rFonts w:ascii="Verdana" w:hAnsi="Verdana"/>
                <w:sz w:val="16"/>
                <w:szCs w:val="16"/>
                <w:lang w:val="es-CO"/>
              </w:rPr>
            </w:pPr>
            <w:r>
              <w:rPr>
                <w:rFonts w:ascii="Verdana" w:hAnsi="Verdana"/>
                <w:sz w:val="16"/>
                <w:szCs w:val="16"/>
                <w:lang w:val="es-CO"/>
              </w:rPr>
              <w:t>Los valores registrados en cada uno de los conceptos de ingreso de los FSRI deberán cuidarse para evitar la doble contabilidad presupuestal de ingresos, es decir que lo registrado en los FSRI se descontará de los conceptos de ingreso correspondientes, o simplemente no se contabilizarán como un ingreso diferente.</w:t>
            </w:r>
          </w:p>
          <w:p w14:paraId="39A03870" w14:textId="77777777" w:rsidR="00FD21FE" w:rsidRDefault="00FD21FE">
            <w:pPr>
              <w:jc w:val="both"/>
              <w:rPr>
                <w:rFonts w:ascii="Verdana" w:hAnsi="Verdana"/>
                <w:sz w:val="16"/>
                <w:szCs w:val="16"/>
                <w:lang w:val="es-CO"/>
              </w:rPr>
            </w:pPr>
          </w:p>
          <w:p w14:paraId="52A1FA87" w14:textId="77777777" w:rsidR="00FD21FE" w:rsidRDefault="00FD21FE">
            <w:pPr>
              <w:jc w:val="both"/>
              <w:rPr>
                <w:rFonts w:ascii="Verdana" w:hAnsi="Verdana"/>
                <w:sz w:val="16"/>
                <w:szCs w:val="16"/>
                <w:lang w:val="es-CO"/>
              </w:rPr>
            </w:pPr>
            <w:r>
              <w:rPr>
                <w:rFonts w:ascii="Verdana" w:hAnsi="Verdana"/>
                <w:sz w:val="16"/>
                <w:szCs w:val="16"/>
                <w:lang w:val="es-CO"/>
              </w:rPr>
              <w:t>Es importante mencionar que el reporte al CUIPO incluye una columna en la que los distritos y municipios deberán informar el valor de cada concepto de ingreso que se registra en los FSRI. Esta herramienta permite la visualización de los FSRI y la valoración de los recursos registrados en cada uno de ellos, evitando la doble contabilización presupuestal de cada una de las rentas con las que se conformaron.</w:t>
            </w:r>
          </w:p>
          <w:p w14:paraId="2B14DEB7" w14:textId="77777777" w:rsidR="00FD21FE" w:rsidRDefault="00FD21FE">
            <w:pPr>
              <w:jc w:val="both"/>
            </w:pPr>
          </w:p>
          <w:p w14:paraId="5AB0EBDE" w14:textId="77777777" w:rsidR="00FD21FE" w:rsidRDefault="00FD21FE">
            <w:pPr>
              <w:jc w:val="both"/>
              <w:rPr>
                <w:rFonts w:ascii="Verdana" w:hAnsi="Verdana"/>
                <w:sz w:val="16"/>
                <w:szCs w:val="16"/>
                <w:lang w:val="es-CO"/>
              </w:rPr>
            </w:pPr>
            <w:r>
              <w:rPr>
                <w:rFonts w:ascii="Verdana" w:hAnsi="Verdana"/>
                <w:sz w:val="16"/>
                <w:szCs w:val="16"/>
                <w:lang w:val="es-CO"/>
              </w:rPr>
              <w:t>Al respecto, la entidad debe crear el rubro a nivel presupuestal del FSRI para cada uno de los servicios de AAA, situación de la cual no se evidencia avance.</w:t>
            </w:r>
          </w:p>
          <w:p w14:paraId="5055983C" w14:textId="77777777" w:rsidR="00FD21FE" w:rsidRDefault="00FD21FE">
            <w:pPr>
              <w:jc w:val="both"/>
              <w:rPr>
                <w:rFonts w:ascii="Verdana" w:hAnsi="Verdana"/>
                <w:sz w:val="16"/>
                <w:szCs w:val="16"/>
                <w:lang w:val="es-CO"/>
              </w:rPr>
            </w:pPr>
          </w:p>
          <w:p w14:paraId="7EBE27E9" w14:textId="77777777" w:rsidR="00FD21FE" w:rsidRDefault="00FD21FE">
            <w:pPr>
              <w:jc w:val="both"/>
              <w:rPr>
                <w:rFonts w:ascii="Verdana" w:hAnsi="Verdana"/>
                <w:sz w:val="16"/>
                <w:szCs w:val="16"/>
                <w:lang w:val="es-CO"/>
              </w:rPr>
            </w:pPr>
            <w:r>
              <w:rPr>
                <w:rFonts w:ascii="Verdana" w:hAnsi="Verdana"/>
                <w:sz w:val="16"/>
                <w:szCs w:val="16"/>
                <w:lang w:val="es-CO"/>
              </w:rPr>
              <w:t xml:space="preserve">Se aclara que el Fondo es una sección del Ingreso dentro del presupuesto de la Entidad Territorial y en el gasto es una fuente de financiación de los subsidios. Al no existir evidencia del acto de ajuste a nivel presupuestal, no se evidencia el cumplimiento de esta actividad.  </w:t>
            </w:r>
          </w:p>
          <w:p w14:paraId="600E07FC" w14:textId="77777777" w:rsidR="00FD21FE" w:rsidRDefault="00FD21FE">
            <w:pPr>
              <w:jc w:val="both"/>
              <w:rPr>
                <w:rFonts w:ascii="Verdana" w:hAnsi="Verdana"/>
                <w:sz w:val="16"/>
                <w:szCs w:val="16"/>
                <w:lang w:val="es-CO"/>
              </w:rPr>
            </w:pPr>
          </w:p>
          <w:p w14:paraId="15552F95" w14:textId="77777777" w:rsidR="00FD21FE" w:rsidRDefault="00FD21FE">
            <w:pPr>
              <w:jc w:val="both"/>
              <w:rPr>
                <w:rFonts w:ascii="Verdana" w:hAnsi="Verdana"/>
                <w:b/>
                <w:bCs/>
                <w:sz w:val="16"/>
                <w:szCs w:val="16"/>
                <w:lang w:val="es-CO"/>
              </w:rPr>
            </w:pPr>
            <w:r>
              <w:rPr>
                <w:rFonts w:ascii="Verdana" w:hAnsi="Verdana"/>
                <w:b/>
                <w:bCs/>
                <w:sz w:val="16"/>
                <w:szCs w:val="16"/>
                <w:lang w:val="es-CO"/>
              </w:rPr>
              <w:t>NO CUMPLE</w:t>
            </w:r>
          </w:p>
          <w:p w14:paraId="000F233A" w14:textId="77777777" w:rsidR="00FD21FE" w:rsidRDefault="00FD21FE">
            <w:pPr>
              <w:jc w:val="both"/>
              <w:rPr>
                <w:rFonts w:ascii="Verdana" w:hAnsi="Verdana"/>
                <w:b/>
                <w:bCs/>
                <w:sz w:val="16"/>
                <w:szCs w:val="16"/>
                <w:lang w:val="es-CO"/>
              </w:rPr>
            </w:pPr>
          </w:p>
        </w:tc>
      </w:tr>
      <w:tr w:rsidR="00FD21FE" w14:paraId="739924FB"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729B70FF" w14:textId="77777777" w:rsidR="00FD21FE" w:rsidRDefault="00FD21FE">
            <w:pPr>
              <w:jc w:val="center"/>
              <w:rPr>
                <w:rFonts w:ascii="Verdana" w:hAnsi="Verdana"/>
                <w:b/>
                <w:bCs/>
                <w:sz w:val="16"/>
                <w:szCs w:val="16"/>
                <w:lang w:val="es-CO"/>
              </w:rPr>
            </w:pPr>
            <w:r>
              <w:rPr>
                <w:rFonts w:ascii="Verdana" w:hAnsi="Verdana"/>
                <w:b/>
                <w:bCs/>
                <w:sz w:val="16"/>
                <w:szCs w:val="16"/>
                <w:lang w:val="es-CO"/>
              </w:rPr>
              <w:t>6</w:t>
            </w:r>
          </w:p>
        </w:tc>
        <w:tc>
          <w:tcPr>
            <w:tcW w:w="1536" w:type="dxa"/>
            <w:tcBorders>
              <w:top w:val="single" w:sz="4" w:space="0" w:color="auto"/>
              <w:left w:val="single" w:sz="4" w:space="0" w:color="auto"/>
              <w:bottom w:val="single" w:sz="4" w:space="0" w:color="auto"/>
              <w:right w:val="single" w:sz="4" w:space="0" w:color="auto"/>
            </w:tcBorders>
            <w:hideMark/>
          </w:tcPr>
          <w:p w14:paraId="504AED95" w14:textId="77777777" w:rsidR="00FD21FE" w:rsidRDefault="00FD21FE">
            <w:pPr>
              <w:jc w:val="both"/>
              <w:rPr>
                <w:rFonts w:ascii="Verdana" w:hAnsi="Verdana"/>
                <w:sz w:val="16"/>
                <w:szCs w:val="16"/>
                <w:lang w:val="es-CO"/>
              </w:rPr>
            </w:pPr>
            <w:r>
              <w:rPr>
                <w:rFonts w:ascii="Verdana" w:hAnsi="Verdana"/>
                <w:sz w:val="16"/>
                <w:szCs w:val="16"/>
                <w:lang w:val="es-CO"/>
              </w:rPr>
              <w:t>Elaboración del informe de agotamiento de la metodología para la asignación de los recursos del SGP para la financiación de los subsidios.</w:t>
            </w:r>
          </w:p>
        </w:tc>
        <w:tc>
          <w:tcPr>
            <w:tcW w:w="1559" w:type="dxa"/>
            <w:tcBorders>
              <w:top w:val="single" w:sz="4" w:space="0" w:color="auto"/>
              <w:left w:val="single" w:sz="4" w:space="0" w:color="auto"/>
              <w:bottom w:val="single" w:sz="4" w:space="0" w:color="auto"/>
              <w:right w:val="single" w:sz="4" w:space="0" w:color="auto"/>
            </w:tcBorders>
            <w:hideMark/>
          </w:tcPr>
          <w:p w14:paraId="65894C36" w14:textId="77777777" w:rsidR="00FD21FE" w:rsidRDefault="00FD21FE">
            <w:pPr>
              <w:jc w:val="both"/>
              <w:rPr>
                <w:rFonts w:ascii="Verdana" w:hAnsi="Verdana"/>
                <w:sz w:val="16"/>
                <w:szCs w:val="16"/>
                <w:lang w:val="es-CO"/>
              </w:rPr>
            </w:pPr>
            <w:r>
              <w:rPr>
                <w:rFonts w:ascii="Verdana" w:hAnsi="Verdana"/>
                <w:sz w:val="16"/>
                <w:szCs w:val="16"/>
                <w:lang w:val="es-CO"/>
              </w:rPr>
              <w:t>Informe agotamiento de subsidios.</w:t>
            </w:r>
          </w:p>
        </w:tc>
        <w:tc>
          <w:tcPr>
            <w:tcW w:w="2126" w:type="dxa"/>
            <w:tcBorders>
              <w:top w:val="single" w:sz="4" w:space="0" w:color="auto"/>
              <w:left w:val="single" w:sz="4" w:space="0" w:color="auto"/>
              <w:bottom w:val="single" w:sz="4" w:space="0" w:color="auto"/>
              <w:right w:val="single" w:sz="4" w:space="0" w:color="auto"/>
            </w:tcBorders>
            <w:hideMark/>
          </w:tcPr>
          <w:p w14:paraId="5F3DA0B6"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5A4B51F0" w14:textId="77777777" w:rsidR="00FD21FE" w:rsidRDefault="00FD21FE">
            <w:pPr>
              <w:jc w:val="both"/>
              <w:rPr>
                <w:rFonts w:ascii="Verdana" w:hAnsi="Verdana"/>
                <w:i/>
                <w:iCs/>
                <w:sz w:val="16"/>
                <w:szCs w:val="16"/>
              </w:rPr>
            </w:pPr>
            <w:r>
              <w:rPr>
                <w:rFonts w:ascii="Verdana" w:hAnsi="Verdana"/>
                <w:i/>
                <w:iCs/>
                <w:sz w:val="16"/>
                <w:szCs w:val="16"/>
              </w:rPr>
              <w:t>El 29 de diciembre en reunión del CONFIS se realizó el balance de subsidios también se toca el tema de los recursos disponibles para la vigencia 2023.  Se informa que el presupuesto se proyectó de acuerdo a la solicitud que realizo el prestador antes el 15 de julio del 2022, además que en la primera sesión del concejo Municipal se incorporar según balance de subsidios</w:t>
            </w:r>
          </w:p>
        </w:tc>
        <w:tc>
          <w:tcPr>
            <w:tcW w:w="2888" w:type="dxa"/>
            <w:tcBorders>
              <w:top w:val="single" w:sz="4" w:space="0" w:color="auto"/>
              <w:left w:val="single" w:sz="4" w:space="0" w:color="auto"/>
              <w:bottom w:val="single" w:sz="4" w:space="0" w:color="auto"/>
              <w:right w:val="single" w:sz="4" w:space="0" w:color="auto"/>
            </w:tcBorders>
          </w:tcPr>
          <w:p w14:paraId="16934CA4" w14:textId="77777777" w:rsidR="00FD21FE" w:rsidRDefault="00FD21FE">
            <w:pPr>
              <w:jc w:val="both"/>
              <w:rPr>
                <w:rFonts w:ascii="Verdana" w:hAnsi="Verdana"/>
                <w:sz w:val="16"/>
                <w:szCs w:val="16"/>
              </w:rPr>
            </w:pPr>
            <w:r>
              <w:rPr>
                <w:rFonts w:ascii="Verdana" w:hAnsi="Verdana"/>
                <w:sz w:val="16"/>
                <w:szCs w:val="16"/>
              </w:rPr>
              <w:t xml:space="preserve">El Municipio manifestó que: </w:t>
            </w:r>
          </w:p>
          <w:p w14:paraId="2BEFEAFF" w14:textId="77777777" w:rsidR="00FD21FE" w:rsidRDefault="00FD21FE">
            <w:pPr>
              <w:jc w:val="both"/>
              <w:rPr>
                <w:rFonts w:ascii="Verdana" w:hAnsi="Verdana"/>
                <w:sz w:val="16"/>
                <w:szCs w:val="16"/>
              </w:rPr>
            </w:pPr>
          </w:p>
          <w:p w14:paraId="2E17140D" w14:textId="77777777" w:rsidR="00FD21FE" w:rsidRDefault="00FD21FE">
            <w:pPr>
              <w:jc w:val="both"/>
              <w:rPr>
                <w:rFonts w:ascii="Verdana" w:hAnsi="Verdana"/>
                <w:i/>
                <w:iCs/>
                <w:sz w:val="16"/>
                <w:szCs w:val="16"/>
              </w:rPr>
            </w:pPr>
            <w:r>
              <w:rPr>
                <w:rFonts w:ascii="Verdana" w:hAnsi="Verdana"/>
                <w:i/>
                <w:iCs/>
                <w:sz w:val="16"/>
                <w:szCs w:val="16"/>
              </w:rPr>
              <w:t>La secretaria de Hacienda muestra al Comité el presupuesto de subsidios para la vigencia. De acuerdo con la solicitud la secretara de hacienda expide disponibilidad Para realizar convenio de transferencias, luego de esto el jefe de presupuesto genera Registro</w:t>
            </w:r>
            <w:r>
              <w:rPr>
                <w:rFonts w:ascii="Verdana" w:hAnsi="Verdana"/>
                <w:sz w:val="16"/>
                <w:szCs w:val="16"/>
              </w:rPr>
              <w:t xml:space="preserve"> </w:t>
            </w:r>
            <w:r>
              <w:rPr>
                <w:rFonts w:ascii="Verdana" w:hAnsi="Verdana"/>
                <w:i/>
                <w:iCs/>
                <w:sz w:val="16"/>
                <w:szCs w:val="16"/>
              </w:rPr>
              <w:t>presupuestal.  Hasta el momento se han presentado a la secretaria de Hacienda y autorizado por la secretaria de planeación 3 cuentas para pago de subsidios correspondiente a enero, febrero y marzo es de aclarar que el acuerdo de porcentaje de otorgamiento de subsidios sigue vigente el del 2020 hasta diciembre de 2023 y antes de que se termine esta vigencia se deberá radicar proyecto de acuerdo ante Concejo Municipal para que a enero del 2024 cumplamos con el requisito y el nuevo procedimiento Interno para pago de subsidios.</w:t>
            </w:r>
          </w:p>
          <w:p w14:paraId="46690147" w14:textId="77777777" w:rsidR="00FD21FE" w:rsidRDefault="00FD21FE">
            <w:pPr>
              <w:jc w:val="both"/>
              <w:rPr>
                <w:rFonts w:ascii="Verdana" w:hAnsi="Verdana"/>
                <w:sz w:val="16"/>
                <w:szCs w:val="16"/>
              </w:rPr>
            </w:pPr>
          </w:p>
          <w:p w14:paraId="4562D05E" w14:textId="77777777" w:rsidR="00FD21FE" w:rsidRDefault="00FD21FE">
            <w:pPr>
              <w:jc w:val="both"/>
              <w:rPr>
                <w:rFonts w:ascii="Verdana" w:hAnsi="Verdana"/>
                <w:sz w:val="16"/>
                <w:szCs w:val="16"/>
              </w:rPr>
            </w:pPr>
            <w:r>
              <w:rPr>
                <w:rFonts w:ascii="Verdana" w:hAnsi="Verdana"/>
                <w:sz w:val="16"/>
                <w:szCs w:val="16"/>
              </w:rPr>
              <w:t>De esta manera se da cumplimiento a lo que las normas dicen, relacionado con el procedimiento para el agotamiento de los recursos necesarios para subsidios.</w:t>
            </w:r>
          </w:p>
          <w:p w14:paraId="7AE07C3D" w14:textId="77777777" w:rsidR="00FD21FE" w:rsidRDefault="00FD21FE">
            <w:pPr>
              <w:jc w:val="both"/>
              <w:rPr>
                <w:rFonts w:ascii="Verdana" w:hAnsi="Verdana"/>
                <w:sz w:val="16"/>
                <w:szCs w:val="16"/>
              </w:rPr>
            </w:pPr>
          </w:p>
          <w:p w14:paraId="110B250D" w14:textId="77777777" w:rsidR="00FD21FE" w:rsidRDefault="00FD21FE">
            <w:pPr>
              <w:jc w:val="both"/>
              <w:rPr>
                <w:rFonts w:ascii="Verdana" w:hAnsi="Verdana"/>
                <w:b/>
                <w:bCs/>
                <w:sz w:val="16"/>
                <w:szCs w:val="16"/>
                <w:lang w:val="es-CO"/>
              </w:rPr>
            </w:pPr>
            <w:r>
              <w:rPr>
                <w:rFonts w:ascii="Verdana" w:hAnsi="Verdana"/>
                <w:b/>
                <w:bCs/>
                <w:sz w:val="16"/>
                <w:szCs w:val="16"/>
              </w:rPr>
              <w:t>CUMPLE</w:t>
            </w:r>
          </w:p>
        </w:tc>
      </w:tr>
      <w:tr w:rsidR="00FD21FE" w14:paraId="147420F7"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552CB967" w14:textId="77777777" w:rsidR="00FD21FE" w:rsidRDefault="00FD21FE">
            <w:pPr>
              <w:jc w:val="center"/>
              <w:rPr>
                <w:rFonts w:ascii="Verdana" w:hAnsi="Verdana"/>
                <w:b/>
                <w:bCs/>
                <w:sz w:val="16"/>
                <w:szCs w:val="16"/>
                <w:lang w:val="es-CO"/>
              </w:rPr>
            </w:pPr>
            <w:r>
              <w:rPr>
                <w:rFonts w:ascii="Verdana" w:hAnsi="Verdana"/>
                <w:b/>
                <w:bCs/>
                <w:sz w:val="16"/>
                <w:szCs w:val="16"/>
                <w:lang w:val="es-CO"/>
              </w:rPr>
              <w:t>7</w:t>
            </w:r>
          </w:p>
        </w:tc>
        <w:tc>
          <w:tcPr>
            <w:tcW w:w="1536" w:type="dxa"/>
            <w:tcBorders>
              <w:top w:val="single" w:sz="4" w:space="0" w:color="auto"/>
              <w:left w:val="single" w:sz="4" w:space="0" w:color="auto"/>
              <w:bottom w:val="single" w:sz="4" w:space="0" w:color="auto"/>
              <w:right w:val="single" w:sz="4" w:space="0" w:color="auto"/>
            </w:tcBorders>
            <w:hideMark/>
          </w:tcPr>
          <w:p w14:paraId="2FD186F3" w14:textId="77777777" w:rsidR="00FD21FE" w:rsidRDefault="00FD21FE">
            <w:pPr>
              <w:rPr>
                <w:rFonts w:ascii="Verdana" w:hAnsi="Verdana"/>
                <w:sz w:val="16"/>
                <w:szCs w:val="16"/>
                <w:lang w:val="es-CO"/>
              </w:rPr>
            </w:pPr>
            <w:r>
              <w:rPr>
                <w:rFonts w:ascii="Verdana" w:hAnsi="Verdana"/>
                <w:sz w:val="16"/>
                <w:szCs w:val="16"/>
                <w:lang w:val="es-CO"/>
              </w:rPr>
              <w:t>Estructurar la realización anual del equilibrio entre subsidios y contribuciones, de acuerdo con lo establecido por el decreto 1013 de 2005 y el balance de subsidios anual.</w:t>
            </w:r>
          </w:p>
        </w:tc>
        <w:tc>
          <w:tcPr>
            <w:tcW w:w="1559" w:type="dxa"/>
            <w:tcBorders>
              <w:top w:val="single" w:sz="4" w:space="0" w:color="auto"/>
              <w:left w:val="single" w:sz="4" w:space="0" w:color="auto"/>
              <w:bottom w:val="single" w:sz="4" w:space="0" w:color="auto"/>
              <w:right w:val="single" w:sz="4" w:space="0" w:color="auto"/>
            </w:tcBorders>
            <w:hideMark/>
          </w:tcPr>
          <w:p w14:paraId="1432ECA6" w14:textId="77777777" w:rsidR="00FD21FE" w:rsidRDefault="00FD21FE">
            <w:pPr>
              <w:rPr>
                <w:rFonts w:ascii="Verdana" w:hAnsi="Verdana"/>
                <w:sz w:val="16"/>
                <w:szCs w:val="16"/>
                <w:lang w:val="es-CO"/>
              </w:rPr>
            </w:pPr>
            <w:r>
              <w:rPr>
                <w:rFonts w:ascii="Verdana" w:hAnsi="Verdana"/>
                <w:sz w:val="16"/>
                <w:szCs w:val="16"/>
                <w:lang w:val="es-CO"/>
              </w:rPr>
              <w:t>Acta de balance de subsidios.</w:t>
            </w:r>
          </w:p>
        </w:tc>
        <w:tc>
          <w:tcPr>
            <w:tcW w:w="2126" w:type="dxa"/>
            <w:tcBorders>
              <w:top w:val="single" w:sz="4" w:space="0" w:color="auto"/>
              <w:left w:val="single" w:sz="4" w:space="0" w:color="auto"/>
              <w:bottom w:val="single" w:sz="4" w:space="0" w:color="auto"/>
              <w:right w:val="single" w:sz="4" w:space="0" w:color="auto"/>
            </w:tcBorders>
            <w:hideMark/>
          </w:tcPr>
          <w:p w14:paraId="00AD6404"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16E29A6A" w14:textId="77777777" w:rsidR="00FD21FE" w:rsidRDefault="00FD21FE">
            <w:pPr>
              <w:jc w:val="both"/>
              <w:rPr>
                <w:rFonts w:ascii="Verdana" w:hAnsi="Verdana"/>
                <w:sz w:val="16"/>
                <w:szCs w:val="16"/>
                <w:lang w:val="es-CO"/>
              </w:rPr>
            </w:pPr>
            <w:r>
              <w:rPr>
                <w:rFonts w:ascii="Verdana" w:hAnsi="Verdana"/>
                <w:sz w:val="16"/>
                <w:szCs w:val="16"/>
                <w:lang w:val="es-CO"/>
              </w:rPr>
              <w:t>El 29 de diciembre de 2022 se reunió el comité de FSRI en donde se entregó un pequeño informe del balance de los subsidios del año 2022 y sus saldos a incorporar en el 2023. Se anexa el documento 8</w:t>
            </w:r>
          </w:p>
        </w:tc>
        <w:tc>
          <w:tcPr>
            <w:tcW w:w="2888" w:type="dxa"/>
            <w:tcBorders>
              <w:top w:val="single" w:sz="4" w:space="0" w:color="auto"/>
              <w:left w:val="single" w:sz="4" w:space="0" w:color="auto"/>
              <w:bottom w:val="single" w:sz="4" w:space="0" w:color="auto"/>
              <w:right w:val="single" w:sz="4" w:space="0" w:color="auto"/>
            </w:tcBorders>
          </w:tcPr>
          <w:p w14:paraId="0E4A8763" w14:textId="77777777" w:rsidR="00FD21FE" w:rsidRDefault="00FD21FE">
            <w:pPr>
              <w:jc w:val="both"/>
              <w:rPr>
                <w:rFonts w:ascii="Verdana" w:hAnsi="Verdana"/>
                <w:sz w:val="16"/>
                <w:szCs w:val="16"/>
                <w:lang w:val="es-CO"/>
              </w:rPr>
            </w:pPr>
            <w:r>
              <w:rPr>
                <w:rFonts w:ascii="Verdana" w:hAnsi="Verdana"/>
                <w:sz w:val="16"/>
                <w:szCs w:val="16"/>
                <w:lang w:val="es-CO"/>
              </w:rPr>
              <w:t>En este documento existen las actas del balance de subsidios, dando cumplimiento a esta actividad.</w:t>
            </w:r>
          </w:p>
          <w:p w14:paraId="5C38ACC1" w14:textId="77777777" w:rsidR="00FD21FE" w:rsidRDefault="00FD21FE">
            <w:pPr>
              <w:jc w:val="both"/>
              <w:rPr>
                <w:rFonts w:ascii="Verdana" w:hAnsi="Verdana"/>
                <w:sz w:val="16"/>
                <w:szCs w:val="16"/>
                <w:lang w:val="es-CO"/>
              </w:rPr>
            </w:pPr>
          </w:p>
          <w:p w14:paraId="05484AC3" w14:textId="77777777" w:rsidR="00FD21FE" w:rsidRDefault="00FD21FE">
            <w:pPr>
              <w:jc w:val="both"/>
              <w:rPr>
                <w:rFonts w:ascii="Verdana" w:hAnsi="Verdana"/>
                <w:sz w:val="16"/>
                <w:szCs w:val="16"/>
                <w:lang w:val="es-CO"/>
              </w:rPr>
            </w:pPr>
            <w:r>
              <w:rPr>
                <w:rFonts w:ascii="Verdana" w:hAnsi="Verdana"/>
                <w:sz w:val="16"/>
                <w:szCs w:val="16"/>
                <w:lang w:val="es-CO"/>
              </w:rPr>
              <w:t>Estas actas se hacen en torno a la reunión presidida por la Administración municipal y con el acompañamiento del concejo municipal y un delegado del Comité de Servicios públicos.</w:t>
            </w:r>
          </w:p>
          <w:p w14:paraId="4168C028" w14:textId="77777777" w:rsidR="00FD21FE" w:rsidRDefault="00FD21FE">
            <w:pPr>
              <w:jc w:val="both"/>
              <w:rPr>
                <w:rFonts w:ascii="Verdana" w:hAnsi="Verdana"/>
                <w:sz w:val="16"/>
                <w:szCs w:val="16"/>
                <w:lang w:val="es-CO"/>
              </w:rPr>
            </w:pPr>
          </w:p>
          <w:p w14:paraId="6AA0838A" w14:textId="77777777" w:rsidR="00FD21FE" w:rsidRDefault="00FD21FE">
            <w:pPr>
              <w:jc w:val="both"/>
              <w:rPr>
                <w:rFonts w:ascii="Verdana" w:hAnsi="Verdana"/>
                <w:sz w:val="16"/>
                <w:szCs w:val="16"/>
                <w:lang w:val="es-CO"/>
              </w:rPr>
            </w:pPr>
            <w:r>
              <w:rPr>
                <w:rFonts w:ascii="Verdana" w:hAnsi="Verdana"/>
                <w:sz w:val="16"/>
                <w:szCs w:val="16"/>
                <w:lang w:val="es-CO"/>
              </w:rPr>
              <w:t>Se describe la financiación de lo subsidios en los servicios de AAA. Sin embargo, en el acta 1 de diciembre de 2022 llama la atención el incremento en las proyecciones de los subsidios para la vigencia 2023. La misma entidad manifestó que se deben destinar recursos de los ICLD para su financiación. Temas como la estratificación y los porcentajes de subsidios, son temas relevantes en desarrollo de estas reuniones.</w:t>
            </w:r>
          </w:p>
          <w:p w14:paraId="2AE32A23" w14:textId="77777777" w:rsidR="00FD21FE" w:rsidRDefault="00FD21FE">
            <w:pPr>
              <w:jc w:val="both"/>
              <w:rPr>
                <w:rFonts w:ascii="Verdana" w:hAnsi="Verdana"/>
                <w:sz w:val="16"/>
                <w:szCs w:val="16"/>
                <w:lang w:val="es-CO"/>
              </w:rPr>
            </w:pPr>
          </w:p>
          <w:p w14:paraId="67D454DB" w14:textId="77777777" w:rsidR="00FD21FE" w:rsidRDefault="00FD21FE">
            <w:pPr>
              <w:jc w:val="both"/>
              <w:rPr>
                <w:rFonts w:ascii="Verdana" w:hAnsi="Verdana"/>
                <w:sz w:val="16"/>
                <w:szCs w:val="16"/>
                <w:lang w:val="es-CO"/>
              </w:rPr>
            </w:pPr>
            <w:r>
              <w:rPr>
                <w:rFonts w:ascii="Verdana" w:hAnsi="Verdana"/>
                <w:sz w:val="16"/>
                <w:szCs w:val="16"/>
                <w:lang w:val="es-CO"/>
              </w:rPr>
              <w:t>De esta manera, se da cumplimiento a esta actividad.</w:t>
            </w:r>
          </w:p>
          <w:p w14:paraId="57C85516" w14:textId="77777777" w:rsidR="00FD21FE" w:rsidRDefault="00FD21FE">
            <w:pPr>
              <w:jc w:val="both"/>
              <w:rPr>
                <w:rFonts w:ascii="Verdana" w:hAnsi="Verdana"/>
                <w:sz w:val="16"/>
                <w:szCs w:val="16"/>
                <w:lang w:val="es-CO"/>
              </w:rPr>
            </w:pPr>
          </w:p>
          <w:p w14:paraId="3B750CAD" w14:textId="77777777" w:rsidR="00FD21FE" w:rsidRDefault="00FD21FE">
            <w:pPr>
              <w:jc w:val="both"/>
              <w:rPr>
                <w:rFonts w:ascii="Verdana" w:hAnsi="Verdana"/>
                <w:sz w:val="16"/>
                <w:szCs w:val="16"/>
                <w:lang w:val="es-CO"/>
              </w:rPr>
            </w:pPr>
            <w:r>
              <w:rPr>
                <w:rFonts w:ascii="Verdana" w:hAnsi="Verdana"/>
                <w:b/>
                <w:bCs/>
                <w:sz w:val="16"/>
                <w:szCs w:val="16"/>
                <w:lang w:val="es-CO"/>
              </w:rPr>
              <w:t>CUMPLE</w:t>
            </w:r>
          </w:p>
        </w:tc>
      </w:tr>
      <w:tr w:rsidR="00FD21FE" w14:paraId="299D7307"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46216E95" w14:textId="77777777" w:rsidR="00FD21FE" w:rsidRDefault="00FD21FE">
            <w:pPr>
              <w:jc w:val="center"/>
              <w:rPr>
                <w:rFonts w:ascii="Verdana" w:hAnsi="Verdana"/>
                <w:b/>
                <w:bCs/>
                <w:sz w:val="16"/>
                <w:szCs w:val="16"/>
                <w:lang w:val="es-CO"/>
              </w:rPr>
            </w:pPr>
            <w:r>
              <w:rPr>
                <w:rFonts w:ascii="Verdana" w:hAnsi="Verdana"/>
                <w:b/>
                <w:bCs/>
                <w:sz w:val="16"/>
                <w:szCs w:val="16"/>
                <w:lang w:val="es-CO"/>
              </w:rPr>
              <w:t>8</w:t>
            </w:r>
          </w:p>
        </w:tc>
        <w:tc>
          <w:tcPr>
            <w:tcW w:w="1536" w:type="dxa"/>
            <w:tcBorders>
              <w:top w:val="single" w:sz="4" w:space="0" w:color="auto"/>
              <w:left w:val="single" w:sz="4" w:space="0" w:color="auto"/>
              <w:bottom w:val="single" w:sz="4" w:space="0" w:color="auto"/>
              <w:right w:val="single" w:sz="4" w:space="0" w:color="auto"/>
            </w:tcBorders>
            <w:hideMark/>
          </w:tcPr>
          <w:p w14:paraId="0B9C3594" w14:textId="77777777" w:rsidR="00FD21FE" w:rsidRDefault="00FD21FE">
            <w:pPr>
              <w:rPr>
                <w:rFonts w:ascii="Verdana" w:hAnsi="Verdana"/>
                <w:sz w:val="16"/>
                <w:szCs w:val="16"/>
                <w:lang w:val="es-CO"/>
              </w:rPr>
            </w:pPr>
            <w:r>
              <w:rPr>
                <w:rFonts w:ascii="Verdana" w:hAnsi="Verdana"/>
                <w:sz w:val="16"/>
                <w:szCs w:val="16"/>
                <w:lang w:val="es-CO"/>
              </w:rPr>
              <w:t>Elaborar un procedimiento al interior de la alcaldía sobre las cuentas /facturaciones presentadas por los prestadores AAA que contenga un análisis riguroso de los componentes de la tarifa, especialmente los de la medición, la correcta asignación oficial de usos y estratos, la adecuada aplicación de los porcentajes de subsidios y contribuciones, el debido recaudo de las contribuciones solidarias. En el caso de la prestación del servicio de aseo, un análisis de los costos asociados a cada uno de los componentes tarifarios y la auditoría a su facturación.</w:t>
            </w:r>
          </w:p>
        </w:tc>
        <w:tc>
          <w:tcPr>
            <w:tcW w:w="1559" w:type="dxa"/>
            <w:tcBorders>
              <w:top w:val="single" w:sz="4" w:space="0" w:color="auto"/>
              <w:left w:val="single" w:sz="4" w:space="0" w:color="auto"/>
              <w:bottom w:val="single" w:sz="4" w:space="0" w:color="auto"/>
              <w:right w:val="single" w:sz="4" w:space="0" w:color="auto"/>
            </w:tcBorders>
            <w:hideMark/>
          </w:tcPr>
          <w:p w14:paraId="02C03461" w14:textId="77777777" w:rsidR="00FD21FE" w:rsidRDefault="00FD21FE">
            <w:pPr>
              <w:rPr>
                <w:rFonts w:ascii="Verdana" w:hAnsi="Verdana"/>
                <w:sz w:val="16"/>
                <w:szCs w:val="16"/>
                <w:lang w:val="es-CO"/>
              </w:rPr>
            </w:pPr>
            <w:r>
              <w:rPr>
                <w:rFonts w:ascii="Verdana" w:hAnsi="Verdana"/>
                <w:sz w:val="16"/>
                <w:szCs w:val="16"/>
                <w:lang w:val="es-CO"/>
              </w:rPr>
              <w:t>Informe de verificación de destinación de los recursos del SGP para pago de los subsidios</w:t>
            </w:r>
          </w:p>
        </w:tc>
        <w:tc>
          <w:tcPr>
            <w:tcW w:w="2126" w:type="dxa"/>
            <w:tcBorders>
              <w:top w:val="single" w:sz="4" w:space="0" w:color="auto"/>
              <w:left w:val="single" w:sz="4" w:space="0" w:color="auto"/>
              <w:bottom w:val="single" w:sz="4" w:space="0" w:color="auto"/>
              <w:right w:val="single" w:sz="4" w:space="0" w:color="auto"/>
            </w:tcBorders>
          </w:tcPr>
          <w:p w14:paraId="22A616E7"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58C94F18" w14:textId="77777777" w:rsidR="00FD21FE" w:rsidRDefault="00FD21FE">
            <w:pPr>
              <w:rPr>
                <w:rFonts w:ascii="Verdana" w:hAnsi="Verdana"/>
                <w:sz w:val="16"/>
                <w:szCs w:val="16"/>
                <w:lang w:val="es-CO"/>
              </w:rPr>
            </w:pPr>
          </w:p>
          <w:p w14:paraId="3DEC3EE2" w14:textId="77777777" w:rsidR="00FD21FE" w:rsidRDefault="00FD21FE">
            <w:pPr>
              <w:jc w:val="both"/>
              <w:rPr>
                <w:rFonts w:ascii="Verdana" w:hAnsi="Verdana"/>
                <w:i/>
                <w:iCs/>
                <w:sz w:val="16"/>
                <w:szCs w:val="16"/>
                <w:lang w:val="es-CO"/>
              </w:rPr>
            </w:pPr>
            <w:r>
              <w:rPr>
                <w:rFonts w:ascii="Verdana" w:hAnsi="Verdana"/>
                <w:i/>
                <w:iCs/>
                <w:sz w:val="16"/>
                <w:szCs w:val="16"/>
              </w:rPr>
              <w:t>El procedimiento para el otorgamiento de subsidios y aportes a servicios públicos inicia con el agotamiento de la metodología, la información suministrada a la alcaldía municipal de San Martín Cesar y la planeación presupuestal de los subsidios, para la posterior aprobación y suscripción del contrato y/o convenio de transferencia, seguido de los criterios establecidos para el otorgamiento y pago de subsidios y, por último, los criterios para la transferencia de los aportes solidarios</w:t>
            </w:r>
          </w:p>
        </w:tc>
        <w:tc>
          <w:tcPr>
            <w:tcW w:w="2888" w:type="dxa"/>
            <w:tcBorders>
              <w:top w:val="single" w:sz="4" w:space="0" w:color="auto"/>
              <w:left w:val="single" w:sz="4" w:space="0" w:color="auto"/>
              <w:bottom w:val="single" w:sz="4" w:space="0" w:color="auto"/>
              <w:right w:val="single" w:sz="4" w:space="0" w:color="auto"/>
            </w:tcBorders>
          </w:tcPr>
          <w:p w14:paraId="2B3544E9" w14:textId="77777777" w:rsidR="00FD21FE" w:rsidRDefault="00FD21FE">
            <w:pPr>
              <w:rPr>
                <w:rFonts w:ascii="Verdana" w:hAnsi="Verdana"/>
                <w:sz w:val="16"/>
                <w:szCs w:val="16"/>
                <w:lang w:val="es-CO"/>
              </w:rPr>
            </w:pPr>
            <w:r>
              <w:rPr>
                <w:rFonts w:ascii="Verdana" w:hAnsi="Verdana"/>
                <w:sz w:val="16"/>
                <w:szCs w:val="16"/>
                <w:lang w:val="es-CO"/>
              </w:rPr>
              <w:t>EL documento entregado está bien estructurado, cumple con el propósito de la revisión de las facturas y cuentas de cobro presentadas por los diferentes prestadores.</w:t>
            </w:r>
          </w:p>
          <w:p w14:paraId="35A16C32" w14:textId="77777777" w:rsidR="00FD21FE" w:rsidRDefault="00FD21FE">
            <w:pPr>
              <w:rPr>
                <w:rFonts w:ascii="Verdana" w:hAnsi="Verdana"/>
                <w:sz w:val="16"/>
                <w:szCs w:val="16"/>
                <w:lang w:val="es-CO"/>
              </w:rPr>
            </w:pPr>
          </w:p>
          <w:p w14:paraId="0CC093EE" w14:textId="77777777" w:rsidR="00FD21FE" w:rsidRDefault="00FD21FE">
            <w:pPr>
              <w:rPr>
                <w:rFonts w:ascii="Verdana" w:hAnsi="Verdana"/>
                <w:sz w:val="16"/>
                <w:szCs w:val="16"/>
                <w:lang w:val="es-CO"/>
              </w:rPr>
            </w:pPr>
            <w:r>
              <w:rPr>
                <w:rFonts w:ascii="Verdana" w:hAnsi="Verdana"/>
                <w:sz w:val="16"/>
                <w:szCs w:val="16"/>
                <w:lang w:val="es-CO"/>
              </w:rPr>
              <w:t>También hace referencia a los requisitos para el pago de subsidios en prestadores rurales.</w:t>
            </w:r>
          </w:p>
          <w:p w14:paraId="52F7DC2A" w14:textId="77777777" w:rsidR="00FD21FE" w:rsidRDefault="00FD21FE">
            <w:pPr>
              <w:rPr>
                <w:rFonts w:ascii="Verdana" w:hAnsi="Verdana"/>
                <w:sz w:val="16"/>
                <w:szCs w:val="16"/>
                <w:lang w:val="es-CO"/>
              </w:rPr>
            </w:pPr>
          </w:p>
          <w:p w14:paraId="09C614C6" w14:textId="77777777" w:rsidR="00FD21FE" w:rsidRDefault="00FD21FE">
            <w:pPr>
              <w:rPr>
                <w:rFonts w:ascii="Verdana" w:hAnsi="Verdana"/>
                <w:sz w:val="16"/>
                <w:szCs w:val="16"/>
                <w:lang w:val="es-CO"/>
              </w:rPr>
            </w:pPr>
            <w:r>
              <w:rPr>
                <w:rFonts w:ascii="Verdana" w:hAnsi="Verdana"/>
                <w:sz w:val="16"/>
                <w:szCs w:val="16"/>
                <w:lang w:val="es-CO"/>
              </w:rPr>
              <w:t>Se debe poner en práctica lo contenido en este documento.</w:t>
            </w:r>
          </w:p>
          <w:p w14:paraId="0F17976C" w14:textId="77777777" w:rsidR="00FD21FE" w:rsidRDefault="00FD21FE">
            <w:pPr>
              <w:rPr>
                <w:rFonts w:ascii="Verdana" w:hAnsi="Verdana"/>
                <w:sz w:val="16"/>
                <w:szCs w:val="16"/>
                <w:lang w:val="es-CO"/>
              </w:rPr>
            </w:pPr>
          </w:p>
          <w:p w14:paraId="1718B326" w14:textId="77777777" w:rsidR="00FD21FE" w:rsidRDefault="00FD21FE">
            <w:pPr>
              <w:rPr>
                <w:rFonts w:ascii="Verdana" w:hAnsi="Verdana"/>
                <w:b/>
                <w:bCs/>
                <w:sz w:val="16"/>
                <w:szCs w:val="16"/>
                <w:lang w:val="es-CO"/>
              </w:rPr>
            </w:pPr>
            <w:r>
              <w:rPr>
                <w:rFonts w:ascii="Verdana" w:hAnsi="Verdana"/>
                <w:b/>
                <w:bCs/>
                <w:sz w:val="16"/>
                <w:szCs w:val="16"/>
                <w:lang w:val="es-CO"/>
              </w:rPr>
              <w:t>CUMPLE</w:t>
            </w:r>
          </w:p>
        </w:tc>
      </w:tr>
      <w:tr w:rsidR="00FD21FE" w14:paraId="53B773AC"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18528C31" w14:textId="77777777" w:rsidR="00FD21FE" w:rsidRDefault="00FD21FE">
            <w:pPr>
              <w:jc w:val="center"/>
              <w:rPr>
                <w:rFonts w:ascii="Verdana" w:hAnsi="Verdana"/>
                <w:b/>
                <w:bCs/>
                <w:sz w:val="16"/>
                <w:szCs w:val="16"/>
                <w:lang w:val="es-CO"/>
              </w:rPr>
            </w:pPr>
            <w:r>
              <w:rPr>
                <w:rFonts w:ascii="Verdana" w:hAnsi="Verdana"/>
                <w:b/>
                <w:bCs/>
                <w:sz w:val="16"/>
                <w:szCs w:val="16"/>
                <w:lang w:val="es-CO"/>
              </w:rPr>
              <w:t>9</w:t>
            </w:r>
          </w:p>
        </w:tc>
        <w:tc>
          <w:tcPr>
            <w:tcW w:w="1536" w:type="dxa"/>
            <w:tcBorders>
              <w:top w:val="single" w:sz="4" w:space="0" w:color="auto"/>
              <w:left w:val="single" w:sz="4" w:space="0" w:color="auto"/>
              <w:bottom w:val="single" w:sz="4" w:space="0" w:color="auto"/>
              <w:right w:val="single" w:sz="4" w:space="0" w:color="auto"/>
            </w:tcBorders>
            <w:hideMark/>
          </w:tcPr>
          <w:p w14:paraId="31D8F391" w14:textId="77777777" w:rsidR="00FD21FE" w:rsidRDefault="00FD21FE">
            <w:pPr>
              <w:rPr>
                <w:rFonts w:ascii="Verdana" w:hAnsi="Verdana"/>
                <w:sz w:val="16"/>
                <w:szCs w:val="16"/>
                <w:lang w:val="es-CO"/>
              </w:rPr>
            </w:pPr>
            <w:r>
              <w:rPr>
                <w:rFonts w:ascii="Verdana" w:hAnsi="Verdana"/>
                <w:sz w:val="16"/>
                <w:szCs w:val="16"/>
                <w:lang w:val="es-CO"/>
              </w:rPr>
              <w:t>Evaluar la deuda por concepto de subsidios generados por la prestación</w:t>
            </w:r>
          </w:p>
          <w:p w14:paraId="6B04CB41" w14:textId="77777777" w:rsidR="00FD21FE" w:rsidRDefault="00FD21FE">
            <w:pPr>
              <w:rPr>
                <w:rFonts w:ascii="Verdana" w:hAnsi="Verdana"/>
                <w:sz w:val="16"/>
                <w:szCs w:val="16"/>
                <w:lang w:val="es-CO"/>
              </w:rPr>
            </w:pPr>
            <w:r>
              <w:rPr>
                <w:rFonts w:ascii="Verdana" w:hAnsi="Verdana"/>
                <w:sz w:val="16"/>
                <w:szCs w:val="16"/>
                <w:lang w:val="es-CO"/>
              </w:rPr>
              <w:t>de los servicios públicos de acueducto, alcantarillado y aseo en vigencias anteriores</w:t>
            </w:r>
          </w:p>
        </w:tc>
        <w:tc>
          <w:tcPr>
            <w:tcW w:w="1559" w:type="dxa"/>
            <w:tcBorders>
              <w:top w:val="single" w:sz="4" w:space="0" w:color="auto"/>
              <w:left w:val="single" w:sz="4" w:space="0" w:color="auto"/>
              <w:bottom w:val="single" w:sz="4" w:space="0" w:color="auto"/>
              <w:right w:val="single" w:sz="4" w:space="0" w:color="auto"/>
            </w:tcBorders>
            <w:hideMark/>
          </w:tcPr>
          <w:p w14:paraId="31F664B1" w14:textId="77777777" w:rsidR="00FD21FE" w:rsidRDefault="00FD21FE">
            <w:pPr>
              <w:rPr>
                <w:rFonts w:ascii="Verdana" w:hAnsi="Verdana"/>
                <w:sz w:val="16"/>
                <w:szCs w:val="16"/>
                <w:lang w:val="es-CO"/>
              </w:rPr>
            </w:pPr>
            <w:r>
              <w:rPr>
                <w:rFonts w:ascii="Verdana" w:hAnsi="Verdana"/>
                <w:sz w:val="16"/>
                <w:szCs w:val="16"/>
                <w:lang w:val="es-CO"/>
              </w:rPr>
              <w:t>Informe de evaluación de factibilidad jurídica, técnica y financiera de pagar la deuda por concepto de subsidios generados por la prestación de los servicios públicos de acueducto, alcantarillado y aseo en vigencias anteriores</w:t>
            </w:r>
          </w:p>
        </w:tc>
        <w:tc>
          <w:tcPr>
            <w:tcW w:w="2126" w:type="dxa"/>
            <w:tcBorders>
              <w:top w:val="single" w:sz="4" w:space="0" w:color="auto"/>
              <w:left w:val="single" w:sz="4" w:space="0" w:color="auto"/>
              <w:bottom w:val="single" w:sz="4" w:space="0" w:color="auto"/>
              <w:right w:val="single" w:sz="4" w:space="0" w:color="auto"/>
            </w:tcBorders>
            <w:hideMark/>
          </w:tcPr>
          <w:p w14:paraId="54819951"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0AE3890D" w14:textId="77777777" w:rsidR="00FD21FE" w:rsidRDefault="00FD21FE">
            <w:pPr>
              <w:jc w:val="both"/>
              <w:rPr>
                <w:rFonts w:ascii="Verdana" w:hAnsi="Verdana"/>
                <w:i/>
                <w:iCs/>
                <w:sz w:val="16"/>
                <w:szCs w:val="16"/>
              </w:rPr>
            </w:pPr>
            <w:r>
              <w:rPr>
                <w:rFonts w:ascii="Verdana" w:hAnsi="Verdana"/>
                <w:i/>
                <w:iCs/>
                <w:sz w:val="16"/>
                <w:szCs w:val="16"/>
              </w:rPr>
              <w:t>La asesoría jurídica de la administración municipal presentó un informe detallado respecto de la evaluación de factibilidad jurídica, técnica y financiera de pagar la deuda por concepto de subsidios generados por la prestación de los servicios públicos de acueducto, alcantarillado y aseo en vigencias anteriores.</w:t>
            </w:r>
          </w:p>
          <w:p w14:paraId="560D7C48" w14:textId="77777777" w:rsidR="00FD21FE" w:rsidRDefault="00FD21FE">
            <w:pPr>
              <w:jc w:val="both"/>
              <w:rPr>
                <w:rFonts w:ascii="Verdana" w:hAnsi="Verdana"/>
                <w:i/>
                <w:iCs/>
                <w:sz w:val="16"/>
                <w:szCs w:val="16"/>
                <w:lang w:val="es-CO"/>
              </w:rPr>
            </w:pPr>
            <w:r>
              <w:rPr>
                <w:rFonts w:ascii="Verdana" w:hAnsi="Verdana"/>
                <w:i/>
                <w:iCs/>
                <w:sz w:val="16"/>
                <w:szCs w:val="16"/>
              </w:rPr>
              <w:t>Anexo 10</w:t>
            </w:r>
          </w:p>
        </w:tc>
        <w:tc>
          <w:tcPr>
            <w:tcW w:w="2888" w:type="dxa"/>
            <w:tcBorders>
              <w:top w:val="single" w:sz="4" w:space="0" w:color="auto"/>
              <w:left w:val="single" w:sz="4" w:space="0" w:color="auto"/>
              <w:bottom w:val="single" w:sz="4" w:space="0" w:color="auto"/>
              <w:right w:val="single" w:sz="4" w:space="0" w:color="auto"/>
            </w:tcBorders>
          </w:tcPr>
          <w:p w14:paraId="5E65B7B6" w14:textId="77777777" w:rsidR="00FD21FE" w:rsidRDefault="00FD21FE">
            <w:pPr>
              <w:rPr>
                <w:rFonts w:ascii="Verdana" w:hAnsi="Verdana"/>
                <w:sz w:val="16"/>
                <w:szCs w:val="16"/>
                <w:lang w:val="es-CO"/>
              </w:rPr>
            </w:pPr>
            <w:r>
              <w:rPr>
                <w:rFonts w:ascii="Verdana" w:hAnsi="Verdana"/>
                <w:sz w:val="16"/>
                <w:szCs w:val="16"/>
                <w:lang w:val="es-CO"/>
              </w:rPr>
              <w:t>En la asistencia técnica del 31 de mayo de 2023 con la Entidad Territorial y la APCES, quedó claro que en este momento no existe una deuda cierta por concepto de subsidios en la prestación del servicio de Acueducto y Alcantarillado, de vigencias anteriores.</w:t>
            </w:r>
          </w:p>
          <w:p w14:paraId="7F45ADFC" w14:textId="77777777" w:rsidR="00FD21FE" w:rsidRDefault="00FD21FE">
            <w:pPr>
              <w:rPr>
                <w:rFonts w:ascii="Verdana" w:hAnsi="Verdana"/>
                <w:sz w:val="16"/>
                <w:szCs w:val="16"/>
                <w:lang w:val="es-CO"/>
              </w:rPr>
            </w:pPr>
          </w:p>
          <w:p w14:paraId="2F3099D4" w14:textId="77777777" w:rsidR="00FD21FE" w:rsidRDefault="00FD21FE">
            <w:pPr>
              <w:rPr>
                <w:rFonts w:ascii="Verdana" w:hAnsi="Verdana"/>
                <w:sz w:val="16"/>
                <w:szCs w:val="16"/>
                <w:lang w:val="es-CO"/>
              </w:rPr>
            </w:pPr>
            <w:r>
              <w:rPr>
                <w:rFonts w:ascii="Verdana" w:hAnsi="Verdana"/>
                <w:sz w:val="16"/>
                <w:szCs w:val="16"/>
                <w:lang w:val="es-CO"/>
              </w:rPr>
              <w:t>Si bien existe en ejecución un proceso en el cual la APCES cobra subsidios de vigencias 2013 a 2018, el documento anexo hace referencia a lo siguiente:</w:t>
            </w:r>
          </w:p>
          <w:p w14:paraId="768A2876" w14:textId="77777777" w:rsidR="00FD21FE" w:rsidRDefault="00FD21FE">
            <w:pPr>
              <w:rPr>
                <w:rFonts w:ascii="Verdana" w:hAnsi="Verdana"/>
                <w:sz w:val="16"/>
                <w:szCs w:val="16"/>
                <w:lang w:val="es-CO"/>
              </w:rPr>
            </w:pPr>
          </w:p>
          <w:p w14:paraId="2D3F3DE4" w14:textId="77777777" w:rsidR="00FD21FE" w:rsidRDefault="00FD21FE">
            <w:pPr>
              <w:jc w:val="both"/>
              <w:rPr>
                <w:rFonts w:ascii="Verdana" w:hAnsi="Verdana"/>
                <w:i/>
                <w:iCs/>
                <w:sz w:val="16"/>
                <w:szCs w:val="16"/>
                <w:lang w:val="es-CO"/>
              </w:rPr>
            </w:pPr>
            <w:r>
              <w:rPr>
                <w:rFonts w:ascii="Verdana" w:hAnsi="Verdana"/>
                <w:i/>
                <w:iCs/>
                <w:sz w:val="16"/>
                <w:szCs w:val="16"/>
                <w:lang w:val="es-CO"/>
              </w:rPr>
              <w:t>“se logra evidenciar que el Municipio de San Martín, Cesar, no presenta deudas con la EMPRESA ADMINISTRADORA PÚBLICA COOPERATIVA EMPRESA SOLIDARIA DE SAN MARTIN CESAR, “APCES E.S.P.” por concepto de subsidios generados por la prestación de servicios públicos de acueducto alcantarillado y aseo, en vigencias que correspondan al año 2013 hasta el año 2022, pues como se denota, por una parte estas no han sido probadas las presunta deudas, ante la autoridad judicial competente en lo que respecta a las vigencias 2013 al 2018, motivo por el cual el Tribunal Administrativo del Cesar, resolvió IMPROBAR la conciliación extrajudicial consignado en el Acta No. 290 del 30 de septiembre de 2019 declaró la conciliación;</w:t>
            </w:r>
          </w:p>
          <w:p w14:paraId="6E361397" w14:textId="77777777" w:rsidR="00FD21FE" w:rsidRDefault="00FD21FE">
            <w:pPr>
              <w:jc w:val="both"/>
              <w:rPr>
                <w:rFonts w:ascii="Verdana" w:hAnsi="Verdana"/>
                <w:i/>
                <w:iCs/>
                <w:sz w:val="16"/>
                <w:szCs w:val="16"/>
                <w:lang w:val="es-CO"/>
              </w:rPr>
            </w:pPr>
          </w:p>
          <w:p w14:paraId="2B9A77CD" w14:textId="77777777" w:rsidR="00FD21FE" w:rsidRDefault="00FD21FE">
            <w:pPr>
              <w:jc w:val="both"/>
              <w:rPr>
                <w:rFonts w:ascii="Verdana" w:hAnsi="Verdana"/>
                <w:sz w:val="16"/>
                <w:szCs w:val="16"/>
                <w:lang w:val="es-CO"/>
              </w:rPr>
            </w:pPr>
            <w:r>
              <w:rPr>
                <w:rFonts w:ascii="Verdana" w:hAnsi="Verdana"/>
                <w:sz w:val="16"/>
                <w:szCs w:val="16"/>
                <w:lang w:val="es-CO"/>
              </w:rPr>
              <w:t xml:space="preserve">No obstante lo anterior, en la reunión de asistencia técnica, la DAF manifestó que la </w:t>
            </w:r>
            <w:r>
              <w:rPr>
                <w:rFonts w:ascii="Verdana" w:hAnsi="Verdana"/>
                <w:b/>
                <w:bCs/>
                <w:sz w:val="16"/>
                <w:szCs w:val="16"/>
                <w:lang w:val="es-CO"/>
              </w:rPr>
              <w:t>deuda</w:t>
            </w:r>
            <w:r>
              <w:rPr>
                <w:rFonts w:ascii="Verdana" w:hAnsi="Verdana"/>
                <w:sz w:val="16"/>
                <w:szCs w:val="16"/>
                <w:lang w:val="es-CO"/>
              </w:rPr>
              <w:t xml:space="preserve"> por concepto de déficit de subsidios de los servicios públicos de AAA, no es financiable con los recursos sectoriales del SGP APSB de conformidad con el </w:t>
            </w:r>
            <w:r w:rsidR="001677E6">
              <w:rPr>
                <w:rFonts w:ascii="Verdana" w:hAnsi="Verdana"/>
                <w:sz w:val="16"/>
                <w:szCs w:val="16"/>
                <w:lang w:val="es-CO"/>
              </w:rPr>
              <w:t>artículo</w:t>
            </w:r>
            <w:r>
              <w:rPr>
                <w:rFonts w:ascii="Verdana" w:hAnsi="Verdana"/>
                <w:sz w:val="16"/>
                <w:szCs w:val="16"/>
                <w:lang w:val="es-CO"/>
              </w:rPr>
              <w:t xml:space="preserve"> 11 de la Ley 1176 de 2007.</w:t>
            </w:r>
          </w:p>
          <w:p w14:paraId="5FF2B555" w14:textId="77777777" w:rsidR="00FD21FE" w:rsidRDefault="00FD21FE">
            <w:pPr>
              <w:jc w:val="both"/>
              <w:rPr>
                <w:rFonts w:ascii="Verdana" w:hAnsi="Verdana"/>
                <w:sz w:val="16"/>
                <w:szCs w:val="16"/>
                <w:lang w:val="es-CO"/>
              </w:rPr>
            </w:pPr>
          </w:p>
          <w:p w14:paraId="7D23711D" w14:textId="77777777" w:rsidR="00FD21FE" w:rsidRDefault="00FD21FE">
            <w:pPr>
              <w:jc w:val="both"/>
              <w:rPr>
                <w:rFonts w:ascii="Verdana" w:hAnsi="Verdana"/>
                <w:b/>
                <w:bCs/>
                <w:i/>
                <w:iCs/>
                <w:sz w:val="16"/>
                <w:szCs w:val="16"/>
                <w:lang w:val="es-CO"/>
              </w:rPr>
            </w:pPr>
            <w:r>
              <w:rPr>
                <w:rFonts w:ascii="Verdana" w:hAnsi="Verdana"/>
                <w:b/>
                <w:bCs/>
                <w:sz w:val="16"/>
                <w:szCs w:val="16"/>
                <w:lang w:val="es-CO"/>
              </w:rPr>
              <w:t>CUMPLE</w:t>
            </w:r>
          </w:p>
        </w:tc>
      </w:tr>
      <w:tr w:rsidR="00FD21FE" w14:paraId="0E1CE210"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3FDD7D5A" w14:textId="77777777" w:rsidR="00FD21FE" w:rsidRDefault="00FD21FE">
            <w:pPr>
              <w:jc w:val="center"/>
              <w:rPr>
                <w:rFonts w:ascii="Verdana" w:hAnsi="Verdana"/>
                <w:b/>
                <w:bCs/>
                <w:sz w:val="16"/>
                <w:szCs w:val="16"/>
                <w:lang w:val="es-CO"/>
              </w:rPr>
            </w:pPr>
            <w:r>
              <w:rPr>
                <w:rFonts w:ascii="Verdana" w:hAnsi="Verdana"/>
                <w:b/>
                <w:bCs/>
                <w:sz w:val="16"/>
                <w:szCs w:val="16"/>
                <w:lang w:val="es-CO"/>
              </w:rPr>
              <w:t>10</w:t>
            </w:r>
          </w:p>
        </w:tc>
        <w:tc>
          <w:tcPr>
            <w:tcW w:w="1536" w:type="dxa"/>
            <w:tcBorders>
              <w:top w:val="single" w:sz="4" w:space="0" w:color="auto"/>
              <w:left w:val="single" w:sz="4" w:space="0" w:color="auto"/>
              <w:bottom w:val="single" w:sz="4" w:space="0" w:color="auto"/>
              <w:right w:val="single" w:sz="4" w:space="0" w:color="auto"/>
            </w:tcBorders>
            <w:hideMark/>
          </w:tcPr>
          <w:p w14:paraId="2F1EC6CE" w14:textId="77777777" w:rsidR="00FD21FE" w:rsidRDefault="00FD21FE">
            <w:pPr>
              <w:jc w:val="both"/>
              <w:rPr>
                <w:rFonts w:ascii="Verdana" w:hAnsi="Verdana"/>
                <w:sz w:val="16"/>
                <w:szCs w:val="16"/>
                <w:lang w:val="es-CO"/>
              </w:rPr>
            </w:pPr>
            <w:r>
              <w:rPr>
                <w:rFonts w:ascii="Verdana" w:hAnsi="Verdana"/>
                <w:sz w:val="16"/>
                <w:szCs w:val="16"/>
                <w:lang w:val="es-CO"/>
              </w:rPr>
              <w:t>Diseñar mecanismo y definir los responsables y equipos necesarios para el de cargue de información contractual a los sistemas dispuestos por el Gobierno Nacional para este fin, con una previa verificación y validación de la completitud, calidad y pertinencia de la información a reportar</w:t>
            </w:r>
          </w:p>
        </w:tc>
        <w:tc>
          <w:tcPr>
            <w:tcW w:w="1559" w:type="dxa"/>
            <w:tcBorders>
              <w:top w:val="single" w:sz="4" w:space="0" w:color="auto"/>
              <w:left w:val="single" w:sz="4" w:space="0" w:color="auto"/>
              <w:bottom w:val="single" w:sz="4" w:space="0" w:color="auto"/>
              <w:right w:val="single" w:sz="4" w:space="0" w:color="auto"/>
            </w:tcBorders>
            <w:hideMark/>
          </w:tcPr>
          <w:p w14:paraId="4ABD8FE5" w14:textId="77777777" w:rsidR="00FD21FE" w:rsidRDefault="00FD21FE">
            <w:pPr>
              <w:rPr>
                <w:rFonts w:ascii="Verdana" w:hAnsi="Verdana"/>
                <w:sz w:val="16"/>
                <w:szCs w:val="16"/>
                <w:lang w:val="es-CO"/>
              </w:rPr>
            </w:pPr>
            <w:r>
              <w:rPr>
                <w:rFonts w:ascii="Verdana" w:hAnsi="Verdana"/>
                <w:sz w:val="16"/>
                <w:szCs w:val="16"/>
                <w:lang w:val="es-CO"/>
              </w:rPr>
              <w:t>Informe periódico de reporte de información en el SECOP</w:t>
            </w:r>
          </w:p>
        </w:tc>
        <w:tc>
          <w:tcPr>
            <w:tcW w:w="2126" w:type="dxa"/>
            <w:tcBorders>
              <w:top w:val="single" w:sz="4" w:space="0" w:color="auto"/>
              <w:left w:val="single" w:sz="4" w:space="0" w:color="auto"/>
              <w:bottom w:val="single" w:sz="4" w:space="0" w:color="auto"/>
              <w:right w:val="single" w:sz="4" w:space="0" w:color="auto"/>
            </w:tcBorders>
          </w:tcPr>
          <w:p w14:paraId="654633D5"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513F64F2" w14:textId="77777777" w:rsidR="00FD21FE" w:rsidRDefault="00FD21FE">
            <w:pPr>
              <w:rPr>
                <w:rFonts w:ascii="Verdana" w:hAnsi="Verdana"/>
                <w:sz w:val="16"/>
                <w:szCs w:val="16"/>
              </w:rPr>
            </w:pPr>
          </w:p>
          <w:p w14:paraId="08106757" w14:textId="77777777" w:rsidR="00FD21FE" w:rsidRDefault="00FD21FE">
            <w:pPr>
              <w:jc w:val="both"/>
              <w:rPr>
                <w:rFonts w:ascii="Verdana" w:hAnsi="Verdana"/>
                <w:i/>
                <w:iCs/>
                <w:sz w:val="16"/>
                <w:szCs w:val="16"/>
              </w:rPr>
            </w:pPr>
            <w:r>
              <w:rPr>
                <w:rFonts w:ascii="Verdana" w:hAnsi="Verdana"/>
                <w:i/>
                <w:iCs/>
                <w:sz w:val="16"/>
                <w:szCs w:val="16"/>
              </w:rPr>
              <w:t>La secretaría de Planeación y el grupo de contratación delego como responsable el funcionario Willinton Argote Profesional Universitario de Sistemas del área de planeación el cargue de la información contractual a los sistemas dispuestos por el Gobierno Nacional SECOP y presentar todos los meses a la oficina de planeación Municipal un informe relacionando a los contratos y con su debido link que se encuentran al día con la publicación información. La anterior que mediante manual de funciones este funcionario tiene a su responsabilidad esta función específica.</w:t>
            </w:r>
          </w:p>
        </w:tc>
        <w:tc>
          <w:tcPr>
            <w:tcW w:w="2888" w:type="dxa"/>
            <w:tcBorders>
              <w:top w:val="single" w:sz="4" w:space="0" w:color="auto"/>
              <w:left w:val="single" w:sz="4" w:space="0" w:color="auto"/>
              <w:bottom w:val="single" w:sz="4" w:space="0" w:color="auto"/>
              <w:right w:val="single" w:sz="4" w:space="0" w:color="auto"/>
            </w:tcBorders>
          </w:tcPr>
          <w:p w14:paraId="78593CC2" w14:textId="77777777" w:rsidR="00FD21FE" w:rsidRDefault="00FD21FE">
            <w:pPr>
              <w:jc w:val="both"/>
              <w:rPr>
                <w:rFonts w:ascii="Verdana" w:hAnsi="Verdana"/>
                <w:sz w:val="16"/>
                <w:szCs w:val="16"/>
                <w:lang w:val="es-CO"/>
              </w:rPr>
            </w:pPr>
            <w:r>
              <w:rPr>
                <w:rFonts w:ascii="Verdana" w:hAnsi="Verdana"/>
                <w:sz w:val="16"/>
                <w:szCs w:val="16"/>
                <w:lang w:val="es-CO"/>
              </w:rPr>
              <w:t>Es de anotar que por manual de funciones en la entidad territorial, esta actividad tiene un responsable par el cargue de la información al SECOP.</w:t>
            </w:r>
          </w:p>
          <w:p w14:paraId="127CDB9C" w14:textId="77777777" w:rsidR="00FD21FE" w:rsidRDefault="00FD21FE">
            <w:pPr>
              <w:jc w:val="both"/>
              <w:rPr>
                <w:rFonts w:ascii="Verdana" w:hAnsi="Verdana"/>
                <w:sz w:val="16"/>
                <w:szCs w:val="16"/>
                <w:lang w:val="es-CO"/>
              </w:rPr>
            </w:pPr>
          </w:p>
          <w:p w14:paraId="5B01B055" w14:textId="77777777" w:rsidR="00FD21FE" w:rsidRDefault="00FD21FE">
            <w:pPr>
              <w:jc w:val="both"/>
              <w:rPr>
                <w:rFonts w:ascii="Verdana" w:hAnsi="Verdana"/>
                <w:sz w:val="16"/>
                <w:szCs w:val="16"/>
                <w:lang w:val="es-CO"/>
              </w:rPr>
            </w:pPr>
            <w:r>
              <w:rPr>
                <w:rFonts w:ascii="Verdana" w:hAnsi="Verdana"/>
                <w:sz w:val="16"/>
                <w:szCs w:val="16"/>
                <w:lang w:val="es-CO"/>
              </w:rPr>
              <w:t>Sin embargo</w:t>
            </w:r>
            <w:r w:rsidR="001677E6">
              <w:rPr>
                <w:rFonts w:ascii="Verdana" w:hAnsi="Verdana"/>
                <w:sz w:val="16"/>
                <w:szCs w:val="16"/>
                <w:lang w:val="es-CO"/>
              </w:rPr>
              <w:t>,</w:t>
            </w:r>
            <w:r>
              <w:rPr>
                <w:rFonts w:ascii="Verdana" w:hAnsi="Verdana"/>
                <w:sz w:val="16"/>
                <w:szCs w:val="16"/>
                <w:lang w:val="es-CO"/>
              </w:rPr>
              <w:t xml:space="preserve"> el producto asociado es un informe periódico del reporte de la información.</w:t>
            </w:r>
          </w:p>
          <w:p w14:paraId="6AD6A3B6" w14:textId="77777777" w:rsidR="00FD21FE" w:rsidRDefault="00FD21FE">
            <w:pPr>
              <w:jc w:val="both"/>
              <w:rPr>
                <w:rFonts w:ascii="Verdana" w:hAnsi="Verdana"/>
                <w:sz w:val="16"/>
                <w:szCs w:val="16"/>
                <w:lang w:val="es-CO"/>
              </w:rPr>
            </w:pPr>
          </w:p>
          <w:p w14:paraId="47538077" w14:textId="77777777" w:rsidR="00FD21FE" w:rsidRDefault="00FD21FE">
            <w:pPr>
              <w:jc w:val="both"/>
              <w:rPr>
                <w:rFonts w:ascii="Verdana" w:hAnsi="Verdana"/>
                <w:sz w:val="16"/>
                <w:szCs w:val="16"/>
                <w:lang w:val="es-CO"/>
              </w:rPr>
            </w:pPr>
            <w:r>
              <w:rPr>
                <w:rFonts w:ascii="Verdana" w:hAnsi="Verdana"/>
                <w:sz w:val="16"/>
                <w:szCs w:val="16"/>
                <w:lang w:val="es-CO"/>
              </w:rPr>
              <w:t xml:space="preserve">Este </w:t>
            </w:r>
            <w:r w:rsidR="001677E6">
              <w:rPr>
                <w:rFonts w:ascii="Verdana" w:hAnsi="Verdana"/>
                <w:sz w:val="16"/>
                <w:szCs w:val="16"/>
                <w:lang w:val="es-CO"/>
              </w:rPr>
              <w:t>documento no</w:t>
            </w:r>
            <w:r>
              <w:rPr>
                <w:rFonts w:ascii="Verdana" w:hAnsi="Verdana"/>
                <w:sz w:val="16"/>
                <w:szCs w:val="16"/>
                <w:lang w:val="es-CO"/>
              </w:rPr>
              <w:t xml:space="preserve"> fue anex</w:t>
            </w:r>
            <w:r w:rsidR="001677E6">
              <w:rPr>
                <w:rFonts w:ascii="Verdana" w:hAnsi="Verdana"/>
                <w:sz w:val="16"/>
                <w:szCs w:val="16"/>
                <w:lang w:val="es-CO"/>
              </w:rPr>
              <w:t>ad</w:t>
            </w:r>
            <w:r>
              <w:rPr>
                <w:rFonts w:ascii="Verdana" w:hAnsi="Verdana"/>
                <w:sz w:val="16"/>
                <w:szCs w:val="16"/>
                <w:lang w:val="es-CO"/>
              </w:rPr>
              <w:t>o en esta entrega.</w:t>
            </w:r>
          </w:p>
          <w:p w14:paraId="69743F1A" w14:textId="77777777" w:rsidR="00FD21FE" w:rsidRDefault="00FD21FE">
            <w:pPr>
              <w:jc w:val="both"/>
              <w:rPr>
                <w:rFonts w:ascii="Verdana" w:hAnsi="Verdana"/>
                <w:sz w:val="16"/>
                <w:szCs w:val="16"/>
                <w:lang w:val="es-CO"/>
              </w:rPr>
            </w:pPr>
          </w:p>
          <w:p w14:paraId="2BA5BB89" w14:textId="77777777" w:rsidR="00FD21FE" w:rsidRDefault="00FD21FE">
            <w:pPr>
              <w:jc w:val="both"/>
              <w:rPr>
                <w:rFonts w:ascii="Verdana" w:hAnsi="Verdana"/>
                <w:sz w:val="16"/>
                <w:szCs w:val="16"/>
                <w:lang w:val="es-CO"/>
              </w:rPr>
            </w:pPr>
            <w:r>
              <w:rPr>
                <w:rFonts w:ascii="Verdana" w:hAnsi="Verdana"/>
                <w:sz w:val="16"/>
                <w:szCs w:val="16"/>
                <w:lang w:val="es-CO"/>
              </w:rPr>
              <w:t>Vale la pena aclara que dentro del informe se sugiere tener, entre otra, la siguiente información:</w:t>
            </w:r>
          </w:p>
          <w:p w14:paraId="1018509D" w14:textId="77777777" w:rsidR="00FD21FE" w:rsidRDefault="00FD21FE">
            <w:pPr>
              <w:jc w:val="both"/>
              <w:rPr>
                <w:rFonts w:ascii="Verdana" w:hAnsi="Verdana"/>
                <w:sz w:val="16"/>
                <w:szCs w:val="16"/>
                <w:lang w:val="es-CO"/>
              </w:rPr>
            </w:pPr>
          </w:p>
          <w:p w14:paraId="0FD94259" w14:textId="77777777" w:rsidR="00FD21FE" w:rsidRDefault="00FD21FE">
            <w:pPr>
              <w:jc w:val="both"/>
              <w:rPr>
                <w:rFonts w:ascii="Verdana" w:hAnsi="Verdana"/>
                <w:i/>
                <w:iCs/>
                <w:sz w:val="16"/>
                <w:szCs w:val="16"/>
                <w:lang w:val="es-CO"/>
              </w:rPr>
            </w:pPr>
            <w:r>
              <w:rPr>
                <w:rFonts w:ascii="Verdana" w:hAnsi="Verdana"/>
                <w:i/>
                <w:iCs/>
                <w:sz w:val="16"/>
                <w:szCs w:val="16"/>
                <w:lang w:val="es-CO"/>
              </w:rPr>
              <w:t>Las obras sectoriales (Acueducto, Alcantarillado y Aseo) que se están ejecutando en la Entidad, en el que se identifique como mínimo, el número del proceso contractual, el número del proceso en el SECOP, el vínculo del proceso al SECOP, Identificación del contratista (Nombre y NIT), el Supervisor y/o interventor, la cantidad de recursos utilizados (Total del contrato y total ejecutado), la fuente de financiación, la población beneficiaria, el impacto generado sobre la cobertura, calidad y continuidad en los servicios de acueducto y/o saneamiento básico en la población, el estado de la obra, fecha de inicio y terminación de la obra, el seguimiento de las garantías, la relación de los informes de interventoría con el estado y las dificultades presentadas en la ejecución de las obras, entre otra información adicional que se considere relevante por parte de la Entidad Territorial.</w:t>
            </w:r>
          </w:p>
          <w:p w14:paraId="1CD3035C" w14:textId="77777777" w:rsidR="00FD21FE" w:rsidRDefault="00FD21FE">
            <w:pPr>
              <w:jc w:val="both"/>
              <w:rPr>
                <w:rFonts w:ascii="Verdana" w:hAnsi="Verdana"/>
                <w:sz w:val="16"/>
                <w:szCs w:val="16"/>
                <w:lang w:val="es-CO"/>
              </w:rPr>
            </w:pPr>
          </w:p>
          <w:p w14:paraId="6634AEA5" w14:textId="77777777" w:rsidR="00FD21FE" w:rsidRDefault="00FD21FE">
            <w:pPr>
              <w:jc w:val="both"/>
              <w:rPr>
                <w:rFonts w:ascii="Verdana" w:hAnsi="Verdana"/>
                <w:b/>
                <w:bCs/>
                <w:sz w:val="16"/>
                <w:szCs w:val="16"/>
                <w:lang w:val="es-CO"/>
              </w:rPr>
            </w:pPr>
            <w:r>
              <w:rPr>
                <w:rFonts w:ascii="Verdana" w:hAnsi="Verdana"/>
                <w:b/>
                <w:bCs/>
                <w:sz w:val="16"/>
                <w:szCs w:val="16"/>
                <w:lang w:val="es-CO"/>
              </w:rPr>
              <w:t>CUMPLIMIENTO PARCIAL</w:t>
            </w:r>
          </w:p>
        </w:tc>
      </w:tr>
      <w:tr w:rsidR="00FD21FE" w14:paraId="40597CC6"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0519256E" w14:textId="77777777" w:rsidR="00FD21FE" w:rsidRDefault="00FD21FE">
            <w:pPr>
              <w:jc w:val="center"/>
              <w:rPr>
                <w:rFonts w:ascii="Verdana" w:hAnsi="Verdana"/>
                <w:b/>
                <w:bCs/>
                <w:sz w:val="16"/>
                <w:szCs w:val="16"/>
                <w:lang w:val="es-CO"/>
              </w:rPr>
            </w:pPr>
            <w:r>
              <w:rPr>
                <w:rFonts w:ascii="Verdana" w:hAnsi="Verdana"/>
                <w:b/>
                <w:bCs/>
                <w:sz w:val="16"/>
                <w:szCs w:val="16"/>
                <w:lang w:val="es-CO"/>
              </w:rPr>
              <w:t>11</w:t>
            </w:r>
          </w:p>
        </w:tc>
        <w:tc>
          <w:tcPr>
            <w:tcW w:w="1536" w:type="dxa"/>
            <w:tcBorders>
              <w:top w:val="single" w:sz="4" w:space="0" w:color="auto"/>
              <w:left w:val="single" w:sz="4" w:space="0" w:color="auto"/>
              <w:bottom w:val="single" w:sz="4" w:space="0" w:color="auto"/>
              <w:right w:val="single" w:sz="4" w:space="0" w:color="auto"/>
            </w:tcBorders>
            <w:hideMark/>
          </w:tcPr>
          <w:p w14:paraId="30BDA77B" w14:textId="77777777" w:rsidR="00FD21FE" w:rsidRDefault="00FD21FE">
            <w:pPr>
              <w:jc w:val="both"/>
              <w:rPr>
                <w:rFonts w:ascii="Verdana" w:hAnsi="Verdana"/>
                <w:sz w:val="16"/>
                <w:szCs w:val="16"/>
                <w:lang w:val="es-CO"/>
              </w:rPr>
            </w:pPr>
            <w:r>
              <w:rPr>
                <w:rFonts w:ascii="Verdana" w:hAnsi="Verdana"/>
                <w:sz w:val="16"/>
                <w:szCs w:val="16"/>
                <w:lang w:val="es-CO"/>
              </w:rPr>
              <w:t>Actualizar el manual de contratación en el cual se identifique el capítulo de la inversión sectorial y el debido proceso para la ejecución de los proyectos con los prestadores de servicios públicos</w:t>
            </w:r>
          </w:p>
        </w:tc>
        <w:tc>
          <w:tcPr>
            <w:tcW w:w="1559" w:type="dxa"/>
            <w:tcBorders>
              <w:top w:val="single" w:sz="4" w:space="0" w:color="auto"/>
              <w:left w:val="single" w:sz="4" w:space="0" w:color="auto"/>
              <w:bottom w:val="single" w:sz="4" w:space="0" w:color="auto"/>
              <w:right w:val="single" w:sz="4" w:space="0" w:color="auto"/>
            </w:tcBorders>
            <w:hideMark/>
          </w:tcPr>
          <w:p w14:paraId="76CEEE33" w14:textId="77777777" w:rsidR="00FD21FE" w:rsidRDefault="00FD21FE">
            <w:pPr>
              <w:rPr>
                <w:rFonts w:ascii="Verdana" w:hAnsi="Verdana"/>
                <w:sz w:val="16"/>
                <w:szCs w:val="16"/>
                <w:lang w:val="es-CO"/>
              </w:rPr>
            </w:pPr>
            <w:r>
              <w:rPr>
                <w:rFonts w:ascii="Verdana" w:hAnsi="Verdana"/>
                <w:sz w:val="16"/>
                <w:szCs w:val="16"/>
                <w:lang w:val="es-CO"/>
              </w:rPr>
              <w:t>Manual de contratación actualizado</w:t>
            </w:r>
          </w:p>
        </w:tc>
        <w:tc>
          <w:tcPr>
            <w:tcW w:w="2126" w:type="dxa"/>
            <w:tcBorders>
              <w:top w:val="single" w:sz="4" w:space="0" w:color="auto"/>
              <w:left w:val="single" w:sz="4" w:space="0" w:color="auto"/>
              <w:bottom w:val="single" w:sz="4" w:space="0" w:color="auto"/>
              <w:right w:val="single" w:sz="4" w:space="0" w:color="auto"/>
            </w:tcBorders>
          </w:tcPr>
          <w:p w14:paraId="7B951688"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218E50ED" w14:textId="77777777" w:rsidR="00FD21FE" w:rsidRDefault="00FD21FE">
            <w:pPr>
              <w:rPr>
                <w:rFonts w:ascii="Verdana" w:hAnsi="Verdana"/>
                <w:sz w:val="16"/>
                <w:szCs w:val="16"/>
                <w:lang w:val="es-CO"/>
              </w:rPr>
            </w:pPr>
          </w:p>
          <w:p w14:paraId="6BC34EC4" w14:textId="77777777" w:rsidR="00FD21FE" w:rsidRDefault="00FD21FE">
            <w:pPr>
              <w:jc w:val="both"/>
              <w:rPr>
                <w:rFonts w:ascii="Verdana" w:hAnsi="Verdana"/>
                <w:i/>
                <w:iCs/>
                <w:sz w:val="16"/>
                <w:szCs w:val="16"/>
                <w:lang w:val="es-CO"/>
              </w:rPr>
            </w:pPr>
            <w:r>
              <w:rPr>
                <w:rFonts w:ascii="Verdana" w:hAnsi="Verdana"/>
                <w:i/>
                <w:iCs/>
                <w:sz w:val="16"/>
                <w:szCs w:val="16"/>
              </w:rPr>
              <w:t>De manera general el Manual de Contratación vigente hace referencia a los mecanismos de selección de contratistas, entre ellos la contratación directa, propia de los CONVENIOS suscritos con APCES ESP. En cuanto a las demás modalidades de selección el manual id. plasma lo propio</w:t>
            </w:r>
          </w:p>
        </w:tc>
        <w:tc>
          <w:tcPr>
            <w:tcW w:w="2888" w:type="dxa"/>
            <w:tcBorders>
              <w:top w:val="single" w:sz="4" w:space="0" w:color="auto"/>
              <w:left w:val="single" w:sz="4" w:space="0" w:color="auto"/>
              <w:bottom w:val="single" w:sz="4" w:space="0" w:color="auto"/>
              <w:right w:val="single" w:sz="4" w:space="0" w:color="auto"/>
            </w:tcBorders>
          </w:tcPr>
          <w:p w14:paraId="3EB197A9" w14:textId="77777777" w:rsidR="00FD21FE" w:rsidRDefault="00FD21FE">
            <w:pPr>
              <w:rPr>
                <w:rFonts w:ascii="Verdana" w:hAnsi="Verdana"/>
                <w:sz w:val="16"/>
                <w:szCs w:val="16"/>
                <w:lang w:val="es-CO"/>
              </w:rPr>
            </w:pPr>
            <w:r>
              <w:rPr>
                <w:rFonts w:ascii="Verdana" w:hAnsi="Verdana"/>
                <w:sz w:val="16"/>
                <w:szCs w:val="16"/>
                <w:lang w:val="es-CO"/>
              </w:rPr>
              <w:t>El documento al que se hace referencia manifiesta también que:</w:t>
            </w:r>
          </w:p>
          <w:p w14:paraId="3E13FBF2" w14:textId="77777777" w:rsidR="00FD21FE" w:rsidRDefault="00FD21FE">
            <w:pPr>
              <w:rPr>
                <w:rFonts w:ascii="Verdana" w:hAnsi="Verdana"/>
                <w:sz w:val="16"/>
                <w:szCs w:val="16"/>
                <w:lang w:val="es-CO"/>
              </w:rPr>
            </w:pPr>
          </w:p>
          <w:p w14:paraId="1FB54CAE" w14:textId="77777777" w:rsidR="00FD21FE" w:rsidRDefault="00FD21FE">
            <w:pPr>
              <w:jc w:val="both"/>
              <w:rPr>
                <w:rFonts w:ascii="Verdana" w:hAnsi="Verdana"/>
                <w:i/>
                <w:iCs/>
                <w:sz w:val="16"/>
                <w:szCs w:val="16"/>
                <w:lang w:val="es-CO"/>
              </w:rPr>
            </w:pPr>
            <w:r>
              <w:rPr>
                <w:rFonts w:ascii="Verdana" w:hAnsi="Verdana"/>
                <w:i/>
                <w:iCs/>
                <w:sz w:val="16"/>
                <w:szCs w:val="16"/>
                <w:lang w:val="es-CO"/>
              </w:rPr>
              <w:t>El asesor jurídico contractual se recomienda actualizar el manual de contracción una vez se expida EL PLAN NACIONAL DE DESARROLLO “COLOMBIA POTENCIA MUNDIAL DE LA VIDA”, debido a que este se transforma en ley nacional y es probable que contenga disposiciones modificatorias y/o complementarias a los procesos contractuales territoriales.</w:t>
            </w:r>
          </w:p>
          <w:p w14:paraId="094B79EB" w14:textId="77777777" w:rsidR="00FD21FE" w:rsidRDefault="00FD21FE">
            <w:pPr>
              <w:jc w:val="both"/>
              <w:rPr>
                <w:rFonts w:ascii="Verdana" w:hAnsi="Verdana"/>
                <w:i/>
                <w:iCs/>
                <w:sz w:val="16"/>
                <w:szCs w:val="16"/>
                <w:lang w:val="es-CO"/>
              </w:rPr>
            </w:pPr>
          </w:p>
          <w:p w14:paraId="2F90E385" w14:textId="77777777" w:rsidR="00FD21FE" w:rsidRDefault="00FD21FE">
            <w:pPr>
              <w:jc w:val="both"/>
              <w:rPr>
                <w:rFonts w:ascii="Verdana" w:hAnsi="Verdana"/>
                <w:sz w:val="16"/>
                <w:szCs w:val="16"/>
                <w:lang w:val="es-CO"/>
              </w:rPr>
            </w:pPr>
            <w:r>
              <w:rPr>
                <w:rFonts w:ascii="Verdana" w:hAnsi="Verdana"/>
                <w:sz w:val="16"/>
                <w:szCs w:val="16"/>
                <w:lang w:val="es-CO"/>
              </w:rPr>
              <w:t>No existe información anexa que soporte la manifestado por la Entidad.</w:t>
            </w:r>
          </w:p>
          <w:p w14:paraId="6475332A" w14:textId="77777777" w:rsidR="00FD21FE" w:rsidRDefault="00FD21FE">
            <w:pPr>
              <w:jc w:val="both"/>
              <w:rPr>
                <w:rFonts w:ascii="Verdana" w:hAnsi="Verdana"/>
                <w:sz w:val="16"/>
                <w:szCs w:val="16"/>
                <w:lang w:val="es-CO"/>
              </w:rPr>
            </w:pPr>
          </w:p>
          <w:p w14:paraId="7F38C7E4" w14:textId="77777777" w:rsidR="00FD21FE" w:rsidRDefault="00FD21FE">
            <w:pPr>
              <w:jc w:val="both"/>
              <w:rPr>
                <w:rFonts w:ascii="Verdana" w:hAnsi="Verdana"/>
                <w:b/>
                <w:bCs/>
                <w:i/>
                <w:iCs/>
                <w:sz w:val="16"/>
                <w:szCs w:val="16"/>
                <w:lang w:val="es-CO"/>
              </w:rPr>
            </w:pPr>
            <w:r>
              <w:rPr>
                <w:rFonts w:ascii="Verdana" w:hAnsi="Verdana"/>
                <w:b/>
                <w:bCs/>
                <w:sz w:val="16"/>
                <w:szCs w:val="16"/>
                <w:lang w:val="es-CO"/>
              </w:rPr>
              <w:t>NO CUMPLE.</w:t>
            </w:r>
          </w:p>
        </w:tc>
      </w:tr>
      <w:tr w:rsidR="00FD21FE" w14:paraId="5C6E23C9"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44149704" w14:textId="77777777" w:rsidR="00FD21FE" w:rsidRDefault="00FD21FE">
            <w:pPr>
              <w:jc w:val="center"/>
              <w:rPr>
                <w:rFonts w:ascii="Verdana" w:hAnsi="Verdana"/>
                <w:b/>
                <w:bCs/>
                <w:sz w:val="16"/>
                <w:szCs w:val="16"/>
                <w:lang w:val="es-CO"/>
              </w:rPr>
            </w:pPr>
            <w:r>
              <w:rPr>
                <w:rFonts w:ascii="Verdana" w:hAnsi="Verdana"/>
                <w:b/>
                <w:bCs/>
                <w:sz w:val="16"/>
                <w:szCs w:val="16"/>
                <w:lang w:val="es-CO"/>
              </w:rPr>
              <w:t>12</w:t>
            </w:r>
          </w:p>
        </w:tc>
        <w:tc>
          <w:tcPr>
            <w:tcW w:w="1536" w:type="dxa"/>
            <w:tcBorders>
              <w:top w:val="single" w:sz="4" w:space="0" w:color="auto"/>
              <w:left w:val="single" w:sz="4" w:space="0" w:color="auto"/>
              <w:bottom w:val="single" w:sz="4" w:space="0" w:color="auto"/>
              <w:right w:val="single" w:sz="4" w:space="0" w:color="auto"/>
            </w:tcBorders>
            <w:hideMark/>
          </w:tcPr>
          <w:p w14:paraId="64F23B2F" w14:textId="77777777" w:rsidR="00FD21FE" w:rsidRDefault="00FD21FE">
            <w:pPr>
              <w:jc w:val="both"/>
              <w:rPr>
                <w:rFonts w:ascii="Verdana" w:hAnsi="Verdana"/>
                <w:sz w:val="16"/>
                <w:szCs w:val="16"/>
                <w:lang w:val="es-CO"/>
              </w:rPr>
            </w:pPr>
            <w:r>
              <w:rPr>
                <w:rFonts w:ascii="Verdana" w:hAnsi="Verdana"/>
                <w:sz w:val="16"/>
                <w:szCs w:val="16"/>
                <w:lang w:val="es-CO"/>
              </w:rPr>
              <w:t>Garantizar que las estratificaciones urbanas y rurales se realicen, se adopten, se apliquen y permanezcan actualizadas a través del Comité Permanente de Estratificación municipal.</w:t>
            </w:r>
          </w:p>
        </w:tc>
        <w:tc>
          <w:tcPr>
            <w:tcW w:w="1559" w:type="dxa"/>
            <w:tcBorders>
              <w:top w:val="single" w:sz="4" w:space="0" w:color="auto"/>
              <w:left w:val="single" w:sz="4" w:space="0" w:color="auto"/>
              <w:bottom w:val="single" w:sz="4" w:space="0" w:color="auto"/>
              <w:right w:val="single" w:sz="4" w:space="0" w:color="auto"/>
            </w:tcBorders>
          </w:tcPr>
          <w:p w14:paraId="3BD565E6" w14:textId="77777777" w:rsidR="00FD21FE" w:rsidRDefault="00FD21FE">
            <w:pPr>
              <w:rPr>
                <w:rFonts w:ascii="Verdana" w:hAnsi="Verdana"/>
                <w:sz w:val="16"/>
                <w:szCs w:val="16"/>
                <w:lang w:val="es-CO"/>
              </w:rPr>
            </w:pPr>
            <w:r>
              <w:rPr>
                <w:rFonts w:ascii="Verdana" w:hAnsi="Verdana"/>
                <w:sz w:val="16"/>
                <w:szCs w:val="16"/>
                <w:lang w:val="es-CO"/>
              </w:rPr>
              <w:t>Actas de activación del comité permanente de estratificación.</w:t>
            </w:r>
          </w:p>
          <w:p w14:paraId="04B2EAA5" w14:textId="77777777" w:rsidR="00FD21FE" w:rsidRDefault="00FD21FE">
            <w:pPr>
              <w:rPr>
                <w:rFonts w:ascii="Verdana" w:hAnsi="Verdana"/>
                <w:sz w:val="16"/>
                <w:szCs w:val="16"/>
                <w:lang w:val="es-CO"/>
              </w:rPr>
            </w:pPr>
          </w:p>
          <w:p w14:paraId="5EE0775C" w14:textId="77777777" w:rsidR="00FD21FE" w:rsidRDefault="00FD21FE">
            <w:pPr>
              <w:rPr>
                <w:rFonts w:ascii="Verdana" w:hAnsi="Verdana"/>
                <w:sz w:val="16"/>
                <w:szCs w:val="16"/>
                <w:lang w:val="es-CO"/>
              </w:rPr>
            </w:pPr>
            <w:r>
              <w:rPr>
                <w:rFonts w:ascii="Verdana" w:hAnsi="Verdana"/>
                <w:sz w:val="16"/>
                <w:szCs w:val="16"/>
                <w:lang w:val="es-CO"/>
              </w:rPr>
              <w:t>Creación del concurso económico para estratificación.</w:t>
            </w:r>
          </w:p>
          <w:p w14:paraId="644FDFD5" w14:textId="77777777" w:rsidR="00FD21FE" w:rsidRDefault="00FD21FE">
            <w:pPr>
              <w:rPr>
                <w:rFonts w:ascii="Verdana" w:hAnsi="Verdana"/>
                <w:sz w:val="16"/>
                <w:szCs w:val="16"/>
                <w:lang w:val="es-CO"/>
              </w:rPr>
            </w:pPr>
          </w:p>
          <w:p w14:paraId="674ADF4B" w14:textId="77777777" w:rsidR="00FD21FE" w:rsidRDefault="00FD21FE">
            <w:pPr>
              <w:rPr>
                <w:rFonts w:ascii="Verdana" w:hAnsi="Verdana"/>
                <w:sz w:val="16"/>
                <w:szCs w:val="16"/>
                <w:lang w:val="es-CO"/>
              </w:rPr>
            </w:pPr>
            <w:r>
              <w:rPr>
                <w:rFonts w:ascii="Verdana" w:hAnsi="Verdana"/>
                <w:sz w:val="16"/>
                <w:szCs w:val="16"/>
                <w:lang w:val="es-CO"/>
              </w:rPr>
              <w:t>Estudio de Actualización de la Estratificación Urbana.</w:t>
            </w:r>
          </w:p>
          <w:p w14:paraId="3E65362F" w14:textId="77777777" w:rsidR="00FD21FE" w:rsidRDefault="00FD21FE">
            <w:pPr>
              <w:rPr>
                <w:rFonts w:ascii="Verdana" w:hAnsi="Verdana"/>
                <w:sz w:val="16"/>
                <w:szCs w:val="16"/>
                <w:lang w:val="es-CO"/>
              </w:rPr>
            </w:pPr>
          </w:p>
          <w:p w14:paraId="4BDC7F2B" w14:textId="77777777" w:rsidR="00FD21FE" w:rsidRDefault="00FD21FE">
            <w:pPr>
              <w:rPr>
                <w:rFonts w:ascii="Verdana" w:hAnsi="Verdana"/>
                <w:sz w:val="16"/>
                <w:szCs w:val="16"/>
                <w:lang w:val="es-CO"/>
              </w:rPr>
            </w:pPr>
            <w:r>
              <w:rPr>
                <w:rFonts w:ascii="Verdana" w:hAnsi="Verdana"/>
                <w:sz w:val="16"/>
                <w:szCs w:val="16"/>
                <w:lang w:val="es-CO"/>
              </w:rPr>
              <w:t>Autorización del concejo municipal para uso de recursos de aporte para la estratificación.</w:t>
            </w:r>
          </w:p>
          <w:p w14:paraId="65076325" w14:textId="77777777" w:rsidR="00FD21FE" w:rsidRDefault="00FD21FE">
            <w:pPr>
              <w:rPr>
                <w:rFonts w:ascii="Verdana" w:hAnsi="Verdana"/>
                <w:sz w:val="16"/>
                <w:szCs w:val="16"/>
                <w:lang w:val="es-CO"/>
              </w:rPr>
            </w:pPr>
          </w:p>
          <w:p w14:paraId="67736A11" w14:textId="77777777" w:rsidR="00FD21FE" w:rsidRDefault="00FD21FE">
            <w:pPr>
              <w:rPr>
                <w:rFonts w:ascii="Verdana" w:hAnsi="Verdana"/>
                <w:sz w:val="16"/>
                <w:szCs w:val="16"/>
                <w:lang w:val="es-CO"/>
              </w:rPr>
            </w:pPr>
            <w:r>
              <w:rPr>
                <w:rFonts w:ascii="Verdana" w:hAnsi="Verdana"/>
                <w:sz w:val="16"/>
                <w:szCs w:val="16"/>
                <w:lang w:val="es-CO"/>
              </w:rPr>
              <w:t>Agotamiento metodología de solicitud de autorización y estratificación ante el DANE y demás trámites requeridos</w:t>
            </w:r>
          </w:p>
        </w:tc>
        <w:tc>
          <w:tcPr>
            <w:tcW w:w="2126" w:type="dxa"/>
            <w:tcBorders>
              <w:top w:val="single" w:sz="4" w:space="0" w:color="auto"/>
              <w:left w:val="single" w:sz="4" w:space="0" w:color="auto"/>
              <w:bottom w:val="single" w:sz="4" w:space="0" w:color="auto"/>
              <w:right w:val="single" w:sz="4" w:space="0" w:color="auto"/>
            </w:tcBorders>
          </w:tcPr>
          <w:p w14:paraId="51B8F008"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3EDD454A" w14:textId="77777777" w:rsidR="00FD21FE" w:rsidRDefault="00FD21FE">
            <w:pPr>
              <w:jc w:val="both"/>
              <w:rPr>
                <w:rFonts w:ascii="Verdana" w:hAnsi="Verdana"/>
                <w:sz w:val="16"/>
                <w:szCs w:val="16"/>
                <w:lang w:val="es-CO"/>
              </w:rPr>
            </w:pPr>
          </w:p>
          <w:p w14:paraId="49B7EE51" w14:textId="77777777" w:rsidR="00FD21FE" w:rsidRDefault="00FD21FE">
            <w:pPr>
              <w:jc w:val="both"/>
              <w:rPr>
                <w:rFonts w:ascii="Verdana" w:hAnsi="Verdana"/>
                <w:i/>
                <w:iCs/>
                <w:sz w:val="16"/>
                <w:szCs w:val="16"/>
                <w:lang w:val="es-CO"/>
              </w:rPr>
            </w:pPr>
            <w:r>
              <w:rPr>
                <w:rFonts w:ascii="Verdana" w:hAnsi="Verdana"/>
                <w:i/>
                <w:iCs/>
                <w:sz w:val="16"/>
                <w:szCs w:val="16"/>
                <w:lang w:val="es-CO"/>
              </w:rPr>
              <w:t>Para lo que va corrido del año 2023 el día 06 de enero bajo resolución N°021 se convocó a los representantes de los usuarios de los servicios públicos domiciliarios del área urbana y rural del municipio a formar parte de dicho comité.  El día 16 de marzo del 2023 bajo comunicación con radicado N° PMSMC-N°3.180-10-0121-2023 emitida por la Personería Municipal se notifica a la secretaría de planeación la no existencia de inscripciones por parte de los usuarios para la conformación del comité. Cabe resaltar que a día de hoy solo falta un miembro para completar los representantes ciudadanos (usuarios) establecidos por la normatividad correspondiente. No obstante, estamos por iniciar de nuevo de la mano con la Personería Municipal la convocatoria para suplir ese miembro faltante.</w:t>
            </w:r>
          </w:p>
          <w:p w14:paraId="303E6960" w14:textId="77777777" w:rsidR="00FD21FE" w:rsidRDefault="00FD21FE">
            <w:pPr>
              <w:jc w:val="both"/>
              <w:rPr>
                <w:rFonts w:ascii="Verdana" w:hAnsi="Verdana"/>
                <w:i/>
                <w:iCs/>
                <w:sz w:val="16"/>
                <w:szCs w:val="16"/>
                <w:lang w:val="es-CO"/>
              </w:rPr>
            </w:pPr>
          </w:p>
          <w:p w14:paraId="655D5A72" w14:textId="77777777" w:rsidR="00FD21FE" w:rsidRDefault="00FD21FE">
            <w:pPr>
              <w:jc w:val="both"/>
              <w:rPr>
                <w:rFonts w:ascii="Verdana" w:hAnsi="Verdana"/>
                <w:i/>
                <w:iCs/>
                <w:sz w:val="16"/>
                <w:szCs w:val="16"/>
                <w:lang w:val="es-CO"/>
              </w:rPr>
            </w:pPr>
            <w:r>
              <w:rPr>
                <w:rFonts w:ascii="Verdana" w:hAnsi="Verdana"/>
                <w:i/>
                <w:iCs/>
                <w:sz w:val="16"/>
                <w:szCs w:val="16"/>
                <w:lang w:val="es-CO"/>
              </w:rPr>
              <w:t>Por otra parte, respecto al Estudio de Actualización de la Estratificación Urbana la Secretaría de Planeación en comunicación enviada con consecutivo DAM – 01 – 0098 – 100 desde el despacho del alcalde municipal solicitó al Grupo de Estratificación del Departamento Administrativo Nacional de Estadística (DANE), las orientaciones técnicas sobre estratificación urbana, rural y rural dispersa.</w:t>
            </w:r>
          </w:p>
          <w:p w14:paraId="4963A7B2" w14:textId="77777777" w:rsidR="00FD21FE" w:rsidRDefault="00FD21FE">
            <w:pPr>
              <w:jc w:val="both"/>
              <w:rPr>
                <w:rFonts w:ascii="Verdana" w:hAnsi="Verdana"/>
                <w:i/>
                <w:iCs/>
                <w:sz w:val="16"/>
                <w:szCs w:val="16"/>
                <w:lang w:val="es-CO"/>
              </w:rPr>
            </w:pPr>
          </w:p>
          <w:p w14:paraId="0F25412B" w14:textId="77777777" w:rsidR="00FD21FE" w:rsidRDefault="00FD21FE">
            <w:pPr>
              <w:jc w:val="both"/>
              <w:rPr>
                <w:rFonts w:ascii="Verdana" w:hAnsi="Verdana"/>
                <w:sz w:val="16"/>
                <w:szCs w:val="16"/>
                <w:lang w:val="es-CO"/>
              </w:rPr>
            </w:pPr>
            <w:r>
              <w:rPr>
                <w:rFonts w:ascii="Verdana" w:hAnsi="Verdana"/>
                <w:sz w:val="16"/>
                <w:szCs w:val="16"/>
                <w:lang w:val="es-CO"/>
              </w:rPr>
              <w:t>Anexos 11 a 18</w:t>
            </w:r>
          </w:p>
          <w:p w14:paraId="2341B882" w14:textId="77777777" w:rsidR="00FD21FE" w:rsidRDefault="00FD21FE">
            <w:pPr>
              <w:jc w:val="both"/>
              <w:rPr>
                <w:rFonts w:ascii="Verdana" w:hAnsi="Verdana"/>
                <w:i/>
                <w:iCs/>
                <w:sz w:val="16"/>
                <w:szCs w:val="16"/>
                <w:lang w:val="es-CO"/>
              </w:rPr>
            </w:pPr>
          </w:p>
        </w:tc>
        <w:tc>
          <w:tcPr>
            <w:tcW w:w="2888" w:type="dxa"/>
            <w:tcBorders>
              <w:top w:val="single" w:sz="4" w:space="0" w:color="auto"/>
              <w:left w:val="single" w:sz="4" w:space="0" w:color="auto"/>
              <w:bottom w:val="single" w:sz="4" w:space="0" w:color="auto"/>
              <w:right w:val="single" w:sz="4" w:space="0" w:color="auto"/>
            </w:tcBorders>
          </w:tcPr>
          <w:p w14:paraId="2B501B4F" w14:textId="77777777" w:rsidR="00FD21FE" w:rsidRDefault="00FD21FE">
            <w:pPr>
              <w:jc w:val="both"/>
              <w:rPr>
                <w:rFonts w:ascii="Verdana" w:hAnsi="Verdana"/>
                <w:sz w:val="16"/>
                <w:szCs w:val="16"/>
                <w:lang w:val="es-CO"/>
              </w:rPr>
            </w:pPr>
            <w:r>
              <w:rPr>
                <w:rFonts w:ascii="Verdana" w:hAnsi="Verdana"/>
                <w:sz w:val="16"/>
                <w:szCs w:val="16"/>
                <w:lang w:val="es-CO"/>
              </w:rPr>
              <w:t>En esta actividad se relacionan los 5 productos derivados de la estratificación, debido a los anexos presentados por la Entidad, los cuales hacen referencia a:</w:t>
            </w:r>
          </w:p>
          <w:p w14:paraId="3B347580" w14:textId="77777777" w:rsidR="00FD21FE" w:rsidRDefault="00FD21FE">
            <w:pPr>
              <w:jc w:val="both"/>
              <w:rPr>
                <w:rFonts w:ascii="Verdana" w:hAnsi="Verdana"/>
                <w:sz w:val="16"/>
                <w:szCs w:val="16"/>
                <w:lang w:val="es-CO"/>
              </w:rPr>
            </w:pPr>
            <w:r>
              <w:rPr>
                <w:rFonts w:ascii="Verdana" w:hAnsi="Verdana"/>
                <w:sz w:val="16"/>
                <w:szCs w:val="16"/>
                <w:lang w:val="es-CO"/>
              </w:rPr>
              <w:t xml:space="preserve">Anexo 11. Documentos del proceso de convocatoria a la conformación del Comité Permanente de estratificación desde la vigencia 2020 a 2022, en 194 folios. Los folios 54, 56, 58, 60,62, 65, 67, no son pertinentes. </w:t>
            </w:r>
          </w:p>
          <w:p w14:paraId="668C7422" w14:textId="77777777" w:rsidR="00FD21FE" w:rsidRDefault="00FD21FE">
            <w:pPr>
              <w:jc w:val="both"/>
              <w:rPr>
                <w:rFonts w:ascii="Verdana" w:hAnsi="Verdana"/>
                <w:sz w:val="16"/>
                <w:szCs w:val="16"/>
                <w:lang w:val="es-CO"/>
              </w:rPr>
            </w:pPr>
            <w:r>
              <w:rPr>
                <w:rFonts w:ascii="Verdana" w:hAnsi="Verdana"/>
                <w:sz w:val="16"/>
                <w:szCs w:val="16"/>
                <w:lang w:val="es-CO"/>
              </w:rPr>
              <w:t>Anexo 12: Decreto 036 de 2020, conformación del CPE.</w:t>
            </w:r>
          </w:p>
          <w:p w14:paraId="355024E1" w14:textId="77777777" w:rsidR="00FD21FE" w:rsidRDefault="00FD21FE">
            <w:pPr>
              <w:jc w:val="both"/>
              <w:rPr>
                <w:rFonts w:ascii="Verdana" w:hAnsi="Verdana"/>
                <w:sz w:val="16"/>
                <w:szCs w:val="16"/>
                <w:lang w:val="es-CO"/>
              </w:rPr>
            </w:pPr>
            <w:r>
              <w:rPr>
                <w:rFonts w:ascii="Verdana" w:hAnsi="Verdana"/>
                <w:sz w:val="16"/>
                <w:szCs w:val="16"/>
                <w:lang w:val="es-CO"/>
              </w:rPr>
              <w:t>Anexo 13: Decreto 020 de 2010 conformación del CPE. Este es modificado por el Decreto 036.</w:t>
            </w:r>
          </w:p>
          <w:p w14:paraId="5EA38E20" w14:textId="77777777" w:rsidR="00FD21FE" w:rsidRDefault="00FD21FE">
            <w:pPr>
              <w:jc w:val="both"/>
              <w:rPr>
                <w:rFonts w:ascii="Verdana" w:hAnsi="Verdana"/>
                <w:sz w:val="16"/>
                <w:szCs w:val="16"/>
                <w:lang w:val="es-CO"/>
              </w:rPr>
            </w:pPr>
            <w:r>
              <w:rPr>
                <w:rFonts w:ascii="Verdana" w:hAnsi="Verdana"/>
                <w:sz w:val="16"/>
                <w:szCs w:val="16"/>
                <w:lang w:val="es-CO"/>
              </w:rPr>
              <w:t xml:space="preserve">Anexo 14: decreto 022 de 2010 actualización de la estratificación. </w:t>
            </w:r>
          </w:p>
          <w:p w14:paraId="439038EB" w14:textId="77777777" w:rsidR="00FD21FE" w:rsidRDefault="00FD21FE">
            <w:pPr>
              <w:jc w:val="both"/>
              <w:rPr>
                <w:rFonts w:ascii="Verdana" w:hAnsi="Verdana"/>
                <w:sz w:val="16"/>
                <w:szCs w:val="16"/>
                <w:lang w:val="es-CO"/>
              </w:rPr>
            </w:pPr>
            <w:r>
              <w:rPr>
                <w:rFonts w:ascii="Verdana" w:hAnsi="Verdana"/>
                <w:sz w:val="16"/>
                <w:szCs w:val="16"/>
                <w:lang w:val="es-CO"/>
              </w:rPr>
              <w:t>Anexo 15: Resolución 021 de 2023. Convoca para conformar el CPE.</w:t>
            </w:r>
          </w:p>
          <w:p w14:paraId="0EE45A4D" w14:textId="77777777" w:rsidR="00FD21FE" w:rsidRDefault="00FD21FE">
            <w:pPr>
              <w:jc w:val="both"/>
              <w:rPr>
                <w:rFonts w:ascii="Verdana" w:hAnsi="Verdana"/>
                <w:sz w:val="16"/>
                <w:szCs w:val="16"/>
                <w:lang w:val="es-CO"/>
              </w:rPr>
            </w:pPr>
            <w:r>
              <w:rPr>
                <w:rFonts w:ascii="Verdana" w:hAnsi="Verdana"/>
                <w:sz w:val="16"/>
                <w:szCs w:val="16"/>
                <w:lang w:val="es-CO"/>
              </w:rPr>
              <w:t>Anexo 16 de marzo de 2023. Oficio a la Admón. informando que no se pudo conformar el CPE, al no haber inscripciones para su conformación.</w:t>
            </w:r>
          </w:p>
          <w:p w14:paraId="69690806" w14:textId="77777777" w:rsidR="00FD21FE" w:rsidRDefault="00FD21FE">
            <w:pPr>
              <w:jc w:val="both"/>
              <w:rPr>
                <w:rFonts w:ascii="Verdana" w:hAnsi="Verdana"/>
                <w:sz w:val="16"/>
                <w:szCs w:val="16"/>
                <w:lang w:val="es-CO"/>
              </w:rPr>
            </w:pPr>
            <w:r>
              <w:rPr>
                <w:rFonts w:ascii="Verdana" w:hAnsi="Verdana"/>
                <w:sz w:val="16"/>
                <w:szCs w:val="16"/>
                <w:lang w:val="es-CO"/>
              </w:rPr>
              <w:t xml:space="preserve">Anexo 17: Oficio de la Admón. al DANE solicitando orientaciones para la actualización de la estratificación. </w:t>
            </w:r>
          </w:p>
          <w:p w14:paraId="7D65B607" w14:textId="77777777" w:rsidR="00FD21FE" w:rsidRDefault="00FD21FE">
            <w:pPr>
              <w:jc w:val="both"/>
              <w:rPr>
                <w:rFonts w:ascii="Verdana" w:hAnsi="Verdana"/>
                <w:sz w:val="16"/>
                <w:szCs w:val="16"/>
                <w:lang w:val="es-CO"/>
              </w:rPr>
            </w:pPr>
          </w:p>
          <w:p w14:paraId="4205214E" w14:textId="77777777" w:rsidR="00FD21FE" w:rsidRDefault="00FD21FE">
            <w:pPr>
              <w:jc w:val="both"/>
              <w:rPr>
                <w:rFonts w:ascii="Verdana" w:hAnsi="Verdana"/>
                <w:sz w:val="16"/>
                <w:szCs w:val="16"/>
                <w:lang w:val="es-CO"/>
              </w:rPr>
            </w:pPr>
            <w:r>
              <w:rPr>
                <w:rFonts w:ascii="Verdana" w:hAnsi="Verdana"/>
                <w:sz w:val="16"/>
                <w:szCs w:val="16"/>
                <w:lang w:val="es-CO"/>
              </w:rPr>
              <w:t>Anexo 18: CDP N° 0324 -5 de fecha 24/03/2023 de prestación de servicios para la reactivación del CPE y revisión general de la estratificación por $100 millones con fuente diferente al SGP APSB.</w:t>
            </w:r>
          </w:p>
          <w:p w14:paraId="59DB836D" w14:textId="77777777" w:rsidR="00FD21FE" w:rsidRDefault="00FD21FE">
            <w:pPr>
              <w:jc w:val="both"/>
              <w:rPr>
                <w:rFonts w:ascii="Verdana" w:hAnsi="Verdana"/>
                <w:sz w:val="16"/>
                <w:szCs w:val="16"/>
                <w:lang w:val="es-CO"/>
              </w:rPr>
            </w:pPr>
          </w:p>
          <w:p w14:paraId="554DE17C" w14:textId="77777777" w:rsidR="00FD21FE" w:rsidRDefault="00FD21FE">
            <w:pPr>
              <w:jc w:val="both"/>
              <w:rPr>
                <w:rFonts w:ascii="Verdana" w:hAnsi="Verdana"/>
                <w:sz w:val="16"/>
                <w:szCs w:val="16"/>
                <w:lang w:val="es-CO"/>
              </w:rPr>
            </w:pPr>
            <w:r>
              <w:rPr>
                <w:rFonts w:ascii="Verdana" w:hAnsi="Verdana"/>
                <w:sz w:val="16"/>
                <w:szCs w:val="16"/>
                <w:lang w:val="es-CO"/>
              </w:rPr>
              <w:t>Si bien la información adjunta anterior a la vigencia 2022, ya había sido entregada por la Entidad Territorial (Anexos 12,13,14), se evidencia la gestión para la conformación del CPE, la revisión de la estratificación, la solicitud de apoyo al DANE, entre otros aspectos.</w:t>
            </w:r>
          </w:p>
          <w:p w14:paraId="27D039AD" w14:textId="77777777" w:rsidR="00FD21FE" w:rsidRDefault="00FD21FE">
            <w:pPr>
              <w:rPr>
                <w:rFonts w:ascii="Verdana" w:hAnsi="Verdana"/>
                <w:sz w:val="16"/>
                <w:szCs w:val="16"/>
                <w:lang w:val="es-CO"/>
              </w:rPr>
            </w:pPr>
          </w:p>
          <w:p w14:paraId="7A415D56" w14:textId="77777777" w:rsidR="00FD21FE" w:rsidRDefault="00FD21FE">
            <w:pPr>
              <w:jc w:val="both"/>
              <w:rPr>
                <w:rFonts w:ascii="Verdana" w:hAnsi="Verdana"/>
                <w:sz w:val="16"/>
                <w:szCs w:val="16"/>
                <w:lang w:val="es-CO"/>
              </w:rPr>
            </w:pPr>
            <w:r>
              <w:rPr>
                <w:rFonts w:ascii="Verdana" w:hAnsi="Verdana"/>
                <w:sz w:val="16"/>
                <w:szCs w:val="16"/>
                <w:lang w:val="es-CO"/>
              </w:rPr>
              <w:t>Es de anotar que el concurso económico, de conformidad con el decreto 007 de 2010, es una posible fuente de financiación de la estratificación, no es la única. Es una actividad continua, que debe terminar con la actualización de la estratificación.</w:t>
            </w:r>
          </w:p>
          <w:p w14:paraId="38A6B4FD" w14:textId="77777777" w:rsidR="00FD21FE" w:rsidRDefault="00FD21FE">
            <w:pPr>
              <w:jc w:val="both"/>
              <w:rPr>
                <w:rFonts w:ascii="Verdana" w:hAnsi="Verdana"/>
                <w:sz w:val="16"/>
                <w:szCs w:val="16"/>
                <w:lang w:val="es-CO"/>
              </w:rPr>
            </w:pPr>
          </w:p>
          <w:p w14:paraId="6E7A146A" w14:textId="77777777" w:rsidR="00FD21FE" w:rsidRDefault="00FD21FE">
            <w:pPr>
              <w:rPr>
                <w:rFonts w:ascii="Verdana" w:hAnsi="Verdana"/>
                <w:b/>
                <w:bCs/>
                <w:sz w:val="16"/>
                <w:szCs w:val="16"/>
                <w:lang w:val="es-CO"/>
              </w:rPr>
            </w:pPr>
            <w:r>
              <w:rPr>
                <w:rFonts w:ascii="Verdana" w:hAnsi="Verdana"/>
                <w:b/>
                <w:bCs/>
                <w:sz w:val="16"/>
                <w:szCs w:val="16"/>
                <w:lang w:val="es-CO"/>
              </w:rPr>
              <w:t xml:space="preserve">EN EJECUCIÓN </w:t>
            </w:r>
            <w:r>
              <w:rPr>
                <w:rFonts w:ascii="Verdana" w:hAnsi="Verdana"/>
                <w:sz w:val="16"/>
                <w:szCs w:val="16"/>
                <w:lang w:val="es-CO"/>
              </w:rPr>
              <w:t>(A LOS 5 PRODUCTOS ASOCIADOS A LA ESTRATIFICACION)</w:t>
            </w:r>
          </w:p>
        </w:tc>
      </w:tr>
      <w:tr w:rsidR="00FD21FE" w14:paraId="3A06B7F6"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085FCAD6" w14:textId="77777777" w:rsidR="00FD21FE" w:rsidRDefault="00FD21FE">
            <w:pPr>
              <w:jc w:val="center"/>
              <w:rPr>
                <w:rFonts w:ascii="Verdana" w:hAnsi="Verdana"/>
                <w:b/>
                <w:bCs/>
                <w:sz w:val="16"/>
                <w:szCs w:val="16"/>
                <w:lang w:val="es-CO"/>
              </w:rPr>
            </w:pPr>
            <w:r>
              <w:rPr>
                <w:rFonts w:ascii="Verdana" w:hAnsi="Verdana"/>
                <w:b/>
                <w:bCs/>
                <w:sz w:val="16"/>
                <w:szCs w:val="16"/>
                <w:lang w:val="es-CO"/>
              </w:rPr>
              <w:t>13</w:t>
            </w:r>
          </w:p>
        </w:tc>
        <w:tc>
          <w:tcPr>
            <w:tcW w:w="1536" w:type="dxa"/>
            <w:tcBorders>
              <w:top w:val="single" w:sz="4" w:space="0" w:color="auto"/>
              <w:left w:val="single" w:sz="4" w:space="0" w:color="auto"/>
              <w:bottom w:val="single" w:sz="4" w:space="0" w:color="auto"/>
              <w:right w:val="single" w:sz="4" w:space="0" w:color="auto"/>
            </w:tcBorders>
            <w:hideMark/>
          </w:tcPr>
          <w:p w14:paraId="5DF52E09" w14:textId="77777777" w:rsidR="00FD21FE" w:rsidRDefault="00FD21FE">
            <w:pPr>
              <w:rPr>
                <w:rFonts w:ascii="Verdana" w:hAnsi="Verdana"/>
                <w:sz w:val="16"/>
                <w:szCs w:val="16"/>
                <w:lang w:val="es-CO"/>
              </w:rPr>
            </w:pPr>
            <w:r>
              <w:rPr>
                <w:rFonts w:ascii="Verdana" w:hAnsi="Verdana"/>
                <w:sz w:val="16"/>
                <w:szCs w:val="16"/>
                <w:lang w:val="es-CO"/>
              </w:rPr>
              <w:t>Acompañamiento por parte del Municipio de San Martín – Cesar a los acueductos veredales identificados en el Diagnóstico, para ser debidamente formalizados.</w:t>
            </w:r>
          </w:p>
        </w:tc>
        <w:tc>
          <w:tcPr>
            <w:tcW w:w="1559" w:type="dxa"/>
            <w:tcBorders>
              <w:top w:val="single" w:sz="4" w:space="0" w:color="auto"/>
              <w:left w:val="single" w:sz="4" w:space="0" w:color="auto"/>
              <w:bottom w:val="single" w:sz="4" w:space="0" w:color="auto"/>
              <w:right w:val="single" w:sz="4" w:space="0" w:color="auto"/>
            </w:tcBorders>
            <w:hideMark/>
          </w:tcPr>
          <w:p w14:paraId="21F3F540" w14:textId="77777777" w:rsidR="00FD21FE" w:rsidRDefault="00FD21FE">
            <w:pPr>
              <w:rPr>
                <w:rFonts w:ascii="Verdana" w:hAnsi="Verdana"/>
                <w:sz w:val="16"/>
                <w:szCs w:val="16"/>
                <w:lang w:val="es-CO"/>
              </w:rPr>
            </w:pPr>
            <w:r>
              <w:rPr>
                <w:rFonts w:ascii="Verdana" w:hAnsi="Verdana"/>
                <w:sz w:val="16"/>
                <w:szCs w:val="16"/>
                <w:lang w:val="es-CO"/>
              </w:rPr>
              <w:t>Formulación de inversión en proyectos rurales orientados al cumplimiento de metas de continuidad, cobertura, calidad y aseguramiento.</w:t>
            </w:r>
          </w:p>
        </w:tc>
        <w:tc>
          <w:tcPr>
            <w:tcW w:w="2126" w:type="dxa"/>
            <w:tcBorders>
              <w:top w:val="single" w:sz="4" w:space="0" w:color="auto"/>
              <w:left w:val="single" w:sz="4" w:space="0" w:color="auto"/>
              <w:bottom w:val="single" w:sz="4" w:space="0" w:color="auto"/>
              <w:right w:val="single" w:sz="4" w:space="0" w:color="auto"/>
            </w:tcBorders>
          </w:tcPr>
          <w:p w14:paraId="271453E5"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51E34225" w14:textId="77777777" w:rsidR="00FD21FE" w:rsidRDefault="00FD21FE">
            <w:pPr>
              <w:jc w:val="both"/>
              <w:rPr>
                <w:rFonts w:ascii="Verdana" w:hAnsi="Verdana"/>
                <w:sz w:val="16"/>
                <w:szCs w:val="16"/>
              </w:rPr>
            </w:pPr>
          </w:p>
          <w:p w14:paraId="166D69FF" w14:textId="77777777" w:rsidR="00FD21FE" w:rsidRDefault="00FD21FE">
            <w:pPr>
              <w:jc w:val="both"/>
              <w:rPr>
                <w:rFonts w:ascii="Verdana" w:hAnsi="Verdana"/>
                <w:i/>
                <w:iCs/>
                <w:sz w:val="16"/>
                <w:szCs w:val="16"/>
              </w:rPr>
            </w:pPr>
            <w:r>
              <w:rPr>
                <w:rFonts w:ascii="Verdana" w:hAnsi="Verdana"/>
                <w:i/>
                <w:iCs/>
                <w:sz w:val="16"/>
                <w:szCs w:val="16"/>
              </w:rPr>
              <w:t>“La administración Municipal a través de la Secretaría de Planeación en estos momentos está en proceso de alistamiento para el desarrollo contractual y poder cumplir con esta disposición. No obstante, ya se encuentra en etapa precontractual y que de la cual ya se expidió certificación de disponibilidad presupuestal”.</w:t>
            </w:r>
          </w:p>
          <w:p w14:paraId="7E882C55" w14:textId="77777777" w:rsidR="00FD21FE" w:rsidRDefault="00FD21FE">
            <w:pPr>
              <w:jc w:val="both"/>
              <w:rPr>
                <w:rFonts w:ascii="Verdana" w:hAnsi="Verdana"/>
                <w:i/>
                <w:iCs/>
                <w:sz w:val="16"/>
                <w:szCs w:val="16"/>
              </w:rPr>
            </w:pPr>
          </w:p>
          <w:p w14:paraId="4919AAC5" w14:textId="77777777" w:rsidR="00FD21FE" w:rsidRDefault="00FD21FE">
            <w:pPr>
              <w:jc w:val="both"/>
              <w:rPr>
                <w:rFonts w:ascii="Verdana" w:hAnsi="Verdana"/>
                <w:sz w:val="16"/>
                <w:szCs w:val="16"/>
                <w:lang w:val="es-CO"/>
              </w:rPr>
            </w:pPr>
            <w:r>
              <w:rPr>
                <w:rFonts w:ascii="Verdana" w:hAnsi="Verdana"/>
                <w:sz w:val="16"/>
                <w:szCs w:val="16"/>
              </w:rPr>
              <w:t>Anexo 19</w:t>
            </w:r>
          </w:p>
        </w:tc>
        <w:tc>
          <w:tcPr>
            <w:tcW w:w="2888" w:type="dxa"/>
            <w:tcBorders>
              <w:top w:val="single" w:sz="4" w:space="0" w:color="auto"/>
              <w:left w:val="single" w:sz="4" w:space="0" w:color="auto"/>
              <w:bottom w:val="single" w:sz="4" w:space="0" w:color="auto"/>
              <w:right w:val="single" w:sz="4" w:space="0" w:color="auto"/>
            </w:tcBorders>
          </w:tcPr>
          <w:p w14:paraId="78B92500" w14:textId="77777777" w:rsidR="00FD21FE" w:rsidRDefault="00FD21FE">
            <w:pPr>
              <w:jc w:val="both"/>
              <w:rPr>
                <w:rFonts w:ascii="Verdana" w:hAnsi="Verdana"/>
                <w:sz w:val="16"/>
                <w:szCs w:val="16"/>
                <w:lang w:val="es-CO"/>
              </w:rPr>
            </w:pPr>
            <w:r>
              <w:rPr>
                <w:rFonts w:ascii="Verdana" w:hAnsi="Verdana"/>
                <w:sz w:val="16"/>
                <w:szCs w:val="16"/>
                <w:lang w:val="es-CO"/>
              </w:rPr>
              <w:t>El anexo 19 es el CDP 0327-8 del 27-03-2023, que tiene por objeto la prestación de servicios profesionales para el desarrollo de las actividades de fortalecimiento y para la formalización de los servicios de agua potable y saneamiento básico rural del Municipio de San Martín – Cesar. El monto es de $64 millones y la fuente de financiación son los recursos del balance de libre destinación.</w:t>
            </w:r>
          </w:p>
          <w:p w14:paraId="71CD5E3E" w14:textId="77777777" w:rsidR="00FD21FE" w:rsidRDefault="00FD21FE">
            <w:pPr>
              <w:jc w:val="both"/>
              <w:rPr>
                <w:rFonts w:ascii="Verdana" w:hAnsi="Verdana"/>
                <w:sz w:val="16"/>
                <w:szCs w:val="16"/>
                <w:lang w:val="es-CO"/>
              </w:rPr>
            </w:pPr>
          </w:p>
          <w:p w14:paraId="6EA56A6E" w14:textId="77777777" w:rsidR="00FD21FE" w:rsidRDefault="00FD21FE">
            <w:pPr>
              <w:jc w:val="both"/>
              <w:rPr>
                <w:rFonts w:ascii="Verdana" w:hAnsi="Verdana"/>
                <w:sz w:val="16"/>
                <w:szCs w:val="16"/>
              </w:rPr>
            </w:pPr>
            <w:r>
              <w:rPr>
                <w:rFonts w:ascii="Verdana" w:hAnsi="Verdana"/>
                <w:sz w:val="16"/>
                <w:szCs w:val="16"/>
                <w:lang w:val="es-CO"/>
              </w:rPr>
              <w:t xml:space="preserve">En este sentido, se solicita verificar los requisitos actuales de los acueductos veredales para el acceso a subsidios y demás inversión. En este aspecto es necesario solicitar las orientaciones del MVCT con relación al Plan de Desarrollo actual y lo contenido en los artículos </w:t>
            </w:r>
            <w:r>
              <w:rPr>
                <w:rFonts w:ascii="Verdana" w:hAnsi="Verdana"/>
                <w:sz w:val="16"/>
                <w:szCs w:val="16"/>
              </w:rPr>
              <w:t>125, (subsidios y contribuciones para los servicios de AAA); 192 (Garantía al agua y saneamiento básico) y 272 (gestión comunitaria del agua y saneamiento básico) de la Ley 2294 de 2023 - Plan Nacional  de Desarrollo 2022-2026.</w:t>
            </w:r>
          </w:p>
          <w:p w14:paraId="5AF0EC2E" w14:textId="77777777" w:rsidR="00FD21FE" w:rsidRDefault="00FD21FE">
            <w:pPr>
              <w:jc w:val="both"/>
              <w:rPr>
                <w:rFonts w:ascii="Verdana" w:hAnsi="Verdana"/>
                <w:sz w:val="16"/>
                <w:szCs w:val="16"/>
              </w:rPr>
            </w:pPr>
          </w:p>
          <w:p w14:paraId="67A1820A" w14:textId="77777777" w:rsidR="00FD21FE" w:rsidRDefault="00FD21FE">
            <w:pPr>
              <w:jc w:val="both"/>
              <w:rPr>
                <w:rFonts w:ascii="Verdana" w:hAnsi="Verdana"/>
                <w:b/>
                <w:bCs/>
                <w:sz w:val="16"/>
                <w:szCs w:val="16"/>
                <w:lang w:val="es-CO"/>
              </w:rPr>
            </w:pPr>
            <w:r>
              <w:rPr>
                <w:rFonts w:ascii="Verdana" w:hAnsi="Verdana"/>
                <w:b/>
                <w:bCs/>
                <w:sz w:val="16"/>
                <w:szCs w:val="16"/>
              </w:rPr>
              <w:t>CUMPLIMIENTO PARCIAL</w:t>
            </w:r>
          </w:p>
        </w:tc>
      </w:tr>
      <w:tr w:rsidR="00FD21FE" w14:paraId="03F66442"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2ECC3BA6" w14:textId="77777777" w:rsidR="00FD21FE" w:rsidRDefault="00FD21FE">
            <w:pPr>
              <w:jc w:val="center"/>
              <w:rPr>
                <w:rFonts w:ascii="Verdana" w:hAnsi="Verdana"/>
                <w:b/>
                <w:bCs/>
                <w:sz w:val="16"/>
                <w:szCs w:val="16"/>
                <w:lang w:val="es-CO"/>
              </w:rPr>
            </w:pPr>
            <w:r>
              <w:rPr>
                <w:rFonts w:ascii="Verdana" w:hAnsi="Verdana"/>
                <w:b/>
                <w:bCs/>
                <w:sz w:val="16"/>
                <w:szCs w:val="16"/>
                <w:lang w:val="es-CO"/>
              </w:rPr>
              <w:t>14</w:t>
            </w:r>
          </w:p>
        </w:tc>
        <w:tc>
          <w:tcPr>
            <w:tcW w:w="1536" w:type="dxa"/>
            <w:tcBorders>
              <w:top w:val="single" w:sz="4" w:space="0" w:color="auto"/>
              <w:left w:val="single" w:sz="4" w:space="0" w:color="auto"/>
              <w:bottom w:val="single" w:sz="4" w:space="0" w:color="auto"/>
              <w:right w:val="single" w:sz="4" w:space="0" w:color="auto"/>
            </w:tcBorders>
            <w:hideMark/>
          </w:tcPr>
          <w:p w14:paraId="6C191CA1" w14:textId="77777777" w:rsidR="00FD21FE" w:rsidRDefault="00FD21FE">
            <w:pPr>
              <w:jc w:val="both"/>
              <w:rPr>
                <w:rFonts w:ascii="Verdana" w:hAnsi="Verdana"/>
                <w:sz w:val="16"/>
                <w:szCs w:val="16"/>
                <w:lang w:val="es-CO"/>
              </w:rPr>
            </w:pPr>
            <w:r>
              <w:rPr>
                <w:rFonts w:ascii="Verdana" w:hAnsi="Verdana"/>
                <w:sz w:val="16"/>
                <w:szCs w:val="16"/>
                <w:lang w:val="es-CO"/>
              </w:rPr>
              <w:t>Elaboración de un diagnóstico sectorial en el que se identifique el estado actual de la prestación de los servicios de acueducto, alcantarillado y aseo, en el cual se puedan reconocer, entre otros aspectos, los estados de base y el cumplimiento de las metas de cobertura, calidad y continuidad y se identifiquen las necesidades de inversión sectorial en el perímetro rural.</w:t>
            </w:r>
          </w:p>
        </w:tc>
        <w:tc>
          <w:tcPr>
            <w:tcW w:w="1559" w:type="dxa"/>
            <w:tcBorders>
              <w:top w:val="single" w:sz="4" w:space="0" w:color="auto"/>
              <w:left w:val="single" w:sz="4" w:space="0" w:color="auto"/>
              <w:bottom w:val="single" w:sz="4" w:space="0" w:color="auto"/>
              <w:right w:val="single" w:sz="4" w:space="0" w:color="auto"/>
            </w:tcBorders>
            <w:hideMark/>
          </w:tcPr>
          <w:p w14:paraId="1A6C37B7" w14:textId="77777777" w:rsidR="00FD21FE" w:rsidRDefault="00FD21FE">
            <w:pPr>
              <w:jc w:val="both"/>
              <w:rPr>
                <w:rFonts w:ascii="Verdana" w:hAnsi="Verdana"/>
                <w:sz w:val="16"/>
                <w:szCs w:val="16"/>
                <w:lang w:val="es-CO"/>
              </w:rPr>
            </w:pPr>
            <w:r>
              <w:rPr>
                <w:rFonts w:ascii="Verdana" w:hAnsi="Verdana"/>
                <w:sz w:val="16"/>
                <w:szCs w:val="16"/>
                <w:lang w:val="es-CO"/>
              </w:rPr>
              <w:t>Documentos y/o Diagnostico rural en las diferentes líneas de trabajo formuladas en las actividades a ejecutar.</w:t>
            </w:r>
          </w:p>
        </w:tc>
        <w:tc>
          <w:tcPr>
            <w:tcW w:w="2126" w:type="dxa"/>
            <w:tcBorders>
              <w:top w:val="single" w:sz="4" w:space="0" w:color="auto"/>
              <w:left w:val="single" w:sz="4" w:space="0" w:color="auto"/>
              <w:bottom w:val="single" w:sz="4" w:space="0" w:color="auto"/>
              <w:right w:val="single" w:sz="4" w:space="0" w:color="auto"/>
            </w:tcBorders>
          </w:tcPr>
          <w:p w14:paraId="44A21842"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19897F56" w14:textId="77777777" w:rsidR="00FD21FE" w:rsidRDefault="00FD21FE">
            <w:pPr>
              <w:rPr>
                <w:rFonts w:ascii="Verdana" w:hAnsi="Verdana"/>
                <w:sz w:val="16"/>
                <w:szCs w:val="16"/>
              </w:rPr>
            </w:pPr>
          </w:p>
          <w:p w14:paraId="4AE6B42C" w14:textId="77777777" w:rsidR="00FD21FE" w:rsidRDefault="00FD21FE">
            <w:pPr>
              <w:jc w:val="both"/>
              <w:rPr>
                <w:rFonts w:ascii="Verdana" w:hAnsi="Verdana"/>
                <w:i/>
                <w:iCs/>
                <w:sz w:val="16"/>
                <w:szCs w:val="16"/>
              </w:rPr>
            </w:pPr>
            <w:r>
              <w:rPr>
                <w:rFonts w:ascii="Verdana" w:hAnsi="Verdana"/>
                <w:i/>
                <w:iCs/>
                <w:sz w:val="16"/>
                <w:szCs w:val="16"/>
              </w:rPr>
              <w:t>Una vez se surta el proceso contractual descrito en la actividad anterior y este quede en firme se procederá al desarrollo de esta actividad para su respectivo cumplimiento</w:t>
            </w:r>
          </w:p>
        </w:tc>
        <w:tc>
          <w:tcPr>
            <w:tcW w:w="2888" w:type="dxa"/>
            <w:tcBorders>
              <w:top w:val="single" w:sz="4" w:space="0" w:color="auto"/>
              <w:left w:val="single" w:sz="4" w:space="0" w:color="auto"/>
              <w:bottom w:val="single" w:sz="4" w:space="0" w:color="auto"/>
              <w:right w:val="single" w:sz="4" w:space="0" w:color="auto"/>
            </w:tcBorders>
          </w:tcPr>
          <w:p w14:paraId="0F9AE317" w14:textId="77777777" w:rsidR="00FD21FE" w:rsidRDefault="00FD21FE">
            <w:pPr>
              <w:jc w:val="both"/>
              <w:rPr>
                <w:rFonts w:ascii="Verdana" w:hAnsi="Verdana"/>
                <w:sz w:val="16"/>
                <w:szCs w:val="16"/>
              </w:rPr>
            </w:pPr>
            <w:r>
              <w:rPr>
                <w:rFonts w:ascii="Verdana" w:hAnsi="Verdana"/>
                <w:sz w:val="16"/>
                <w:szCs w:val="16"/>
              </w:rPr>
              <w:t>Es coherente lo manifestado por la Entidad Territorial.</w:t>
            </w:r>
          </w:p>
          <w:p w14:paraId="44069A6F" w14:textId="77777777" w:rsidR="00FD21FE" w:rsidRDefault="00FD21FE">
            <w:pPr>
              <w:jc w:val="both"/>
              <w:rPr>
                <w:rFonts w:ascii="Verdana" w:hAnsi="Verdana"/>
                <w:sz w:val="16"/>
                <w:szCs w:val="16"/>
              </w:rPr>
            </w:pPr>
          </w:p>
          <w:p w14:paraId="4C5F6D30" w14:textId="77777777" w:rsidR="00FD21FE" w:rsidRDefault="00FD21FE">
            <w:pPr>
              <w:jc w:val="both"/>
              <w:rPr>
                <w:rFonts w:ascii="Verdana" w:hAnsi="Verdana"/>
                <w:sz w:val="16"/>
                <w:szCs w:val="16"/>
              </w:rPr>
            </w:pPr>
            <w:r>
              <w:rPr>
                <w:rFonts w:ascii="Verdana" w:hAnsi="Verdana"/>
                <w:sz w:val="16"/>
                <w:szCs w:val="16"/>
              </w:rPr>
              <w:t>La base de este documento, es una parte del acompañamiento a los acueductos veredales en la que se pueda identificar, entre otros aspectos, la cobertura, calidad y continuidad en su prestación del acueducto y la forma como se atiende el saneamiento básico (Residuos líquidos y sólidos) tanto a nivel urbano y rural.</w:t>
            </w:r>
          </w:p>
          <w:p w14:paraId="03ECB49D" w14:textId="77777777" w:rsidR="00FD21FE" w:rsidRDefault="00FD21FE">
            <w:pPr>
              <w:jc w:val="both"/>
              <w:rPr>
                <w:rFonts w:ascii="Verdana" w:hAnsi="Verdana"/>
                <w:sz w:val="16"/>
                <w:szCs w:val="16"/>
              </w:rPr>
            </w:pPr>
          </w:p>
          <w:p w14:paraId="2AD9AD46" w14:textId="77777777" w:rsidR="00FD21FE" w:rsidRDefault="00FD21FE">
            <w:pPr>
              <w:jc w:val="both"/>
              <w:rPr>
                <w:rFonts w:ascii="Verdana" w:hAnsi="Verdana"/>
                <w:sz w:val="16"/>
                <w:szCs w:val="16"/>
              </w:rPr>
            </w:pPr>
            <w:r>
              <w:rPr>
                <w:rFonts w:ascii="Verdana" w:hAnsi="Verdana"/>
                <w:sz w:val="16"/>
                <w:szCs w:val="16"/>
              </w:rPr>
              <w:t>Se insiste al Municipio, en la solicitud de acompañamiento técnico del MVCT, para verificar la inversión en acueductos veredales y la forma de aplicación de los artículos 125, (subsidios y contribuciones para los servicios de AAA); 192 (Garantía al agua y saneamiento básico) y 272 (gestión comunitaria del agua y saneamiento básico) de la Ley 2294 de 2023 - Plan Naciona  de Desarrollo 2022-2026 y la armonización con la ley 1176 de 2007.</w:t>
            </w:r>
          </w:p>
          <w:p w14:paraId="7BD91FC8" w14:textId="77777777" w:rsidR="00FD21FE" w:rsidRDefault="00FD21FE">
            <w:pPr>
              <w:jc w:val="both"/>
              <w:rPr>
                <w:rFonts w:ascii="Verdana" w:hAnsi="Verdana"/>
                <w:sz w:val="16"/>
                <w:szCs w:val="16"/>
              </w:rPr>
            </w:pPr>
          </w:p>
          <w:p w14:paraId="53A53530" w14:textId="77777777" w:rsidR="00FD21FE" w:rsidRDefault="00FD21FE">
            <w:pPr>
              <w:rPr>
                <w:rFonts w:ascii="Verdana" w:hAnsi="Verdana"/>
                <w:b/>
                <w:bCs/>
                <w:sz w:val="16"/>
                <w:szCs w:val="16"/>
              </w:rPr>
            </w:pPr>
            <w:r>
              <w:rPr>
                <w:rFonts w:ascii="Verdana" w:hAnsi="Verdana"/>
                <w:b/>
                <w:bCs/>
                <w:sz w:val="16"/>
                <w:szCs w:val="16"/>
              </w:rPr>
              <w:t>EN EJECUCIÓN</w:t>
            </w:r>
          </w:p>
        </w:tc>
      </w:tr>
      <w:tr w:rsidR="00FD21FE" w14:paraId="40A722CF"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1E70E815" w14:textId="77777777" w:rsidR="00FD21FE" w:rsidRDefault="00FD21FE">
            <w:pPr>
              <w:jc w:val="center"/>
              <w:rPr>
                <w:rFonts w:ascii="Verdana" w:hAnsi="Verdana"/>
                <w:b/>
                <w:bCs/>
                <w:sz w:val="16"/>
                <w:szCs w:val="16"/>
                <w:lang w:val="es-CO"/>
              </w:rPr>
            </w:pPr>
            <w:r>
              <w:rPr>
                <w:rFonts w:ascii="Verdana" w:hAnsi="Verdana"/>
                <w:b/>
                <w:bCs/>
                <w:sz w:val="16"/>
                <w:szCs w:val="16"/>
                <w:lang w:val="es-CO"/>
              </w:rPr>
              <w:t>15</w:t>
            </w:r>
          </w:p>
        </w:tc>
        <w:tc>
          <w:tcPr>
            <w:tcW w:w="1536" w:type="dxa"/>
            <w:tcBorders>
              <w:top w:val="single" w:sz="4" w:space="0" w:color="auto"/>
              <w:left w:val="single" w:sz="4" w:space="0" w:color="auto"/>
              <w:bottom w:val="single" w:sz="4" w:space="0" w:color="auto"/>
              <w:right w:val="single" w:sz="4" w:space="0" w:color="auto"/>
            </w:tcBorders>
            <w:hideMark/>
          </w:tcPr>
          <w:p w14:paraId="6C8438A1" w14:textId="77777777" w:rsidR="00FD21FE" w:rsidRDefault="00FD21FE">
            <w:pPr>
              <w:rPr>
                <w:rFonts w:ascii="Verdana" w:hAnsi="Verdana"/>
                <w:sz w:val="16"/>
                <w:szCs w:val="16"/>
                <w:lang w:val="es-CO"/>
              </w:rPr>
            </w:pPr>
            <w:r>
              <w:rPr>
                <w:rFonts w:ascii="Verdana" w:hAnsi="Verdana"/>
                <w:sz w:val="16"/>
                <w:szCs w:val="16"/>
                <w:lang w:val="es-CO"/>
              </w:rPr>
              <w:t>Verificar y confirmar que las inversiones en proyectos y proyectos del Sector APSB estén definidos en los planes de desarrollo, en los planes para la gestión integral de residuos sólidos y en los planes de inversiones de las personas prestadoras de servicios en virtud del parágrafo 1 del artículo 11 de la Ley 1176 de 2007.</w:t>
            </w:r>
          </w:p>
        </w:tc>
        <w:tc>
          <w:tcPr>
            <w:tcW w:w="1559" w:type="dxa"/>
            <w:tcBorders>
              <w:top w:val="single" w:sz="4" w:space="0" w:color="auto"/>
              <w:left w:val="single" w:sz="4" w:space="0" w:color="auto"/>
              <w:bottom w:val="single" w:sz="4" w:space="0" w:color="auto"/>
              <w:right w:val="single" w:sz="4" w:space="0" w:color="auto"/>
            </w:tcBorders>
            <w:hideMark/>
          </w:tcPr>
          <w:p w14:paraId="277D71E0" w14:textId="77777777" w:rsidR="00FD21FE" w:rsidRDefault="00FD21FE">
            <w:pPr>
              <w:rPr>
                <w:rFonts w:ascii="Verdana" w:hAnsi="Verdana"/>
                <w:sz w:val="16"/>
                <w:szCs w:val="16"/>
                <w:lang w:val="es-CO"/>
              </w:rPr>
            </w:pPr>
            <w:r>
              <w:rPr>
                <w:rFonts w:ascii="Verdana" w:hAnsi="Verdana"/>
                <w:sz w:val="16"/>
                <w:szCs w:val="16"/>
                <w:lang w:val="es-CO"/>
              </w:rPr>
              <w:t>Seguimiento a proyectos del Sector APSB que estén definidos en los planes de desarrollo</w:t>
            </w:r>
          </w:p>
        </w:tc>
        <w:tc>
          <w:tcPr>
            <w:tcW w:w="2126" w:type="dxa"/>
            <w:tcBorders>
              <w:top w:val="single" w:sz="4" w:space="0" w:color="auto"/>
              <w:left w:val="single" w:sz="4" w:space="0" w:color="auto"/>
              <w:bottom w:val="single" w:sz="4" w:space="0" w:color="auto"/>
              <w:right w:val="single" w:sz="4" w:space="0" w:color="auto"/>
            </w:tcBorders>
            <w:hideMark/>
          </w:tcPr>
          <w:p w14:paraId="12865BBF"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477A58CC" w14:textId="77777777" w:rsidR="00FD21FE" w:rsidRDefault="00FD21FE">
            <w:pPr>
              <w:jc w:val="both"/>
              <w:rPr>
                <w:rFonts w:ascii="Verdana" w:hAnsi="Verdana"/>
                <w:i/>
                <w:iCs/>
                <w:sz w:val="16"/>
                <w:szCs w:val="16"/>
              </w:rPr>
            </w:pPr>
            <w:r>
              <w:rPr>
                <w:rFonts w:ascii="Verdana" w:hAnsi="Verdana"/>
                <w:i/>
                <w:iCs/>
                <w:sz w:val="16"/>
                <w:szCs w:val="16"/>
              </w:rPr>
              <w:t>El municipio de san Martín lleva un cumplimiento del 82% del plan desarrollo, cabe resaltar que la inversión en nuevos alcantarillados no estaba en incluido como producto en el plan de desarrollo durante el mes de abril, se incorporó para ampliar cobertura</w:t>
            </w:r>
          </w:p>
        </w:tc>
        <w:tc>
          <w:tcPr>
            <w:tcW w:w="2888" w:type="dxa"/>
            <w:tcBorders>
              <w:top w:val="single" w:sz="4" w:space="0" w:color="auto"/>
              <w:left w:val="single" w:sz="4" w:space="0" w:color="auto"/>
              <w:bottom w:val="single" w:sz="4" w:space="0" w:color="auto"/>
              <w:right w:val="single" w:sz="4" w:space="0" w:color="auto"/>
            </w:tcBorders>
          </w:tcPr>
          <w:p w14:paraId="3BAD5C9B" w14:textId="77777777" w:rsidR="00FD21FE" w:rsidRDefault="00FD21FE">
            <w:pPr>
              <w:jc w:val="both"/>
              <w:rPr>
                <w:rFonts w:ascii="Verdana" w:hAnsi="Verdana"/>
                <w:sz w:val="16"/>
                <w:szCs w:val="16"/>
                <w:lang w:val="es-CO"/>
              </w:rPr>
            </w:pPr>
            <w:r>
              <w:rPr>
                <w:rFonts w:ascii="Verdana" w:hAnsi="Verdana"/>
                <w:sz w:val="16"/>
                <w:szCs w:val="16"/>
                <w:lang w:val="es-CO"/>
              </w:rPr>
              <w:t xml:space="preserve">De acuerdo con la información de la entidad, la inversión del cuatrienio bajo la línea estratégica del </w:t>
            </w:r>
            <w:r>
              <w:rPr>
                <w:rFonts w:ascii="Verdana" w:hAnsi="Verdana"/>
                <w:i/>
                <w:iCs/>
                <w:sz w:val="16"/>
                <w:szCs w:val="16"/>
                <w:lang w:val="es-CO"/>
              </w:rPr>
              <w:t>Agua Potable y Saneamiento Básico Merece más</w:t>
            </w:r>
            <w:r>
              <w:rPr>
                <w:rFonts w:ascii="Verdana" w:hAnsi="Verdana"/>
                <w:sz w:val="16"/>
                <w:szCs w:val="16"/>
                <w:lang w:val="es-CO"/>
              </w:rPr>
              <w:t xml:space="preserve"> del Plan de desarrollo territorial, alcanzó $11.613 millones, de los cuales se han ejecutado $9.634 millones, con un cumplimiento del 82%.</w:t>
            </w:r>
          </w:p>
          <w:p w14:paraId="04C67FA1" w14:textId="77777777" w:rsidR="00FD21FE" w:rsidRDefault="00FD21FE">
            <w:pPr>
              <w:jc w:val="both"/>
              <w:rPr>
                <w:rFonts w:ascii="Verdana" w:hAnsi="Verdana"/>
                <w:sz w:val="16"/>
                <w:szCs w:val="16"/>
                <w:lang w:val="es-CO"/>
              </w:rPr>
            </w:pPr>
          </w:p>
          <w:p w14:paraId="4E1AE462" w14:textId="77777777" w:rsidR="00FD21FE" w:rsidRDefault="00FD21FE">
            <w:pPr>
              <w:jc w:val="both"/>
              <w:rPr>
                <w:rFonts w:ascii="Verdana" w:hAnsi="Verdana"/>
                <w:sz w:val="16"/>
                <w:szCs w:val="16"/>
                <w:lang w:val="es-CO"/>
              </w:rPr>
            </w:pPr>
            <w:r>
              <w:rPr>
                <w:rFonts w:ascii="Verdana" w:hAnsi="Verdana"/>
                <w:sz w:val="16"/>
                <w:szCs w:val="16"/>
                <w:lang w:val="es-CO"/>
              </w:rPr>
              <w:t>En este sentido, no existe información detallada que dé cuenta de los proyectos ejecutados en esta administración, la cantidad de población beneficiada, la fuente de financiación utilizada y el estado de ejecución de las obras sectoriales.</w:t>
            </w:r>
          </w:p>
          <w:p w14:paraId="78B85379" w14:textId="77777777" w:rsidR="00FD21FE" w:rsidRDefault="00FD21FE">
            <w:pPr>
              <w:jc w:val="both"/>
              <w:rPr>
                <w:rFonts w:ascii="Verdana" w:hAnsi="Verdana"/>
                <w:sz w:val="16"/>
                <w:szCs w:val="16"/>
                <w:lang w:val="es-CO"/>
              </w:rPr>
            </w:pPr>
          </w:p>
          <w:p w14:paraId="52673AEC" w14:textId="77777777" w:rsidR="00FD21FE" w:rsidRDefault="00FD21FE">
            <w:pPr>
              <w:jc w:val="both"/>
              <w:rPr>
                <w:rFonts w:ascii="Verdana" w:hAnsi="Verdana"/>
                <w:sz w:val="16"/>
                <w:szCs w:val="16"/>
                <w:lang w:val="es-CO"/>
              </w:rPr>
            </w:pPr>
            <w:r>
              <w:rPr>
                <w:rFonts w:ascii="Verdana" w:hAnsi="Verdana"/>
                <w:sz w:val="16"/>
                <w:szCs w:val="16"/>
                <w:lang w:val="es-CO"/>
              </w:rPr>
              <w:t>En asistencia técnica el Señor Alcalde manifestó el cumplimiento de metas del Plan de Desarrollo y la inversión adicional realizada a nivel sectorial con otras fuentes de financiación.</w:t>
            </w:r>
          </w:p>
          <w:p w14:paraId="5D4C5436" w14:textId="77777777" w:rsidR="00FD21FE" w:rsidRDefault="00FD21FE">
            <w:pPr>
              <w:jc w:val="both"/>
              <w:rPr>
                <w:rFonts w:ascii="Verdana" w:hAnsi="Verdana"/>
                <w:sz w:val="16"/>
                <w:szCs w:val="16"/>
                <w:lang w:val="es-CO"/>
              </w:rPr>
            </w:pPr>
          </w:p>
          <w:p w14:paraId="54478BB6" w14:textId="77777777" w:rsidR="00FD21FE" w:rsidRDefault="00FD21FE">
            <w:pPr>
              <w:jc w:val="both"/>
              <w:rPr>
                <w:rFonts w:ascii="Verdana" w:hAnsi="Verdana"/>
                <w:sz w:val="16"/>
                <w:szCs w:val="16"/>
                <w:lang w:val="es-CO"/>
              </w:rPr>
            </w:pPr>
            <w:r>
              <w:rPr>
                <w:rFonts w:ascii="Verdana" w:hAnsi="Verdana"/>
                <w:sz w:val="16"/>
                <w:szCs w:val="16"/>
                <w:lang w:val="es-CO"/>
              </w:rPr>
              <w:t>Uno de los propósitos de este producto es poder mostrar cómo quedó el sector luego de esta Administración.</w:t>
            </w:r>
          </w:p>
          <w:p w14:paraId="57C794C4" w14:textId="77777777" w:rsidR="00FD21FE" w:rsidRDefault="00FD21FE">
            <w:pPr>
              <w:jc w:val="both"/>
              <w:rPr>
                <w:rFonts w:ascii="Verdana" w:hAnsi="Verdana"/>
                <w:sz w:val="16"/>
                <w:szCs w:val="16"/>
                <w:lang w:val="es-CO"/>
              </w:rPr>
            </w:pPr>
          </w:p>
          <w:p w14:paraId="1EA30044" w14:textId="77777777" w:rsidR="00FD21FE" w:rsidRDefault="00FD21FE">
            <w:pPr>
              <w:jc w:val="both"/>
              <w:rPr>
                <w:rFonts w:ascii="Verdana" w:hAnsi="Verdana"/>
                <w:sz w:val="16"/>
                <w:szCs w:val="16"/>
                <w:lang w:val="es-CO"/>
              </w:rPr>
            </w:pPr>
            <w:r>
              <w:rPr>
                <w:rFonts w:ascii="Verdana" w:hAnsi="Verdana"/>
                <w:b/>
                <w:bCs/>
                <w:sz w:val="16"/>
                <w:szCs w:val="16"/>
                <w:lang w:val="es-CO"/>
              </w:rPr>
              <w:t>EN EJECUCIÓN</w:t>
            </w:r>
          </w:p>
          <w:p w14:paraId="6E4DFB1B" w14:textId="77777777" w:rsidR="00FD21FE" w:rsidRDefault="00FD21FE">
            <w:pPr>
              <w:jc w:val="both"/>
              <w:rPr>
                <w:rFonts w:ascii="Verdana" w:hAnsi="Verdana"/>
                <w:sz w:val="16"/>
                <w:szCs w:val="16"/>
                <w:lang w:val="es-CO"/>
              </w:rPr>
            </w:pPr>
          </w:p>
        </w:tc>
      </w:tr>
      <w:tr w:rsidR="00FD21FE" w14:paraId="6FA77586"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66EF3D88" w14:textId="77777777" w:rsidR="00FD21FE" w:rsidRDefault="00FD21FE">
            <w:pPr>
              <w:jc w:val="center"/>
              <w:rPr>
                <w:rFonts w:ascii="Verdana" w:hAnsi="Verdana"/>
                <w:b/>
                <w:bCs/>
                <w:sz w:val="16"/>
                <w:szCs w:val="16"/>
                <w:lang w:val="es-CO"/>
              </w:rPr>
            </w:pPr>
            <w:r>
              <w:rPr>
                <w:rFonts w:ascii="Verdana" w:hAnsi="Verdana"/>
                <w:b/>
                <w:bCs/>
                <w:sz w:val="16"/>
                <w:szCs w:val="16"/>
                <w:lang w:val="es-CO"/>
              </w:rPr>
              <w:t>16</w:t>
            </w:r>
          </w:p>
        </w:tc>
        <w:tc>
          <w:tcPr>
            <w:tcW w:w="1536" w:type="dxa"/>
            <w:tcBorders>
              <w:top w:val="single" w:sz="4" w:space="0" w:color="auto"/>
              <w:left w:val="single" w:sz="4" w:space="0" w:color="auto"/>
              <w:bottom w:val="single" w:sz="4" w:space="0" w:color="auto"/>
              <w:right w:val="single" w:sz="4" w:space="0" w:color="auto"/>
            </w:tcBorders>
            <w:hideMark/>
          </w:tcPr>
          <w:p w14:paraId="03187E8D" w14:textId="77777777" w:rsidR="00FD21FE" w:rsidRDefault="00FD21FE">
            <w:pPr>
              <w:jc w:val="both"/>
              <w:rPr>
                <w:rFonts w:ascii="Verdana" w:hAnsi="Verdana"/>
                <w:sz w:val="16"/>
                <w:szCs w:val="16"/>
                <w:lang w:val="es-CO"/>
              </w:rPr>
            </w:pPr>
            <w:r>
              <w:rPr>
                <w:rFonts w:ascii="Verdana" w:hAnsi="Verdana"/>
                <w:sz w:val="16"/>
                <w:szCs w:val="16"/>
                <w:lang w:val="es-CO"/>
              </w:rPr>
              <w:t>Brindar apoyo en actividades competencia del municipio para el sector rural como son formular e implementar progresivamente las acciones de asistencia técnica y fortalecimiento comunitario, cualquiera que sea el esquema diferencial aplicable, a partir de las siguientes líneas de trabajo que se:G26</w:t>
            </w:r>
          </w:p>
          <w:p w14:paraId="5DBB892A" w14:textId="77777777" w:rsidR="00FD21FE" w:rsidRDefault="00FD21FE">
            <w:pPr>
              <w:jc w:val="both"/>
              <w:rPr>
                <w:rFonts w:ascii="Verdana" w:hAnsi="Verdana"/>
                <w:sz w:val="16"/>
                <w:szCs w:val="16"/>
                <w:lang w:val="es-CO"/>
              </w:rPr>
            </w:pPr>
            <w:r>
              <w:rPr>
                <w:rFonts w:ascii="Verdana" w:hAnsi="Verdana"/>
                <w:sz w:val="16"/>
                <w:szCs w:val="16"/>
                <w:lang w:val="es-CO"/>
              </w:rPr>
              <w:t>1. Reporte y uso de información sectorial. - SINAS</w:t>
            </w:r>
          </w:p>
          <w:p w14:paraId="7E89F4F6" w14:textId="77777777" w:rsidR="00FD21FE" w:rsidRDefault="00FD21FE">
            <w:pPr>
              <w:jc w:val="both"/>
              <w:rPr>
                <w:rFonts w:ascii="Verdana" w:hAnsi="Verdana"/>
                <w:sz w:val="16"/>
                <w:szCs w:val="16"/>
                <w:lang w:val="es-CO"/>
              </w:rPr>
            </w:pPr>
            <w:r>
              <w:rPr>
                <w:rFonts w:ascii="Verdana" w:hAnsi="Verdana"/>
                <w:sz w:val="16"/>
                <w:szCs w:val="16"/>
                <w:lang w:val="es-CO"/>
              </w:rPr>
              <w:t>2. Apoyo a prestadores de los servicios de acueducto, alcantarillado y aseo.</w:t>
            </w:r>
          </w:p>
        </w:tc>
        <w:tc>
          <w:tcPr>
            <w:tcW w:w="1559" w:type="dxa"/>
            <w:tcBorders>
              <w:top w:val="single" w:sz="4" w:space="0" w:color="auto"/>
              <w:left w:val="single" w:sz="4" w:space="0" w:color="auto"/>
              <w:bottom w:val="single" w:sz="4" w:space="0" w:color="auto"/>
              <w:right w:val="single" w:sz="4" w:space="0" w:color="auto"/>
            </w:tcBorders>
            <w:hideMark/>
          </w:tcPr>
          <w:p w14:paraId="0D877702" w14:textId="77777777" w:rsidR="00FD21FE" w:rsidRDefault="00FD21FE">
            <w:pPr>
              <w:jc w:val="both"/>
              <w:rPr>
                <w:rFonts w:ascii="Verdana" w:hAnsi="Verdana"/>
                <w:sz w:val="16"/>
                <w:szCs w:val="16"/>
                <w:lang w:val="es-CO"/>
              </w:rPr>
            </w:pPr>
            <w:r>
              <w:rPr>
                <w:rFonts w:ascii="Verdana" w:hAnsi="Verdana"/>
                <w:sz w:val="16"/>
                <w:szCs w:val="16"/>
                <w:lang w:val="es-CO"/>
              </w:rPr>
              <w:t>Actos administrativos de formalización y reconocimiento de esquemas prestadores rurales</w:t>
            </w:r>
          </w:p>
        </w:tc>
        <w:tc>
          <w:tcPr>
            <w:tcW w:w="2126" w:type="dxa"/>
            <w:tcBorders>
              <w:top w:val="single" w:sz="4" w:space="0" w:color="auto"/>
              <w:left w:val="single" w:sz="4" w:space="0" w:color="auto"/>
              <w:bottom w:val="single" w:sz="4" w:space="0" w:color="auto"/>
              <w:right w:val="single" w:sz="4" w:space="0" w:color="auto"/>
            </w:tcBorders>
          </w:tcPr>
          <w:p w14:paraId="20ED4219"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490D7FAA" w14:textId="77777777" w:rsidR="00FD21FE" w:rsidRDefault="00FD21FE">
            <w:pPr>
              <w:rPr>
                <w:rFonts w:ascii="Verdana" w:hAnsi="Verdana"/>
                <w:sz w:val="16"/>
                <w:szCs w:val="16"/>
              </w:rPr>
            </w:pPr>
          </w:p>
          <w:p w14:paraId="25E77AA5" w14:textId="77777777" w:rsidR="00FD21FE" w:rsidRDefault="00FD21FE">
            <w:pPr>
              <w:jc w:val="both"/>
              <w:rPr>
                <w:rFonts w:ascii="Verdana" w:hAnsi="Verdana"/>
                <w:i/>
                <w:iCs/>
                <w:sz w:val="16"/>
                <w:szCs w:val="16"/>
                <w:lang w:val="es-CO"/>
              </w:rPr>
            </w:pPr>
            <w:r>
              <w:rPr>
                <w:rFonts w:ascii="Verdana" w:hAnsi="Verdana"/>
                <w:i/>
                <w:iCs/>
                <w:sz w:val="16"/>
                <w:szCs w:val="16"/>
              </w:rPr>
              <w:t>Una vez se surta el proceso contractual descrito en la actividad 1; y este quede en firme se procederá al desarrollo de esta actividad para su respectivo cumplimiento</w:t>
            </w:r>
          </w:p>
        </w:tc>
        <w:tc>
          <w:tcPr>
            <w:tcW w:w="2888" w:type="dxa"/>
            <w:tcBorders>
              <w:top w:val="single" w:sz="4" w:space="0" w:color="auto"/>
              <w:left w:val="single" w:sz="4" w:space="0" w:color="auto"/>
              <w:bottom w:val="single" w:sz="4" w:space="0" w:color="auto"/>
              <w:right w:val="single" w:sz="4" w:space="0" w:color="auto"/>
            </w:tcBorders>
          </w:tcPr>
          <w:p w14:paraId="3C58D645" w14:textId="77777777" w:rsidR="00FD21FE" w:rsidRDefault="00FD21FE">
            <w:pPr>
              <w:rPr>
                <w:rFonts w:ascii="Verdana" w:hAnsi="Verdana"/>
                <w:sz w:val="16"/>
                <w:szCs w:val="16"/>
                <w:lang w:val="es-CO"/>
              </w:rPr>
            </w:pPr>
            <w:r>
              <w:rPr>
                <w:rFonts w:ascii="Verdana" w:hAnsi="Verdana"/>
                <w:sz w:val="16"/>
                <w:szCs w:val="16"/>
                <w:lang w:val="es-CO"/>
              </w:rPr>
              <w:t>Es coherente lo presentado por la Entidad Territorial.</w:t>
            </w:r>
          </w:p>
          <w:p w14:paraId="3720F619" w14:textId="77777777" w:rsidR="00FD21FE" w:rsidRDefault="00FD21FE">
            <w:pPr>
              <w:rPr>
                <w:rFonts w:ascii="Verdana" w:hAnsi="Verdana"/>
                <w:sz w:val="16"/>
                <w:szCs w:val="16"/>
                <w:lang w:val="es-CO"/>
              </w:rPr>
            </w:pPr>
          </w:p>
          <w:p w14:paraId="068DFF8B" w14:textId="77777777" w:rsidR="00FD21FE" w:rsidRDefault="00FD21FE">
            <w:pPr>
              <w:jc w:val="both"/>
              <w:rPr>
                <w:rFonts w:ascii="Verdana" w:hAnsi="Verdana"/>
                <w:sz w:val="16"/>
                <w:szCs w:val="16"/>
              </w:rPr>
            </w:pPr>
            <w:r>
              <w:rPr>
                <w:rFonts w:ascii="Verdana" w:hAnsi="Verdana"/>
                <w:sz w:val="16"/>
                <w:szCs w:val="16"/>
                <w:lang w:val="es-CO"/>
              </w:rPr>
              <w:t xml:space="preserve">De la misma manera se sugiere la asistencia técnica por parte del MVCT, para revisar el plan de desarrollo nacional en aspectos sectoriales, particularmente </w:t>
            </w:r>
            <w:r>
              <w:rPr>
                <w:rFonts w:ascii="Verdana" w:hAnsi="Verdana"/>
                <w:sz w:val="16"/>
                <w:szCs w:val="16"/>
              </w:rPr>
              <w:t xml:space="preserve">de los artículos 125, (subsidios y contribuciones para los servicios de AAA); 192 (Garantía al agua y saneamiento básico) y </w:t>
            </w:r>
            <w:r>
              <w:rPr>
                <w:rFonts w:ascii="Verdana" w:hAnsi="Verdana"/>
                <w:b/>
                <w:bCs/>
                <w:sz w:val="16"/>
                <w:szCs w:val="16"/>
              </w:rPr>
              <w:t xml:space="preserve">272 (gestión comunitaria del agua y saneamiento básico) </w:t>
            </w:r>
            <w:r>
              <w:rPr>
                <w:rFonts w:ascii="Verdana" w:hAnsi="Verdana"/>
                <w:sz w:val="16"/>
                <w:szCs w:val="16"/>
              </w:rPr>
              <w:t>de la Ley 2294 de 2023 - Plan Nacional de Desarrollo 2022-2026 y la armonización con la ley 1176 de 2007. La negrita es nuestra.</w:t>
            </w:r>
          </w:p>
          <w:p w14:paraId="10911E89" w14:textId="77777777" w:rsidR="00FD21FE" w:rsidRDefault="00FD21FE">
            <w:pPr>
              <w:rPr>
                <w:rFonts w:ascii="Verdana" w:hAnsi="Verdana"/>
                <w:sz w:val="16"/>
                <w:szCs w:val="16"/>
              </w:rPr>
            </w:pPr>
          </w:p>
          <w:p w14:paraId="2A4D3999" w14:textId="77777777" w:rsidR="00FD21FE" w:rsidRDefault="00FD21FE">
            <w:pPr>
              <w:rPr>
                <w:rFonts w:ascii="Verdana" w:hAnsi="Verdana"/>
                <w:b/>
                <w:bCs/>
                <w:sz w:val="16"/>
                <w:szCs w:val="16"/>
              </w:rPr>
            </w:pPr>
            <w:r>
              <w:rPr>
                <w:rFonts w:ascii="Verdana" w:hAnsi="Verdana"/>
                <w:b/>
                <w:bCs/>
                <w:sz w:val="16"/>
                <w:szCs w:val="16"/>
              </w:rPr>
              <w:t>EN EJECUCIÓN</w:t>
            </w:r>
          </w:p>
        </w:tc>
      </w:tr>
      <w:tr w:rsidR="00FD21FE" w14:paraId="363990BD"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065498CF" w14:textId="77777777" w:rsidR="00FD21FE" w:rsidRDefault="00FD21FE">
            <w:pPr>
              <w:jc w:val="center"/>
              <w:rPr>
                <w:rFonts w:ascii="Verdana" w:hAnsi="Verdana"/>
                <w:b/>
                <w:bCs/>
                <w:sz w:val="16"/>
                <w:szCs w:val="16"/>
                <w:lang w:val="es-CO"/>
              </w:rPr>
            </w:pPr>
            <w:r>
              <w:rPr>
                <w:rFonts w:ascii="Verdana" w:hAnsi="Verdana"/>
                <w:b/>
                <w:bCs/>
                <w:sz w:val="16"/>
                <w:szCs w:val="16"/>
                <w:lang w:val="es-CO"/>
              </w:rPr>
              <w:t>17</w:t>
            </w:r>
          </w:p>
        </w:tc>
        <w:tc>
          <w:tcPr>
            <w:tcW w:w="1536" w:type="dxa"/>
            <w:tcBorders>
              <w:top w:val="single" w:sz="4" w:space="0" w:color="auto"/>
              <w:left w:val="single" w:sz="4" w:space="0" w:color="auto"/>
              <w:bottom w:val="single" w:sz="4" w:space="0" w:color="auto"/>
              <w:right w:val="single" w:sz="4" w:space="0" w:color="auto"/>
            </w:tcBorders>
            <w:hideMark/>
          </w:tcPr>
          <w:p w14:paraId="7676EBE0" w14:textId="77777777" w:rsidR="00FD21FE" w:rsidRDefault="00FD21FE">
            <w:pPr>
              <w:rPr>
                <w:rFonts w:ascii="Verdana" w:hAnsi="Verdana"/>
                <w:sz w:val="16"/>
                <w:szCs w:val="16"/>
                <w:lang w:val="es-CO"/>
              </w:rPr>
            </w:pPr>
            <w:r>
              <w:rPr>
                <w:rFonts w:ascii="Verdana" w:hAnsi="Verdana"/>
                <w:sz w:val="16"/>
                <w:szCs w:val="16"/>
                <w:lang w:val="es-CO"/>
              </w:rPr>
              <w:t>Ejecutar la toma de muestras de calidad de agua con la autoridad y realizar el informe periódico de los resultados del monitoreo a la calidad del agua suministrada.</w:t>
            </w:r>
          </w:p>
        </w:tc>
        <w:tc>
          <w:tcPr>
            <w:tcW w:w="1559" w:type="dxa"/>
            <w:tcBorders>
              <w:top w:val="single" w:sz="4" w:space="0" w:color="auto"/>
              <w:left w:val="single" w:sz="4" w:space="0" w:color="auto"/>
              <w:bottom w:val="single" w:sz="4" w:space="0" w:color="auto"/>
              <w:right w:val="single" w:sz="4" w:space="0" w:color="auto"/>
            </w:tcBorders>
            <w:hideMark/>
          </w:tcPr>
          <w:p w14:paraId="4B43F6CC" w14:textId="77777777" w:rsidR="00FD21FE" w:rsidRDefault="00FD21FE">
            <w:pPr>
              <w:rPr>
                <w:rFonts w:ascii="Verdana" w:hAnsi="Verdana"/>
                <w:sz w:val="16"/>
                <w:szCs w:val="16"/>
                <w:lang w:val="es-CO"/>
              </w:rPr>
            </w:pPr>
            <w:r>
              <w:rPr>
                <w:rFonts w:ascii="Verdana" w:hAnsi="Verdana"/>
                <w:sz w:val="16"/>
                <w:szCs w:val="16"/>
                <w:lang w:val="es-CO"/>
              </w:rPr>
              <w:t>Informe periódico de tomas de muestras y del monitoreo a la calidad del agua y las acciones que deben ejecutar  los responsables de la prestación.</w:t>
            </w:r>
          </w:p>
        </w:tc>
        <w:tc>
          <w:tcPr>
            <w:tcW w:w="2126" w:type="dxa"/>
            <w:tcBorders>
              <w:top w:val="single" w:sz="4" w:space="0" w:color="auto"/>
              <w:left w:val="single" w:sz="4" w:space="0" w:color="auto"/>
              <w:bottom w:val="single" w:sz="4" w:space="0" w:color="auto"/>
              <w:right w:val="single" w:sz="4" w:space="0" w:color="auto"/>
            </w:tcBorders>
          </w:tcPr>
          <w:p w14:paraId="095FC4DB"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3A0FC9BE" w14:textId="77777777" w:rsidR="00FD21FE" w:rsidRDefault="00FD21FE">
            <w:pPr>
              <w:rPr>
                <w:rFonts w:ascii="Verdana" w:hAnsi="Verdana"/>
                <w:sz w:val="16"/>
                <w:szCs w:val="16"/>
              </w:rPr>
            </w:pPr>
          </w:p>
          <w:p w14:paraId="0ABB631B" w14:textId="77777777" w:rsidR="00FD21FE" w:rsidRDefault="00FD21FE">
            <w:pPr>
              <w:jc w:val="both"/>
              <w:rPr>
                <w:rFonts w:ascii="Verdana" w:hAnsi="Verdana"/>
                <w:i/>
                <w:iCs/>
                <w:sz w:val="16"/>
                <w:szCs w:val="16"/>
              </w:rPr>
            </w:pPr>
            <w:r>
              <w:rPr>
                <w:rFonts w:ascii="Verdana" w:hAnsi="Verdana"/>
                <w:i/>
                <w:iCs/>
                <w:sz w:val="16"/>
                <w:szCs w:val="16"/>
              </w:rPr>
              <w:t>“El Municipio de San Martín, Cesar realiza dos monitoreos de la calidad del agua. El primero se hace en articulación con la Administradora Publica Cooperativa Empresa Solidaria De San Martin- Cesar (APCES E.S.P.) y específicamente lo corrobora la secretaria de Gestión Social a través de la funcionaria encargada de salud pública. El otro monitoreo, lo realiza la empresa propiamente dicha como fuente para el análisis comparativo y complementario entre las partes”.</w:t>
            </w:r>
          </w:p>
          <w:p w14:paraId="51D5B78F" w14:textId="77777777" w:rsidR="00FD21FE" w:rsidRDefault="00FD21FE">
            <w:pPr>
              <w:jc w:val="both"/>
              <w:rPr>
                <w:rFonts w:ascii="Verdana" w:hAnsi="Verdana"/>
                <w:i/>
                <w:iCs/>
                <w:sz w:val="16"/>
                <w:szCs w:val="16"/>
              </w:rPr>
            </w:pPr>
          </w:p>
          <w:p w14:paraId="0EEFBDFF" w14:textId="77777777" w:rsidR="00FD21FE" w:rsidRDefault="00FD21FE">
            <w:pPr>
              <w:jc w:val="both"/>
              <w:rPr>
                <w:rFonts w:ascii="Verdana" w:hAnsi="Verdana"/>
                <w:sz w:val="16"/>
                <w:szCs w:val="16"/>
              </w:rPr>
            </w:pPr>
            <w:r>
              <w:rPr>
                <w:rFonts w:ascii="Verdana" w:hAnsi="Verdana"/>
                <w:sz w:val="16"/>
                <w:szCs w:val="16"/>
              </w:rPr>
              <w:t>Anexos 20 y 21</w:t>
            </w:r>
          </w:p>
        </w:tc>
        <w:tc>
          <w:tcPr>
            <w:tcW w:w="2888" w:type="dxa"/>
            <w:tcBorders>
              <w:top w:val="single" w:sz="4" w:space="0" w:color="auto"/>
              <w:left w:val="single" w:sz="4" w:space="0" w:color="auto"/>
              <w:bottom w:val="single" w:sz="4" w:space="0" w:color="auto"/>
              <w:right w:val="single" w:sz="4" w:space="0" w:color="auto"/>
            </w:tcBorders>
          </w:tcPr>
          <w:p w14:paraId="1E589955" w14:textId="77777777" w:rsidR="00FD21FE" w:rsidRDefault="00FD21FE">
            <w:pPr>
              <w:rPr>
                <w:rFonts w:ascii="Verdana" w:hAnsi="Verdana"/>
                <w:sz w:val="16"/>
                <w:szCs w:val="16"/>
                <w:lang w:val="es-CO"/>
              </w:rPr>
            </w:pPr>
            <w:r>
              <w:rPr>
                <w:rFonts w:ascii="Verdana" w:hAnsi="Verdana"/>
                <w:sz w:val="16"/>
                <w:szCs w:val="16"/>
                <w:lang w:val="es-CO"/>
              </w:rPr>
              <w:t>Adicional a lo descrito por la Entidad, el informe habla de la toma de muestras para el control de la calidad del agua por parte de APCES:</w:t>
            </w:r>
          </w:p>
          <w:p w14:paraId="47FF2679" w14:textId="77777777" w:rsidR="00FD21FE" w:rsidRDefault="00FD21FE">
            <w:pPr>
              <w:rPr>
                <w:rFonts w:ascii="Verdana" w:hAnsi="Verdana"/>
                <w:sz w:val="16"/>
                <w:szCs w:val="16"/>
                <w:lang w:val="es-CO"/>
              </w:rPr>
            </w:pPr>
          </w:p>
          <w:p w14:paraId="2273CC92" w14:textId="77777777" w:rsidR="00FD21FE" w:rsidRDefault="00FD21FE">
            <w:pPr>
              <w:jc w:val="both"/>
              <w:rPr>
                <w:rFonts w:ascii="Verdana" w:hAnsi="Verdana"/>
                <w:i/>
                <w:iCs/>
                <w:sz w:val="16"/>
                <w:szCs w:val="16"/>
              </w:rPr>
            </w:pPr>
            <w:r>
              <w:rPr>
                <w:rFonts w:ascii="Verdana" w:hAnsi="Verdana"/>
                <w:i/>
                <w:iCs/>
                <w:sz w:val="16"/>
                <w:szCs w:val="16"/>
              </w:rPr>
              <w:t>“El Municipio de San Martín, Cesar realiza dos monitoreos de la calidad del agua. El primero se hace en articulación con la Administradora Publica Cooperativa Empresa Solidaria De San Martin- Cesar (APCES E.S.P.) y específicamente lo corrobora la secretaria de Gestión Social a través de la funcionaria encargada de salud pública. El otro monitoreo, lo realiza la empresa propiamente dicha como fuente para el análisis comparativo y complementario entre las partes.</w:t>
            </w:r>
          </w:p>
          <w:p w14:paraId="4F7BC3FF" w14:textId="77777777" w:rsidR="00FD21FE" w:rsidRDefault="00FD21FE">
            <w:pPr>
              <w:jc w:val="both"/>
              <w:rPr>
                <w:rFonts w:ascii="Verdana" w:hAnsi="Verdana"/>
                <w:i/>
                <w:iCs/>
                <w:sz w:val="16"/>
                <w:szCs w:val="16"/>
              </w:rPr>
            </w:pPr>
          </w:p>
          <w:p w14:paraId="5A1AE800" w14:textId="77777777" w:rsidR="00FD21FE" w:rsidRDefault="00FD21FE">
            <w:pPr>
              <w:jc w:val="both"/>
              <w:rPr>
                <w:rFonts w:ascii="Verdana" w:hAnsi="Verdana"/>
                <w:i/>
                <w:iCs/>
                <w:sz w:val="16"/>
                <w:szCs w:val="16"/>
              </w:rPr>
            </w:pPr>
            <w:r>
              <w:rPr>
                <w:rFonts w:ascii="Verdana" w:hAnsi="Verdana"/>
                <w:i/>
                <w:iCs/>
                <w:sz w:val="16"/>
                <w:szCs w:val="16"/>
              </w:rPr>
              <w:t>Para dar cumplimiento a la normativa de calidad del agua potable, la empresa APCES ESP, realiza monitoreo diario en la planta de tratamiento y en la red de distribución de los parámetros de cloro, pH, y turbidez del agua, parámetros que nos permiten dar una visión inicial de las condiciones del agua. Adicionalmente la empresa APCES ESP, realiza monitoreos de control mensual, enviando 2 muestras por mes a un laboratorio acreditado ante el IDEAM, para verificar y diagnosticar la calidad y las condiciones fisicoquímicas y microbiológicas del agua”.</w:t>
            </w:r>
          </w:p>
          <w:p w14:paraId="55432416" w14:textId="77777777" w:rsidR="00FD21FE" w:rsidRDefault="00FD21FE">
            <w:pPr>
              <w:jc w:val="both"/>
              <w:rPr>
                <w:rFonts w:ascii="Verdana" w:hAnsi="Verdana"/>
                <w:i/>
                <w:iCs/>
                <w:sz w:val="16"/>
                <w:szCs w:val="16"/>
              </w:rPr>
            </w:pPr>
          </w:p>
          <w:p w14:paraId="0BCC42E7" w14:textId="77777777" w:rsidR="00FD21FE" w:rsidRDefault="00FD21FE">
            <w:pPr>
              <w:jc w:val="both"/>
              <w:rPr>
                <w:rFonts w:ascii="Verdana" w:hAnsi="Verdana"/>
                <w:sz w:val="16"/>
                <w:szCs w:val="16"/>
              </w:rPr>
            </w:pPr>
            <w:r>
              <w:rPr>
                <w:rFonts w:ascii="Verdana" w:hAnsi="Verdana"/>
                <w:sz w:val="16"/>
                <w:szCs w:val="16"/>
              </w:rPr>
              <w:t>Uno de los eventos de riesgo identificados fue la calidad del agua, se requiere que en el área rural el seguimiento a la calidad del agua sea realizada con la misma rigurosidad que en el área urbana.</w:t>
            </w:r>
          </w:p>
          <w:p w14:paraId="362F4267" w14:textId="77777777" w:rsidR="00FD21FE" w:rsidRDefault="00FD21FE">
            <w:pPr>
              <w:jc w:val="both"/>
              <w:rPr>
                <w:rFonts w:ascii="Verdana" w:hAnsi="Verdana"/>
                <w:sz w:val="16"/>
                <w:szCs w:val="16"/>
              </w:rPr>
            </w:pPr>
          </w:p>
          <w:p w14:paraId="4E1342E2" w14:textId="77777777" w:rsidR="00FD21FE" w:rsidRDefault="00FD21FE">
            <w:pPr>
              <w:jc w:val="both"/>
              <w:rPr>
                <w:rFonts w:ascii="Verdana" w:hAnsi="Verdana"/>
                <w:sz w:val="16"/>
                <w:szCs w:val="16"/>
              </w:rPr>
            </w:pPr>
            <w:r>
              <w:rPr>
                <w:rFonts w:ascii="Verdana" w:hAnsi="Verdana"/>
                <w:sz w:val="16"/>
                <w:szCs w:val="16"/>
              </w:rPr>
              <w:t>El informe de monitoreo preventivo del MVCT de septiembre de 2022, arrojó un IRCA de 3.9%, lo que la hace apta para consumo humano en el área urbana.</w:t>
            </w:r>
          </w:p>
          <w:p w14:paraId="53F9AD4B" w14:textId="77777777" w:rsidR="00FD21FE" w:rsidRDefault="00FD21FE">
            <w:pPr>
              <w:jc w:val="both"/>
              <w:rPr>
                <w:rFonts w:ascii="Verdana" w:hAnsi="Verdana"/>
                <w:sz w:val="16"/>
                <w:szCs w:val="16"/>
              </w:rPr>
            </w:pPr>
          </w:p>
          <w:p w14:paraId="2C7A043E" w14:textId="77777777" w:rsidR="00FD21FE" w:rsidRDefault="00FD21FE">
            <w:pPr>
              <w:jc w:val="both"/>
              <w:rPr>
                <w:rFonts w:ascii="Verdana" w:hAnsi="Verdana"/>
                <w:b/>
                <w:bCs/>
                <w:sz w:val="16"/>
                <w:szCs w:val="16"/>
              </w:rPr>
            </w:pPr>
            <w:r>
              <w:rPr>
                <w:rFonts w:ascii="Verdana" w:hAnsi="Verdana"/>
                <w:b/>
                <w:bCs/>
                <w:sz w:val="16"/>
                <w:szCs w:val="16"/>
              </w:rPr>
              <w:t>CUMPLIMIENTO PARCIAL.</w:t>
            </w:r>
          </w:p>
          <w:p w14:paraId="60018AE0" w14:textId="77777777" w:rsidR="00FD21FE" w:rsidRDefault="00FD21FE">
            <w:pPr>
              <w:jc w:val="both"/>
              <w:rPr>
                <w:rFonts w:ascii="Verdana" w:hAnsi="Verdana"/>
                <w:sz w:val="16"/>
                <w:szCs w:val="16"/>
                <w:lang w:val="es-CO"/>
              </w:rPr>
            </w:pPr>
          </w:p>
        </w:tc>
      </w:tr>
      <w:tr w:rsidR="00FD21FE" w14:paraId="7A62C1A0"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59726293" w14:textId="77777777" w:rsidR="00FD21FE" w:rsidRDefault="00FD21FE">
            <w:pPr>
              <w:jc w:val="center"/>
              <w:rPr>
                <w:rFonts w:ascii="Verdana" w:hAnsi="Verdana"/>
                <w:b/>
                <w:bCs/>
                <w:sz w:val="16"/>
                <w:szCs w:val="16"/>
                <w:lang w:val="es-CO"/>
              </w:rPr>
            </w:pPr>
            <w:r>
              <w:rPr>
                <w:rFonts w:ascii="Verdana" w:hAnsi="Verdana"/>
                <w:b/>
                <w:bCs/>
                <w:sz w:val="16"/>
                <w:szCs w:val="16"/>
                <w:lang w:val="es-CO"/>
              </w:rPr>
              <w:t>18</w:t>
            </w:r>
          </w:p>
        </w:tc>
        <w:tc>
          <w:tcPr>
            <w:tcW w:w="1536" w:type="dxa"/>
            <w:tcBorders>
              <w:top w:val="single" w:sz="4" w:space="0" w:color="auto"/>
              <w:left w:val="single" w:sz="4" w:space="0" w:color="auto"/>
              <w:bottom w:val="single" w:sz="4" w:space="0" w:color="auto"/>
              <w:right w:val="single" w:sz="4" w:space="0" w:color="auto"/>
            </w:tcBorders>
            <w:hideMark/>
          </w:tcPr>
          <w:p w14:paraId="143C78EC" w14:textId="77777777" w:rsidR="00FD21FE" w:rsidRDefault="00FD21FE">
            <w:pPr>
              <w:rPr>
                <w:rFonts w:ascii="Verdana" w:hAnsi="Verdana"/>
                <w:sz w:val="16"/>
                <w:szCs w:val="16"/>
                <w:lang w:val="es-CO"/>
              </w:rPr>
            </w:pPr>
            <w:r>
              <w:rPr>
                <w:rFonts w:ascii="Verdana" w:hAnsi="Verdana"/>
                <w:sz w:val="16"/>
                <w:szCs w:val="16"/>
                <w:lang w:val="es-CO"/>
              </w:rPr>
              <w:t>Conformar el Comité de Desarrollo y Control Social</w:t>
            </w:r>
          </w:p>
        </w:tc>
        <w:tc>
          <w:tcPr>
            <w:tcW w:w="1559" w:type="dxa"/>
            <w:tcBorders>
              <w:top w:val="single" w:sz="4" w:space="0" w:color="auto"/>
              <w:left w:val="single" w:sz="4" w:space="0" w:color="auto"/>
              <w:bottom w:val="single" w:sz="4" w:space="0" w:color="auto"/>
              <w:right w:val="single" w:sz="4" w:space="0" w:color="auto"/>
            </w:tcBorders>
            <w:hideMark/>
          </w:tcPr>
          <w:p w14:paraId="6EF7AF34" w14:textId="77777777" w:rsidR="00FD21FE" w:rsidRDefault="00FD21FE">
            <w:pPr>
              <w:rPr>
                <w:rFonts w:ascii="Verdana" w:hAnsi="Verdana"/>
                <w:sz w:val="16"/>
                <w:szCs w:val="16"/>
                <w:lang w:val="es-CO"/>
              </w:rPr>
            </w:pPr>
            <w:r>
              <w:rPr>
                <w:rFonts w:ascii="Verdana" w:hAnsi="Verdana"/>
                <w:sz w:val="16"/>
                <w:szCs w:val="16"/>
                <w:lang w:val="es-CO"/>
              </w:rPr>
              <w:t>Acta de constitución y conformación del Comité de Desarrollo y Control Social</w:t>
            </w:r>
          </w:p>
        </w:tc>
        <w:tc>
          <w:tcPr>
            <w:tcW w:w="2126" w:type="dxa"/>
            <w:tcBorders>
              <w:top w:val="single" w:sz="4" w:space="0" w:color="auto"/>
              <w:left w:val="single" w:sz="4" w:space="0" w:color="auto"/>
              <w:bottom w:val="single" w:sz="4" w:space="0" w:color="auto"/>
              <w:right w:val="single" w:sz="4" w:space="0" w:color="auto"/>
            </w:tcBorders>
          </w:tcPr>
          <w:p w14:paraId="2F0943F2" w14:textId="77777777" w:rsidR="00FD21FE" w:rsidRDefault="00FD21FE">
            <w:pPr>
              <w:jc w:val="both"/>
              <w:rPr>
                <w:rFonts w:ascii="Verdana" w:hAnsi="Verdana"/>
                <w:sz w:val="16"/>
                <w:szCs w:val="16"/>
              </w:rPr>
            </w:pPr>
            <w:r>
              <w:rPr>
                <w:rFonts w:ascii="Verdana" w:hAnsi="Verdana"/>
                <w:sz w:val="16"/>
                <w:szCs w:val="16"/>
                <w:lang w:val="es-CO"/>
              </w:rPr>
              <w:t xml:space="preserve">En el </w:t>
            </w:r>
            <w:r>
              <w:rPr>
                <w:rFonts w:ascii="Verdana" w:hAnsi="Verdana"/>
                <w:b/>
                <w:bCs/>
                <w:i/>
                <w:iCs/>
                <w:sz w:val="16"/>
                <w:szCs w:val="16"/>
              </w:rPr>
              <w:t xml:space="preserve">“Informe: Avance del Cumplimiento al Plan de Desempeño en el Sector de Agua Potable Saneamiento Básico, </w:t>
            </w:r>
            <w:r>
              <w:rPr>
                <w:rFonts w:ascii="Verdana" w:hAnsi="Verdana"/>
                <w:sz w:val="16"/>
                <w:szCs w:val="16"/>
              </w:rPr>
              <w:t>este producto se desarrolla de la siguiente manera:</w:t>
            </w:r>
          </w:p>
          <w:p w14:paraId="11805DAE" w14:textId="77777777" w:rsidR="00FD21FE" w:rsidRDefault="00FD21FE">
            <w:pPr>
              <w:rPr>
                <w:rFonts w:ascii="Verdana" w:hAnsi="Verdana"/>
                <w:sz w:val="16"/>
                <w:szCs w:val="16"/>
              </w:rPr>
            </w:pPr>
          </w:p>
          <w:p w14:paraId="0496899F" w14:textId="77777777" w:rsidR="00FD21FE" w:rsidRDefault="00FD21FE">
            <w:pPr>
              <w:jc w:val="both"/>
              <w:rPr>
                <w:rFonts w:ascii="Verdana" w:hAnsi="Verdana"/>
                <w:i/>
                <w:iCs/>
                <w:sz w:val="16"/>
                <w:szCs w:val="16"/>
              </w:rPr>
            </w:pPr>
            <w:r>
              <w:rPr>
                <w:rFonts w:ascii="Verdana" w:hAnsi="Verdana"/>
                <w:i/>
                <w:iCs/>
                <w:sz w:val="16"/>
                <w:szCs w:val="16"/>
              </w:rPr>
              <w:t>La administración municipal de San Martín, Cesar a través de la Resolución N° 0273 de 2022 avala la creación del Comité de Desarrollo y Control Social (CDCS) y Vocal de Control, teniendo como precedente la solicitud presentada por parte del comité promotor el día 17 de febrero del 2022. No obstante, para la expedición de dicho acto administrativo se procedió a verificar la documentación aportada por este comité promotor, la cual resultó concordante con los dispuesto en el Decreto 1429 de 1995 “Por el cual se reglamenta el Capítulo I del Título V de la Ley 142 de 1994, en relación con el Control Social de los Servicios Públicos Domiciliarios.</w:t>
            </w:r>
          </w:p>
          <w:p w14:paraId="1E2A4F16" w14:textId="77777777" w:rsidR="00FD21FE" w:rsidRDefault="00FD21FE">
            <w:pPr>
              <w:jc w:val="both"/>
              <w:rPr>
                <w:rFonts w:ascii="Verdana" w:hAnsi="Verdana"/>
                <w:i/>
                <w:iCs/>
                <w:sz w:val="16"/>
                <w:szCs w:val="16"/>
              </w:rPr>
            </w:pPr>
          </w:p>
          <w:p w14:paraId="5828CCEB" w14:textId="77777777" w:rsidR="00FD21FE" w:rsidRDefault="00FD21FE">
            <w:pPr>
              <w:jc w:val="both"/>
              <w:rPr>
                <w:rFonts w:ascii="Verdana" w:hAnsi="Verdana"/>
                <w:i/>
                <w:iCs/>
                <w:sz w:val="16"/>
                <w:szCs w:val="16"/>
              </w:rPr>
            </w:pPr>
            <w:r>
              <w:rPr>
                <w:rFonts w:ascii="Verdana" w:hAnsi="Verdana"/>
                <w:i/>
                <w:iCs/>
                <w:sz w:val="16"/>
                <w:szCs w:val="16"/>
              </w:rPr>
              <w:t>Anexo 22, 23,25 y 25</w:t>
            </w:r>
          </w:p>
        </w:tc>
        <w:tc>
          <w:tcPr>
            <w:tcW w:w="2888" w:type="dxa"/>
            <w:tcBorders>
              <w:top w:val="single" w:sz="4" w:space="0" w:color="auto"/>
              <w:left w:val="single" w:sz="4" w:space="0" w:color="auto"/>
              <w:bottom w:val="single" w:sz="4" w:space="0" w:color="auto"/>
              <w:right w:val="single" w:sz="4" w:space="0" w:color="auto"/>
            </w:tcBorders>
          </w:tcPr>
          <w:p w14:paraId="304A299D" w14:textId="77777777" w:rsidR="00FD21FE" w:rsidRDefault="00FD21FE">
            <w:pPr>
              <w:jc w:val="both"/>
              <w:rPr>
                <w:rFonts w:ascii="Verdana" w:hAnsi="Verdana"/>
                <w:sz w:val="16"/>
                <w:szCs w:val="16"/>
                <w:lang w:val="es-CO"/>
              </w:rPr>
            </w:pPr>
            <w:r>
              <w:rPr>
                <w:rFonts w:ascii="Verdana" w:hAnsi="Verdana"/>
                <w:sz w:val="16"/>
                <w:szCs w:val="16"/>
                <w:lang w:val="es-CO"/>
              </w:rPr>
              <w:t>Si bien el CDCS debe ser de iniciativa popular, la Administración ha garantizado y puesto a disposición lo necesario para contar con una activa participación comunitaria en beneficio de una prestación optima de los servicios públicos domiciliarios de AAA.</w:t>
            </w:r>
          </w:p>
          <w:p w14:paraId="282B4880" w14:textId="77777777" w:rsidR="00FD21FE" w:rsidRDefault="00FD21FE">
            <w:pPr>
              <w:jc w:val="both"/>
              <w:rPr>
                <w:rFonts w:ascii="Verdana" w:hAnsi="Verdana"/>
                <w:sz w:val="16"/>
                <w:szCs w:val="16"/>
                <w:lang w:val="es-CO"/>
              </w:rPr>
            </w:pPr>
          </w:p>
          <w:p w14:paraId="1F890F86" w14:textId="77777777" w:rsidR="00FD21FE" w:rsidRDefault="00FD21FE">
            <w:pPr>
              <w:jc w:val="both"/>
              <w:rPr>
                <w:rFonts w:ascii="Verdana" w:hAnsi="Verdana"/>
                <w:sz w:val="16"/>
                <w:szCs w:val="16"/>
                <w:lang w:val="es-CO"/>
              </w:rPr>
            </w:pPr>
            <w:r>
              <w:rPr>
                <w:rFonts w:ascii="Verdana" w:hAnsi="Verdana"/>
                <w:sz w:val="16"/>
                <w:szCs w:val="16"/>
                <w:lang w:val="es-CO"/>
              </w:rPr>
              <w:t>De esta manera, se evidencia la conformación del CDCS a través de la resolución 0273 de 2022.</w:t>
            </w:r>
          </w:p>
          <w:p w14:paraId="682543EB" w14:textId="77777777" w:rsidR="00FD21FE" w:rsidRDefault="00FD21FE">
            <w:pPr>
              <w:jc w:val="both"/>
              <w:rPr>
                <w:rFonts w:ascii="Verdana" w:hAnsi="Verdana"/>
                <w:sz w:val="16"/>
                <w:szCs w:val="16"/>
                <w:lang w:val="es-CO"/>
              </w:rPr>
            </w:pPr>
          </w:p>
          <w:p w14:paraId="78AB9012" w14:textId="77777777" w:rsidR="00FD21FE" w:rsidRDefault="00FD21FE">
            <w:pPr>
              <w:jc w:val="both"/>
              <w:rPr>
                <w:rFonts w:ascii="Verdana" w:hAnsi="Verdana"/>
                <w:sz w:val="16"/>
                <w:szCs w:val="16"/>
                <w:lang w:val="es-CO"/>
              </w:rPr>
            </w:pPr>
            <w:r>
              <w:rPr>
                <w:rFonts w:ascii="Verdana" w:hAnsi="Verdana"/>
                <w:sz w:val="16"/>
                <w:szCs w:val="16"/>
                <w:lang w:val="es-CO"/>
              </w:rPr>
              <w:t>Se adjuntó también el Acta de Constitución 001 de mayo del 2021 los listados de asistencia asamblea de Conformación, los Estatutos Comité de Desarrollo y Control Social.</w:t>
            </w:r>
          </w:p>
          <w:p w14:paraId="68C2EC7C" w14:textId="77777777" w:rsidR="00FD21FE" w:rsidRDefault="00FD21FE">
            <w:pPr>
              <w:jc w:val="both"/>
              <w:rPr>
                <w:rFonts w:ascii="Verdana" w:hAnsi="Verdana"/>
                <w:sz w:val="16"/>
                <w:szCs w:val="16"/>
                <w:lang w:val="es-CO"/>
              </w:rPr>
            </w:pPr>
          </w:p>
          <w:p w14:paraId="18F74B42" w14:textId="77777777" w:rsidR="00FD21FE" w:rsidRDefault="00FD21FE">
            <w:pPr>
              <w:jc w:val="both"/>
              <w:rPr>
                <w:rFonts w:ascii="Verdana" w:hAnsi="Verdana"/>
                <w:sz w:val="16"/>
                <w:szCs w:val="16"/>
                <w:lang w:val="es-CO"/>
              </w:rPr>
            </w:pPr>
            <w:r>
              <w:rPr>
                <w:rFonts w:ascii="Verdana" w:hAnsi="Verdana"/>
                <w:sz w:val="16"/>
                <w:szCs w:val="16"/>
                <w:lang w:val="es-CO"/>
              </w:rPr>
              <w:t>Es una gran oportunidad contar con la participación ciudadana para la fiscalización de los servicios públicos a través del CDCS, el cual deberá velar también por la eficiente prestación de los servicios AAA a nivel rural.</w:t>
            </w:r>
          </w:p>
          <w:p w14:paraId="620EE044" w14:textId="77777777" w:rsidR="00FD21FE" w:rsidRDefault="00FD21FE">
            <w:pPr>
              <w:rPr>
                <w:rFonts w:ascii="Verdana" w:hAnsi="Verdana"/>
                <w:sz w:val="16"/>
                <w:szCs w:val="16"/>
                <w:lang w:val="es-CO"/>
              </w:rPr>
            </w:pPr>
          </w:p>
          <w:p w14:paraId="6FBE80DE" w14:textId="77777777" w:rsidR="00FD21FE" w:rsidRDefault="00FD21FE">
            <w:pPr>
              <w:rPr>
                <w:rFonts w:ascii="Verdana" w:hAnsi="Verdana"/>
                <w:b/>
                <w:bCs/>
                <w:sz w:val="16"/>
                <w:szCs w:val="16"/>
                <w:lang w:val="es-CO"/>
              </w:rPr>
            </w:pPr>
            <w:r>
              <w:rPr>
                <w:rFonts w:ascii="Verdana" w:hAnsi="Verdana"/>
                <w:b/>
                <w:bCs/>
                <w:sz w:val="16"/>
                <w:szCs w:val="16"/>
                <w:lang w:val="es-CO"/>
              </w:rPr>
              <w:t>CUMPLE</w:t>
            </w:r>
          </w:p>
        </w:tc>
      </w:tr>
      <w:tr w:rsidR="00FD21FE" w14:paraId="032B013B"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39AB166E" w14:textId="77777777" w:rsidR="00FD21FE" w:rsidRDefault="00FD21FE">
            <w:pPr>
              <w:jc w:val="center"/>
              <w:rPr>
                <w:rFonts w:ascii="Verdana" w:hAnsi="Verdana"/>
                <w:b/>
                <w:bCs/>
                <w:sz w:val="16"/>
                <w:szCs w:val="16"/>
                <w:lang w:val="es-CO"/>
              </w:rPr>
            </w:pPr>
            <w:r>
              <w:rPr>
                <w:rFonts w:ascii="Verdana" w:hAnsi="Verdana"/>
                <w:b/>
                <w:bCs/>
                <w:sz w:val="16"/>
                <w:szCs w:val="16"/>
                <w:lang w:val="es-CO"/>
              </w:rPr>
              <w:t>19</w:t>
            </w:r>
          </w:p>
        </w:tc>
        <w:tc>
          <w:tcPr>
            <w:tcW w:w="1536" w:type="dxa"/>
            <w:tcBorders>
              <w:top w:val="single" w:sz="4" w:space="0" w:color="auto"/>
              <w:left w:val="single" w:sz="4" w:space="0" w:color="auto"/>
              <w:bottom w:val="single" w:sz="4" w:space="0" w:color="auto"/>
              <w:right w:val="single" w:sz="4" w:space="0" w:color="auto"/>
            </w:tcBorders>
          </w:tcPr>
          <w:p w14:paraId="738844D0" w14:textId="77777777" w:rsidR="00FD21FE" w:rsidRDefault="00FD21FE">
            <w:pPr>
              <w:rPr>
                <w:rFonts w:ascii="Verdana" w:hAnsi="Verdana"/>
                <w:sz w:val="16"/>
                <w:szCs w:val="16"/>
                <w:lang w:val="es-CO"/>
              </w:rPr>
            </w:pPr>
            <w:r>
              <w:rPr>
                <w:rFonts w:ascii="Verdana" w:hAnsi="Verdana"/>
                <w:sz w:val="16"/>
                <w:szCs w:val="16"/>
                <w:lang w:val="es-CO"/>
              </w:rPr>
              <w:t>Realizar los actos administrativos a las solicitudes de reconocimiento de los CDCS.</w:t>
            </w:r>
          </w:p>
          <w:p w14:paraId="4DC4CB02" w14:textId="77777777" w:rsidR="00FD21FE" w:rsidRDefault="00FD21FE">
            <w:pPr>
              <w:rPr>
                <w:rFonts w:ascii="Verdana" w:hAnsi="Verdana"/>
                <w:sz w:val="16"/>
                <w:szCs w:val="16"/>
                <w:lang w:val="es-CO"/>
              </w:rPr>
            </w:pPr>
          </w:p>
          <w:p w14:paraId="11ACF7DA" w14:textId="77777777" w:rsidR="00FD21FE" w:rsidRDefault="00FD21FE">
            <w:pPr>
              <w:rPr>
                <w:rFonts w:ascii="Verdana" w:hAnsi="Verdana"/>
                <w:sz w:val="16"/>
                <w:szCs w:val="16"/>
                <w:lang w:val="es-CO"/>
              </w:rPr>
            </w:pPr>
            <w:r>
              <w:rPr>
                <w:rFonts w:ascii="Verdana" w:hAnsi="Verdana"/>
                <w:sz w:val="16"/>
                <w:szCs w:val="16"/>
                <w:lang w:val="es-CO"/>
              </w:rPr>
              <w:t>Incentivar la inscripción en los prestadores de servicios públicos y sus vocales de control.</w:t>
            </w:r>
          </w:p>
        </w:tc>
        <w:tc>
          <w:tcPr>
            <w:tcW w:w="1559" w:type="dxa"/>
            <w:tcBorders>
              <w:top w:val="single" w:sz="4" w:space="0" w:color="auto"/>
              <w:left w:val="single" w:sz="4" w:space="0" w:color="auto"/>
              <w:bottom w:val="single" w:sz="4" w:space="0" w:color="auto"/>
              <w:right w:val="single" w:sz="4" w:space="0" w:color="auto"/>
            </w:tcBorders>
            <w:hideMark/>
          </w:tcPr>
          <w:p w14:paraId="33AD1DCB" w14:textId="77777777" w:rsidR="00FD21FE" w:rsidRDefault="00FD21FE">
            <w:pPr>
              <w:rPr>
                <w:rFonts w:ascii="Verdana" w:hAnsi="Verdana"/>
                <w:sz w:val="16"/>
                <w:szCs w:val="16"/>
                <w:lang w:val="es-CO"/>
              </w:rPr>
            </w:pPr>
            <w:r>
              <w:rPr>
                <w:rFonts w:ascii="Verdana" w:hAnsi="Verdana"/>
                <w:sz w:val="16"/>
                <w:szCs w:val="16"/>
                <w:lang w:val="es-CO"/>
              </w:rPr>
              <w:t>Actos administrativos de reconocimiento de los comités de desarrollo y control social y vocales de control</w:t>
            </w:r>
          </w:p>
        </w:tc>
        <w:tc>
          <w:tcPr>
            <w:tcW w:w="2126" w:type="dxa"/>
            <w:tcBorders>
              <w:top w:val="single" w:sz="4" w:space="0" w:color="auto"/>
              <w:left w:val="single" w:sz="4" w:space="0" w:color="auto"/>
              <w:bottom w:val="single" w:sz="4" w:space="0" w:color="auto"/>
              <w:right w:val="single" w:sz="4" w:space="0" w:color="auto"/>
            </w:tcBorders>
          </w:tcPr>
          <w:p w14:paraId="135CC60C" w14:textId="77777777" w:rsidR="00FD21FE" w:rsidRDefault="00FD21FE">
            <w:pPr>
              <w:jc w:val="both"/>
              <w:rPr>
                <w:rFonts w:ascii="Verdana" w:hAnsi="Verdana"/>
                <w:sz w:val="16"/>
                <w:szCs w:val="16"/>
                <w:lang w:val="es-CO"/>
              </w:rPr>
            </w:pPr>
            <w:r>
              <w:rPr>
                <w:rFonts w:ascii="Verdana" w:hAnsi="Verdana"/>
                <w:sz w:val="16"/>
                <w:szCs w:val="16"/>
                <w:lang w:val="es-CO"/>
              </w:rPr>
              <w:t>El Municipio hace referencia al cumplimiento de este producto así:</w:t>
            </w:r>
          </w:p>
          <w:p w14:paraId="692670E8" w14:textId="77777777" w:rsidR="00FD21FE" w:rsidRDefault="00FD21FE">
            <w:pPr>
              <w:jc w:val="both"/>
              <w:rPr>
                <w:rFonts w:ascii="Verdana" w:hAnsi="Verdana"/>
                <w:i/>
                <w:iCs/>
                <w:sz w:val="16"/>
                <w:szCs w:val="16"/>
                <w:lang w:val="es-CO"/>
              </w:rPr>
            </w:pPr>
          </w:p>
          <w:p w14:paraId="02C6571E" w14:textId="77777777" w:rsidR="00FD21FE" w:rsidRDefault="00FD21FE">
            <w:pPr>
              <w:jc w:val="both"/>
              <w:rPr>
                <w:rFonts w:ascii="Verdana" w:hAnsi="Verdana"/>
                <w:i/>
                <w:iCs/>
                <w:sz w:val="16"/>
                <w:szCs w:val="16"/>
                <w:lang w:val="es-CO"/>
              </w:rPr>
            </w:pPr>
            <w:r>
              <w:rPr>
                <w:rFonts w:ascii="Verdana" w:hAnsi="Verdana"/>
                <w:i/>
                <w:iCs/>
                <w:sz w:val="16"/>
                <w:szCs w:val="16"/>
                <w:lang w:val="es-CO"/>
              </w:rPr>
              <w:t>Teniendo en cuenta la solicitud hecha por el comité promotor y en cumplimiento del Decreto 1429 de 1995 “Por el cual se reglamenta el Capítulo I del Título V de la Ley 142 de 1994, en relación con el Control Social de los Servicios Públicos Domiciliarios”; más exactamente en lo que estipula el Artículo 15º.- Interacción de los alcaldes con los Comités. Corresponde a los alcaldes: Velar por la conformación de los comités en la entidad territorial de su jurisdicción. Para tal efecto el alcalde apoyará a los usuarios en la convocatoria de las asambleas constitutivas de los Comités de Desarrollo y Control Social del territorio de su jurisdicción; Reconocer dentro de los ocho (8) días hábiles siguientes, contados desde la fecha de radicación de la solicitud, a los comités que solicite su inscripción; el alcalde municipal previa verificación y constancia del cumplimiento de los requisitos establecidos en este mismo decreto, profiere la Resolución N° 0273 de 2022, en donde brinda el reconocimiento del Comité de Desarrollo y Control Social (CDCS) y Vocal de Control</w:t>
            </w:r>
          </w:p>
        </w:tc>
        <w:tc>
          <w:tcPr>
            <w:tcW w:w="2888" w:type="dxa"/>
            <w:tcBorders>
              <w:top w:val="single" w:sz="4" w:space="0" w:color="auto"/>
              <w:left w:val="single" w:sz="4" w:space="0" w:color="auto"/>
              <w:bottom w:val="single" w:sz="4" w:space="0" w:color="auto"/>
              <w:right w:val="single" w:sz="4" w:space="0" w:color="auto"/>
            </w:tcBorders>
          </w:tcPr>
          <w:p w14:paraId="0E08BD6B" w14:textId="77777777" w:rsidR="00FD21FE" w:rsidRDefault="00FD21FE">
            <w:pPr>
              <w:jc w:val="both"/>
              <w:rPr>
                <w:rFonts w:ascii="Verdana" w:hAnsi="Verdana"/>
                <w:sz w:val="16"/>
                <w:szCs w:val="16"/>
                <w:lang w:val="es-CO"/>
              </w:rPr>
            </w:pPr>
            <w:r>
              <w:rPr>
                <w:rFonts w:ascii="Verdana" w:hAnsi="Verdana"/>
                <w:sz w:val="16"/>
                <w:szCs w:val="16"/>
                <w:lang w:val="es-CO"/>
              </w:rPr>
              <w:t>Si bien el CDCS debe ser de iniciativa popular, la Administración ha garantizado y puesto a disposición lo necesario para contar con una activa participación comunitaria en beneficio de una prestación optima de los servicios públicos domiciliarios de AAA</w:t>
            </w:r>
          </w:p>
          <w:p w14:paraId="0057691A" w14:textId="77777777" w:rsidR="00FD21FE" w:rsidRDefault="00FD21FE">
            <w:pPr>
              <w:jc w:val="both"/>
              <w:rPr>
                <w:rFonts w:ascii="Verdana" w:hAnsi="Verdana"/>
                <w:sz w:val="16"/>
                <w:szCs w:val="16"/>
                <w:lang w:val="es-CO"/>
              </w:rPr>
            </w:pPr>
            <w:r>
              <w:rPr>
                <w:rFonts w:ascii="Verdana" w:hAnsi="Verdana"/>
                <w:sz w:val="16"/>
                <w:szCs w:val="16"/>
                <w:lang w:val="es-CO"/>
              </w:rPr>
              <w:t>Se evidencia la conformación del CDCS a través de la resolución 0273 de 2022.</w:t>
            </w:r>
          </w:p>
          <w:p w14:paraId="3467A98B" w14:textId="77777777" w:rsidR="00FD21FE" w:rsidRDefault="00FD21FE">
            <w:pPr>
              <w:jc w:val="both"/>
              <w:rPr>
                <w:rFonts w:ascii="Verdana" w:hAnsi="Verdana"/>
                <w:sz w:val="16"/>
                <w:szCs w:val="16"/>
                <w:lang w:val="es-CO"/>
              </w:rPr>
            </w:pPr>
          </w:p>
          <w:p w14:paraId="07DFFB97" w14:textId="77777777" w:rsidR="00FD21FE" w:rsidRDefault="00FD21FE">
            <w:pPr>
              <w:jc w:val="both"/>
              <w:rPr>
                <w:rFonts w:ascii="Verdana" w:hAnsi="Verdana"/>
                <w:b/>
                <w:bCs/>
                <w:sz w:val="16"/>
                <w:szCs w:val="16"/>
                <w:lang w:val="es-CO"/>
              </w:rPr>
            </w:pPr>
            <w:r>
              <w:rPr>
                <w:rFonts w:ascii="Verdana" w:hAnsi="Verdana"/>
                <w:b/>
                <w:bCs/>
                <w:sz w:val="16"/>
                <w:szCs w:val="16"/>
                <w:lang w:val="es-CO"/>
              </w:rPr>
              <w:t>CUMPLE</w:t>
            </w:r>
          </w:p>
          <w:p w14:paraId="36C3734C" w14:textId="77777777" w:rsidR="00FD21FE" w:rsidRDefault="00FD21FE">
            <w:pPr>
              <w:rPr>
                <w:rFonts w:ascii="Verdana" w:hAnsi="Verdana"/>
                <w:sz w:val="16"/>
                <w:szCs w:val="16"/>
                <w:lang w:val="es-CO"/>
              </w:rPr>
            </w:pPr>
          </w:p>
        </w:tc>
      </w:tr>
      <w:tr w:rsidR="00FD21FE" w14:paraId="3F78D0C9"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23DAE703" w14:textId="77777777" w:rsidR="00FD21FE" w:rsidRDefault="00FD21FE">
            <w:pPr>
              <w:jc w:val="center"/>
              <w:rPr>
                <w:rFonts w:ascii="Verdana" w:hAnsi="Verdana"/>
                <w:b/>
                <w:bCs/>
                <w:sz w:val="16"/>
                <w:szCs w:val="16"/>
                <w:lang w:val="es-CO"/>
              </w:rPr>
            </w:pPr>
            <w:r>
              <w:rPr>
                <w:rFonts w:ascii="Verdana" w:hAnsi="Verdana"/>
                <w:b/>
                <w:bCs/>
                <w:sz w:val="16"/>
                <w:szCs w:val="16"/>
                <w:lang w:val="es-CO"/>
              </w:rPr>
              <w:t>20</w:t>
            </w:r>
          </w:p>
        </w:tc>
        <w:tc>
          <w:tcPr>
            <w:tcW w:w="1536" w:type="dxa"/>
            <w:tcBorders>
              <w:top w:val="single" w:sz="4" w:space="0" w:color="auto"/>
              <w:left w:val="single" w:sz="4" w:space="0" w:color="auto"/>
              <w:bottom w:val="single" w:sz="4" w:space="0" w:color="auto"/>
              <w:right w:val="single" w:sz="4" w:space="0" w:color="auto"/>
            </w:tcBorders>
            <w:hideMark/>
          </w:tcPr>
          <w:p w14:paraId="1FDD28DF" w14:textId="77777777" w:rsidR="00FD21FE" w:rsidRDefault="00FD21FE">
            <w:pPr>
              <w:jc w:val="both"/>
              <w:rPr>
                <w:rFonts w:ascii="Verdana" w:hAnsi="Verdana"/>
                <w:sz w:val="16"/>
                <w:szCs w:val="16"/>
                <w:lang w:val="es-CO"/>
              </w:rPr>
            </w:pPr>
            <w:r>
              <w:rPr>
                <w:rFonts w:ascii="Verdana" w:hAnsi="Verdana"/>
                <w:sz w:val="16"/>
                <w:szCs w:val="16"/>
                <w:lang w:val="es-CO"/>
              </w:rPr>
              <w:t>Atender las solicitudes y peticiones de los vocales de control social.</w:t>
            </w:r>
          </w:p>
        </w:tc>
        <w:tc>
          <w:tcPr>
            <w:tcW w:w="1559" w:type="dxa"/>
            <w:tcBorders>
              <w:top w:val="single" w:sz="4" w:space="0" w:color="auto"/>
              <w:left w:val="single" w:sz="4" w:space="0" w:color="auto"/>
              <w:bottom w:val="single" w:sz="4" w:space="0" w:color="auto"/>
              <w:right w:val="single" w:sz="4" w:space="0" w:color="auto"/>
            </w:tcBorders>
            <w:hideMark/>
          </w:tcPr>
          <w:p w14:paraId="0275C822" w14:textId="77777777" w:rsidR="00FD21FE" w:rsidRDefault="00FD21FE">
            <w:pPr>
              <w:rPr>
                <w:rFonts w:ascii="Verdana" w:hAnsi="Verdana"/>
                <w:sz w:val="16"/>
                <w:szCs w:val="16"/>
                <w:lang w:val="es-CO"/>
              </w:rPr>
            </w:pPr>
            <w:r>
              <w:rPr>
                <w:rFonts w:ascii="Verdana" w:hAnsi="Verdana"/>
                <w:sz w:val="16"/>
                <w:szCs w:val="16"/>
                <w:lang w:val="es-CO"/>
              </w:rPr>
              <w:t>Actas de Reunión Comité de Desarrollo y Control Social.</w:t>
            </w:r>
          </w:p>
        </w:tc>
        <w:tc>
          <w:tcPr>
            <w:tcW w:w="2126" w:type="dxa"/>
            <w:tcBorders>
              <w:top w:val="single" w:sz="4" w:space="0" w:color="auto"/>
              <w:left w:val="single" w:sz="4" w:space="0" w:color="auto"/>
              <w:bottom w:val="single" w:sz="4" w:space="0" w:color="auto"/>
              <w:right w:val="single" w:sz="4" w:space="0" w:color="auto"/>
            </w:tcBorders>
          </w:tcPr>
          <w:p w14:paraId="7B8B8103" w14:textId="77777777" w:rsidR="00FD21FE" w:rsidRDefault="00FD21FE">
            <w:pPr>
              <w:rPr>
                <w:rFonts w:ascii="Verdana" w:hAnsi="Verdana"/>
                <w:sz w:val="16"/>
                <w:szCs w:val="16"/>
                <w:lang w:val="es-CO"/>
              </w:rPr>
            </w:pPr>
          </w:p>
        </w:tc>
        <w:tc>
          <w:tcPr>
            <w:tcW w:w="2888" w:type="dxa"/>
            <w:tcBorders>
              <w:top w:val="single" w:sz="4" w:space="0" w:color="auto"/>
              <w:left w:val="single" w:sz="4" w:space="0" w:color="auto"/>
              <w:bottom w:val="single" w:sz="4" w:space="0" w:color="auto"/>
              <w:right w:val="single" w:sz="4" w:space="0" w:color="auto"/>
            </w:tcBorders>
          </w:tcPr>
          <w:p w14:paraId="31E146EE" w14:textId="77777777" w:rsidR="00FD21FE" w:rsidRDefault="00FD21FE">
            <w:pPr>
              <w:jc w:val="both"/>
              <w:rPr>
                <w:rFonts w:ascii="Verdana" w:hAnsi="Verdana"/>
                <w:sz w:val="16"/>
                <w:szCs w:val="16"/>
                <w:lang w:val="es-CO"/>
              </w:rPr>
            </w:pPr>
            <w:r>
              <w:rPr>
                <w:rFonts w:ascii="Verdana" w:hAnsi="Verdana"/>
                <w:sz w:val="16"/>
                <w:szCs w:val="16"/>
                <w:lang w:val="es-CO"/>
              </w:rPr>
              <w:t>Hasta el momento no se ha recibido formalmente una petición expresa del comité y vocal de control</w:t>
            </w:r>
          </w:p>
          <w:p w14:paraId="2A6AE62A" w14:textId="77777777" w:rsidR="00FD21FE" w:rsidRDefault="00FD21FE">
            <w:pPr>
              <w:rPr>
                <w:rFonts w:ascii="Verdana" w:hAnsi="Verdana"/>
                <w:sz w:val="16"/>
                <w:szCs w:val="16"/>
                <w:lang w:val="es-CO"/>
              </w:rPr>
            </w:pPr>
          </w:p>
          <w:p w14:paraId="620C9A98" w14:textId="77777777" w:rsidR="00FD21FE" w:rsidRDefault="00FD21FE">
            <w:pPr>
              <w:rPr>
                <w:rFonts w:ascii="Verdana" w:hAnsi="Verdana"/>
                <w:sz w:val="16"/>
                <w:szCs w:val="16"/>
                <w:lang w:val="es-CO"/>
              </w:rPr>
            </w:pPr>
            <w:r>
              <w:rPr>
                <w:rFonts w:ascii="Verdana" w:hAnsi="Verdana"/>
                <w:sz w:val="16"/>
                <w:szCs w:val="16"/>
                <w:lang w:val="es-CO"/>
              </w:rPr>
              <w:t>La Entidad adjuntó las actas de las reuniones del CDCS</w:t>
            </w:r>
          </w:p>
          <w:p w14:paraId="1893A20C" w14:textId="77777777" w:rsidR="00FD21FE" w:rsidRDefault="00FD21FE">
            <w:pPr>
              <w:rPr>
                <w:rFonts w:ascii="Verdana" w:hAnsi="Verdana"/>
                <w:sz w:val="16"/>
                <w:szCs w:val="16"/>
                <w:lang w:val="es-CO"/>
              </w:rPr>
            </w:pPr>
          </w:p>
          <w:p w14:paraId="72BC5E41" w14:textId="77777777" w:rsidR="00FD21FE" w:rsidRDefault="00FD21FE">
            <w:pPr>
              <w:rPr>
                <w:rFonts w:ascii="Verdana" w:hAnsi="Verdana"/>
                <w:b/>
                <w:bCs/>
                <w:sz w:val="16"/>
                <w:szCs w:val="16"/>
                <w:lang w:val="es-CO"/>
              </w:rPr>
            </w:pPr>
            <w:r>
              <w:rPr>
                <w:rFonts w:ascii="Verdana" w:hAnsi="Verdana"/>
                <w:b/>
                <w:bCs/>
                <w:sz w:val="16"/>
                <w:szCs w:val="16"/>
                <w:lang w:val="es-CO"/>
              </w:rPr>
              <w:t>CUMPLE</w:t>
            </w:r>
          </w:p>
        </w:tc>
      </w:tr>
      <w:tr w:rsidR="00FD21FE" w14:paraId="1E825CAC" w14:textId="77777777" w:rsidTr="00FD21FE">
        <w:trPr>
          <w:jc w:val="center"/>
        </w:trPr>
        <w:tc>
          <w:tcPr>
            <w:tcW w:w="444" w:type="dxa"/>
            <w:tcBorders>
              <w:top w:val="single" w:sz="4" w:space="0" w:color="auto"/>
              <w:left w:val="single" w:sz="4" w:space="0" w:color="auto"/>
              <w:bottom w:val="single" w:sz="4" w:space="0" w:color="auto"/>
              <w:right w:val="single" w:sz="4" w:space="0" w:color="auto"/>
            </w:tcBorders>
            <w:hideMark/>
          </w:tcPr>
          <w:p w14:paraId="18EE7B86" w14:textId="77777777" w:rsidR="00FD21FE" w:rsidRDefault="00FD21FE">
            <w:pPr>
              <w:jc w:val="center"/>
              <w:rPr>
                <w:rFonts w:ascii="Verdana" w:hAnsi="Verdana"/>
                <w:b/>
                <w:bCs/>
                <w:sz w:val="16"/>
                <w:szCs w:val="16"/>
                <w:lang w:val="es-CO"/>
              </w:rPr>
            </w:pPr>
            <w:r>
              <w:rPr>
                <w:rFonts w:ascii="Verdana" w:hAnsi="Verdana"/>
                <w:b/>
                <w:bCs/>
                <w:sz w:val="16"/>
                <w:szCs w:val="16"/>
                <w:lang w:val="es-CO"/>
              </w:rPr>
              <w:t>21</w:t>
            </w:r>
          </w:p>
        </w:tc>
        <w:tc>
          <w:tcPr>
            <w:tcW w:w="1536" w:type="dxa"/>
            <w:tcBorders>
              <w:top w:val="single" w:sz="4" w:space="0" w:color="auto"/>
              <w:left w:val="single" w:sz="4" w:space="0" w:color="auto"/>
              <w:bottom w:val="single" w:sz="4" w:space="0" w:color="auto"/>
              <w:right w:val="single" w:sz="4" w:space="0" w:color="auto"/>
            </w:tcBorders>
            <w:hideMark/>
          </w:tcPr>
          <w:p w14:paraId="1005889E" w14:textId="77777777" w:rsidR="00FD21FE" w:rsidRDefault="00FD21FE">
            <w:pPr>
              <w:jc w:val="both"/>
              <w:rPr>
                <w:rFonts w:ascii="Verdana" w:hAnsi="Verdana"/>
                <w:sz w:val="16"/>
                <w:szCs w:val="16"/>
                <w:lang w:val="es-CO"/>
              </w:rPr>
            </w:pPr>
            <w:r>
              <w:rPr>
                <w:rFonts w:ascii="Verdana" w:hAnsi="Verdana"/>
                <w:sz w:val="16"/>
                <w:szCs w:val="16"/>
                <w:lang w:val="es-CO"/>
              </w:rPr>
              <w:t>Motivar las reuniones periódicas donde se evidencia la gestión del Comité de Desarrollo y Control Social</w:t>
            </w:r>
          </w:p>
        </w:tc>
        <w:tc>
          <w:tcPr>
            <w:tcW w:w="1559" w:type="dxa"/>
            <w:tcBorders>
              <w:top w:val="single" w:sz="4" w:space="0" w:color="auto"/>
              <w:left w:val="single" w:sz="4" w:space="0" w:color="auto"/>
              <w:bottom w:val="single" w:sz="4" w:space="0" w:color="auto"/>
              <w:right w:val="single" w:sz="4" w:space="0" w:color="auto"/>
            </w:tcBorders>
            <w:hideMark/>
          </w:tcPr>
          <w:p w14:paraId="3F56CD12" w14:textId="77777777" w:rsidR="00FD21FE" w:rsidRDefault="00FD21FE">
            <w:pPr>
              <w:rPr>
                <w:rFonts w:ascii="Verdana" w:hAnsi="Verdana"/>
                <w:sz w:val="16"/>
                <w:szCs w:val="16"/>
                <w:lang w:val="es-CO"/>
              </w:rPr>
            </w:pPr>
            <w:r>
              <w:rPr>
                <w:rFonts w:ascii="Verdana" w:hAnsi="Verdana"/>
                <w:sz w:val="16"/>
                <w:szCs w:val="16"/>
                <w:lang w:val="es-CO"/>
              </w:rPr>
              <w:t>Informe periódico de gestión del Comité de Desarrollo y Control Social.</w:t>
            </w:r>
          </w:p>
        </w:tc>
        <w:tc>
          <w:tcPr>
            <w:tcW w:w="2126" w:type="dxa"/>
            <w:tcBorders>
              <w:top w:val="single" w:sz="4" w:space="0" w:color="auto"/>
              <w:left w:val="single" w:sz="4" w:space="0" w:color="auto"/>
              <w:bottom w:val="single" w:sz="4" w:space="0" w:color="auto"/>
              <w:right w:val="single" w:sz="4" w:space="0" w:color="auto"/>
            </w:tcBorders>
          </w:tcPr>
          <w:p w14:paraId="000603CF" w14:textId="77777777" w:rsidR="00FD21FE" w:rsidRDefault="00FD21FE">
            <w:pPr>
              <w:jc w:val="both"/>
              <w:rPr>
                <w:rFonts w:ascii="Verdana" w:hAnsi="Verdana"/>
                <w:sz w:val="16"/>
                <w:szCs w:val="16"/>
                <w:lang w:val="es-CO"/>
              </w:rPr>
            </w:pPr>
            <w:r>
              <w:rPr>
                <w:rFonts w:ascii="Verdana" w:hAnsi="Verdana"/>
                <w:sz w:val="16"/>
                <w:szCs w:val="16"/>
                <w:lang w:val="es-CO"/>
              </w:rPr>
              <w:t>El Municipio hace referencia al cumplimiento de este producto así:</w:t>
            </w:r>
          </w:p>
          <w:p w14:paraId="01CCCEA1" w14:textId="77777777" w:rsidR="00FD21FE" w:rsidRDefault="00FD21FE">
            <w:pPr>
              <w:rPr>
                <w:rFonts w:ascii="Verdana" w:hAnsi="Verdana"/>
                <w:sz w:val="16"/>
                <w:szCs w:val="16"/>
                <w:lang w:val="es-CO"/>
              </w:rPr>
            </w:pPr>
          </w:p>
          <w:p w14:paraId="291FB355" w14:textId="77777777" w:rsidR="00FD21FE" w:rsidRDefault="00FD21FE">
            <w:pPr>
              <w:jc w:val="both"/>
              <w:rPr>
                <w:rFonts w:ascii="Verdana" w:hAnsi="Verdana"/>
                <w:i/>
                <w:iCs/>
                <w:sz w:val="16"/>
                <w:szCs w:val="16"/>
                <w:lang w:val="es-CO"/>
              </w:rPr>
            </w:pPr>
            <w:r>
              <w:rPr>
                <w:rFonts w:ascii="Verdana" w:hAnsi="Verdana"/>
                <w:i/>
                <w:iCs/>
                <w:sz w:val="16"/>
                <w:szCs w:val="16"/>
                <w:lang w:val="es-CO"/>
              </w:rPr>
              <w:t>La Administración Municipal solicitara mediante oficio informe a dicho comité, vocal de control y la personería municipal de la gestión realizada a partir de la fecha del acto administrativo de reconocimiento y lo que va corrido de este año. Además, exhortará a la realización de reuniones frecuentes para el desarrollo de la vigilancia de la gestión y en la fiscalización de las entidades de carácter privado, oficial, o mixto que presten los servicios públicos domiciliarios.</w:t>
            </w:r>
          </w:p>
        </w:tc>
        <w:tc>
          <w:tcPr>
            <w:tcW w:w="2888" w:type="dxa"/>
            <w:tcBorders>
              <w:top w:val="single" w:sz="4" w:space="0" w:color="auto"/>
              <w:left w:val="single" w:sz="4" w:space="0" w:color="auto"/>
              <w:bottom w:val="single" w:sz="4" w:space="0" w:color="auto"/>
              <w:right w:val="single" w:sz="4" w:space="0" w:color="auto"/>
            </w:tcBorders>
          </w:tcPr>
          <w:p w14:paraId="402F97E4" w14:textId="77777777" w:rsidR="00FD21FE" w:rsidRDefault="00FD21FE">
            <w:pPr>
              <w:jc w:val="both"/>
              <w:rPr>
                <w:rFonts w:ascii="Verdana" w:hAnsi="Verdana"/>
                <w:sz w:val="16"/>
                <w:szCs w:val="16"/>
                <w:lang w:val="es-CO"/>
              </w:rPr>
            </w:pPr>
          </w:p>
          <w:p w14:paraId="7CE2EF8C" w14:textId="77777777" w:rsidR="00FD21FE" w:rsidRDefault="00FD21FE">
            <w:pPr>
              <w:jc w:val="both"/>
              <w:rPr>
                <w:rFonts w:ascii="Verdana" w:hAnsi="Verdana"/>
                <w:sz w:val="16"/>
                <w:szCs w:val="16"/>
                <w:lang w:val="es-CO"/>
              </w:rPr>
            </w:pPr>
            <w:r>
              <w:rPr>
                <w:rFonts w:ascii="Verdana" w:hAnsi="Verdana"/>
                <w:sz w:val="16"/>
                <w:szCs w:val="16"/>
                <w:lang w:val="es-CO"/>
              </w:rPr>
              <w:t>Es una actividad continua a la que da cumplimiento</w:t>
            </w:r>
          </w:p>
          <w:p w14:paraId="290CD961" w14:textId="77777777" w:rsidR="00FD21FE" w:rsidRDefault="00FD21FE">
            <w:pPr>
              <w:jc w:val="both"/>
              <w:rPr>
                <w:rFonts w:ascii="Verdana" w:hAnsi="Verdana"/>
                <w:sz w:val="16"/>
                <w:szCs w:val="16"/>
                <w:lang w:val="es-CO"/>
              </w:rPr>
            </w:pPr>
          </w:p>
          <w:p w14:paraId="6CFC1A1B" w14:textId="77777777" w:rsidR="00FD21FE" w:rsidRDefault="00FD21FE">
            <w:pPr>
              <w:jc w:val="both"/>
              <w:rPr>
                <w:rFonts w:ascii="Verdana" w:hAnsi="Verdana"/>
                <w:b/>
                <w:bCs/>
                <w:sz w:val="16"/>
                <w:szCs w:val="16"/>
                <w:lang w:val="es-CO"/>
              </w:rPr>
            </w:pPr>
            <w:r>
              <w:rPr>
                <w:rFonts w:ascii="Verdana" w:hAnsi="Verdana"/>
                <w:b/>
                <w:bCs/>
                <w:sz w:val="16"/>
                <w:szCs w:val="16"/>
                <w:lang w:val="es-CO"/>
              </w:rPr>
              <w:t>CUMPLE</w:t>
            </w:r>
          </w:p>
        </w:tc>
      </w:tr>
    </w:tbl>
    <w:p w14:paraId="0A29E477" w14:textId="77777777" w:rsidR="00FD21FE" w:rsidRDefault="00FD21FE" w:rsidP="00FD21FE">
      <w:pPr>
        <w:rPr>
          <w:rFonts w:ascii="Verdana" w:hAnsi="Verdana"/>
          <w:sz w:val="22"/>
          <w:szCs w:val="22"/>
          <w:lang w:val="es-CO"/>
        </w:rPr>
      </w:pPr>
    </w:p>
    <w:p w14:paraId="042E62A1"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 xml:space="preserve">El Plan está compuesto por 24 actividades derivadas en 26 productos. </w:t>
      </w:r>
    </w:p>
    <w:p w14:paraId="028A7337" w14:textId="77777777" w:rsidR="00FD21FE" w:rsidRDefault="00FD21FE" w:rsidP="00FD21FE">
      <w:pPr>
        <w:jc w:val="both"/>
        <w:rPr>
          <w:rFonts w:ascii="Verdana" w:hAnsi="Verdana" w:cs="Arial"/>
          <w:sz w:val="22"/>
          <w:szCs w:val="22"/>
          <w:lang w:val="es-CO"/>
        </w:rPr>
      </w:pPr>
    </w:p>
    <w:p w14:paraId="1472A55A"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 xml:space="preserve">En esta evaluación se evidenció un grado de avance en 24 </w:t>
      </w:r>
      <w:r>
        <w:rPr>
          <w:rFonts w:ascii="Verdana" w:hAnsi="Verdana" w:cs="Arial"/>
          <w:b/>
          <w:bCs/>
          <w:sz w:val="22"/>
          <w:szCs w:val="22"/>
          <w:lang w:val="es-CO"/>
        </w:rPr>
        <w:t>actividades</w:t>
      </w:r>
      <w:r>
        <w:rPr>
          <w:rFonts w:ascii="Verdana" w:hAnsi="Verdana" w:cs="Arial"/>
          <w:sz w:val="22"/>
          <w:szCs w:val="22"/>
          <w:lang w:val="es-CO"/>
        </w:rPr>
        <w:t xml:space="preserve"> y en 24 </w:t>
      </w:r>
      <w:r>
        <w:rPr>
          <w:rFonts w:ascii="Verdana" w:hAnsi="Verdana" w:cs="Arial"/>
          <w:b/>
          <w:bCs/>
          <w:sz w:val="22"/>
          <w:szCs w:val="22"/>
          <w:lang w:val="es-CO"/>
        </w:rPr>
        <w:t>productos</w:t>
      </w:r>
      <w:r>
        <w:rPr>
          <w:rFonts w:ascii="Verdana" w:hAnsi="Verdana" w:cs="Arial"/>
          <w:sz w:val="22"/>
          <w:szCs w:val="22"/>
          <w:lang w:val="es-CO"/>
        </w:rPr>
        <w:t xml:space="preserve">. En el cuadro anexo, la actividad relacionada con la estratificación tiene 5 productos. Con respecto al Comité de Desarrollo y Control social, la actividad de </w:t>
      </w:r>
      <w:r>
        <w:rPr>
          <w:rFonts w:ascii="Verdana" w:hAnsi="Verdana" w:cs="Arial"/>
          <w:i/>
          <w:iCs/>
          <w:sz w:val="22"/>
          <w:szCs w:val="22"/>
          <w:lang w:val="es-CO"/>
        </w:rPr>
        <w:t>Incentivar la inscripción en los prestadores de servicios públicos y sus vocales de control</w:t>
      </w:r>
      <w:r>
        <w:rPr>
          <w:rFonts w:ascii="Verdana" w:hAnsi="Verdana" w:cs="Arial"/>
          <w:sz w:val="22"/>
          <w:szCs w:val="22"/>
          <w:lang w:val="es-CO"/>
        </w:rPr>
        <w:t xml:space="preserve"> tiene como producto </w:t>
      </w:r>
      <w:r>
        <w:rPr>
          <w:rFonts w:ascii="Verdana" w:hAnsi="Verdana" w:cs="Arial"/>
          <w:i/>
          <w:iCs/>
          <w:sz w:val="22"/>
          <w:szCs w:val="22"/>
          <w:lang w:val="es-CO"/>
        </w:rPr>
        <w:t>“actos administrativos de reconocimiento de los CDCS”</w:t>
      </w:r>
      <w:r>
        <w:rPr>
          <w:rFonts w:ascii="Verdana" w:hAnsi="Verdana" w:cs="Arial"/>
          <w:sz w:val="22"/>
          <w:szCs w:val="22"/>
          <w:lang w:val="es-CO"/>
        </w:rPr>
        <w:t xml:space="preserve">. </w:t>
      </w:r>
    </w:p>
    <w:p w14:paraId="0D3E3329" w14:textId="77777777" w:rsidR="00FD21FE" w:rsidRDefault="00FD21FE" w:rsidP="00FD21FE">
      <w:pPr>
        <w:jc w:val="both"/>
        <w:rPr>
          <w:rFonts w:ascii="Verdana" w:hAnsi="Verdana" w:cs="Arial"/>
          <w:sz w:val="22"/>
          <w:szCs w:val="22"/>
          <w:lang w:val="es-CO"/>
        </w:rPr>
      </w:pPr>
    </w:p>
    <w:p w14:paraId="263D5E9F"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 xml:space="preserve">En síntesis, la evaluación arrojó los siguientes resultados del cumplimiento de los 26 </w:t>
      </w:r>
      <w:r>
        <w:rPr>
          <w:rFonts w:ascii="Verdana" w:hAnsi="Verdana" w:cs="Arial"/>
          <w:b/>
          <w:bCs/>
          <w:sz w:val="22"/>
          <w:szCs w:val="22"/>
          <w:lang w:val="es-CO"/>
        </w:rPr>
        <w:t>productos.</w:t>
      </w:r>
    </w:p>
    <w:p w14:paraId="1B63D27B" w14:textId="77777777" w:rsidR="00FD21FE" w:rsidRDefault="00FD21FE" w:rsidP="00FD21FE">
      <w:pPr>
        <w:jc w:val="center"/>
        <w:rPr>
          <w:rFonts w:ascii="Verdana" w:hAnsi="Verdana" w:cs="Arial"/>
          <w:sz w:val="22"/>
          <w:szCs w:val="22"/>
          <w:lang w:val="es-CO"/>
        </w:rPr>
      </w:pPr>
      <w:r>
        <w:rPr>
          <w:rFonts w:ascii="Verdana" w:hAnsi="Verdana" w:cs="Arial"/>
          <w:sz w:val="22"/>
          <w:szCs w:val="22"/>
          <w:lang w:val="es-CO"/>
        </w:rPr>
        <w:t>Cumple:9</w:t>
      </w:r>
    </w:p>
    <w:p w14:paraId="5F8E6E8E" w14:textId="77777777" w:rsidR="00FD21FE" w:rsidRDefault="00FD21FE" w:rsidP="00FD21FE">
      <w:pPr>
        <w:jc w:val="center"/>
        <w:rPr>
          <w:rFonts w:ascii="Verdana" w:hAnsi="Verdana" w:cs="Arial"/>
          <w:sz w:val="22"/>
          <w:szCs w:val="22"/>
          <w:lang w:val="es-CO"/>
        </w:rPr>
      </w:pPr>
      <w:r>
        <w:rPr>
          <w:rFonts w:ascii="Verdana" w:hAnsi="Verdana" w:cs="Arial"/>
          <w:sz w:val="22"/>
          <w:szCs w:val="22"/>
          <w:lang w:val="es-CO"/>
        </w:rPr>
        <w:t>Cumplimiento Parcial: 7</w:t>
      </w:r>
    </w:p>
    <w:p w14:paraId="76342E6D" w14:textId="77777777" w:rsidR="00FD21FE" w:rsidRDefault="00FD21FE" w:rsidP="00FD21FE">
      <w:pPr>
        <w:jc w:val="center"/>
        <w:rPr>
          <w:rFonts w:ascii="Verdana" w:hAnsi="Verdana" w:cs="Arial"/>
          <w:sz w:val="22"/>
          <w:szCs w:val="22"/>
          <w:lang w:val="es-CO"/>
        </w:rPr>
      </w:pPr>
      <w:r>
        <w:rPr>
          <w:rFonts w:ascii="Verdana" w:hAnsi="Verdana" w:cs="Arial"/>
          <w:sz w:val="22"/>
          <w:szCs w:val="22"/>
          <w:lang w:val="es-CO"/>
        </w:rPr>
        <w:t>En ejecución: 8</w:t>
      </w:r>
    </w:p>
    <w:p w14:paraId="4AE5FA91" w14:textId="77777777" w:rsidR="00FD21FE" w:rsidRDefault="00FD21FE" w:rsidP="00FD21FE">
      <w:pPr>
        <w:jc w:val="center"/>
        <w:rPr>
          <w:rFonts w:ascii="Verdana" w:hAnsi="Verdana" w:cs="Arial"/>
          <w:sz w:val="22"/>
          <w:szCs w:val="22"/>
          <w:lang w:val="es-CO"/>
        </w:rPr>
      </w:pPr>
      <w:r>
        <w:rPr>
          <w:rFonts w:ascii="Verdana" w:hAnsi="Verdana" w:cs="Arial"/>
          <w:sz w:val="22"/>
          <w:szCs w:val="22"/>
          <w:lang w:val="es-CO"/>
        </w:rPr>
        <w:t>No cumple: 2</w:t>
      </w:r>
    </w:p>
    <w:p w14:paraId="73CA66F6" w14:textId="77777777" w:rsidR="00FD21FE" w:rsidRDefault="00FD21FE" w:rsidP="00FD21FE">
      <w:pPr>
        <w:jc w:val="center"/>
        <w:rPr>
          <w:rFonts w:ascii="Verdana" w:hAnsi="Verdana" w:cs="Arial"/>
          <w:b/>
          <w:bCs/>
          <w:sz w:val="22"/>
          <w:szCs w:val="22"/>
          <w:lang w:val="es-CO"/>
        </w:rPr>
      </w:pPr>
      <w:r>
        <w:rPr>
          <w:rFonts w:ascii="Verdana" w:hAnsi="Verdana" w:cs="Arial"/>
          <w:b/>
          <w:bCs/>
          <w:sz w:val="22"/>
          <w:szCs w:val="22"/>
          <w:lang w:val="es-CO"/>
        </w:rPr>
        <w:t>Total: 26</w:t>
      </w:r>
    </w:p>
    <w:p w14:paraId="36DCE6DA" w14:textId="77777777" w:rsidR="00FD21FE" w:rsidRDefault="00FD21FE" w:rsidP="00FD21FE">
      <w:pPr>
        <w:jc w:val="both"/>
        <w:rPr>
          <w:rFonts w:ascii="Verdana" w:hAnsi="Verdana" w:cs="Arial"/>
          <w:sz w:val="22"/>
          <w:szCs w:val="22"/>
          <w:lang w:val="es-CO"/>
        </w:rPr>
      </w:pPr>
    </w:p>
    <w:p w14:paraId="5390F9DC" w14:textId="77777777" w:rsidR="00FD21FE" w:rsidRDefault="00FD21FE" w:rsidP="00FD21FE">
      <w:pPr>
        <w:jc w:val="both"/>
        <w:rPr>
          <w:rFonts w:ascii="Verdana" w:hAnsi="Verdana" w:cs="Arial"/>
          <w:i/>
          <w:iCs/>
          <w:sz w:val="22"/>
          <w:szCs w:val="22"/>
          <w:lang w:val="es-CO"/>
        </w:rPr>
      </w:pPr>
      <w:r>
        <w:rPr>
          <w:rFonts w:ascii="Verdana" w:hAnsi="Verdana" w:cs="Arial"/>
          <w:sz w:val="22"/>
          <w:szCs w:val="22"/>
          <w:lang w:val="es-CO"/>
        </w:rPr>
        <w:t>No se obtuvo evidencia de la actividad asociada a “</w:t>
      </w:r>
      <w:r>
        <w:rPr>
          <w:rFonts w:ascii="Verdana" w:hAnsi="Verdana" w:cs="Arial"/>
          <w:i/>
          <w:iCs/>
          <w:sz w:val="22"/>
          <w:szCs w:val="22"/>
          <w:lang w:val="es-CO"/>
        </w:rPr>
        <w:t xml:space="preserve">Realizar un informe y mantenerlo actualizado sobre las obras sectoriales (Acueducto, Alcantarillado y Aseo) que se están ejecutando en la Entidad, en el que se identifique como mínimo, el número del proceso contractual, el número del proceso en el SECOP, el vínculo del proceso al SECOP, Identificación del contratista (Nombre y NIT), el Supervisor y/o interventor, la cantidad de recursos utilizados (Total del contrato y total ejecutado), la fuente de financiación, la población beneficiaria, el impacto generado sobre la cobertura, calidad y continuidad en los servicios de acueducto y/o saneamiento básico en la población, el estado de la obra, fecha de inicio y terminación de la obra, el seguimiento de las garantías, la relación de los informes de interventoría con el estado y las dificultades presentadas en la ejecución de las obras, entre otra información adicional que se considere relevante por parte de la Entidad Territorial”. </w:t>
      </w:r>
    </w:p>
    <w:p w14:paraId="7BCE3D64" w14:textId="77777777" w:rsidR="00FD21FE" w:rsidRDefault="00FD21FE" w:rsidP="00FD21FE">
      <w:pPr>
        <w:jc w:val="both"/>
        <w:rPr>
          <w:rFonts w:ascii="Verdana" w:hAnsi="Verdana" w:cs="Arial"/>
          <w:i/>
          <w:iCs/>
          <w:sz w:val="22"/>
          <w:szCs w:val="22"/>
          <w:lang w:val="es-CO"/>
        </w:rPr>
      </w:pPr>
    </w:p>
    <w:p w14:paraId="321628AE" w14:textId="77777777" w:rsidR="00FD21FE" w:rsidRDefault="00FD21FE" w:rsidP="00FD21FE">
      <w:pPr>
        <w:pStyle w:val="Ttulo1"/>
        <w:spacing w:before="0"/>
        <w:jc w:val="both"/>
        <w:rPr>
          <w:rFonts w:ascii="Verdana" w:eastAsia="MS Mincho" w:hAnsi="Verdana" w:cs="Arial"/>
          <w:color w:val="auto"/>
          <w:sz w:val="22"/>
          <w:szCs w:val="22"/>
          <w:lang w:val="es-CO"/>
        </w:rPr>
      </w:pPr>
      <w:r>
        <w:rPr>
          <w:rFonts w:ascii="Verdana" w:eastAsia="MS Mincho" w:hAnsi="Verdana" w:cs="Arial"/>
          <w:color w:val="auto"/>
          <w:sz w:val="22"/>
          <w:szCs w:val="22"/>
          <w:lang w:val="es-CO"/>
        </w:rPr>
        <w:t>El detalle de esta evaluación se puede identificar en el cuadro de esta sección V RESULTADO DE EVALUACIÓN DE LA MEDIDA.</w:t>
      </w:r>
    </w:p>
    <w:p w14:paraId="17235EB9" w14:textId="77777777" w:rsidR="00FD21FE" w:rsidRDefault="00FD21FE" w:rsidP="00FD21FE">
      <w:pPr>
        <w:jc w:val="both"/>
        <w:rPr>
          <w:rFonts w:ascii="Verdana" w:hAnsi="Verdana" w:cs="Arial"/>
          <w:i/>
          <w:iCs/>
          <w:sz w:val="22"/>
          <w:szCs w:val="22"/>
          <w:lang w:val="es-CO"/>
        </w:rPr>
      </w:pPr>
    </w:p>
    <w:p w14:paraId="42F5ABEF" w14:textId="77777777" w:rsidR="00FD21FE" w:rsidRDefault="00FD21FE" w:rsidP="00FD21FE">
      <w:pPr>
        <w:pStyle w:val="Sinespaciado"/>
        <w:jc w:val="both"/>
        <w:rPr>
          <w:rFonts w:ascii="Verdana" w:hAnsi="Verdana" w:cs="Arial"/>
        </w:rPr>
      </w:pPr>
    </w:p>
    <w:p w14:paraId="65D1C9A9" w14:textId="77777777" w:rsidR="00FD21FE" w:rsidRDefault="00FD21FE" w:rsidP="00FD21FE">
      <w:pPr>
        <w:pStyle w:val="Ttulo1"/>
        <w:numPr>
          <w:ilvl w:val="0"/>
          <w:numId w:val="3"/>
        </w:numPr>
        <w:spacing w:before="0"/>
        <w:jc w:val="both"/>
        <w:rPr>
          <w:rFonts w:ascii="Verdana" w:hAnsi="Verdana" w:cs="Arial"/>
          <w:b/>
          <w:color w:val="auto"/>
          <w:sz w:val="22"/>
          <w:szCs w:val="22"/>
          <w:lang w:val="es-CO"/>
        </w:rPr>
      </w:pPr>
      <w:r>
        <w:rPr>
          <w:rFonts w:ascii="Verdana" w:hAnsi="Verdana" w:cs="Arial"/>
          <w:b/>
          <w:color w:val="auto"/>
          <w:sz w:val="22"/>
          <w:szCs w:val="22"/>
          <w:lang w:val="es-CO"/>
        </w:rPr>
        <w:t>CONCLUSIONES Y RECOMENDACIONES.</w:t>
      </w:r>
    </w:p>
    <w:p w14:paraId="3C32506E" w14:textId="77777777" w:rsidR="00FD21FE" w:rsidRDefault="00FD21FE" w:rsidP="00FD21FE">
      <w:pPr>
        <w:jc w:val="both"/>
        <w:rPr>
          <w:rFonts w:ascii="Verdana" w:hAnsi="Verdana" w:cs="Arial"/>
          <w:sz w:val="22"/>
          <w:szCs w:val="22"/>
          <w:lang w:val="es-CO"/>
        </w:rPr>
      </w:pPr>
    </w:p>
    <w:p w14:paraId="71446559"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Es evidente el compromiso de esta Administración con el cumplimiento de la medida preventiva del Plan Desempeño de APSB. Si bien aún existen temas por culminar, como la estratificación, el diagnóstico sectorial, el FSRI, se ha mostrado algún grado de avance en su implementación. El sector rural es otro reto del cual esta Administración debe demostrar su atención y reportar indicadores de cobertura, calidad y continuidad. La inversión en actividades de fortalecimiento institucional de los sectores de acueducto y alcantarillado deben ser diferentes a la que se hace vía tarifa. Los costos de los subsidios en aseo siguen aumentando de manera considerable, a lo que se sugiere verificar los componentes tarifarios. Aún existen retos sectoriales por afrontar de parte de esta Administración.</w:t>
      </w:r>
    </w:p>
    <w:p w14:paraId="67F0FBEB" w14:textId="77777777" w:rsidR="00FD21FE" w:rsidRDefault="00FD21FE" w:rsidP="00FD21FE">
      <w:pPr>
        <w:jc w:val="both"/>
        <w:rPr>
          <w:rFonts w:ascii="Verdana" w:hAnsi="Verdana" w:cs="Arial"/>
          <w:sz w:val="22"/>
          <w:szCs w:val="22"/>
          <w:lang w:val="es-CO"/>
        </w:rPr>
      </w:pPr>
    </w:p>
    <w:p w14:paraId="22FD587D"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Una de las actividades pendientes es la verificación y articulación del Plan de Desarrollo Nacional con la Ley 1176 de 2007, para lo cual se invita al Municipio a solicitar asistencia técnica al MVCT. La inversión rural y el diagnóstico sectorial están directamente relacionadas con esta articulación.</w:t>
      </w:r>
    </w:p>
    <w:p w14:paraId="6C387F63" w14:textId="77777777" w:rsidR="00FD21FE" w:rsidRDefault="00FD21FE" w:rsidP="00FD21FE">
      <w:pPr>
        <w:jc w:val="both"/>
        <w:rPr>
          <w:rFonts w:ascii="Verdana" w:hAnsi="Verdana" w:cs="Arial"/>
          <w:sz w:val="22"/>
          <w:szCs w:val="22"/>
          <w:lang w:val="es-CO"/>
        </w:rPr>
      </w:pPr>
    </w:p>
    <w:p w14:paraId="4E7BD9D9" w14:textId="77777777" w:rsidR="00FD21FE" w:rsidRDefault="00FD21FE" w:rsidP="00FD21FE">
      <w:pPr>
        <w:jc w:val="both"/>
        <w:rPr>
          <w:rFonts w:ascii="Verdana" w:hAnsi="Verdana" w:cs="Arial"/>
          <w:sz w:val="22"/>
          <w:szCs w:val="22"/>
          <w:lang w:val="es-CO"/>
        </w:rPr>
      </w:pPr>
      <w:r>
        <w:rPr>
          <w:rFonts w:ascii="Verdana" w:hAnsi="Verdana" w:cs="Arial"/>
          <w:sz w:val="22"/>
          <w:szCs w:val="22"/>
          <w:lang w:val="es-CO"/>
        </w:rPr>
        <w:t>Se efectuará asistencia técnica en el mes de septiembre de 2023, para verificar el avance en las actividades del Plan de Desempeño.</w:t>
      </w:r>
    </w:p>
    <w:p w14:paraId="00612E6E" w14:textId="77777777" w:rsidR="00FD21FE" w:rsidRDefault="00FD21FE" w:rsidP="00FD21FE">
      <w:pPr>
        <w:jc w:val="both"/>
        <w:rPr>
          <w:rFonts w:ascii="Verdana" w:hAnsi="Verdana" w:cs="Arial"/>
          <w:sz w:val="22"/>
          <w:szCs w:val="22"/>
          <w:lang w:val="es-CO"/>
        </w:rPr>
      </w:pPr>
    </w:p>
    <w:p w14:paraId="2B3EE836" w14:textId="77777777" w:rsidR="00FD21FE" w:rsidRDefault="00FD21FE" w:rsidP="00FD21FE">
      <w:pPr>
        <w:jc w:val="both"/>
        <w:rPr>
          <w:rFonts w:ascii="Verdana" w:hAnsi="Verdana" w:cs="Arial"/>
          <w:sz w:val="22"/>
          <w:szCs w:val="22"/>
          <w:lang w:val="es-CO"/>
        </w:rPr>
      </w:pPr>
    </w:p>
    <w:p w14:paraId="275F2694" w14:textId="77777777" w:rsidR="00FD21FE" w:rsidRDefault="00FD21FE" w:rsidP="00FD21FE">
      <w:pPr>
        <w:jc w:val="both"/>
        <w:rPr>
          <w:rFonts w:ascii="Verdana" w:hAnsi="Verdana" w:cs="Arial"/>
          <w:sz w:val="18"/>
          <w:szCs w:val="18"/>
          <w:lang w:val="es-CO"/>
        </w:rPr>
      </w:pPr>
      <w:r>
        <w:rPr>
          <w:rFonts w:ascii="Verdana" w:hAnsi="Verdana" w:cs="Arial"/>
          <w:sz w:val="18"/>
          <w:szCs w:val="18"/>
          <w:lang w:val="es-CO"/>
        </w:rPr>
        <w:t xml:space="preserve">APROBÓ: </w:t>
      </w:r>
      <w:r>
        <w:rPr>
          <w:rFonts w:ascii="Verdana" w:hAnsi="Verdana" w:cs="Arial"/>
          <w:b/>
          <w:bCs/>
          <w:sz w:val="18"/>
          <w:szCs w:val="18"/>
          <w:lang w:val="es-CO"/>
        </w:rPr>
        <w:t xml:space="preserve"> Fernando Olivera</w:t>
      </w:r>
    </w:p>
    <w:p w14:paraId="0857BE28" w14:textId="77777777" w:rsidR="00FD21FE" w:rsidRDefault="00FD21FE" w:rsidP="00FD21FE">
      <w:pPr>
        <w:jc w:val="both"/>
        <w:rPr>
          <w:rFonts w:ascii="Verdana" w:hAnsi="Verdana" w:cs="Arial"/>
          <w:sz w:val="18"/>
          <w:szCs w:val="18"/>
          <w:lang w:val="es-CO"/>
        </w:rPr>
      </w:pPr>
      <w:r>
        <w:rPr>
          <w:rFonts w:ascii="Verdana" w:hAnsi="Verdana" w:cs="Arial"/>
          <w:sz w:val="18"/>
          <w:szCs w:val="18"/>
          <w:lang w:val="es-CO"/>
        </w:rPr>
        <w:t xml:space="preserve">REVISIÓN: </w:t>
      </w:r>
      <w:r>
        <w:rPr>
          <w:rFonts w:ascii="Verdana" w:hAnsi="Verdana" w:cs="Arial"/>
          <w:b/>
          <w:bCs/>
          <w:sz w:val="18"/>
          <w:szCs w:val="18"/>
          <w:lang w:val="es-CO"/>
        </w:rPr>
        <w:t>Mauricio Mendoza / Carlos Ariza</w:t>
      </w:r>
    </w:p>
    <w:p w14:paraId="2926B576" w14:textId="77777777" w:rsidR="00FD21FE" w:rsidRDefault="00FD21FE" w:rsidP="00FD21FE">
      <w:pPr>
        <w:jc w:val="both"/>
        <w:rPr>
          <w:rFonts w:ascii="Verdana" w:hAnsi="Verdana" w:cs="Arial"/>
          <w:sz w:val="18"/>
          <w:szCs w:val="18"/>
          <w:lang w:val="es-CO"/>
        </w:rPr>
      </w:pPr>
      <w:r>
        <w:rPr>
          <w:rFonts w:ascii="Verdana" w:hAnsi="Verdana" w:cs="Arial"/>
          <w:sz w:val="18"/>
          <w:szCs w:val="18"/>
          <w:lang w:val="es-CO"/>
        </w:rPr>
        <w:t xml:space="preserve">ELABORÓ: </w:t>
      </w:r>
      <w:r>
        <w:rPr>
          <w:rFonts w:ascii="Verdana" w:hAnsi="Verdana" w:cs="Arial"/>
          <w:b/>
          <w:bCs/>
          <w:sz w:val="18"/>
          <w:szCs w:val="18"/>
          <w:lang w:val="es-CO"/>
        </w:rPr>
        <w:t>Giovanny Salas</w:t>
      </w:r>
    </w:p>
    <w:p w14:paraId="4D0C3ACC" w14:textId="77777777" w:rsidR="00FD21FE" w:rsidRDefault="00FD21FE" w:rsidP="00FD21FE">
      <w:pPr>
        <w:rPr>
          <w:rFonts w:ascii="Verdana" w:hAnsi="Verdana"/>
          <w:sz w:val="22"/>
          <w:szCs w:val="22"/>
        </w:rPr>
      </w:pPr>
      <w:r>
        <w:rPr>
          <w:rFonts w:ascii="Verdana" w:hAnsi="Verdana"/>
          <w:sz w:val="22"/>
          <w:szCs w:val="22"/>
        </w:rPr>
        <w:t xml:space="preserve"> </w:t>
      </w:r>
    </w:p>
    <w:p w14:paraId="69387029" w14:textId="77777777" w:rsidR="00FD21FE" w:rsidRDefault="00FD21FE" w:rsidP="00FD21FE">
      <w:r>
        <w:t xml:space="preserve"> </w:t>
      </w:r>
    </w:p>
    <w:p w14:paraId="3533BCBF" w14:textId="77777777" w:rsidR="00D92691" w:rsidRPr="00EE1F70" w:rsidRDefault="00EF5D6B" w:rsidP="00EE1F70">
      <w:r w:rsidRPr="00EE1F70">
        <w:t xml:space="preserve"> </w:t>
      </w:r>
    </w:p>
    <w:sectPr w:rsidR="00D92691" w:rsidRPr="00EE1F70" w:rsidSect="004E432F">
      <w:headerReference w:type="default" r:id="rId10"/>
      <w:footerReference w:type="default" r:id="rId11"/>
      <w:headerReference w:type="first" r:id="rId12"/>
      <w:footerReference w:type="first" r:id="rId13"/>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F53A" w14:textId="77777777" w:rsidR="00E01CB7" w:rsidRDefault="00E01CB7" w:rsidP="00F71345">
      <w:r>
        <w:separator/>
      </w:r>
    </w:p>
  </w:endnote>
  <w:endnote w:type="continuationSeparator" w:id="0">
    <w:p w14:paraId="54D08500" w14:textId="77777777" w:rsidR="00E01CB7" w:rsidRDefault="00E01CB7"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Futura Std Book">
    <w:altName w:val="Gadug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3CEB" w14:textId="77777777" w:rsidR="00627337" w:rsidRPr="00F01F75" w:rsidRDefault="001C3F5E" w:rsidP="002F2BCC">
    <w:pPr>
      <w:pStyle w:val="Piedepgina"/>
    </w:pPr>
    <w:r>
      <w:rPr>
        <w:rFonts w:eastAsia="Calibri"/>
        <w:noProof/>
        <w:sz w:val="24"/>
        <w:szCs w:val="24"/>
        <w:lang w:eastAsia="es-CO"/>
      </w:rPr>
      <w:pict w14:anchorId="1F54C1D3">
        <v:shapetype id="_x0000_t202" coordsize="21600,21600" o:spt="202" path="m,l,21600r21600,l21600,xe">
          <v:stroke joinstyle="miter"/>
          <v:path gradientshapeok="t" o:connecttype="rect"/>
        </v:shapetype>
        <v:shape id="Cuadro de texto 2" o:spid="_x0000_s1026" type="#_x0000_t202" style="position:absolute;margin-left:59.25pt;margin-top:-69.85pt;width:543pt;height:9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ed="f" stroked="f" strokeweight=".5pt">
          <v:textbox>
            <w:txbxContent>
              <w:p w14:paraId="6F3465D9" w14:textId="77777777" w:rsidR="00A93C01" w:rsidRDefault="00A93C01" w:rsidP="00A93C01">
                <w:pPr>
                  <w:spacing w:line="276" w:lineRule="auto"/>
                  <w:jc w:val="both"/>
                </w:pPr>
                <w:r>
                  <w:rPr>
                    <w:rFonts w:ascii="Helvetica" w:hAnsi="Helvetica"/>
                    <w:sz w:val="20"/>
                    <w:szCs w:val="20"/>
                  </w:rPr>
                  <w:t>________________________________________________________________________</w:t>
                </w:r>
                <w:r>
                  <w:t xml:space="preserve"> </w:t>
                </w:r>
              </w:p>
              <w:sdt>
                <w:sdtPr>
                  <w:rPr>
                    <w:lang w:val="es-ES"/>
                  </w:rPr>
                  <w:id w:val="-305236442"/>
                  <w:docPartObj>
                    <w:docPartGallery w:val="Page Numbers (Bottom of Page)"/>
                    <w:docPartUnique/>
                  </w:docPartObj>
                </w:sdtPr>
                <w:sdtEndPr/>
                <w:sdtContent>
                  <w:p w14:paraId="483430CA" w14:textId="77777777" w:rsidR="00A93C01" w:rsidRDefault="00A93C01" w:rsidP="00A93C01">
                    <w:pPr>
                      <w:pStyle w:val="Piedepgina"/>
                      <w:ind w:left="2661" w:firstLine="4419"/>
                      <w:jc w:val="center"/>
                      <w:rPr>
                        <w:lang w:val="es-ES"/>
                      </w:rPr>
                    </w:pPr>
                    <w:r>
                      <w:rPr>
                        <w:lang w:val="es-ES"/>
                      </w:rPr>
                      <w:t xml:space="preserve">Página | </w:t>
                    </w:r>
                    <w:r>
                      <w:fldChar w:fldCharType="begin"/>
                    </w:r>
                    <w:r>
                      <w:instrText>PAGE   \* MERGEFORMAT</w:instrText>
                    </w:r>
                    <w:r>
                      <w:fldChar w:fldCharType="separate"/>
                    </w:r>
                    <w:r w:rsidR="00863EAB">
                      <w:rPr>
                        <w:noProof/>
                      </w:rPr>
                      <w:t>21</w:t>
                    </w:r>
                    <w:r>
                      <w:fldChar w:fldCharType="end"/>
                    </w:r>
                    <w:r>
                      <w:rPr>
                        <w:lang w:val="es-ES"/>
                      </w:rPr>
                      <w:t xml:space="preserve"> </w:t>
                    </w:r>
                  </w:p>
                </w:sdtContent>
              </w:sdt>
              <w:p w14:paraId="15409212" w14:textId="77777777" w:rsidR="00A93C01" w:rsidRPr="005C112F" w:rsidRDefault="00A93C01" w:rsidP="00A93C01">
                <w:pPr>
                  <w:pStyle w:val="Piedepgina"/>
                  <w:rPr>
                    <w:rFonts w:eastAsia="Calibri"/>
                    <w:b/>
                    <w:sz w:val="18"/>
                    <w:szCs w:val="18"/>
                  </w:rPr>
                </w:pPr>
                <w:r w:rsidRPr="005C112F">
                  <w:rPr>
                    <w:b/>
                    <w:sz w:val="18"/>
                    <w:szCs w:val="18"/>
                  </w:rPr>
                  <w:t>Ministerio de Hacienda y Crédito Público</w:t>
                </w:r>
              </w:p>
              <w:p w14:paraId="69308A76" w14:textId="77777777" w:rsidR="00A93C01" w:rsidRPr="005C112F" w:rsidRDefault="00A93C01" w:rsidP="00A93C01">
                <w:pPr>
                  <w:pStyle w:val="Piedepgina"/>
                  <w:rPr>
                    <w:bCs/>
                    <w:sz w:val="18"/>
                    <w:szCs w:val="18"/>
                  </w:rPr>
                </w:pPr>
                <w:r w:rsidRPr="005C112F">
                  <w:rPr>
                    <w:bCs/>
                    <w:sz w:val="18"/>
                    <w:szCs w:val="18"/>
                  </w:rPr>
                  <w:t>Dirección: Carrera 8 No. 6 C 38 Bogotá D.C. Colombia</w:t>
                </w:r>
              </w:p>
              <w:p w14:paraId="063CCD7A" w14:textId="77777777" w:rsidR="00A93C01" w:rsidRPr="005C112F" w:rsidRDefault="00A93C01" w:rsidP="00A93C01">
                <w:pPr>
                  <w:pStyle w:val="Piedepgina"/>
                  <w:rPr>
                    <w:sz w:val="18"/>
                    <w:szCs w:val="18"/>
                  </w:rPr>
                </w:pPr>
                <w:r w:rsidRPr="005C112F">
                  <w:rPr>
                    <w:sz w:val="18"/>
                    <w:szCs w:val="18"/>
                  </w:rPr>
                  <w:t>Conmutador (57) 601 3811700 Fuera de Bogotá 01-8000-910071</w:t>
                </w:r>
              </w:p>
              <w:p w14:paraId="65A3776B" w14:textId="77777777" w:rsidR="00A93C01" w:rsidRPr="005C112F" w:rsidRDefault="00A93C01" w:rsidP="00A93C01">
                <w:pPr>
                  <w:pStyle w:val="Piedepgina"/>
                  <w:rPr>
                    <w:sz w:val="18"/>
                    <w:szCs w:val="18"/>
                  </w:rPr>
                </w:pPr>
                <w:r w:rsidRPr="005C112F">
                  <w:rPr>
                    <w:sz w:val="18"/>
                    <w:szCs w:val="18"/>
                  </w:rPr>
                  <w:t>relacionciudadano@minhacienda.gov.co</w:t>
                </w:r>
              </w:p>
              <w:p w14:paraId="4B292341" w14:textId="77777777" w:rsidR="00A93C01" w:rsidRPr="005C112F" w:rsidRDefault="00A93C01" w:rsidP="00A93C01">
                <w:pPr>
                  <w:pStyle w:val="Piedepgina"/>
                  <w:rPr>
                    <w:sz w:val="18"/>
                    <w:szCs w:val="18"/>
                  </w:rPr>
                </w:pPr>
                <w:r w:rsidRPr="005C112F">
                  <w:rPr>
                    <w:sz w:val="18"/>
                    <w:szCs w:val="18"/>
                  </w:rPr>
                  <w:t>www.minhacienda.gov.co</w:t>
                </w:r>
              </w:p>
              <w:p w14:paraId="043A5739" w14:textId="77777777" w:rsidR="00A93C01" w:rsidRDefault="00A93C01" w:rsidP="00A93C01">
                <w:pPr>
                  <w:rPr>
                    <w:rFonts w:asciiTheme="minorHAnsi" w:hAnsiTheme="minorHAnsi" w:cstheme="minorBidi"/>
                    <w:sz w:val="22"/>
                    <w:szCs w:val="22"/>
                  </w:rPr>
                </w:pPr>
              </w:p>
            </w:txbxContent>
          </v:textbox>
          <w10:wrap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0257" w14:textId="77777777" w:rsidR="00627337" w:rsidRPr="00F01F75" w:rsidRDefault="001C3F5E" w:rsidP="002F2BCC">
    <w:pPr>
      <w:pStyle w:val="Piedepgina"/>
    </w:pPr>
    <w:r>
      <w:rPr>
        <w:rFonts w:eastAsia="Calibri"/>
        <w:noProof/>
        <w:sz w:val="24"/>
        <w:szCs w:val="24"/>
        <w:lang w:eastAsia="es-CO"/>
      </w:rPr>
      <w:pict w14:anchorId="4F2ADCB8">
        <v:shapetype id="_x0000_t202" coordsize="21600,21600" o:spt="202" path="m,l,21600r21600,l21600,xe">
          <v:stroke joinstyle="miter"/>
          <v:path gradientshapeok="t" o:connecttype="rect"/>
        </v:shapetype>
        <v:shape id="Cuadro de texto 1" o:spid="_x0000_s1027" type="#_x0000_t202" style="position:absolute;margin-left:66.75pt;margin-top:-84.85pt;width:507pt;height:10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ed="f" stroked="f" strokeweight=".5pt">
          <v:textbox>
            <w:txbxContent>
              <w:p w14:paraId="66422F28" w14:textId="77777777" w:rsidR="00A93C01" w:rsidRDefault="00A93C01" w:rsidP="00A93C01">
                <w:pPr>
                  <w:spacing w:line="276" w:lineRule="auto"/>
                  <w:jc w:val="both"/>
                </w:pPr>
                <w:r>
                  <w:rPr>
                    <w:rFonts w:ascii="Helvetica" w:hAnsi="Helvetica"/>
                    <w:sz w:val="20"/>
                    <w:szCs w:val="20"/>
                  </w:rPr>
                  <w:t>________________________________________________________________________</w:t>
                </w:r>
                <w:r>
                  <w:t xml:space="preserve"> </w:t>
                </w:r>
              </w:p>
              <w:sdt>
                <w:sdtPr>
                  <w:rPr>
                    <w:lang w:val="es-ES"/>
                  </w:rPr>
                  <w:id w:val="-1071572585"/>
                  <w:docPartObj>
                    <w:docPartGallery w:val="Page Numbers (Bottom of Page)"/>
                    <w:docPartUnique/>
                  </w:docPartObj>
                </w:sdtPr>
                <w:sdtEndPr/>
                <w:sdtContent>
                  <w:p w14:paraId="14180B98" w14:textId="77777777" w:rsidR="00A93C01" w:rsidRDefault="00A93C01" w:rsidP="00A93C01">
                    <w:pPr>
                      <w:pStyle w:val="Piedepgina"/>
                      <w:ind w:left="2661" w:firstLine="4419"/>
                      <w:jc w:val="center"/>
                      <w:rPr>
                        <w:lang w:val="es-ES"/>
                      </w:rPr>
                    </w:pPr>
                    <w:r>
                      <w:rPr>
                        <w:lang w:val="es-ES"/>
                      </w:rPr>
                      <w:t xml:space="preserve">Página | </w:t>
                    </w:r>
                    <w:r>
                      <w:fldChar w:fldCharType="begin"/>
                    </w:r>
                    <w:r>
                      <w:instrText>PAGE   \* MERGEFORMAT</w:instrText>
                    </w:r>
                    <w:r>
                      <w:fldChar w:fldCharType="separate"/>
                    </w:r>
                    <w:r w:rsidR="00863EAB">
                      <w:rPr>
                        <w:noProof/>
                      </w:rPr>
                      <w:t>1</w:t>
                    </w:r>
                    <w:r>
                      <w:fldChar w:fldCharType="end"/>
                    </w:r>
                    <w:r>
                      <w:rPr>
                        <w:lang w:val="es-ES"/>
                      </w:rPr>
                      <w:t xml:space="preserve"> </w:t>
                    </w:r>
                  </w:p>
                </w:sdtContent>
              </w:sdt>
              <w:p w14:paraId="79817592" w14:textId="77777777" w:rsidR="00A93C01" w:rsidRDefault="00A93C01" w:rsidP="00A93C01">
                <w:pPr>
                  <w:pStyle w:val="Piedepgina"/>
                  <w:rPr>
                    <w:rFonts w:eastAsia="Calibri"/>
                    <w:b/>
                  </w:rPr>
                </w:pPr>
                <w:r>
                  <w:rPr>
                    <w:b/>
                  </w:rPr>
                  <w:t>Ministerio de Hacienda y Crédito Público</w:t>
                </w:r>
              </w:p>
              <w:p w14:paraId="76885A72" w14:textId="77777777" w:rsidR="00A93C01" w:rsidRDefault="00A93C01" w:rsidP="00A93C01">
                <w:pPr>
                  <w:pStyle w:val="Piedepgina"/>
                  <w:rPr>
                    <w:bCs/>
                  </w:rPr>
                </w:pPr>
                <w:r>
                  <w:rPr>
                    <w:bCs/>
                  </w:rPr>
                  <w:t>Dirección: Carrera 8 No. 6 C 38 Bogotá D.C. Colombia</w:t>
                </w:r>
              </w:p>
              <w:p w14:paraId="6802C3B8" w14:textId="77777777" w:rsidR="00A93C01" w:rsidRDefault="00A93C01" w:rsidP="00A93C01">
                <w:pPr>
                  <w:pStyle w:val="Piedepgina"/>
                </w:pPr>
                <w:r>
                  <w:t>Conmutador (57) 601 3811700 Fuera de Bogotá 01-8000-910071</w:t>
                </w:r>
              </w:p>
              <w:p w14:paraId="4D1B50DF" w14:textId="77777777" w:rsidR="00A93C01" w:rsidRDefault="00A93C01" w:rsidP="00A93C01">
                <w:pPr>
                  <w:pStyle w:val="Piedepgina"/>
                </w:pPr>
                <w:r>
                  <w:t>relacionciudadano@minhacienda.gov.co</w:t>
                </w:r>
              </w:p>
              <w:p w14:paraId="2BFA4B7C" w14:textId="77777777" w:rsidR="00A93C01" w:rsidRDefault="00A93C01" w:rsidP="00A93C01">
                <w:pPr>
                  <w:pStyle w:val="Piedepgina"/>
                </w:pPr>
                <w:r>
                  <w:t>www.minhacienda.gov.co</w:t>
                </w:r>
              </w:p>
              <w:p w14:paraId="3C2EB109" w14:textId="77777777" w:rsidR="00A93C01" w:rsidRDefault="00A93C01" w:rsidP="00A93C01">
                <w:pPr>
                  <w:rPr>
                    <w:rFonts w:asciiTheme="minorHAnsi" w:hAnsiTheme="minorHAnsi" w:cstheme="minorBidi"/>
                    <w:sz w:val="22"/>
                    <w:szCs w:val="22"/>
                  </w:rPr>
                </w:pPr>
              </w:p>
            </w:txbxContent>
          </v:textbox>
          <w10:wrap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E409" w14:textId="77777777" w:rsidR="00E01CB7" w:rsidRDefault="00E01CB7" w:rsidP="00F71345">
      <w:r>
        <w:separator/>
      </w:r>
    </w:p>
  </w:footnote>
  <w:footnote w:type="continuationSeparator" w:id="0">
    <w:p w14:paraId="07D0EC30" w14:textId="77777777" w:rsidR="00E01CB7" w:rsidRDefault="00E01CB7" w:rsidP="00F71345">
      <w:r>
        <w:continuationSeparator/>
      </w:r>
    </w:p>
  </w:footnote>
  <w:footnote w:id="1">
    <w:p w14:paraId="3A6270F6" w14:textId="77777777" w:rsidR="00FD21FE" w:rsidRDefault="00FD21FE" w:rsidP="00FD21FE">
      <w:pPr>
        <w:pStyle w:val="Textonotapie"/>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DNP Terridadata es https://terridata.dnp.gov.co/index-app.html#/perfiles/20770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9451" w14:textId="77777777" w:rsidR="00627337" w:rsidRDefault="00627337" w:rsidP="00A82889">
    <w:pPr>
      <w:jc w:val="right"/>
      <w:rPr>
        <w:rFonts w:ascii="Arial" w:hAnsi="Arial" w:cs="Arial"/>
        <w:sz w:val="16"/>
        <w:szCs w:val="16"/>
      </w:rPr>
    </w:pPr>
  </w:p>
  <w:p w14:paraId="0AFB9DE7" w14:textId="77777777" w:rsidR="00627337" w:rsidRDefault="00A93C01" w:rsidP="00FF4985">
    <w:pPr>
      <w:rPr>
        <w:rFonts w:ascii="Arial" w:hAnsi="Arial" w:cs="Arial"/>
        <w:sz w:val="16"/>
        <w:szCs w:val="16"/>
      </w:rPr>
    </w:pPr>
    <w:r>
      <w:rPr>
        <w:noProof/>
        <w:lang w:val="es-CO" w:eastAsia="es-CO"/>
      </w:rPr>
      <w:drawing>
        <wp:inline distT="0" distB="0" distL="0" distR="0" wp14:anchorId="72D0852A" wp14:editId="4491902C">
          <wp:extent cx="5934075" cy="942975"/>
          <wp:effectExtent l="0" t="0" r="0" b="0"/>
          <wp:docPr id="5" name="Imagen 1" descr="Fondo negro con letras blancas&#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1" descr="Fondo negro con letras blancas&#10;&#10;Descripción generada automáticamente"/>
                  <pic:cNvPicPr/>
                </pic:nvPicPr>
                <pic:blipFill rotWithShape="1">
                  <a:blip r:embed="rId1" cstate="print">
                    <a:extLst>
                      <a:ext uri="{28A0092B-C50C-407E-A947-70E740481C1C}">
                        <a14:useLocalDpi xmlns:a14="http://schemas.microsoft.com/office/drawing/2010/main" val="0"/>
                      </a:ext>
                    </a:extLst>
                  </a:blip>
                  <a:srcRect l="6008" t="1801" b="88247"/>
                  <a:stretch/>
                </pic:blipFill>
                <pic:spPr bwMode="auto">
                  <a:xfrm>
                    <a:off x="0" y="0"/>
                    <a:ext cx="5934075" cy="942975"/>
                  </a:xfrm>
                  <a:prstGeom prst="rect">
                    <a:avLst/>
                  </a:prstGeom>
                  <a:noFill/>
                  <a:ln>
                    <a:noFill/>
                  </a:ln>
                  <a:extLst>
                    <a:ext uri="{53640926-AAD7-44D8-BBD7-CCE9431645EC}">
                      <a14:shadowObscured xmlns:a14="http://schemas.microsoft.com/office/drawing/2010/main"/>
                    </a:ext>
                  </a:extLst>
                </pic:spPr>
              </pic:pic>
            </a:graphicData>
          </a:graphic>
        </wp:inline>
      </w:drawing>
    </w:r>
  </w:p>
  <w:p w14:paraId="71E55C6A" w14:textId="77777777" w:rsidR="00627337" w:rsidRPr="00F01F75" w:rsidRDefault="00627337"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 xml:space="preserve">informe </w:t>
    </w:r>
    <w:r>
      <w:rPr>
        <w:rFonts w:ascii="Arial" w:hAnsi="Arial" w:cs="Arial"/>
        <w:sz w:val="16"/>
        <w:szCs w:val="16"/>
      </w:rPr>
      <w:tab/>
    </w:r>
    <w:r>
      <w:rPr>
        <w:rFonts w:ascii="Arial" w:hAnsi="Arial" w:cs="Arial"/>
        <w:sz w:val="16"/>
        <w:szCs w:val="16"/>
      </w:rPr>
      <w:tab/>
    </w:r>
  </w:p>
  <w:p w14:paraId="071742E0" w14:textId="77777777" w:rsidR="00627337" w:rsidRPr="00F01F75" w:rsidRDefault="0062733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2F2F" w14:textId="77777777" w:rsidR="00A93C01" w:rsidRDefault="00A93C01">
    <w:pPr>
      <w:pStyle w:val="Encabezado"/>
    </w:pPr>
    <w:r>
      <w:rPr>
        <w:noProof/>
        <w:lang w:eastAsia="es-CO"/>
      </w:rPr>
      <w:drawing>
        <wp:inline distT="0" distB="0" distL="0" distR="0" wp14:anchorId="119C8D54" wp14:editId="3DE6828B">
          <wp:extent cx="6143625" cy="971550"/>
          <wp:effectExtent l="0" t="0" r="0" b="0"/>
          <wp:docPr id="1615993281" name="Imagen 1" descr="Fondo negro con letras blancas&#10;&#10;Descripción generada automáticamente"/>
          <wp:cNvGraphicFramePr/>
          <a:graphic xmlns:a="http://schemas.openxmlformats.org/drawingml/2006/main">
            <a:graphicData uri="http://schemas.openxmlformats.org/drawingml/2006/picture">
              <pic:pic xmlns:pic="http://schemas.openxmlformats.org/drawingml/2006/picture">
                <pic:nvPicPr>
                  <pic:cNvPr id="1615993281" name="Imagen 1" descr="Fondo negro con letras blancas&#10;&#10;Descripción generada automáticamente"/>
                  <pic:cNvPicPr/>
                </pic:nvPicPr>
                <pic:blipFill rotWithShape="1">
                  <a:blip r:embed="rId1" cstate="print">
                    <a:extLst>
                      <a:ext uri="{28A0092B-C50C-407E-A947-70E740481C1C}">
                        <a14:useLocalDpi xmlns:a14="http://schemas.microsoft.com/office/drawing/2010/main" val="0"/>
                      </a:ext>
                    </a:extLst>
                  </a:blip>
                  <a:srcRect l="6008" t="1801" b="88247"/>
                  <a:stretch/>
                </pic:blipFill>
                <pic:spPr bwMode="auto">
                  <a:xfrm>
                    <a:off x="0" y="0"/>
                    <a:ext cx="6143625" cy="9715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556ED"/>
    <w:multiLevelType w:val="multilevel"/>
    <w:tmpl w:val="F626D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81839"/>
    <w:multiLevelType w:val="hybridMultilevel"/>
    <w:tmpl w:val="BCB61760"/>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9A695B"/>
    <w:multiLevelType w:val="hybridMultilevel"/>
    <w:tmpl w:val="D5AE3504"/>
    <w:lvl w:ilvl="0" w:tplc="5A6C79E6">
      <w:start w:val="1"/>
      <w:numFmt w:val="bullet"/>
      <w:lvlText w:val="-"/>
      <w:lvlJc w:val="left"/>
      <w:pPr>
        <w:ind w:left="720" w:hanging="360"/>
      </w:pPr>
      <w:rPr>
        <w:rFonts w:ascii="Arial Narrow" w:eastAsia="MS Mincho" w:hAnsi="Arial Narrow" w:cs="Arial" w:hint="default"/>
        <w:i w:val="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BE56526"/>
    <w:multiLevelType w:val="multilevel"/>
    <w:tmpl w:val="7D603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6543051">
    <w:abstractNumId w:val="1"/>
  </w:num>
  <w:num w:numId="2" w16cid:durableId="1840777517">
    <w:abstractNumId w:val="3"/>
  </w:num>
  <w:num w:numId="3" w16cid:durableId="827791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774350">
    <w:abstractNumId w:val="2"/>
  </w:num>
  <w:num w:numId="5" w16cid:durableId="249588480">
    <w:abstractNumId w:val="2"/>
  </w:num>
  <w:num w:numId="6" w16cid:durableId="2088258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210856">
    <w:abstractNumId w:val="0"/>
  </w:num>
  <w:num w:numId="8" w16cid:durableId="1228300071">
    <w:abstractNumId w:val="0"/>
  </w:num>
  <w:num w:numId="9" w16cid:durableId="349458530">
    <w:abstractNumId w:val="4"/>
  </w:num>
  <w:num w:numId="10" w16cid:durableId="2043246235">
    <w:abstractNumId w:val="4"/>
  </w:num>
  <w:num w:numId="11" w16cid:durableId="2046447947">
    <w:abstractNumId w:val="2"/>
  </w:num>
  <w:num w:numId="12" w16cid:durableId="406420312">
    <w:abstractNumId w:val="0"/>
  </w:num>
  <w:num w:numId="13" w16cid:durableId="1080055535">
    <w:abstractNumId w:val="4"/>
  </w:num>
  <w:num w:numId="14" w16cid:durableId="520239506">
    <w:abstractNumId w:val="2"/>
  </w:num>
  <w:num w:numId="15" w16cid:durableId="288363666">
    <w:abstractNumId w:val="0"/>
  </w:num>
  <w:num w:numId="16" w16cid:durableId="179471655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trackRevisions/>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363C"/>
    <w:rsid w:val="00011854"/>
    <w:rsid w:val="00015D8E"/>
    <w:rsid w:val="000219D4"/>
    <w:rsid w:val="00023A69"/>
    <w:rsid w:val="00025168"/>
    <w:rsid w:val="000322E3"/>
    <w:rsid w:val="00042D32"/>
    <w:rsid w:val="00043DE6"/>
    <w:rsid w:val="000463D3"/>
    <w:rsid w:val="0005197E"/>
    <w:rsid w:val="000533EF"/>
    <w:rsid w:val="00057AF8"/>
    <w:rsid w:val="00057CB6"/>
    <w:rsid w:val="000643E9"/>
    <w:rsid w:val="00065034"/>
    <w:rsid w:val="00066D3A"/>
    <w:rsid w:val="00070C78"/>
    <w:rsid w:val="00072162"/>
    <w:rsid w:val="00073A1F"/>
    <w:rsid w:val="00075AD5"/>
    <w:rsid w:val="00077AA2"/>
    <w:rsid w:val="0008210A"/>
    <w:rsid w:val="0008330B"/>
    <w:rsid w:val="0008507C"/>
    <w:rsid w:val="000877D1"/>
    <w:rsid w:val="00093EB8"/>
    <w:rsid w:val="000A07D3"/>
    <w:rsid w:val="000A1163"/>
    <w:rsid w:val="000A2FC8"/>
    <w:rsid w:val="000A31BA"/>
    <w:rsid w:val="000A4383"/>
    <w:rsid w:val="000A71F1"/>
    <w:rsid w:val="000A791C"/>
    <w:rsid w:val="000B20AE"/>
    <w:rsid w:val="000C2C96"/>
    <w:rsid w:val="000C4465"/>
    <w:rsid w:val="000D09AB"/>
    <w:rsid w:val="000D466B"/>
    <w:rsid w:val="000D6114"/>
    <w:rsid w:val="000D7064"/>
    <w:rsid w:val="000E1037"/>
    <w:rsid w:val="000E1ECA"/>
    <w:rsid w:val="000E42D0"/>
    <w:rsid w:val="000E4714"/>
    <w:rsid w:val="000E5163"/>
    <w:rsid w:val="000E5748"/>
    <w:rsid w:val="000E6513"/>
    <w:rsid w:val="000F0372"/>
    <w:rsid w:val="000F0EAD"/>
    <w:rsid w:val="000F1CBA"/>
    <w:rsid w:val="000F3807"/>
    <w:rsid w:val="000F4D2E"/>
    <w:rsid w:val="000F6620"/>
    <w:rsid w:val="00101484"/>
    <w:rsid w:val="00102684"/>
    <w:rsid w:val="00103AE9"/>
    <w:rsid w:val="0010497F"/>
    <w:rsid w:val="001067F4"/>
    <w:rsid w:val="001100A5"/>
    <w:rsid w:val="00110747"/>
    <w:rsid w:val="001107D5"/>
    <w:rsid w:val="0011263A"/>
    <w:rsid w:val="0011350E"/>
    <w:rsid w:val="00113CC1"/>
    <w:rsid w:val="00114AE3"/>
    <w:rsid w:val="00117B7B"/>
    <w:rsid w:val="00120EEB"/>
    <w:rsid w:val="00122182"/>
    <w:rsid w:val="001258D6"/>
    <w:rsid w:val="00127CD2"/>
    <w:rsid w:val="00130944"/>
    <w:rsid w:val="001339E2"/>
    <w:rsid w:val="0013472A"/>
    <w:rsid w:val="001419E5"/>
    <w:rsid w:val="00144777"/>
    <w:rsid w:val="001448E3"/>
    <w:rsid w:val="001454CA"/>
    <w:rsid w:val="00147E82"/>
    <w:rsid w:val="001515F9"/>
    <w:rsid w:val="001518F2"/>
    <w:rsid w:val="00153869"/>
    <w:rsid w:val="00153C65"/>
    <w:rsid w:val="00155650"/>
    <w:rsid w:val="00156301"/>
    <w:rsid w:val="00162B69"/>
    <w:rsid w:val="00166790"/>
    <w:rsid w:val="001677E6"/>
    <w:rsid w:val="00167BE4"/>
    <w:rsid w:val="0017111C"/>
    <w:rsid w:val="001741BB"/>
    <w:rsid w:val="00174EE3"/>
    <w:rsid w:val="0017545B"/>
    <w:rsid w:val="00182DEA"/>
    <w:rsid w:val="0019035D"/>
    <w:rsid w:val="00191CE9"/>
    <w:rsid w:val="00191D96"/>
    <w:rsid w:val="00191E93"/>
    <w:rsid w:val="00191EBC"/>
    <w:rsid w:val="00193284"/>
    <w:rsid w:val="0019444E"/>
    <w:rsid w:val="001971ED"/>
    <w:rsid w:val="001972B2"/>
    <w:rsid w:val="001A1ABA"/>
    <w:rsid w:val="001A2147"/>
    <w:rsid w:val="001B0799"/>
    <w:rsid w:val="001B3240"/>
    <w:rsid w:val="001C0181"/>
    <w:rsid w:val="001C1229"/>
    <w:rsid w:val="001C3F5E"/>
    <w:rsid w:val="001C40E5"/>
    <w:rsid w:val="001D085D"/>
    <w:rsid w:val="001D104A"/>
    <w:rsid w:val="001D13E2"/>
    <w:rsid w:val="001D1F25"/>
    <w:rsid w:val="001D36C0"/>
    <w:rsid w:val="001D5318"/>
    <w:rsid w:val="001D7796"/>
    <w:rsid w:val="001E3E05"/>
    <w:rsid w:val="001E50F4"/>
    <w:rsid w:val="001E5520"/>
    <w:rsid w:val="001E55D9"/>
    <w:rsid w:val="001E60E2"/>
    <w:rsid w:val="001F0127"/>
    <w:rsid w:val="001F0B1A"/>
    <w:rsid w:val="001F4D1B"/>
    <w:rsid w:val="001F4ED2"/>
    <w:rsid w:val="001F6014"/>
    <w:rsid w:val="001F7009"/>
    <w:rsid w:val="001F72C4"/>
    <w:rsid w:val="002047B0"/>
    <w:rsid w:val="0020773D"/>
    <w:rsid w:val="0021375B"/>
    <w:rsid w:val="002176E6"/>
    <w:rsid w:val="002211EF"/>
    <w:rsid w:val="00221EF1"/>
    <w:rsid w:val="0022264A"/>
    <w:rsid w:val="0022631D"/>
    <w:rsid w:val="00226B16"/>
    <w:rsid w:val="002335A5"/>
    <w:rsid w:val="0023633F"/>
    <w:rsid w:val="00237795"/>
    <w:rsid w:val="00237DFE"/>
    <w:rsid w:val="00237EFE"/>
    <w:rsid w:val="002414B0"/>
    <w:rsid w:val="00242ECE"/>
    <w:rsid w:val="0024487B"/>
    <w:rsid w:val="002458E9"/>
    <w:rsid w:val="00251020"/>
    <w:rsid w:val="002511A6"/>
    <w:rsid w:val="00253CF2"/>
    <w:rsid w:val="002567A2"/>
    <w:rsid w:val="00257AAF"/>
    <w:rsid w:val="002658A7"/>
    <w:rsid w:val="00271E28"/>
    <w:rsid w:val="0027413A"/>
    <w:rsid w:val="0027421A"/>
    <w:rsid w:val="00280A31"/>
    <w:rsid w:val="00283D9E"/>
    <w:rsid w:val="002850DB"/>
    <w:rsid w:val="002919CE"/>
    <w:rsid w:val="002962FA"/>
    <w:rsid w:val="002A13EA"/>
    <w:rsid w:val="002A2626"/>
    <w:rsid w:val="002A6351"/>
    <w:rsid w:val="002A730B"/>
    <w:rsid w:val="002B2812"/>
    <w:rsid w:val="002B2E03"/>
    <w:rsid w:val="002B3410"/>
    <w:rsid w:val="002B4C0B"/>
    <w:rsid w:val="002B4E93"/>
    <w:rsid w:val="002C45F1"/>
    <w:rsid w:val="002C64C1"/>
    <w:rsid w:val="002C6BBE"/>
    <w:rsid w:val="002D1151"/>
    <w:rsid w:val="002D301B"/>
    <w:rsid w:val="002D3CF8"/>
    <w:rsid w:val="002D4B67"/>
    <w:rsid w:val="002D4F09"/>
    <w:rsid w:val="002D6C5F"/>
    <w:rsid w:val="002E1F1F"/>
    <w:rsid w:val="002E3E8B"/>
    <w:rsid w:val="002E54FE"/>
    <w:rsid w:val="002E6BE9"/>
    <w:rsid w:val="002E72FA"/>
    <w:rsid w:val="002E7640"/>
    <w:rsid w:val="002E7778"/>
    <w:rsid w:val="002F01D9"/>
    <w:rsid w:val="002F2BCC"/>
    <w:rsid w:val="002F3621"/>
    <w:rsid w:val="0030112E"/>
    <w:rsid w:val="00301846"/>
    <w:rsid w:val="0030295A"/>
    <w:rsid w:val="003037EC"/>
    <w:rsid w:val="003057C9"/>
    <w:rsid w:val="003226AB"/>
    <w:rsid w:val="0032474D"/>
    <w:rsid w:val="003300CE"/>
    <w:rsid w:val="00330AC6"/>
    <w:rsid w:val="0033289D"/>
    <w:rsid w:val="003334C8"/>
    <w:rsid w:val="0033489C"/>
    <w:rsid w:val="00336BAB"/>
    <w:rsid w:val="00337229"/>
    <w:rsid w:val="00340279"/>
    <w:rsid w:val="00341877"/>
    <w:rsid w:val="003419D9"/>
    <w:rsid w:val="0034312A"/>
    <w:rsid w:val="00343F87"/>
    <w:rsid w:val="00346D99"/>
    <w:rsid w:val="00350C08"/>
    <w:rsid w:val="0035116E"/>
    <w:rsid w:val="003560AE"/>
    <w:rsid w:val="0036144E"/>
    <w:rsid w:val="00370540"/>
    <w:rsid w:val="00372895"/>
    <w:rsid w:val="003774E3"/>
    <w:rsid w:val="003820D7"/>
    <w:rsid w:val="0038265A"/>
    <w:rsid w:val="00383A3E"/>
    <w:rsid w:val="00384066"/>
    <w:rsid w:val="00387857"/>
    <w:rsid w:val="00391021"/>
    <w:rsid w:val="00391AB7"/>
    <w:rsid w:val="0039201F"/>
    <w:rsid w:val="00395375"/>
    <w:rsid w:val="003A4D61"/>
    <w:rsid w:val="003A520B"/>
    <w:rsid w:val="003B1D05"/>
    <w:rsid w:val="003B7FE6"/>
    <w:rsid w:val="003C01C0"/>
    <w:rsid w:val="003C102D"/>
    <w:rsid w:val="003C2E21"/>
    <w:rsid w:val="003C5D29"/>
    <w:rsid w:val="003C6D25"/>
    <w:rsid w:val="003D00E0"/>
    <w:rsid w:val="003D2FDF"/>
    <w:rsid w:val="003D4DD3"/>
    <w:rsid w:val="003D7FD2"/>
    <w:rsid w:val="003E221C"/>
    <w:rsid w:val="003E31A7"/>
    <w:rsid w:val="003E35C5"/>
    <w:rsid w:val="003E38D1"/>
    <w:rsid w:val="003E59CF"/>
    <w:rsid w:val="003E632D"/>
    <w:rsid w:val="003E77FC"/>
    <w:rsid w:val="003F07EB"/>
    <w:rsid w:val="003F59D9"/>
    <w:rsid w:val="003F5C1B"/>
    <w:rsid w:val="003F617A"/>
    <w:rsid w:val="003F6A30"/>
    <w:rsid w:val="003F788E"/>
    <w:rsid w:val="003F7900"/>
    <w:rsid w:val="004057C1"/>
    <w:rsid w:val="00410445"/>
    <w:rsid w:val="00410C94"/>
    <w:rsid w:val="00412976"/>
    <w:rsid w:val="0041494D"/>
    <w:rsid w:val="00417D74"/>
    <w:rsid w:val="004217FA"/>
    <w:rsid w:val="00430693"/>
    <w:rsid w:val="0043107F"/>
    <w:rsid w:val="004315F2"/>
    <w:rsid w:val="00433997"/>
    <w:rsid w:val="00434B41"/>
    <w:rsid w:val="00437A6B"/>
    <w:rsid w:val="004412E9"/>
    <w:rsid w:val="0044344C"/>
    <w:rsid w:val="00447D2A"/>
    <w:rsid w:val="00450D48"/>
    <w:rsid w:val="00453CE2"/>
    <w:rsid w:val="004607BE"/>
    <w:rsid w:val="004643D2"/>
    <w:rsid w:val="00467143"/>
    <w:rsid w:val="00467ACD"/>
    <w:rsid w:val="004700D0"/>
    <w:rsid w:val="00472DB8"/>
    <w:rsid w:val="00472DE8"/>
    <w:rsid w:val="00473B82"/>
    <w:rsid w:val="00473F70"/>
    <w:rsid w:val="00474633"/>
    <w:rsid w:val="00483386"/>
    <w:rsid w:val="00483533"/>
    <w:rsid w:val="00487AEE"/>
    <w:rsid w:val="0049010D"/>
    <w:rsid w:val="004940D4"/>
    <w:rsid w:val="00496473"/>
    <w:rsid w:val="004A140A"/>
    <w:rsid w:val="004A7F07"/>
    <w:rsid w:val="004A7F0D"/>
    <w:rsid w:val="004B267F"/>
    <w:rsid w:val="004B299B"/>
    <w:rsid w:val="004C3700"/>
    <w:rsid w:val="004D11E5"/>
    <w:rsid w:val="004D3AB8"/>
    <w:rsid w:val="004D4EE2"/>
    <w:rsid w:val="004D66AD"/>
    <w:rsid w:val="004E432F"/>
    <w:rsid w:val="004E4D21"/>
    <w:rsid w:val="004E6B93"/>
    <w:rsid w:val="004E7B18"/>
    <w:rsid w:val="004F093C"/>
    <w:rsid w:val="004F2BB0"/>
    <w:rsid w:val="004F7BEA"/>
    <w:rsid w:val="005125B0"/>
    <w:rsid w:val="00514FBE"/>
    <w:rsid w:val="0052149D"/>
    <w:rsid w:val="0052323E"/>
    <w:rsid w:val="00526464"/>
    <w:rsid w:val="0053089E"/>
    <w:rsid w:val="00531665"/>
    <w:rsid w:val="00534DC0"/>
    <w:rsid w:val="005368CD"/>
    <w:rsid w:val="00536BB6"/>
    <w:rsid w:val="00537794"/>
    <w:rsid w:val="0053783B"/>
    <w:rsid w:val="00537AEC"/>
    <w:rsid w:val="00540821"/>
    <w:rsid w:val="00542591"/>
    <w:rsid w:val="00542618"/>
    <w:rsid w:val="00542EB8"/>
    <w:rsid w:val="00542F4B"/>
    <w:rsid w:val="005445CE"/>
    <w:rsid w:val="0054628A"/>
    <w:rsid w:val="0055059C"/>
    <w:rsid w:val="00550636"/>
    <w:rsid w:val="005506C6"/>
    <w:rsid w:val="0055135E"/>
    <w:rsid w:val="00552AE0"/>
    <w:rsid w:val="00553C66"/>
    <w:rsid w:val="0055424A"/>
    <w:rsid w:val="00561999"/>
    <w:rsid w:val="00561CC5"/>
    <w:rsid w:val="00562716"/>
    <w:rsid w:val="00562C85"/>
    <w:rsid w:val="00562FCA"/>
    <w:rsid w:val="00565A21"/>
    <w:rsid w:val="00571ED1"/>
    <w:rsid w:val="0057200A"/>
    <w:rsid w:val="00576F0C"/>
    <w:rsid w:val="00577720"/>
    <w:rsid w:val="0058232E"/>
    <w:rsid w:val="005833C7"/>
    <w:rsid w:val="00590228"/>
    <w:rsid w:val="00590F1A"/>
    <w:rsid w:val="00593364"/>
    <w:rsid w:val="00595086"/>
    <w:rsid w:val="005A1A5A"/>
    <w:rsid w:val="005A22D2"/>
    <w:rsid w:val="005A27D0"/>
    <w:rsid w:val="005A34AD"/>
    <w:rsid w:val="005A3BD8"/>
    <w:rsid w:val="005B137A"/>
    <w:rsid w:val="005C112F"/>
    <w:rsid w:val="005C5817"/>
    <w:rsid w:val="005C61AC"/>
    <w:rsid w:val="005C6301"/>
    <w:rsid w:val="005C7523"/>
    <w:rsid w:val="005D214D"/>
    <w:rsid w:val="005D4DC9"/>
    <w:rsid w:val="005E04F5"/>
    <w:rsid w:val="005E1133"/>
    <w:rsid w:val="005F2435"/>
    <w:rsid w:val="005F245D"/>
    <w:rsid w:val="005F60FA"/>
    <w:rsid w:val="005F726F"/>
    <w:rsid w:val="005F77DF"/>
    <w:rsid w:val="0060069D"/>
    <w:rsid w:val="00604180"/>
    <w:rsid w:val="00604613"/>
    <w:rsid w:val="00605557"/>
    <w:rsid w:val="006104D1"/>
    <w:rsid w:val="00611CFE"/>
    <w:rsid w:val="00612649"/>
    <w:rsid w:val="00614627"/>
    <w:rsid w:val="00616130"/>
    <w:rsid w:val="00616856"/>
    <w:rsid w:val="006170E3"/>
    <w:rsid w:val="006206EE"/>
    <w:rsid w:val="00622789"/>
    <w:rsid w:val="00622C55"/>
    <w:rsid w:val="00622DE5"/>
    <w:rsid w:val="006252FE"/>
    <w:rsid w:val="00625968"/>
    <w:rsid w:val="00625FC7"/>
    <w:rsid w:val="00627337"/>
    <w:rsid w:val="00630EA6"/>
    <w:rsid w:val="0063188F"/>
    <w:rsid w:val="00635021"/>
    <w:rsid w:val="00635482"/>
    <w:rsid w:val="00636431"/>
    <w:rsid w:val="00641321"/>
    <w:rsid w:val="006413EA"/>
    <w:rsid w:val="00642DF2"/>
    <w:rsid w:val="006473B9"/>
    <w:rsid w:val="006511EB"/>
    <w:rsid w:val="00653965"/>
    <w:rsid w:val="00666526"/>
    <w:rsid w:val="00666836"/>
    <w:rsid w:val="00675B68"/>
    <w:rsid w:val="00675BA1"/>
    <w:rsid w:val="00681239"/>
    <w:rsid w:val="00684340"/>
    <w:rsid w:val="006845A4"/>
    <w:rsid w:val="00687E5C"/>
    <w:rsid w:val="00693FF1"/>
    <w:rsid w:val="0069486D"/>
    <w:rsid w:val="00695B4E"/>
    <w:rsid w:val="00695F10"/>
    <w:rsid w:val="006A042D"/>
    <w:rsid w:val="006A05A7"/>
    <w:rsid w:val="006A05E2"/>
    <w:rsid w:val="006A18EF"/>
    <w:rsid w:val="006A29E0"/>
    <w:rsid w:val="006A7F83"/>
    <w:rsid w:val="006B16FC"/>
    <w:rsid w:val="006B67C9"/>
    <w:rsid w:val="006C2B4A"/>
    <w:rsid w:val="006C2D70"/>
    <w:rsid w:val="006C3264"/>
    <w:rsid w:val="006C509B"/>
    <w:rsid w:val="006C54CE"/>
    <w:rsid w:val="006D1FB5"/>
    <w:rsid w:val="006D5525"/>
    <w:rsid w:val="006D63DF"/>
    <w:rsid w:val="006E137B"/>
    <w:rsid w:val="006E247D"/>
    <w:rsid w:val="006E358F"/>
    <w:rsid w:val="006E6B01"/>
    <w:rsid w:val="006E6E29"/>
    <w:rsid w:val="006F4DE7"/>
    <w:rsid w:val="00702037"/>
    <w:rsid w:val="00703894"/>
    <w:rsid w:val="00705EA4"/>
    <w:rsid w:val="00711742"/>
    <w:rsid w:val="007178FE"/>
    <w:rsid w:val="00717F9F"/>
    <w:rsid w:val="0072153B"/>
    <w:rsid w:val="0072156C"/>
    <w:rsid w:val="00721671"/>
    <w:rsid w:val="00724108"/>
    <w:rsid w:val="00724A15"/>
    <w:rsid w:val="007326C6"/>
    <w:rsid w:val="00736096"/>
    <w:rsid w:val="007364A7"/>
    <w:rsid w:val="00741E0C"/>
    <w:rsid w:val="00743EA2"/>
    <w:rsid w:val="0074453A"/>
    <w:rsid w:val="00746519"/>
    <w:rsid w:val="00751CA6"/>
    <w:rsid w:val="00752767"/>
    <w:rsid w:val="00756840"/>
    <w:rsid w:val="0076104D"/>
    <w:rsid w:val="007616AB"/>
    <w:rsid w:val="00761DA0"/>
    <w:rsid w:val="007649A3"/>
    <w:rsid w:val="00772099"/>
    <w:rsid w:val="00774648"/>
    <w:rsid w:val="007760F2"/>
    <w:rsid w:val="0077677C"/>
    <w:rsid w:val="007808EB"/>
    <w:rsid w:val="007810B5"/>
    <w:rsid w:val="007854AF"/>
    <w:rsid w:val="007902C2"/>
    <w:rsid w:val="0079650C"/>
    <w:rsid w:val="00797B07"/>
    <w:rsid w:val="00797DA6"/>
    <w:rsid w:val="007A25C5"/>
    <w:rsid w:val="007B1D31"/>
    <w:rsid w:val="007C3FC6"/>
    <w:rsid w:val="007D55D3"/>
    <w:rsid w:val="007D5B96"/>
    <w:rsid w:val="007D70FC"/>
    <w:rsid w:val="007E00A3"/>
    <w:rsid w:val="007E0BF0"/>
    <w:rsid w:val="007E2C10"/>
    <w:rsid w:val="007E55C0"/>
    <w:rsid w:val="007E5FCF"/>
    <w:rsid w:val="007E7102"/>
    <w:rsid w:val="007E7756"/>
    <w:rsid w:val="0080212F"/>
    <w:rsid w:val="00804184"/>
    <w:rsid w:val="008054FF"/>
    <w:rsid w:val="00807524"/>
    <w:rsid w:val="0081002E"/>
    <w:rsid w:val="00811F04"/>
    <w:rsid w:val="00823102"/>
    <w:rsid w:val="00823ABF"/>
    <w:rsid w:val="008240C6"/>
    <w:rsid w:val="00831880"/>
    <w:rsid w:val="008341CE"/>
    <w:rsid w:val="008363B6"/>
    <w:rsid w:val="00836626"/>
    <w:rsid w:val="00842933"/>
    <w:rsid w:val="00843519"/>
    <w:rsid w:val="00844E5C"/>
    <w:rsid w:val="00851356"/>
    <w:rsid w:val="00852294"/>
    <w:rsid w:val="008540DC"/>
    <w:rsid w:val="00854C45"/>
    <w:rsid w:val="00862A45"/>
    <w:rsid w:val="008630CA"/>
    <w:rsid w:val="00863EAB"/>
    <w:rsid w:val="008663CA"/>
    <w:rsid w:val="008674EE"/>
    <w:rsid w:val="00870E09"/>
    <w:rsid w:val="00874628"/>
    <w:rsid w:val="00876917"/>
    <w:rsid w:val="008840C6"/>
    <w:rsid w:val="00891CEC"/>
    <w:rsid w:val="00894E28"/>
    <w:rsid w:val="008958DB"/>
    <w:rsid w:val="008A0EFD"/>
    <w:rsid w:val="008A1BA2"/>
    <w:rsid w:val="008A2D0E"/>
    <w:rsid w:val="008A2D15"/>
    <w:rsid w:val="008A3A54"/>
    <w:rsid w:val="008A4DC4"/>
    <w:rsid w:val="008A73E0"/>
    <w:rsid w:val="008B3DEC"/>
    <w:rsid w:val="008B681E"/>
    <w:rsid w:val="008C0898"/>
    <w:rsid w:val="008C1DD1"/>
    <w:rsid w:val="008C22DE"/>
    <w:rsid w:val="008C316F"/>
    <w:rsid w:val="008C49F3"/>
    <w:rsid w:val="008C4EF3"/>
    <w:rsid w:val="008C66C6"/>
    <w:rsid w:val="008C705B"/>
    <w:rsid w:val="008D1E68"/>
    <w:rsid w:val="008D4001"/>
    <w:rsid w:val="008D6672"/>
    <w:rsid w:val="008D7E24"/>
    <w:rsid w:val="008E33A2"/>
    <w:rsid w:val="008E6BC1"/>
    <w:rsid w:val="00902163"/>
    <w:rsid w:val="0090268D"/>
    <w:rsid w:val="0090467A"/>
    <w:rsid w:val="00911020"/>
    <w:rsid w:val="00911C9F"/>
    <w:rsid w:val="00912562"/>
    <w:rsid w:val="0092035F"/>
    <w:rsid w:val="009271C8"/>
    <w:rsid w:val="00931D87"/>
    <w:rsid w:val="009436F2"/>
    <w:rsid w:val="00944394"/>
    <w:rsid w:val="00944CEA"/>
    <w:rsid w:val="00945819"/>
    <w:rsid w:val="0095171F"/>
    <w:rsid w:val="00951B76"/>
    <w:rsid w:val="009527D9"/>
    <w:rsid w:val="00952CD2"/>
    <w:rsid w:val="00955635"/>
    <w:rsid w:val="009565E0"/>
    <w:rsid w:val="009600C8"/>
    <w:rsid w:val="0096240B"/>
    <w:rsid w:val="009677C0"/>
    <w:rsid w:val="00967DB2"/>
    <w:rsid w:val="00974CDD"/>
    <w:rsid w:val="00982AC4"/>
    <w:rsid w:val="00992748"/>
    <w:rsid w:val="0099421E"/>
    <w:rsid w:val="0099615D"/>
    <w:rsid w:val="00996E42"/>
    <w:rsid w:val="00996E4F"/>
    <w:rsid w:val="0099728C"/>
    <w:rsid w:val="00997A66"/>
    <w:rsid w:val="009A00D8"/>
    <w:rsid w:val="009A0260"/>
    <w:rsid w:val="009A1CDC"/>
    <w:rsid w:val="009A34A5"/>
    <w:rsid w:val="009A5550"/>
    <w:rsid w:val="009B06E4"/>
    <w:rsid w:val="009B3C7A"/>
    <w:rsid w:val="009B4F70"/>
    <w:rsid w:val="009B62ED"/>
    <w:rsid w:val="009C1E4E"/>
    <w:rsid w:val="009C49C7"/>
    <w:rsid w:val="009C541E"/>
    <w:rsid w:val="009C66E3"/>
    <w:rsid w:val="009C6FEB"/>
    <w:rsid w:val="009D1CFE"/>
    <w:rsid w:val="009D2198"/>
    <w:rsid w:val="009D3916"/>
    <w:rsid w:val="009D40CF"/>
    <w:rsid w:val="009D6F03"/>
    <w:rsid w:val="009E0515"/>
    <w:rsid w:val="009E36F1"/>
    <w:rsid w:val="009E6F2A"/>
    <w:rsid w:val="009F0FAB"/>
    <w:rsid w:val="009F1065"/>
    <w:rsid w:val="009F6BD3"/>
    <w:rsid w:val="00A00B26"/>
    <w:rsid w:val="00A034A0"/>
    <w:rsid w:val="00A04079"/>
    <w:rsid w:val="00A117D7"/>
    <w:rsid w:val="00A13B04"/>
    <w:rsid w:val="00A21993"/>
    <w:rsid w:val="00A240A7"/>
    <w:rsid w:val="00A25DEC"/>
    <w:rsid w:val="00A324C6"/>
    <w:rsid w:val="00A36102"/>
    <w:rsid w:val="00A36875"/>
    <w:rsid w:val="00A405D3"/>
    <w:rsid w:val="00A45C91"/>
    <w:rsid w:val="00A50048"/>
    <w:rsid w:val="00A50365"/>
    <w:rsid w:val="00A57283"/>
    <w:rsid w:val="00A62B42"/>
    <w:rsid w:val="00A63200"/>
    <w:rsid w:val="00A646FC"/>
    <w:rsid w:val="00A65BBE"/>
    <w:rsid w:val="00A65FDF"/>
    <w:rsid w:val="00A71316"/>
    <w:rsid w:val="00A74D82"/>
    <w:rsid w:val="00A77A34"/>
    <w:rsid w:val="00A82889"/>
    <w:rsid w:val="00A8367C"/>
    <w:rsid w:val="00A9281B"/>
    <w:rsid w:val="00A93C01"/>
    <w:rsid w:val="00A961F0"/>
    <w:rsid w:val="00A963CA"/>
    <w:rsid w:val="00A97468"/>
    <w:rsid w:val="00A978EA"/>
    <w:rsid w:val="00AA2C59"/>
    <w:rsid w:val="00AA3408"/>
    <w:rsid w:val="00AA56AC"/>
    <w:rsid w:val="00AA64DC"/>
    <w:rsid w:val="00AB17DD"/>
    <w:rsid w:val="00AB2DF2"/>
    <w:rsid w:val="00AB3160"/>
    <w:rsid w:val="00AC150F"/>
    <w:rsid w:val="00AC47A2"/>
    <w:rsid w:val="00AD0830"/>
    <w:rsid w:val="00AD3D48"/>
    <w:rsid w:val="00AD46E2"/>
    <w:rsid w:val="00AD5175"/>
    <w:rsid w:val="00AD565F"/>
    <w:rsid w:val="00AD6FC7"/>
    <w:rsid w:val="00AE2750"/>
    <w:rsid w:val="00AE3C12"/>
    <w:rsid w:val="00AE60FB"/>
    <w:rsid w:val="00AE7ABF"/>
    <w:rsid w:val="00AF5DE1"/>
    <w:rsid w:val="00B01DA2"/>
    <w:rsid w:val="00B022F5"/>
    <w:rsid w:val="00B04F94"/>
    <w:rsid w:val="00B11476"/>
    <w:rsid w:val="00B11937"/>
    <w:rsid w:val="00B13B7F"/>
    <w:rsid w:val="00B15D52"/>
    <w:rsid w:val="00B165CB"/>
    <w:rsid w:val="00B16A12"/>
    <w:rsid w:val="00B22F0D"/>
    <w:rsid w:val="00B23027"/>
    <w:rsid w:val="00B260C3"/>
    <w:rsid w:val="00B268C2"/>
    <w:rsid w:val="00B3089A"/>
    <w:rsid w:val="00B32956"/>
    <w:rsid w:val="00B32F87"/>
    <w:rsid w:val="00B35263"/>
    <w:rsid w:val="00B35D69"/>
    <w:rsid w:val="00B361B3"/>
    <w:rsid w:val="00B366E5"/>
    <w:rsid w:val="00B410AE"/>
    <w:rsid w:val="00B41AE8"/>
    <w:rsid w:val="00B42B54"/>
    <w:rsid w:val="00B43896"/>
    <w:rsid w:val="00B44184"/>
    <w:rsid w:val="00B47A68"/>
    <w:rsid w:val="00B50692"/>
    <w:rsid w:val="00B51957"/>
    <w:rsid w:val="00B526FA"/>
    <w:rsid w:val="00B55762"/>
    <w:rsid w:val="00B55812"/>
    <w:rsid w:val="00B56A74"/>
    <w:rsid w:val="00B6126A"/>
    <w:rsid w:val="00B619A1"/>
    <w:rsid w:val="00B62D9B"/>
    <w:rsid w:val="00B62FD1"/>
    <w:rsid w:val="00B66236"/>
    <w:rsid w:val="00B667E4"/>
    <w:rsid w:val="00B703F6"/>
    <w:rsid w:val="00B73CE0"/>
    <w:rsid w:val="00B74688"/>
    <w:rsid w:val="00B74A64"/>
    <w:rsid w:val="00B76CB3"/>
    <w:rsid w:val="00B81971"/>
    <w:rsid w:val="00B81E2D"/>
    <w:rsid w:val="00B824AA"/>
    <w:rsid w:val="00B84C81"/>
    <w:rsid w:val="00B85E1C"/>
    <w:rsid w:val="00B90B4B"/>
    <w:rsid w:val="00B9309E"/>
    <w:rsid w:val="00BA08A8"/>
    <w:rsid w:val="00BA1ABA"/>
    <w:rsid w:val="00BA220A"/>
    <w:rsid w:val="00BA46B9"/>
    <w:rsid w:val="00BB23F6"/>
    <w:rsid w:val="00BB2B65"/>
    <w:rsid w:val="00BB3FEA"/>
    <w:rsid w:val="00BB40CD"/>
    <w:rsid w:val="00BB5205"/>
    <w:rsid w:val="00BB5CAC"/>
    <w:rsid w:val="00BB76D5"/>
    <w:rsid w:val="00BC14DC"/>
    <w:rsid w:val="00BC1762"/>
    <w:rsid w:val="00BC6847"/>
    <w:rsid w:val="00BC6ABE"/>
    <w:rsid w:val="00BE2D78"/>
    <w:rsid w:val="00BE5DD3"/>
    <w:rsid w:val="00BE6CB4"/>
    <w:rsid w:val="00BF42F6"/>
    <w:rsid w:val="00BF7E7E"/>
    <w:rsid w:val="00C01D97"/>
    <w:rsid w:val="00C0298B"/>
    <w:rsid w:val="00C02F39"/>
    <w:rsid w:val="00C057ED"/>
    <w:rsid w:val="00C06A06"/>
    <w:rsid w:val="00C0734E"/>
    <w:rsid w:val="00C10D22"/>
    <w:rsid w:val="00C11141"/>
    <w:rsid w:val="00C15484"/>
    <w:rsid w:val="00C246B9"/>
    <w:rsid w:val="00C250C6"/>
    <w:rsid w:val="00C27CC8"/>
    <w:rsid w:val="00C32D7F"/>
    <w:rsid w:val="00C33C8C"/>
    <w:rsid w:val="00C347A6"/>
    <w:rsid w:val="00C427C0"/>
    <w:rsid w:val="00C447A9"/>
    <w:rsid w:val="00C453E3"/>
    <w:rsid w:val="00C45AFC"/>
    <w:rsid w:val="00C47352"/>
    <w:rsid w:val="00C52A22"/>
    <w:rsid w:val="00C539EB"/>
    <w:rsid w:val="00C56078"/>
    <w:rsid w:val="00C577BD"/>
    <w:rsid w:val="00C57E5C"/>
    <w:rsid w:val="00C63C0E"/>
    <w:rsid w:val="00C63D66"/>
    <w:rsid w:val="00C6415B"/>
    <w:rsid w:val="00C65B1C"/>
    <w:rsid w:val="00C668DD"/>
    <w:rsid w:val="00C67A77"/>
    <w:rsid w:val="00C70313"/>
    <w:rsid w:val="00C742A8"/>
    <w:rsid w:val="00C75DA9"/>
    <w:rsid w:val="00C77312"/>
    <w:rsid w:val="00C7760A"/>
    <w:rsid w:val="00C77C56"/>
    <w:rsid w:val="00C82D58"/>
    <w:rsid w:val="00C859A0"/>
    <w:rsid w:val="00C90BA5"/>
    <w:rsid w:val="00C9264B"/>
    <w:rsid w:val="00C92E27"/>
    <w:rsid w:val="00C943ED"/>
    <w:rsid w:val="00C946CC"/>
    <w:rsid w:val="00C94DE4"/>
    <w:rsid w:val="00CA0D07"/>
    <w:rsid w:val="00CA4476"/>
    <w:rsid w:val="00CA4EF8"/>
    <w:rsid w:val="00CA5028"/>
    <w:rsid w:val="00CB06B5"/>
    <w:rsid w:val="00CB2402"/>
    <w:rsid w:val="00CB6B23"/>
    <w:rsid w:val="00CB70F7"/>
    <w:rsid w:val="00CD1C0F"/>
    <w:rsid w:val="00CD2418"/>
    <w:rsid w:val="00CD2B33"/>
    <w:rsid w:val="00CD5E28"/>
    <w:rsid w:val="00CE7065"/>
    <w:rsid w:val="00CF5704"/>
    <w:rsid w:val="00D0144F"/>
    <w:rsid w:val="00D06885"/>
    <w:rsid w:val="00D10AAF"/>
    <w:rsid w:val="00D12651"/>
    <w:rsid w:val="00D12FFB"/>
    <w:rsid w:val="00D14983"/>
    <w:rsid w:val="00D153EA"/>
    <w:rsid w:val="00D210E1"/>
    <w:rsid w:val="00D2162C"/>
    <w:rsid w:val="00D27A6F"/>
    <w:rsid w:val="00D45F04"/>
    <w:rsid w:val="00D52E85"/>
    <w:rsid w:val="00D54781"/>
    <w:rsid w:val="00D55234"/>
    <w:rsid w:val="00D5628C"/>
    <w:rsid w:val="00D56FE3"/>
    <w:rsid w:val="00D61C2E"/>
    <w:rsid w:val="00D63A31"/>
    <w:rsid w:val="00D674F6"/>
    <w:rsid w:val="00D70F1B"/>
    <w:rsid w:val="00D7302D"/>
    <w:rsid w:val="00D8162B"/>
    <w:rsid w:val="00D81F18"/>
    <w:rsid w:val="00D85863"/>
    <w:rsid w:val="00D90014"/>
    <w:rsid w:val="00D91956"/>
    <w:rsid w:val="00D91E61"/>
    <w:rsid w:val="00D92691"/>
    <w:rsid w:val="00D938CA"/>
    <w:rsid w:val="00D952A9"/>
    <w:rsid w:val="00D96A3E"/>
    <w:rsid w:val="00DA04E2"/>
    <w:rsid w:val="00DA6CB2"/>
    <w:rsid w:val="00DB1A70"/>
    <w:rsid w:val="00DB1B9A"/>
    <w:rsid w:val="00DB2378"/>
    <w:rsid w:val="00DB264B"/>
    <w:rsid w:val="00DB4A24"/>
    <w:rsid w:val="00DC25D3"/>
    <w:rsid w:val="00DC2787"/>
    <w:rsid w:val="00DC4423"/>
    <w:rsid w:val="00DC60BE"/>
    <w:rsid w:val="00DC7BBB"/>
    <w:rsid w:val="00DD3C3F"/>
    <w:rsid w:val="00DD4C14"/>
    <w:rsid w:val="00DE071F"/>
    <w:rsid w:val="00DF13EB"/>
    <w:rsid w:val="00DF1791"/>
    <w:rsid w:val="00DF4CC1"/>
    <w:rsid w:val="00DF5C1A"/>
    <w:rsid w:val="00DF6348"/>
    <w:rsid w:val="00DF6E27"/>
    <w:rsid w:val="00E01216"/>
    <w:rsid w:val="00E01CB7"/>
    <w:rsid w:val="00E02036"/>
    <w:rsid w:val="00E02276"/>
    <w:rsid w:val="00E045EA"/>
    <w:rsid w:val="00E06793"/>
    <w:rsid w:val="00E0759D"/>
    <w:rsid w:val="00E11760"/>
    <w:rsid w:val="00E14B50"/>
    <w:rsid w:val="00E15BE8"/>
    <w:rsid w:val="00E20CD5"/>
    <w:rsid w:val="00E22584"/>
    <w:rsid w:val="00E30903"/>
    <w:rsid w:val="00E33180"/>
    <w:rsid w:val="00E35077"/>
    <w:rsid w:val="00E35715"/>
    <w:rsid w:val="00E35E3F"/>
    <w:rsid w:val="00E37ACF"/>
    <w:rsid w:val="00E40750"/>
    <w:rsid w:val="00E44562"/>
    <w:rsid w:val="00E45087"/>
    <w:rsid w:val="00E51330"/>
    <w:rsid w:val="00E51E4A"/>
    <w:rsid w:val="00E543C2"/>
    <w:rsid w:val="00E5464B"/>
    <w:rsid w:val="00E5534B"/>
    <w:rsid w:val="00E55716"/>
    <w:rsid w:val="00E57897"/>
    <w:rsid w:val="00E603F8"/>
    <w:rsid w:val="00E61E67"/>
    <w:rsid w:val="00E62ACB"/>
    <w:rsid w:val="00E63E52"/>
    <w:rsid w:val="00E63F76"/>
    <w:rsid w:val="00E674BE"/>
    <w:rsid w:val="00E678D9"/>
    <w:rsid w:val="00E70CF7"/>
    <w:rsid w:val="00E71A3E"/>
    <w:rsid w:val="00E71C4E"/>
    <w:rsid w:val="00E72535"/>
    <w:rsid w:val="00E74AD8"/>
    <w:rsid w:val="00E84405"/>
    <w:rsid w:val="00E84A33"/>
    <w:rsid w:val="00E97BFD"/>
    <w:rsid w:val="00EA09E2"/>
    <w:rsid w:val="00EA1AF5"/>
    <w:rsid w:val="00EA4B94"/>
    <w:rsid w:val="00EB1709"/>
    <w:rsid w:val="00EB2676"/>
    <w:rsid w:val="00EB2BC9"/>
    <w:rsid w:val="00EB3399"/>
    <w:rsid w:val="00EB3AAB"/>
    <w:rsid w:val="00EC0552"/>
    <w:rsid w:val="00EC175D"/>
    <w:rsid w:val="00EC40EF"/>
    <w:rsid w:val="00EC679C"/>
    <w:rsid w:val="00ED2360"/>
    <w:rsid w:val="00ED3344"/>
    <w:rsid w:val="00ED42E5"/>
    <w:rsid w:val="00ED67E0"/>
    <w:rsid w:val="00EE10E1"/>
    <w:rsid w:val="00EE1F70"/>
    <w:rsid w:val="00EE231F"/>
    <w:rsid w:val="00EE3936"/>
    <w:rsid w:val="00EF0321"/>
    <w:rsid w:val="00EF04A8"/>
    <w:rsid w:val="00EF27B9"/>
    <w:rsid w:val="00EF3D14"/>
    <w:rsid w:val="00EF523B"/>
    <w:rsid w:val="00EF55FD"/>
    <w:rsid w:val="00EF5D6B"/>
    <w:rsid w:val="00EF6877"/>
    <w:rsid w:val="00EF6C25"/>
    <w:rsid w:val="00EF71C9"/>
    <w:rsid w:val="00F00EEA"/>
    <w:rsid w:val="00F018CF"/>
    <w:rsid w:val="00F01F75"/>
    <w:rsid w:val="00F02B45"/>
    <w:rsid w:val="00F02E2D"/>
    <w:rsid w:val="00F04D0A"/>
    <w:rsid w:val="00F10C44"/>
    <w:rsid w:val="00F140E1"/>
    <w:rsid w:val="00F14F05"/>
    <w:rsid w:val="00F16C6E"/>
    <w:rsid w:val="00F17232"/>
    <w:rsid w:val="00F22067"/>
    <w:rsid w:val="00F2208E"/>
    <w:rsid w:val="00F231A6"/>
    <w:rsid w:val="00F24094"/>
    <w:rsid w:val="00F2417D"/>
    <w:rsid w:val="00F267FC"/>
    <w:rsid w:val="00F310FC"/>
    <w:rsid w:val="00F31A94"/>
    <w:rsid w:val="00F31BF9"/>
    <w:rsid w:val="00F34DFC"/>
    <w:rsid w:val="00F4019A"/>
    <w:rsid w:val="00F40D49"/>
    <w:rsid w:val="00F418EA"/>
    <w:rsid w:val="00F436BA"/>
    <w:rsid w:val="00F44B08"/>
    <w:rsid w:val="00F46181"/>
    <w:rsid w:val="00F52083"/>
    <w:rsid w:val="00F54663"/>
    <w:rsid w:val="00F54921"/>
    <w:rsid w:val="00F565B6"/>
    <w:rsid w:val="00F62A45"/>
    <w:rsid w:val="00F65748"/>
    <w:rsid w:val="00F70165"/>
    <w:rsid w:val="00F71345"/>
    <w:rsid w:val="00F71655"/>
    <w:rsid w:val="00F71A75"/>
    <w:rsid w:val="00F77458"/>
    <w:rsid w:val="00F77A5D"/>
    <w:rsid w:val="00F80CAD"/>
    <w:rsid w:val="00F82BD2"/>
    <w:rsid w:val="00F86FB3"/>
    <w:rsid w:val="00F87245"/>
    <w:rsid w:val="00F93451"/>
    <w:rsid w:val="00F93F04"/>
    <w:rsid w:val="00F942A6"/>
    <w:rsid w:val="00F970D0"/>
    <w:rsid w:val="00F97132"/>
    <w:rsid w:val="00FA0D2B"/>
    <w:rsid w:val="00FA3A7D"/>
    <w:rsid w:val="00FB20F6"/>
    <w:rsid w:val="00FB4415"/>
    <w:rsid w:val="00FB58C7"/>
    <w:rsid w:val="00FC1153"/>
    <w:rsid w:val="00FC1BF5"/>
    <w:rsid w:val="00FC3CC7"/>
    <w:rsid w:val="00FC45B5"/>
    <w:rsid w:val="00FC4A32"/>
    <w:rsid w:val="00FC794A"/>
    <w:rsid w:val="00FD21FE"/>
    <w:rsid w:val="00FD2584"/>
    <w:rsid w:val="00FD4185"/>
    <w:rsid w:val="00FD4248"/>
    <w:rsid w:val="00FD6239"/>
    <w:rsid w:val="00FD6D86"/>
    <w:rsid w:val="00FE3832"/>
    <w:rsid w:val="00FF0B33"/>
    <w:rsid w:val="00FF40D6"/>
    <w:rsid w:val="00FF4985"/>
    <w:rsid w:val="00FF4B12"/>
    <w:rsid w:val="00FF6628"/>
    <w:rsid w:val="00FF7D8A"/>
    <w:rsid w:val="1E726942"/>
    <w:rsid w:val="4032E69E"/>
    <w:rsid w:val="5D451683"/>
    <w:rsid w:val="66927722"/>
    <w:rsid w:val="77811EF6"/>
    <w:rsid w:val="7F4BEDC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EF86"/>
  <w15:docId w15:val="{5CFAF716-573E-4596-92D1-F8244A48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F2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F2BC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2F2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2F2BC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uiPriority w:val="99"/>
    <w:unhideWhenUsed/>
    <w:qFormat/>
    <w:rsid w:val="002F2BC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List Car,Normal. Viñetas Car,titulo 3 Car,Ha Car,Bullets Car,Lista vistosa - Énfasis 11 Car,Cuadrícula clara - Énfasis 31 Car"/>
    <w:link w:val="Prrafodelista"/>
    <w:uiPriority w:val="34"/>
    <w:locked/>
    <w:rsid w:val="002F2BCC"/>
    <w:rPr>
      <w:rFonts w:ascii="Times New Roman" w:eastAsia="MS Mincho" w:hAnsi="Times New Roman" w:cs="Times New Roman"/>
      <w:sz w:val="24"/>
      <w:szCs w:val="24"/>
      <w:lang w:val="es-ES" w:eastAsia="es-ES"/>
    </w:rPr>
  </w:style>
  <w:style w:type="paragraph" w:customStyle="1" w:styleId="Default">
    <w:name w:val="Default"/>
    <w:uiPriority w:val="99"/>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2F2BC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 w:type="paragraph" w:styleId="Firma">
    <w:name w:val="Signature"/>
    <w:basedOn w:val="Normal"/>
    <w:link w:val="FirmaCar"/>
    <w:uiPriority w:val="7"/>
    <w:semiHidden/>
    <w:unhideWhenUsed/>
    <w:qFormat/>
    <w:rsid w:val="00A93C01"/>
    <w:pPr>
      <w:spacing w:before="40" w:after="360"/>
      <w:ind w:left="720" w:right="720"/>
      <w:contextualSpacing/>
    </w:pPr>
    <w:rPr>
      <w:rFonts w:asciiTheme="minorHAnsi" w:eastAsiaTheme="minorHAnsi" w:hAnsiTheme="minorHAnsi" w:cstheme="minorBidi"/>
      <w:b/>
      <w:bCs/>
      <w:color w:val="4F81BD" w:themeColor="accent1"/>
      <w:kern w:val="20"/>
      <w:szCs w:val="20"/>
      <w:lang w:eastAsia="ja-JP"/>
    </w:rPr>
  </w:style>
  <w:style w:type="character" w:customStyle="1" w:styleId="FirmaCar">
    <w:name w:val="Firma Car"/>
    <w:basedOn w:val="Fuentedeprrafopredeter"/>
    <w:link w:val="Firma"/>
    <w:uiPriority w:val="7"/>
    <w:semiHidden/>
    <w:rsid w:val="00A93C01"/>
    <w:rPr>
      <w:b/>
      <w:bCs/>
      <w:color w:val="4F81BD" w:themeColor="accent1"/>
      <w:kern w:val="20"/>
      <w:sz w:val="24"/>
      <w:szCs w:val="20"/>
      <w:lang w:val="es-ES" w:eastAsia="ja-JP"/>
    </w:rPr>
  </w:style>
  <w:style w:type="paragraph" w:customStyle="1" w:styleId="w3-padding-1">
    <w:name w:val="w3-padding-1"/>
    <w:basedOn w:val="Normal"/>
    <w:uiPriority w:val="99"/>
    <w:rsid w:val="00A93C01"/>
    <w:pPr>
      <w:spacing w:before="100" w:beforeAutospacing="1" w:after="100" w:afterAutospacing="1"/>
    </w:pPr>
    <w:rPr>
      <w:rFonts w:eastAsia="Times New Roman"/>
      <w:lang w:val="es-CO" w:eastAsia="es-CO"/>
    </w:rPr>
  </w:style>
  <w:style w:type="character" w:customStyle="1" w:styleId="w3-opacity">
    <w:name w:val="w3-opacity"/>
    <w:basedOn w:val="Fuentedeprrafopredeter"/>
    <w:rsid w:val="00A93C01"/>
  </w:style>
  <w:style w:type="paragraph" w:styleId="Revisin">
    <w:name w:val="Revision"/>
    <w:hidden/>
    <w:uiPriority w:val="99"/>
    <w:semiHidden/>
    <w:rsid w:val="00C70313"/>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0390">
      <w:bodyDiv w:val="1"/>
      <w:marLeft w:val="0"/>
      <w:marRight w:val="0"/>
      <w:marTop w:val="0"/>
      <w:marBottom w:val="0"/>
      <w:divBdr>
        <w:top w:val="none" w:sz="0" w:space="0" w:color="auto"/>
        <w:left w:val="none" w:sz="0" w:space="0" w:color="auto"/>
        <w:bottom w:val="none" w:sz="0" w:space="0" w:color="auto"/>
        <w:right w:val="none" w:sz="0" w:space="0" w:color="auto"/>
      </w:divBdr>
    </w:div>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309089894">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717655334">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4031A16B-0A22-4E14-A774-DF7706E53BF0}"/>
</file>

<file path=customXml/itemProps2.xml><?xml version="1.0" encoding="utf-8"?>
<ds:datastoreItem xmlns:ds="http://schemas.openxmlformats.org/officeDocument/2006/customXml" ds:itemID="{3E20E568-B6D6-4035-BA3E-2CB67E2A1819}">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32CC36ED-2BB1-4E57-98CF-CAAAD8DC4714}"/>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Pages>
  <Words>8975</Words>
  <Characters>49363</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58222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cp:lastModifiedBy>
  <cp:revision>2</cp:revision>
  <cp:lastPrinted>2015-12-16T15:04:00Z</cp:lastPrinted>
  <dcterms:created xsi:type="dcterms:W3CDTF">2023-10-14T09:43:00Z</dcterms:created>
  <dcterms:modified xsi:type="dcterms:W3CDTF">2023-10-14T09:43:00Z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