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51" w:rsidRDefault="00746951" w:rsidP="00CD63E3">
      <w:pPr>
        <w:pStyle w:val="EncabezadoDoc"/>
        <w:rPr>
          <w:lang w:val="es-CO"/>
        </w:rPr>
      </w:pPr>
      <w:bookmarkStart w:id="0" w:name="_GoBack"/>
      <w:bookmarkEnd w:id="0"/>
      <w:r>
        <w:rPr>
          <w:lang w:val="es-CO"/>
        </w:rPr>
        <w:t xml:space="preserve">INFORME RESUMEN - </w:t>
      </w:r>
      <w:r>
        <w:rPr>
          <w:lang w:val="es-CO"/>
        </w:rPr>
        <w:fldChar w:fldCharType="begin"/>
      </w:r>
      <w:r>
        <w:rPr>
          <w:lang w:val="es-CO"/>
        </w:rPr>
        <w:instrText xml:space="preserve"> LINK Excel.SheetMacroEnabled.12 \\\\MH-EXMOSSSA01.MHEXT.RED\\EncuestasPSFF_Archivos\\Decreto028\\BD\\Excel\\Matriz_2019_PlanDesempeño_Municipio_Villavicencio_Meta_Sector_Educación.xlsm Principal!R18C7 \a \t  \* MERGEFORMAT </w:instrText>
      </w:r>
      <w:r>
        <w:rPr>
          <w:lang w:val="es-CO"/>
        </w:rPr>
        <w:fldChar w:fldCharType="separate"/>
      </w:r>
      <w:r>
        <w:rPr>
          <w:lang w:val="es-CO"/>
        </w:rPr>
        <w:t>PLAN DE DESEMPEÑO</w:t>
      </w:r>
      <w:r>
        <w:rPr>
          <w:lang w:val="es-CO"/>
        </w:rPr>
        <w:fldChar w:fldCharType="end"/>
      </w:r>
      <w:r>
        <w:rPr>
          <w:lang w:val="es-CO"/>
        </w:rPr>
        <w:t xml:space="preserve"> DEL SECTOR </w:t>
      </w:r>
      <w:r>
        <w:rPr>
          <w:lang w:val="es-CO"/>
        </w:rPr>
        <w:fldChar w:fldCharType="begin"/>
      </w:r>
      <w:r>
        <w:rPr>
          <w:lang w:val="es-CO"/>
        </w:rPr>
        <w:instrText xml:space="preserve"> LINK Excel.SheetMacroEnabled.12 \\\\MH-EXMOSSSA01.MHEXT.RED\\EncuestasPSFF_Archivos\\Decreto028\\BD\\Excel\\Matriz_2019_PlanDesempeño_Municipio_Villavicencio_Meta_Sector_Educación.xlsm Principal!R7C7 \a \t  \* MERGEFORMAT </w:instrText>
      </w:r>
      <w:r>
        <w:rPr>
          <w:lang w:val="es-CO"/>
        </w:rPr>
        <w:fldChar w:fldCharType="separate"/>
      </w:r>
      <w:r>
        <w:rPr>
          <w:lang w:val="es-CO"/>
        </w:rPr>
        <w:t>EDUCACIÓN</w:t>
      </w:r>
      <w:r>
        <w:rPr>
          <w:lang w:val="es-CO"/>
        </w:rPr>
        <w:fldChar w:fldCharType="end"/>
      </w:r>
    </w:p>
    <w:p w:rsidR="00746951" w:rsidRDefault="00746951" w:rsidP="00CD63E3">
      <w:pPr>
        <w:pStyle w:val="EncabezadoDoc"/>
        <w:rPr>
          <w:lang w:val="es-CO"/>
        </w:rPr>
      </w:pPr>
      <w:r>
        <w:rPr>
          <w:lang w:val="es-CO"/>
        </w:rPr>
        <w:fldChar w:fldCharType="begin"/>
      </w:r>
      <w:r>
        <w:rPr>
          <w:lang w:val="es-CO"/>
        </w:rPr>
        <w:instrText xml:space="preserve"> LINK Excel.SheetMacroEnabled.12 \\\\MH-EXMOSSSA01.MHEXT.RED\\EncuestasPSFF_Archivos\\Decreto028\\BD\\Excel\\Matriz_2019_PlanDesempeño_Municipio_Villavicencio_Meta_Sector_Educación.xlsm Principal!R5C7 \a \t  \* MERGEFORMAT </w:instrText>
      </w:r>
      <w:r>
        <w:rPr>
          <w:lang w:val="es-CO"/>
        </w:rPr>
        <w:fldChar w:fldCharType="separate"/>
      </w:r>
      <w:r>
        <w:rPr>
          <w:lang w:val="es-CO"/>
        </w:rPr>
        <w:t>MUNICIPIO: JAMUNDÍ - VALLE DEL CAUCA</w:t>
      </w:r>
      <w:r>
        <w:rPr>
          <w:lang w:val="es-CO"/>
        </w:rPr>
        <w:fldChar w:fldCharType="end"/>
      </w:r>
    </w:p>
    <w:p w:rsidR="00746951" w:rsidRDefault="00746951" w:rsidP="00CD63E3">
      <w:pPr>
        <w:rPr>
          <w:rFonts w:ascii="Arial" w:hAnsi="Arial" w:cs="Arial"/>
          <w:b/>
          <w:sz w:val="22"/>
          <w:szCs w:val="22"/>
          <w:lang w:val="es-CO"/>
        </w:rPr>
      </w:pPr>
    </w:p>
    <w:p w:rsidR="00746951" w:rsidRDefault="00746951" w:rsidP="00CD63E3">
      <w:pPr>
        <w:jc w:val="both"/>
        <w:rPr>
          <w:rFonts w:ascii="Arial" w:hAnsi="Arial" w:cs="Arial"/>
          <w:b/>
          <w:sz w:val="22"/>
          <w:szCs w:val="22"/>
          <w:lang w:val="es-CO"/>
        </w:rPr>
      </w:pPr>
      <w:r>
        <w:rPr>
          <w:rFonts w:ascii="Arial" w:hAnsi="Arial" w:cs="Arial"/>
          <w:b/>
          <w:sz w:val="22"/>
          <w:szCs w:val="22"/>
          <w:lang w:val="es-CO"/>
        </w:rPr>
        <w:t xml:space="preserve">Periodo de evaluación: Del 31 de diciembre de 2018 al 31 de diciembre de 2019. </w:t>
      </w:r>
    </w:p>
    <w:p w:rsidR="00746951" w:rsidRDefault="00746951" w:rsidP="00CD63E3">
      <w:pPr>
        <w:rPr>
          <w:rFonts w:ascii="Arial" w:hAnsi="Arial" w:cs="Arial"/>
          <w:b/>
          <w:sz w:val="22"/>
          <w:szCs w:val="22"/>
          <w:lang w:val="es-CO"/>
        </w:rPr>
      </w:pPr>
      <w:r>
        <w:rPr>
          <w:rFonts w:ascii="Arial" w:hAnsi="Arial" w:cs="Arial"/>
          <w:b/>
          <w:sz w:val="22"/>
          <w:szCs w:val="22"/>
          <w:lang w:val="es-CO"/>
        </w:rPr>
        <w:fldChar w:fldCharType="begin"/>
      </w:r>
      <w:r>
        <w:rPr>
          <w:rFonts w:ascii="Arial" w:hAnsi="Arial" w:cs="Arial"/>
          <w:b/>
          <w:sz w:val="22"/>
          <w:szCs w:val="22"/>
          <w:lang w:val="es-CO"/>
        </w:rPr>
        <w:instrText xml:space="preserve"> DOCVARIABLE  sector  \* MERGEFORMAT </w:instrText>
      </w:r>
      <w:r>
        <w:rPr>
          <w:rFonts w:ascii="Arial" w:hAnsi="Arial" w:cs="Arial"/>
          <w:b/>
          <w:sz w:val="22"/>
          <w:szCs w:val="22"/>
          <w:lang w:val="es-CO"/>
        </w:rPr>
        <w:fldChar w:fldCharType="end"/>
      </w:r>
      <w:r>
        <w:rPr>
          <w:rFonts w:ascii="Arial" w:hAnsi="Arial" w:cs="Arial"/>
          <w:b/>
          <w:sz w:val="22"/>
          <w:szCs w:val="22"/>
          <w:lang w:val="es-CO"/>
        </w:rPr>
        <w:fldChar w:fldCharType="begin"/>
      </w:r>
      <w:r>
        <w:rPr>
          <w:rFonts w:ascii="Arial" w:hAnsi="Arial" w:cs="Arial"/>
          <w:b/>
          <w:sz w:val="22"/>
          <w:szCs w:val="22"/>
          <w:lang w:val="es-CO"/>
        </w:rPr>
        <w:instrText xml:space="preserve"> DOCVARIABLE  Sector  \* MERGEFORMAT </w:instrText>
      </w:r>
      <w:r>
        <w:rPr>
          <w:rFonts w:ascii="Arial" w:hAnsi="Arial" w:cs="Arial"/>
          <w:b/>
          <w:sz w:val="22"/>
          <w:szCs w:val="22"/>
          <w:lang w:val="es-CO"/>
        </w:rPr>
        <w:fldChar w:fldCharType="end"/>
      </w:r>
    </w:p>
    <w:p w:rsidR="00746951" w:rsidRDefault="00746951" w:rsidP="00CD63E3">
      <w:pPr>
        <w:jc w:val="both"/>
        <w:rPr>
          <w:rFonts w:ascii="Arial" w:hAnsi="Arial" w:cs="Arial"/>
          <w:b/>
          <w:sz w:val="22"/>
          <w:szCs w:val="22"/>
          <w:lang w:val="es-CO"/>
        </w:rPr>
      </w:pPr>
      <w:r>
        <w:rPr>
          <w:rFonts w:ascii="Arial" w:hAnsi="Arial" w:cs="Arial"/>
          <w:b/>
          <w:sz w:val="22"/>
          <w:szCs w:val="22"/>
          <w:lang w:val="es-CO"/>
        </w:rPr>
        <w:t>Antecedentes</w:t>
      </w:r>
    </w:p>
    <w:p w:rsidR="00746951" w:rsidRDefault="00746951" w:rsidP="00CD63E3">
      <w:pPr>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El Municipio de Jamundí – Valle del Cauca fue priorizado por la Dirección General de Apoyo Fiscal para aplicar las actividades de seguimiento y control asociadas a la estrategia de monitoreo, seguimiento y control al uso de recursos del Sistema General de Participaciones a las que se refiere el Decreto 028 de 2008 y sus reglamentarios. Ante la priorización, esta Dirección solicitó información relacionada con el uso de los recursos del sector Educación a través del oficio con radicado No. 2-2014-019888 del 30 de mayo de 2014; sobre el cual, el Municipio no remitió información, reiterando dicha solicitud el 17 de septiembre del 2014 a través del radicado No. 2-2014-035235. A pesar de lo anterior, la Entidad no remitió la información solicitada, razón por la que se ordenó la aplicación de una medida correctiva de suspensión de giros a través de la resolución No. 4126 del 19 de noviembre de 2014.</w:t>
      </w:r>
    </w:p>
    <w:p w:rsidR="00746951" w:rsidRDefault="00746951" w:rsidP="00CD63E3">
      <w:pPr>
        <w:jc w:val="both"/>
        <w:rPr>
          <w:rFonts w:ascii="Arial" w:hAnsi="Arial" w:cs="Arial"/>
          <w:sz w:val="22"/>
          <w:szCs w:val="22"/>
          <w:lang w:val="es-CO"/>
        </w:rPr>
      </w:pPr>
      <w:r>
        <w:rPr>
          <w:rFonts w:ascii="Arial" w:hAnsi="Arial" w:cs="Arial"/>
          <w:sz w:val="22"/>
          <w:szCs w:val="22"/>
          <w:lang w:val="es-CO"/>
        </w:rPr>
        <w:t xml:space="preserve">A partir del suministro de la información solicitada a la Entidad a través del radicado No. 1-2014-114059 11 de diciembre de 2014, la cual presentó múltiples carencias para realizar el análisis de diagnóstico inicial del Municipio, mediante la resolución No. 0331 del 11 de febrero de 2015 se ordenó el levantamiento de la medida correctiva de suspensión de giros. </w:t>
      </w:r>
      <w:r>
        <w:rPr>
          <w:rFonts w:ascii="Arial" w:hAnsi="Arial" w:cs="Arial"/>
          <w:sz w:val="22"/>
          <w:szCs w:val="22"/>
        </w:rPr>
        <w:t>En el diagnóstico inicial del sector Educación se identificaron problemas relacionados con aspectos fiscales, financieros y con la contratación del servicio educativo, configurándose la presencia de los eventos de riesgo No. 9.1 (dificultades en los reportes de información); 9.4 (cambio en destinación de recursos); 9.10 (falta de publicación de contratos estatales); 9.15 (recursos del sistema general de participaciones del sector educación afectados por embargos judiciales); 9.17 (deficiencia en la planeación contractual) y 9.18 (circunstancias que ponen en riesgo la prestación del servicio), eventos descritos en el artículo 9 del Decreto 028 de 2008.</w:t>
      </w:r>
    </w:p>
    <w:p w:rsidR="00746951" w:rsidRDefault="00746951" w:rsidP="00CD63E3">
      <w:pPr>
        <w:jc w:val="both"/>
        <w:rPr>
          <w:rFonts w:ascii="Arial" w:hAnsi="Arial" w:cs="Arial"/>
          <w:sz w:val="22"/>
          <w:szCs w:val="22"/>
        </w:rPr>
      </w:pPr>
    </w:p>
    <w:p w:rsidR="00746951" w:rsidRDefault="00746951" w:rsidP="00CD63E3">
      <w:pPr>
        <w:pStyle w:val="Default"/>
        <w:jc w:val="both"/>
        <w:rPr>
          <w:sz w:val="22"/>
          <w:szCs w:val="22"/>
        </w:rPr>
      </w:pPr>
      <w:r>
        <w:rPr>
          <w:bCs/>
          <w:sz w:val="22"/>
          <w:szCs w:val="22"/>
        </w:rPr>
        <w:t xml:space="preserve">Con fundamento en lo anterior, la Dirección General de Apoyo Fiscal determinó la adopción de la medida preventiva de Plan de Desempeño mediante la resolución No. 4653 del 26 de diciembre de 2016 por un término de dieciocho (18) meses, para que la Entidad supere los eventos de riesgo mencionados y todas aquellas situaciones identificadas como problemáticas dentro del sector, </w:t>
      </w:r>
      <w:r>
        <w:rPr>
          <w:sz w:val="22"/>
          <w:szCs w:val="22"/>
        </w:rPr>
        <w:t>en virtud de lo estipulado por los artículos 10, 11 y 13 del Decreto 028 de 2008 y sus decretos reglamentarios.</w:t>
      </w:r>
    </w:p>
    <w:p w:rsidR="00746951" w:rsidRDefault="00746951" w:rsidP="00CD63E3">
      <w:pPr>
        <w:jc w:val="both"/>
        <w:rPr>
          <w:rFonts w:ascii="Arial" w:hAnsi="Arial" w:cs="Arial"/>
          <w:sz w:val="22"/>
          <w:szCs w:val="22"/>
        </w:rPr>
      </w:pPr>
    </w:p>
    <w:p w:rsidR="00746951" w:rsidRDefault="00746951" w:rsidP="00CD63E3">
      <w:pPr>
        <w:jc w:val="both"/>
        <w:rPr>
          <w:rFonts w:ascii="Arial" w:hAnsi="Arial" w:cs="Arial"/>
          <w:sz w:val="22"/>
          <w:szCs w:val="22"/>
        </w:rPr>
      </w:pPr>
      <w:r>
        <w:rPr>
          <w:rFonts w:ascii="Arial" w:hAnsi="Arial" w:cs="Arial"/>
          <w:sz w:val="22"/>
          <w:szCs w:val="22"/>
        </w:rPr>
        <w:t>El Plan de Desempeño fue adoptado por el Municipio de Jamundí mediante Decreto No. 0092 del 24 de febrero de 2017 y aprobado por parte de la Dirección de General de Apoyo Fiscal a través de la resolución No. 0938 del 5 de abril de 2017, notificada el 27 de abril de 2017, cuyo vencimiento era el 27 de octubre de 2018. Seguidamente, considerando las debilidades aún presentes en el Municipio, como resultado del análisis de la información allegada por la Entidad, mediante la resolución No. 3683 del 26 de octubre de 2018 se ordenó la extensión y reformulación del plan de desempeño aprobado, adicionando el evento de riesgo No. 9.4 (cambio en la destinación de los recursos) sobre los recursos administrados en la vigencia 2017 y extendi</w:t>
      </w:r>
      <w:r w:rsidR="00CD63E3">
        <w:rPr>
          <w:rFonts w:ascii="Arial" w:hAnsi="Arial" w:cs="Arial"/>
          <w:sz w:val="22"/>
          <w:szCs w:val="22"/>
        </w:rPr>
        <w:t xml:space="preserve">endo </w:t>
      </w:r>
      <w:r>
        <w:rPr>
          <w:rFonts w:ascii="Arial" w:hAnsi="Arial" w:cs="Arial"/>
          <w:sz w:val="22"/>
          <w:szCs w:val="22"/>
        </w:rPr>
        <w:t xml:space="preserve">el periodo de ejecución del plan de desempeño por doce (12) meses de ejecución y tres (3) meses de evaluación. </w:t>
      </w:r>
    </w:p>
    <w:p w:rsidR="00746951" w:rsidRDefault="00746951" w:rsidP="00CD63E3">
      <w:pPr>
        <w:jc w:val="both"/>
        <w:rPr>
          <w:rFonts w:ascii="Arial" w:hAnsi="Arial" w:cs="Arial"/>
          <w:sz w:val="22"/>
          <w:szCs w:val="22"/>
        </w:rPr>
      </w:pPr>
    </w:p>
    <w:p w:rsidR="00746951" w:rsidRDefault="00746951" w:rsidP="00CD63E3">
      <w:pPr>
        <w:jc w:val="both"/>
        <w:rPr>
          <w:rFonts w:ascii="Arial" w:hAnsi="Arial" w:cs="Arial"/>
          <w:sz w:val="22"/>
          <w:szCs w:val="22"/>
        </w:rPr>
      </w:pPr>
      <w:r>
        <w:rPr>
          <w:rFonts w:ascii="Arial" w:hAnsi="Arial" w:cs="Arial"/>
          <w:sz w:val="22"/>
          <w:szCs w:val="22"/>
        </w:rPr>
        <w:t xml:space="preserve">Sin embargo, la Entidad no allegó a esta Dirección en un término perentorio de un (1) mes el decreto por el cual adopta el Plan de Desempeño reformulado, situación que conduce al ordenamiento de la medida correctiva de suspensión de giros a través del artículo 1 de la resolución No. 0737 del 13 de marzo de 2019. Ante dicho proceso, la Entidad adopta la reformulación y extensión del Plan de Desempeño con el Decreto No. 0130 del 23 de abril de 2019. Con la emisión de </w:t>
      </w:r>
      <w:r w:rsidR="00511F40">
        <w:rPr>
          <w:rFonts w:ascii="Arial" w:hAnsi="Arial" w:cs="Arial"/>
          <w:sz w:val="22"/>
          <w:szCs w:val="22"/>
        </w:rPr>
        <w:t>é</w:t>
      </w:r>
      <w:r>
        <w:rPr>
          <w:rFonts w:ascii="Arial" w:hAnsi="Arial" w:cs="Arial"/>
          <w:sz w:val="22"/>
          <w:szCs w:val="22"/>
        </w:rPr>
        <w:t xml:space="preserve">ste, la Dirección de Apoyo Fiscal efectúa el levantamiento de la medida correctiva de suspensión de giros y aprueba la extensión y reformulación del plan de desempeño a través de la resolución No. 2447 del 24 de julio de 2019, la cual se notifica el 12 de agosto de 2019, determinando el vencimiento de la ejecución el 14 de agosto de 2020 y un periodo de evaluación de la medida al 16 de noviembre de 2020. </w:t>
      </w:r>
    </w:p>
    <w:p w:rsidR="00746951" w:rsidRDefault="00746951" w:rsidP="00CD63E3">
      <w:pPr>
        <w:jc w:val="both"/>
        <w:rPr>
          <w:rFonts w:ascii="Arial" w:hAnsi="Arial" w:cs="Arial"/>
          <w:sz w:val="22"/>
          <w:szCs w:val="22"/>
        </w:rPr>
      </w:pPr>
    </w:p>
    <w:p w:rsidR="00746951" w:rsidRDefault="00511F40" w:rsidP="00CD63E3">
      <w:pPr>
        <w:jc w:val="both"/>
        <w:rPr>
          <w:rFonts w:ascii="Arial" w:hAnsi="Arial" w:cs="Arial"/>
          <w:sz w:val="22"/>
          <w:szCs w:val="22"/>
        </w:rPr>
      </w:pPr>
      <w:r>
        <w:rPr>
          <w:rFonts w:ascii="Arial" w:hAnsi="Arial" w:cs="Arial"/>
          <w:sz w:val="22"/>
          <w:szCs w:val="22"/>
        </w:rPr>
        <w:t xml:space="preserve">La Dirección General </w:t>
      </w:r>
      <w:r w:rsidR="00746951">
        <w:rPr>
          <w:rFonts w:ascii="Arial" w:hAnsi="Arial" w:cs="Arial"/>
          <w:sz w:val="22"/>
          <w:szCs w:val="22"/>
        </w:rPr>
        <w:t>de Apoyo Fiscal mediante el radicado No. 2-2019-014901 del 03 de mayo de 2019 solicitó información y anunció una visita de seguimiento del 13 al 15 de mayo de 2019 para analizar el cumplimiento de las actividades asociadas al Plan de Desempeño ordenado sobre la Entidad. Como resultado de esta visita, la Entidad Territorial remitió a esta Dirección la información requerida para el seguimiento de la medida mediante el radicado No. 1-2019-045070 del 16 de mayo de 2019</w:t>
      </w:r>
      <w:r w:rsidR="006236B3">
        <w:rPr>
          <w:rFonts w:ascii="Arial" w:hAnsi="Arial" w:cs="Arial"/>
          <w:sz w:val="22"/>
          <w:szCs w:val="22"/>
        </w:rPr>
        <w:t>, sin embargo</w:t>
      </w:r>
      <w:r w:rsidR="00A65459" w:rsidRPr="00A65459">
        <w:rPr>
          <w:rFonts w:ascii="Arial" w:hAnsi="Arial" w:cs="Arial"/>
          <w:sz w:val="22"/>
          <w:szCs w:val="22"/>
        </w:rPr>
        <w:t>, producto de declaratoria pandemia por el Nuevo Coronavirus COVID-19 y en virtud del artículo 6 del Decreto 491 de 2020</w:t>
      </w:r>
      <w:r w:rsidR="00A65459">
        <w:rPr>
          <w:rFonts w:ascii="Arial" w:hAnsi="Arial" w:cs="Arial"/>
          <w:sz w:val="22"/>
          <w:szCs w:val="22"/>
        </w:rPr>
        <w:t>,</w:t>
      </w:r>
      <w:r w:rsidR="00746951">
        <w:rPr>
          <w:rFonts w:ascii="Arial" w:hAnsi="Arial" w:cs="Arial"/>
          <w:sz w:val="22"/>
          <w:szCs w:val="22"/>
        </w:rPr>
        <w:t xml:space="preserve"> esta Dirección determinó la necesidad de tomar medidas extraordinarias y urgentes relacionadas con los términos de vigencia de las Medidas Preventivas de Plan de Desempeño adoptadas y vigentes durante la declaratoria de pandemia por el Coronavirus COVID 19, por lo cual mediante Resolución No. 0967 del 03 de abril de 2020 suspendió el término de la vigencia de los planes de desempeño, </w:t>
      </w:r>
      <w:r w:rsidR="006236B3">
        <w:rPr>
          <w:rFonts w:ascii="Arial" w:hAnsi="Arial" w:cs="Arial"/>
          <w:sz w:val="22"/>
          <w:szCs w:val="22"/>
        </w:rPr>
        <w:t xml:space="preserve">reanudados </w:t>
      </w:r>
      <w:r w:rsidR="00746951">
        <w:rPr>
          <w:rFonts w:ascii="Arial" w:hAnsi="Arial" w:cs="Arial"/>
          <w:sz w:val="22"/>
          <w:szCs w:val="22"/>
        </w:rPr>
        <w:t>mediante la Resolución No. 0301 del 09 de febrero de 2021</w:t>
      </w:r>
      <w:r w:rsidR="006236B3">
        <w:rPr>
          <w:rFonts w:ascii="Arial" w:hAnsi="Arial" w:cs="Arial"/>
          <w:sz w:val="22"/>
          <w:szCs w:val="22"/>
        </w:rPr>
        <w:t>, por lo tanto, en el presente informe se analizará la información suministrada en la vigencia de 2019.</w:t>
      </w:r>
    </w:p>
    <w:p w:rsidR="00746951" w:rsidRDefault="00746951" w:rsidP="00CD63E3">
      <w:pPr>
        <w:jc w:val="both"/>
        <w:rPr>
          <w:rFonts w:ascii="Arial" w:hAnsi="Arial" w:cs="Arial"/>
          <w:sz w:val="22"/>
          <w:szCs w:val="22"/>
        </w:rPr>
      </w:pPr>
    </w:p>
    <w:p w:rsidR="00746951" w:rsidRDefault="00746951" w:rsidP="00CD63E3">
      <w:pPr>
        <w:rPr>
          <w:rFonts w:ascii="Arial" w:hAnsi="Arial" w:cs="Arial"/>
          <w:sz w:val="22"/>
          <w:szCs w:val="22"/>
          <w:lang w:val="es-CO"/>
        </w:rPr>
      </w:pPr>
    </w:p>
    <w:p w:rsidR="00A65459" w:rsidRDefault="00A65459" w:rsidP="00CD63E3">
      <w:pPr>
        <w:rPr>
          <w:rFonts w:ascii="Arial" w:hAnsi="Arial" w:cs="Arial"/>
          <w:b/>
          <w:sz w:val="22"/>
          <w:szCs w:val="22"/>
          <w:lang w:val="es-CO"/>
        </w:rPr>
      </w:pPr>
      <w:r>
        <w:rPr>
          <w:rFonts w:ascii="Arial" w:hAnsi="Arial" w:cs="Arial"/>
          <w:b/>
          <w:sz w:val="22"/>
          <w:szCs w:val="22"/>
          <w:lang w:val="es-CO"/>
        </w:rPr>
        <w:br w:type="page"/>
      </w:r>
    </w:p>
    <w:p w:rsidR="00746951" w:rsidRDefault="00746951" w:rsidP="00CD63E3">
      <w:pPr>
        <w:jc w:val="both"/>
        <w:rPr>
          <w:rFonts w:ascii="Arial" w:hAnsi="Arial" w:cs="Arial"/>
          <w:b/>
          <w:sz w:val="22"/>
          <w:szCs w:val="22"/>
          <w:lang w:val="es-CO"/>
        </w:rPr>
      </w:pPr>
      <w:r>
        <w:rPr>
          <w:rFonts w:ascii="Arial" w:hAnsi="Arial" w:cs="Arial"/>
          <w:b/>
          <w:sz w:val="22"/>
          <w:szCs w:val="22"/>
          <w:lang w:val="es-CO"/>
        </w:rPr>
        <w:lastRenderedPageBreak/>
        <w:t>Caracterización Sectorial</w:t>
      </w:r>
    </w:p>
    <w:p w:rsidR="00746951" w:rsidRDefault="00746951" w:rsidP="00CD63E3">
      <w:pPr>
        <w:rPr>
          <w:rFonts w:ascii="Arial" w:hAnsi="Arial" w:cs="Arial"/>
          <w:sz w:val="22"/>
          <w:szCs w:val="22"/>
          <w:lang w:val="es-CO"/>
        </w:rPr>
      </w:pPr>
    </w:p>
    <w:p w:rsidR="00746951" w:rsidRDefault="00746951" w:rsidP="00CD63E3">
      <w:pPr>
        <w:rPr>
          <w:rFonts w:ascii="Arial" w:hAnsi="Arial" w:cs="Arial"/>
          <w:sz w:val="22"/>
          <w:szCs w:val="22"/>
          <w:lang w:val="es-CO"/>
        </w:rPr>
      </w:pPr>
    </w:p>
    <w:p w:rsidR="00746951" w:rsidRDefault="00746951" w:rsidP="00CD63E3">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extent cx="5457825" cy="6524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t="11157" b="11337"/>
                    <a:stretch>
                      <a:fillRect/>
                    </a:stretch>
                  </pic:blipFill>
                  <pic:spPr bwMode="auto">
                    <a:xfrm>
                      <a:off x="0" y="0"/>
                      <a:ext cx="5457825" cy="6524625"/>
                    </a:xfrm>
                    <a:prstGeom prst="rect">
                      <a:avLst/>
                    </a:prstGeom>
                    <a:noFill/>
                    <a:ln>
                      <a:noFill/>
                    </a:ln>
                  </pic:spPr>
                </pic:pic>
              </a:graphicData>
            </a:graphic>
          </wp:inline>
        </w:drawing>
      </w:r>
    </w:p>
    <w:p w:rsidR="00746951" w:rsidRDefault="00746951" w:rsidP="00CD63E3">
      <w:pPr>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lastRenderedPageBreak/>
        <w:t>Es de resaltar que, para el año 2020, en materia de recursos humanos, la planta del sector educación consta de 771 cargos viabilizados por el Ministerio de Educación Nacional</w:t>
      </w:r>
      <w:r>
        <w:rPr>
          <w:rStyle w:val="Refdenotaalpie"/>
          <w:rFonts w:ascii="Arial" w:hAnsi="Arial" w:cs="Arial"/>
          <w:sz w:val="22"/>
          <w:szCs w:val="22"/>
          <w:lang w:val="es-CO"/>
        </w:rPr>
        <w:footnoteReference w:id="1"/>
      </w:r>
      <w:r>
        <w:rPr>
          <w:rFonts w:ascii="Arial" w:hAnsi="Arial" w:cs="Arial"/>
          <w:sz w:val="22"/>
          <w:szCs w:val="22"/>
          <w:lang w:val="es-CO"/>
        </w:rPr>
        <w:t>, distribuidos en 636 docentes (se incluyen docentes orientadores, docentes de apoyo y docentes de jornada única), 45 directivos docentes y 90 administrativos. La matrícula mínima para atender por la Entidad asciende a 17.138 estudiantes, determinando una relación técnica de 26,95 estudiantes por docente.</w:t>
      </w:r>
    </w:p>
    <w:p w:rsidR="00746951" w:rsidRDefault="00746951" w:rsidP="00CD63E3">
      <w:pPr>
        <w:jc w:val="both"/>
        <w:rPr>
          <w:rFonts w:ascii="Arial" w:hAnsi="Arial" w:cs="Arial"/>
          <w:sz w:val="22"/>
          <w:szCs w:val="22"/>
          <w:lang w:val="es-CO"/>
        </w:rPr>
      </w:pPr>
    </w:p>
    <w:p w:rsidR="00746951" w:rsidRDefault="00746951" w:rsidP="00CD63E3">
      <w:pPr>
        <w:jc w:val="both"/>
        <w:rPr>
          <w:rFonts w:ascii="Arial" w:hAnsi="Arial" w:cs="Arial"/>
          <w:b/>
          <w:sz w:val="22"/>
          <w:szCs w:val="22"/>
          <w:lang w:val="es-CO"/>
        </w:rPr>
      </w:pPr>
      <w:r>
        <w:rPr>
          <w:rFonts w:ascii="Arial" w:hAnsi="Arial" w:cs="Arial"/>
          <w:b/>
          <w:sz w:val="22"/>
          <w:szCs w:val="22"/>
          <w:lang w:val="es-CO"/>
        </w:rPr>
        <w:t>Análisis Financiero</w:t>
      </w:r>
    </w:p>
    <w:p w:rsidR="00746951" w:rsidRDefault="00746951" w:rsidP="00CD63E3">
      <w:pPr>
        <w:rPr>
          <w:rFonts w:ascii="Arial" w:hAnsi="Arial" w:cs="Arial"/>
          <w:b/>
          <w:sz w:val="22"/>
          <w:szCs w:val="22"/>
          <w:lang w:val="es-CO"/>
        </w:rPr>
      </w:pPr>
    </w:p>
    <w:p w:rsidR="00746951" w:rsidRDefault="00746951" w:rsidP="00CD63E3">
      <w:pPr>
        <w:jc w:val="both"/>
        <w:rPr>
          <w:rFonts w:ascii="Arial" w:hAnsi="Arial" w:cs="Arial"/>
          <w:b/>
          <w:bCs/>
          <w:sz w:val="22"/>
          <w:szCs w:val="22"/>
          <w:lang w:val="es-CO"/>
        </w:rPr>
      </w:pPr>
      <w:r>
        <w:rPr>
          <w:rFonts w:ascii="Arial" w:hAnsi="Arial" w:cs="Arial"/>
          <w:b/>
          <w:bCs/>
          <w:sz w:val="22"/>
          <w:szCs w:val="22"/>
          <w:lang w:val="es-CO"/>
        </w:rPr>
        <w:t xml:space="preserve">Ingresos </w:t>
      </w:r>
    </w:p>
    <w:p w:rsidR="00746951" w:rsidRDefault="00746951" w:rsidP="00CD63E3">
      <w:pPr>
        <w:rPr>
          <w:rFonts w:ascii="Arial" w:hAnsi="Arial" w:cs="Arial"/>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Durante la vigencia 2019 se asign</w:t>
      </w:r>
      <w:r w:rsidR="00CD63E3">
        <w:rPr>
          <w:rFonts w:ascii="Arial" w:hAnsi="Arial" w:cs="Arial"/>
          <w:bCs/>
          <w:sz w:val="22"/>
          <w:szCs w:val="22"/>
          <w:lang w:val="es-CO"/>
        </w:rPr>
        <w:t>aron</w:t>
      </w:r>
      <w:r>
        <w:rPr>
          <w:rFonts w:ascii="Arial" w:hAnsi="Arial" w:cs="Arial"/>
          <w:bCs/>
          <w:sz w:val="22"/>
          <w:szCs w:val="22"/>
          <w:lang w:val="es-CO"/>
        </w:rPr>
        <w:t xml:space="preserve"> al municipio $46.748 millones asociados a la participación de Educación del SGP mediante los Documentos de Distribución No. 34, 36, 37 y 38, distribuidos en $44.300 millones por concepto de prestación de servicios, $1.421 millones por calidad gratuidad y $1.026 millones por calidad matrícula</w:t>
      </w:r>
      <w:r w:rsidR="00CD63E3">
        <w:rPr>
          <w:rFonts w:ascii="Arial" w:hAnsi="Arial" w:cs="Arial"/>
          <w:bCs/>
          <w:sz w:val="22"/>
          <w:szCs w:val="22"/>
          <w:lang w:val="es-CO"/>
        </w:rPr>
        <w:t xml:space="preserve"> oficial</w:t>
      </w:r>
      <w:r>
        <w:rPr>
          <w:rFonts w:ascii="Arial" w:hAnsi="Arial" w:cs="Arial"/>
          <w:bCs/>
          <w:sz w:val="22"/>
          <w:szCs w:val="22"/>
          <w:lang w:val="es-CO"/>
        </w:rPr>
        <w:t xml:space="preserve">. A continuación, del análisis comparativo entre la ejecución presupuestal y el reporte realizado al FUT de la </w:t>
      </w:r>
      <w:r w:rsidR="00CD63E3">
        <w:rPr>
          <w:rFonts w:ascii="Arial" w:hAnsi="Arial" w:cs="Arial"/>
          <w:bCs/>
          <w:sz w:val="22"/>
          <w:szCs w:val="22"/>
          <w:lang w:val="es-CO"/>
        </w:rPr>
        <w:t xml:space="preserve">misma </w:t>
      </w:r>
      <w:r>
        <w:rPr>
          <w:rFonts w:ascii="Arial" w:hAnsi="Arial" w:cs="Arial"/>
          <w:bCs/>
          <w:sz w:val="22"/>
          <w:szCs w:val="22"/>
          <w:lang w:val="es-CO"/>
        </w:rPr>
        <w:t>vigencia, se identifica lo siguiente:</w:t>
      </w:r>
    </w:p>
    <w:p w:rsidR="00746951" w:rsidRDefault="00746951" w:rsidP="00CD63E3">
      <w:pPr>
        <w:jc w:val="both"/>
        <w:rPr>
          <w:rFonts w:ascii="Arial" w:hAnsi="Arial" w:cs="Arial"/>
          <w:bCs/>
          <w:sz w:val="22"/>
          <w:szCs w:val="22"/>
          <w:lang w:val="es-CO"/>
        </w:rPr>
      </w:pPr>
    </w:p>
    <w:tbl>
      <w:tblPr>
        <w:tblW w:w="5000" w:type="pct"/>
        <w:tblCellMar>
          <w:left w:w="70" w:type="dxa"/>
          <w:right w:w="70" w:type="dxa"/>
        </w:tblCellMar>
        <w:tblLook w:val="04A0" w:firstRow="1" w:lastRow="0" w:firstColumn="1" w:lastColumn="0" w:noHBand="0" w:noVBand="1"/>
      </w:tblPr>
      <w:tblGrid>
        <w:gridCol w:w="4894"/>
        <w:gridCol w:w="1551"/>
        <w:gridCol w:w="1091"/>
        <w:gridCol w:w="1292"/>
      </w:tblGrid>
      <w:tr w:rsidR="00746951" w:rsidTr="00746951">
        <w:trPr>
          <w:trHeight w:val="264"/>
        </w:trPr>
        <w:tc>
          <w:tcPr>
            <w:tcW w:w="5000" w:type="pct"/>
            <w:gridSpan w:val="4"/>
            <w:tcBorders>
              <w:top w:val="single" w:sz="4" w:space="0" w:color="auto"/>
              <w:left w:val="single" w:sz="4" w:space="0" w:color="auto"/>
              <w:bottom w:val="single" w:sz="4" w:space="0" w:color="auto"/>
              <w:right w:val="single" w:sz="4" w:space="0" w:color="000000"/>
            </w:tcBorders>
            <w:shd w:val="clear" w:color="auto" w:fill="666699"/>
            <w:vAlign w:val="center"/>
            <w:hideMark/>
          </w:tcPr>
          <w:p w:rsidR="00746951" w:rsidRDefault="00746951" w:rsidP="00CD63E3">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TABLA 1. INGRESOS A DICIEMBRE DE 2019 SGP (MILLONES DE PESOS)</w:t>
            </w:r>
          </w:p>
        </w:tc>
      </w:tr>
      <w:tr w:rsidR="00746951" w:rsidTr="00746951">
        <w:trPr>
          <w:trHeight w:val="264"/>
        </w:trPr>
        <w:tc>
          <w:tcPr>
            <w:tcW w:w="2772" w:type="pct"/>
            <w:tcBorders>
              <w:top w:val="nil"/>
              <w:left w:val="single" w:sz="4" w:space="0" w:color="auto"/>
              <w:bottom w:val="single" w:sz="4" w:space="0" w:color="auto"/>
              <w:right w:val="single" w:sz="4" w:space="0" w:color="auto"/>
            </w:tcBorders>
            <w:shd w:val="clear" w:color="auto" w:fill="666699"/>
            <w:noWrap/>
            <w:vAlign w:val="bottom"/>
            <w:hideMark/>
          </w:tcPr>
          <w:p w:rsidR="00746951" w:rsidRDefault="00746951" w:rsidP="00CD63E3">
            <w:pP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INGRESOS TOTALES</w:t>
            </w:r>
          </w:p>
        </w:tc>
        <w:tc>
          <w:tcPr>
            <w:tcW w:w="878" w:type="pct"/>
            <w:tcBorders>
              <w:top w:val="nil"/>
              <w:left w:val="nil"/>
              <w:bottom w:val="single" w:sz="4" w:space="0" w:color="auto"/>
              <w:right w:val="single" w:sz="4" w:space="0" w:color="auto"/>
            </w:tcBorders>
            <w:shd w:val="clear" w:color="auto" w:fill="666699"/>
            <w:noWrap/>
            <w:vAlign w:val="bottom"/>
            <w:hideMark/>
          </w:tcPr>
          <w:p w:rsidR="00746951" w:rsidRDefault="00746951" w:rsidP="00CD63E3">
            <w:pP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RECAUDO 2019 </w:t>
            </w:r>
          </w:p>
        </w:tc>
        <w:tc>
          <w:tcPr>
            <w:tcW w:w="618" w:type="pct"/>
            <w:tcBorders>
              <w:top w:val="nil"/>
              <w:left w:val="nil"/>
              <w:bottom w:val="single" w:sz="4" w:space="0" w:color="auto"/>
              <w:right w:val="single" w:sz="4" w:space="0" w:color="auto"/>
            </w:tcBorders>
            <w:shd w:val="clear" w:color="auto" w:fill="666699"/>
            <w:noWrap/>
            <w:vAlign w:val="bottom"/>
            <w:hideMark/>
          </w:tcPr>
          <w:p w:rsidR="00746951" w:rsidRDefault="00746951" w:rsidP="00CD63E3">
            <w:pP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FUT 2019 </w:t>
            </w:r>
          </w:p>
        </w:tc>
        <w:tc>
          <w:tcPr>
            <w:tcW w:w="731" w:type="pct"/>
            <w:tcBorders>
              <w:top w:val="nil"/>
              <w:left w:val="nil"/>
              <w:bottom w:val="single" w:sz="4" w:space="0" w:color="auto"/>
              <w:right w:val="single" w:sz="4" w:space="0" w:color="auto"/>
            </w:tcBorders>
            <w:shd w:val="clear" w:color="auto" w:fill="666699"/>
            <w:noWrap/>
            <w:vAlign w:val="bottom"/>
            <w:hideMark/>
          </w:tcPr>
          <w:p w:rsidR="00746951" w:rsidRDefault="00746951" w:rsidP="00CD63E3">
            <w:pP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DIFERENCIA </w:t>
            </w:r>
          </w:p>
        </w:tc>
      </w:tr>
      <w:tr w:rsidR="00746951" w:rsidTr="00746951">
        <w:trPr>
          <w:trHeight w:val="264"/>
        </w:trPr>
        <w:tc>
          <w:tcPr>
            <w:tcW w:w="2772" w:type="pct"/>
            <w:tcBorders>
              <w:top w:val="nil"/>
              <w:left w:val="single" w:sz="4" w:space="0" w:color="auto"/>
              <w:bottom w:val="single" w:sz="4" w:space="0" w:color="auto"/>
              <w:right w:val="single" w:sz="4" w:space="0" w:color="auto"/>
            </w:tcBorders>
            <w:shd w:val="clear" w:color="auto" w:fill="CCCCFF"/>
            <w:noWrap/>
            <w:vAlign w:val="bottom"/>
            <w:hideMark/>
          </w:tcPr>
          <w:p w:rsidR="00746951" w:rsidRDefault="00746951" w:rsidP="00CD63E3">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Ingresos Corrientes</w:t>
            </w:r>
          </w:p>
        </w:tc>
        <w:tc>
          <w:tcPr>
            <w:tcW w:w="878" w:type="pct"/>
            <w:tcBorders>
              <w:top w:val="nil"/>
              <w:left w:val="nil"/>
              <w:bottom w:val="single" w:sz="4" w:space="0" w:color="auto"/>
              <w:right w:val="single" w:sz="4" w:space="0" w:color="auto"/>
            </w:tcBorders>
            <w:shd w:val="clear" w:color="auto" w:fill="CCCCFF"/>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$ 46.747,82</w:t>
            </w:r>
          </w:p>
        </w:tc>
        <w:tc>
          <w:tcPr>
            <w:tcW w:w="618" w:type="pct"/>
            <w:tcBorders>
              <w:top w:val="nil"/>
              <w:left w:val="nil"/>
              <w:bottom w:val="single" w:sz="4" w:space="0" w:color="auto"/>
              <w:right w:val="single" w:sz="4" w:space="0" w:color="auto"/>
            </w:tcBorders>
            <w:shd w:val="clear" w:color="auto" w:fill="CCCCFF"/>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$ 46.747,82</w:t>
            </w:r>
          </w:p>
        </w:tc>
        <w:tc>
          <w:tcPr>
            <w:tcW w:w="731" w:type="pct"/>
            <w:tcBorders>
              <w:top w:val="nil"/>
              <w:left w:val="nil"/>
              <w:bottom w:val="single" w:sz="4" w:space="0" w:color="auto"/>
              <w:right w:val="single" w:sz="4" w:space="0" w:color="auto"/>
            </w:tcBorders>
            <w:shd w:val="clear" w:color="auto" w:fill="CCCCFF"/>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Sistema General de Participaciones -Educación</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$ 46.747,82</w:t>
            </w:r>
          </w:p>
        </w:tc>
        <w:tc>
          <w:tcPr>
            <w:tcW w:w="61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$ 46.747,82</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Prestación de servicios</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$ 44.300,14</w:t>
            </w:r>
          </w:p>
        </w:tc>
        <w:tc>
          <w:tcPr>
            <w:tcW w:w="61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$ 44.300,14</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Con Situación de Fondos </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$ 0,00 </w:t>
            </w:r>
            <w:r>
              <w:rPr>
                <w:rFonts w:ascii="Arial" w:eastAsia="Times New Roman" w:hAnsi="Arial" w:cs="Arial"/>
                <w:color w:val="FF0000"/>
                <w:sz w:val="14"/>
                <w:szCs w:val="14"/>
                <w:lang w:val="es-CO" w:eastAsia="es-CO"/>
              </w:rPr>
              <w:t>(1)</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$ 37.827,97</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-$ 37.827,97</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Sin Situación de Fondos</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$ 0,00 </w:t>
            </w:r>
            <w:r>
              <w:rPr>
                <w:rFonts w:ascii="Arial" w:eastAsia="Times New Roman" w:hAnsi="Arial" w:cs="Arial"/>
                <w:color w:val="FF0000"/>
                <w:sz w:val="14"/>
                <w:szCs w:val="14"/>
                <w:lang w:val="es-CO" w:eastAsia="es-CO"/>
              </w:rPr>
              <w:t>(1)</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$ 6.472,17</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-$ 6.472,17 </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Calidad</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$ 2.447,68</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$ 2.447,68</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Calidad Ordinaria</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$ 1.026,39</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$ 2.447,68</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-$ 1.421,29</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Gratuidad</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$ 1.421,29 </w:t>
            </w:r>
            <w:r>
              <w:rPr>
                <w:rFonts w:ascii="Arial" w:eastAsia="Times New Roman" w:hAnsi="Arial" w:cs="Arial"/>
                <w:color w:val="FF0000"/>
                <w:sz w:val="14"/>
                <w:szCs w:val="14"/>
                <w:lang w:val="es-CO" w:eastAsia="es-CO"/>
              </w:rPr>
              <w:t>(2)</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$ 0,00</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$ 1.421,29</w:t>
            </w:r>
          </w:p>
        </w:tc>
      </w:tr>
      <w:tr w:rsidR="00746951" w:rsidTr="00746951">
        <w:trPr>
          <w:trHeight w:val="264"/>
        </w:trPr>
        <w:tc>
          <w:tcPr>
            <w:tcW w:w="2772" w:type="pct"/>
            <w:tcBorders>
              <w:top w:val="nil"/>
              <w:left w:val="single" w:sz="4" w:space="0" w:color="auto"/>
              <w:bottom w:val="single" w:sz="4" w:space="0" w:color="auto"/>
              <w:right w:val="single" w:sz="4" w:space="0" w:color="auto"/>
            </w:tcBorders>
            <w:shd w:val="clear" w:color="auto" w:fill="CCCCFF"/>
            <w:noWrap/>
            <w:vAlign w:val="bottom"/>
            <w:hideMark/>
          </w:tcPr>
          <w:p w:rsidR="00746951" w:rsidRDefault="00746951" w:rsidP="00CD63E3">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Ingresos de Capital</w:t>
            </w:r>
          </w:p>
        </w:tc>
        <w:tc>
          <w:tcPr>
            <w:tcW w:w="878" w:type="pct"/>
            <w:tcBorders>
              <w:top w:val="nil"/>
              <w:left w:val="nil"/>
              <w:bottom w:val="single" w:sz="4" w:space="0" w:color="auto"/>
              <w:right w:val="single" w:sz="4" w:space="0" w:color="auto"/>
            </w:tcBorders>
            <w:shd w:val="clear" w:color="auto" w:fill="CCCCFF"/>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$ 1.285,47</w:t>
            </w:r>
          </w:p>
        </w:tc>
        <w:tc>
          <w:tcPr>
            <w:tcW w:w="618" w:type="pct"/>
            <w:tcBorders>
              <w:top w:val="nil"/>
              <w:left w:val="nil"/>
              <w:bottom w:val="single" w:sz="4" w:space="0" w:color="auto"/>
              <w:right w:val="single" w:sz="4" w:space="0" w:color="auto"/>
            </w:tcBorders>
            <w:shd w:val="clear" w:color="auto" w:fill="CCCCFF"/>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$ 1.285,47</w:t>
            </w:r>
          </w:p>
        </w:tc>
        <w:tc>
          <w:tcPr>
            <w:tcW w:w="731" w:type="pct"/>
            <w:tcBorders>
              <w:top w:val="nil"/>
              <w:left w:val="nil"/>
              <w:bottom w:val="single" w:sz="4" w:space="0" w:color="auto"/>
              <w:right w:val="single" w:sz="4" w:space="0" w:color="auto"/>
            </w:tcBorders>
            <w:shd w:val="clear" w:color="auto" w:fill="CCCCFF"/>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Rendimientos Financieros</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$ 30,86</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$ 30,86</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Recursos del Balance </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$ 1.254,61</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$ 1.254,61</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fiscal de la vigencia anterior</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$ 1.254,61</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$ 1.254,61</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fiscal de las vigencias anteriores no incorporadas</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$ 0,00</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$ 0,00</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sz w:val="18"/>
                <w:szCs w:val="18"/>
                <w:lang w:val="es-CO" w:eastAsia="es-CO"/>
              </w:rPr>
            </w:pPr>
            <w:r>
              <w:rPr>
                <w:rFonts w:ascii="Arial" w:eastAsia="Times New Roman" w:hAnsi="Arial" w:cs="Arial"/>
                <w:sz w:val="18"/>
                <w:szCs w:val="18"/>
                <w:lang w:val="es-CO" w:eastAsia="es-CO"/>
              </w:rPr>
              <w:t>Cancelación de reserva</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$ 0,00</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$ 0,00</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Reintegro</w:t>
            </w:r>
          </w:p>
        </w:tc>
        <w:tc>
          <w:tcPr>
            <w:tcW w:w="878"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c>
          <w:tcPr>
            <w:tcW w:w="618" w:type="pct"/>
            <w:tcBorders>
              <w:top w:val="nil"/>
              <w:left w:val="nil"/>
              <w:bottom w:val="single" w:sz="4" w:space="0" w:color="auto"/>
              <w:right w:val="single" w:sz="4" w:space="0" w:color="auto"/>
            </w:tcBorders>
            <w:noWrap/>
            <w:vAlign w:val="center"/>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c>
          <w:tcPr>
            <w:tcW w:w="731" w:type="pct"/>
            <w:tcBorders>
              <w:top w:val="nil"/>
              <w:left w:val="nil"/>
              <w:bottom w:val="single" w:sz="4" w:space="0" w:color="auto"/>
              <w:right w:val="single" w:sz="4" w:space="0" w:color="auto"/>
            </w:tcBorders>
            <w:noWrap/>
            <w:vAlign w:val="bottom"/>
            <w:hideMark/>
          </w:tcPr>
          <w:p w:rsidR="00746951" w:rsidRDefault="00746951" w:rsidP="00CD63E3">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$ 0,00</w:t>
            </w:r>
          </w:p>
        </w:tc>
      </w:tr>
      <w:tr w:rsidR="00746951" w:rsidTr="00746951">
        <w:trPr>
          <w:trHeight w:val="264"/>
        </w:trPr>
        <w:tc>
          <w:tcPr>
            <w:tcW w:w="2772" w:type="pct"/>
            <w:tcBorders>
              <w:top w:val="nil"/>
              <w:left w:val="single" w:sz="4" w:space="0" w:color="auto"/>
              <w:bottom w:val="single" w:sz="4" w:space="0" w:color="auto"/>
              <w:right w:val="single" w:sz="4" w:space="0" w:color="auto"/>
            </w:tcBorders>
            <w:shd w:val="clear" w:color="auto" w:fill="666699"/>
            <w:noWrap/>
            <w:vAlign w:val="bottom"/>
            <w:hideMark/>
          </w:tcPr>
          <w:p w:rsidR="00746951" w:rsidRDefault="00746951" w:rsidP="00CD63E3">
            <w:pP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INGRESOS TOTALES</w:t>
            </w:r>
          </w:p>
        </w:tc>
        <w:tc>
          <w:tcPr>
            <w:tcW w:w="878" w:type="pct"/>
            <w:tcBorders>
              <w:top w:val="nil"/>
              <w:left w:val="nil"/>
              <w:bottom w:val="single" w:sz="4" w:space="0" w:color="auto"/>
              <w:right w:val="single" w:sz="4" w:space="0" w:color="auto"/>
            </w:tcBorders>
            <w:shd w:val="clear" w:color="auto" w:fill="666699"/>
            <w:noWrap/>
            <w:vAlign w:val="bottom"/>
            <w:hideMark/>
          </w:tcPr>
          <w:p w:rsidR="00746951" w:rsidRDefault="00746951" w:rsidP="00CD63E3">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$ 48.033,29</w:t>
            </w:r>
          </w:p>
        </w:tc>
        <w:tc>
          <w:tcPr>
            <w:tcW w:w="618" w:type="pct"/>
            <w:tcBorders>
              <w:top w:val="nil"/>
              <w:left w:val="nil"/>
              <w:bottom w:val="single" w:sz="4" w:space="0" w:color="auto"/>
              <w:right w:val="single" w:sz="4" w:space="0" w:color="auto"/>
            </w:tcBorders>
            <w:shd w:val="clear" w:color="auto" w:fill="666699"/>
            <w:noWrap/>
            <w:vAlign w:val="bottom"/>
            <w:hideMark/>
          </w:tcPr>
          <w:p w:rsidR="00746951" w:rsidRDefault="00746951" w:rsidP="00CD63E3">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$ 48.033,29</w:t>
            </w:r>
          </w:p>
        </w:tc>
        <w:tc>
          <w:tcPr>
            <w:tcW w:w="731" w:type="pct"/>
            <w:tcBorders>
              <w:top w:val="nil"/>
              <w:left w:val="nil"/>
              <w:bottom w:val="single" w:sz="4" w:space="0" w:color="auto"/>
              <w:right w:val="single" w:sz="4" w:space="0" w:color="auto"/>
            </w:tcBorders>
            <w:shd w:val="clear" w:color="auto" w:fill="666699"/>
            <w:noWrap/>
            <w:vAlign w:val="bottom"/>
            <w:hideMark/>
          </w:tcPr>
          <w:p w:rsidR="00746951" w:rsidRDefault="00746951" w:rsidP="00CD63E3">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-$ 0,00</w:t>
            </w:r>
          </w:p>
        </w:tc>
      </w:tr>
    </w:tbl>
    <w:p w:rsidR="00746951" w:rsidRDefault="00746951" w:rsidP="00CD63E3">
      <w:pPr>
        <w:autoSpaceDE w:val="0"/>
        <w:autoSpaceDN w:val="0"/>
        <w:adjustRightInd w:val="0"/>
        <w:jc w:val="center"/>
        <w:rPr>
          <w:rStyle w:val="nfasissutil"/>
        </w:rPr>
      </w:pPr>
      <w:r>
        <w:rPr>
          <w:rStyle w:val="nfasissutil"/>
          <w:lang w:val="es-CO"/>
        </w:rPr>
        <w:t>Fuente: Cálculos DAF con base en Ejecución Presupuestal y reporte FUT al 31 de diciembre de 2019.</w:t>
      </w:r>
    </w:p>
    <w:p w:rsidR="00746951" w:rsidRDefault="00746951" w:rsidP="00CD63E3">
      <w:pPr>
        <w:tabs>
          <w:tab w:val="left" w:pos="4253"/>
        </w:tabs>
        <w:autoSpaceDE w:val="0"/>
        <w:autoSpaceDN w:val="0"/>
        <w:adjustRightInd w:val="0"/>
        <w:rPr>
          <w:rFonts w:cs="Arial"/>
          <w:sz w:val="22"/>
          <w:szCs w:val="22"/>
          <w:highlight w:val="yellow"/>
        </w:rPr>
      </w:pPr>
    </w:p>
    <w:p w:rsidR="00746951" w:rsidRDefault="00746951" w:rsidP="00CD63E3">
      <w:pPr>
        <w:tabs>
          <w:tab w:val="left" w:pos="4253"/>
        </w:tabs>
        <w:autoSpaceDE w:val="0"/>
        <w:autoSpaceDN w:val="0"/>
        <w:adjustRightInd w:val="0"/>
        <w:jc w:val="both"/>
        <w:rPr>
          <w:rFonts w:ascii="Arial" w:hAnsi="Arial" w:cs="Arial"/>
          <w:sz w:val="22"/>
          <w:szCs w:val="22"/>
          <w:lang w:val="es-CO"/>
        </w:rPr>
      </w:pPr>
      <w:r>
        <w:rPr>
          <w:rFonts w:ascii="Arial" w:hAnsi="Arial" w:cs="Arial"/>
          <w:sz w:val="22"/>
          <w:szCs w:val="22"/>
          <w:lang w:val="es-CO"/>
        </w:rPr>
        <w:t>(1). La ejecución presupuestal analizada no presenta la discriminación de recursos con y sin situación de fondos, lo cual, no permite la verificación del proceso presupuestal implementado en la administración del recurso SGP Educación.</w:t>
      </w:r>
    </w:p>
    <w:p w:rsidR="00746951" w:rsidRDefault="00746951" w:rsidP="00CD63E3">
      <w:pPr>
        <w:tabs>
          <w:tab w:val="left" w:pos="4253"/>
        </w:tabs>
        <w:autoSpaceDE w:val="0"/>
        <w:autoSpaceDN w:val="0"/>
        <w:adjustRightInd w:val="0"/>
        <w:jc w:val="both"/>
        <w:rPr>
          <w:rFonts w:ascii="Arial" w:hAnsi="Arial" w:cs="Arial"/>
          <w:sz w:val="22"/>
          <w:szCs w:val="22"/>
          <w:lang w:val="es-CO"/>
        </w:rPr>
      </w:pPr>
    </w:p>
    <w:p w:rsidR="00746951" w:rsidRDefault="00746951" w:rsidP="00CD63E3">
      <w:pPr>
        <w:tabs>
          <w:tab w:val="left" w:pos="4253"/>
        </w:tabs>
        <w:autoSpaceDE w:val="0"/>
        <w:autoSpaceDN w:val="0"/>
        <w:adjustRightInd w:val="0"/>
        <w:jc w:val="both"/>
        <w:rPr>
          <w:rFonts w:ascii="Arial" w:hAnsi="Arial" w:cs="Arial"/>
          <w:sz w:val="22"/>
          <w:szCs w:val="22"/>
          <w:lang w:val="es-CO"/>
        </w:rPr>
      </w:pPr>
      <w:r>
        <w:rPr>
          <w:rFonts w:ascii="Arial" w:hAnsi="Arial" w:cs="Arial"/>
          <w:sz w:val="22"/>
          <w:szCs w:val="22"/>
          <w:lang w:val="es-CO"/>
        </w:rPr>
        <w:lastRenderedPageBreak/>
        <w:t xml:space="preserve">(2). Se identifican inconsistencias en el reporte de información </w:t>
      </w:r>
      <w:r w:rsidR="00CD63E3">
        <w:rPr>
          <w:rFonts w:ascii="Arial" w:hAnsi="Arial" w:cs="Arial"/>
          <w:sz w:val="22"/>
          <w:szCs w:val="22"/>
          <w:lang w:val="es-CO"/>
        </w:rPr>
        <w:t xml:space="preserve">al </w:t>
      </w:r>
      <w:r>
        <w:rPr>
          <w:rFonts w:ascii="Arial" w:hAnsi="Arial" w:cs="Arial"/>
          <w:sz w:val="22"/>
          <w:szCs w:val="22"/>
          <w:lang w:val="es-CO"/>
        </w:rPr>
        <w:t xml:space="preserve">FUT para la categoría de ingresos en la vigencia 2019, toda vez que los recursos asignados por concepto de calidad gratuidad fueron reportados como recursos sin situación de fondos en el rubro de </w:t>
      </w:r>
      <w:r w:rsidR="00CD63E3">
        <w:rPr>
          <w:rFonts w:ascii="Arial" w:hAnsi="Arial" w:cs="Arial"/>
          <w:sz w:val="22"/>
          <w:szCs w:val="22"/>
          <w:lang w:val="es-CO"/>
        </w:rPr>
        <w:t xml:space="preserve">Calidad Matrícula Oficial </w:t>
      </w:r>
      <w:r>
        <w:rPr>
          <w:rFonts w:ascii="Arial" w:hAnsi="Arial" w:cs="Arial"/>
          <w:sz w:val="22"/>
          <w:szCs w:val="22"/>
          <w:lang w:val="es-CO"/>
        </w:rPr>
        <w:t xml:space="preserve">y no en el rubro correspondiente a </w:t>
      </w:r>
      <w:r w:rsidR="00CD63E3">
        <w:rPr>
          <w:rFonts w:ascii="Arial" w:hAnsi="Arial" w:cs="Arial"/>
          <w:sz w:val="22"/>
          <w:szCs w:val="22"/>
          <w:lang w:val="es-CO"/>
        </w:rPr>
        <w:t>Calidad Por Gratuidad (Sin Situación De Fondos).</w:t>
      </w:r>
    </w:p>
    <w:p w:rsidR="00746951" w:rsidRDefault="00746951" w:rsidP="00CD63E3">
      <w:pPr>
        <w:tabs>
          <w:tab w:val="left" w:pos="4253"/>
        </w:tabs>
        <w:autoSpaceDE w:val="0"/>
        <w:autoSpaceDN w:val="0"/>
        <w:adjustRightInd w:val="0"/>
        <w:jc w:val="both"/>
        <w:rPr>
          <w:rFonts w:ascii="Arial" w:hAnsi="Arial" w:cs="Arial"/>
          <w:sz w:val="22"/>
          <w:szCs w:val="22"/>
          <w:lang w:val="es-CO"/>
        </w:rPr>
      </w:pPr>
    </w:p>
    <w:p w:rsidR="00746951" w:rsidRDefault="00746951" w:rsidP="00CD63E3">
      <w:pPr>
        <w:tabs>
          <w:tab w:val="left" w:pos="4253"/>
        </w:tabs>
        <w:autoSpaceDE w:val="0"/>
        <w:autoSpaceDN w:val="0"/>
        <w:adjustRightInd w:val="0"/>
        <w:jc w:val="both"/>
        <w:rPr>
          <w:rFonts w:ascii="Arial" w:hAnsi="Arial" w:cs="Arial"/>
          <w:sz w:val="22"/>
          <w:szCs w:val="22"/>
          <w:lang w:val="es-CO"/>
        </w:rPr>
      </w:pPr>
      <w:r>
        <w:rPr>
          <w:rFonts w:ascii="Arial" w:hAnsi="Arial" w:cs="Arial"/>
          <w:sz w:val="22"/>
          <w:szCs w:val="22"/>
          <w:lang w:val="es-CO"/>
        </w:rPr>
        <w:t xml:space="preserve">Lo anterior, describe la persistencia de inconsistencias en el reporte FUT, las cuales deben ser analizadas a partir de la información allegada durante el periodo de evaluación de la medida preventiva. </w:t>
      </w:r>
    </w:p>
    <w:p w:rsidR="00746951" w:rsidRDefault="00746951" w:rsidP="00CD63E3">
      <w:pPr>
        <w:tabs>
          <w:tab w:val="left" w:pos="4253"/>
        </w:tabs>
        <w:autoSpaceDE w:val="0"/>
        <w:autoSpaceDN w:val="0"/>
        <w:adjustRightInd w:val="0"/>
        <w:rPr>
          <w:rFonts w:ascii="Arial" w:hAnsi="Arial" w:cs="Arial"/>
          <w:sz w:val="22"/>
          <w:szCs w:val="22"/>
          <w:highlight w:val="yellow"/>
          <w:lang w:val="es-CO"/>
        </w:rPr>
      </w:pPr>
    </w:p>
    <w:p w:rsidR="00746951" w:rsidRDefault="00746951" w:rsidP="00CD63E3">
      <w:pPr>
        <w:jc w:val="both"/>
        <w:rPr>
          <w:rFonts w:ascii="Arial" w:hAnsi="Arial" w:cs="Arial"/>
          <w:b/>
          <w:bCs/>
          <w:sz w:val="22"/>
          <w:szCs w:val="22"/>
          <w:lang w:val="es-CO"/>
        </w:rPr>
      </w:pPr>
      <w:r>
        <w:rPr>
          <w:rFonts w:ascii="Arial" w:hAnsi="Arial" w:cs="Arial"/>
          <w:b/>
          <w:bCs/>
          <w:sz w:val="22"/>
          <w:szCs w:val="22"/>
          <w:lang w:val="es-CO"/>
        </w:rPr>
        <w:t>Gastos</w:t>
      </w:r>
    </w:p>
    <w:p w:rsidR="00746951" w:rsidRDefault="00746951" w:rsidP="00CD63E3">
      <w:pPr>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Para la vigencia 2019, </w:t>
      </w:r>
      <w:r w:rsidR="00CD63E3">
        <w:rPr>
          <w:rFonts w:ascii="Arial" w:hAnsi="Arial" w:cs="Arial"/>
          <w:bCs/>
          <w:sz w:val="22"/>
          <w:szCs w:val="22"/>
          <w:lang w:val="es-CO"/>
        </w:rPr>
        <w:t>el Municipio</w:t>
      </w:r>
      <w:r>
        <w:rPr>
          <w:rFonts w:ascii="Arial" w:hAnsi="Arial" w:cs="Arial"/>
          <w:bCs/>
          <w:sz w:val="22"/>
          <w:szCs w:val="22"/>
          <w:lang w:val="es-CO"/>
        </w:rPr>
        <w:t xml:space="preserve"> comprometió $48.630 millones con cargo a los recursos del SGP asignados al sector, de los cuales obligó $48.582 millones y pagó $48.151 millones. Los gastos financiados con recursos del SGP incorporados en la vigencia se comprometieron así: 93% en cobertura, 2,9% en calidad, 2,9% en gratuidad, 0,8% en eficiencia y 0,4% en aplicación de proyectos transversales. Al analizar el reporte de información realizado para la vigencia 2019</w:t>
      </w:r>
      <w:r>
        <w:rPr>
          <w:rFonts w:ascii="Arial" w:hAnsi="Arial" w:cs="Arial"/>
          <w:bCs/>
          <w:color w:val="000000" w:themeColor="text1"/>
          <w:sz w:val="22"/>
          <w:szCs w:val="22"/>
          <w:lang w:val="es-CO"/>
        </w:rPr>
        <w:t>, se identifican las siguientes diferencias.</w:t>
      </w:r>
    </w:p>
    <w:p w:rsidR="00746951" w:rsidRDefault="00746951" w:rsidP="00CD63E3">
      <w:pPr>
        <w:jc w:val="both"/>
        <w:rPr>
          <w:rFonts w:ascii="Arial" w:hAnsi="Arial" w:cs="Arial"/>
          <w:bCs/>
          <w:sz w:val="22"/>
          <w:szCs w:val="22"/>
          <w:lang w:val="es-CO"/>
        </w:rPr>
      </w:pPr>
    </w:p>
    <w:tbl>
      <w:tblPr>
        <w:tblW w:w="0" w:type="auto"/>
        <w:tblCellMar>
          <w:left w:w="70" w:type="dxa"/>
          <w:right w:w="70" w:type="dxa"/>
        </w:tblCellMar>
        <w:tblLook w:val="04A0" w:firstRow="1" w:lastRow="0" w:firstColumn="1" w:lastColumn="0" w:noHBand="0" w:noVBand="1"/>
      </w:tblPr>
      <w:tblGrid>
        <w:gridCol w:w="4899"/>
        <w:gridCol w:w="1611"/>
        <w:gridCol w:w="1021"/>
        <w:gridCol w:w="1225"/>
      </w:tblGrid>
      <w:tr w:rsidR="00746951" w:rsidRPr="00CD63E3" w:rsidTr="00CD63E3">
        <w:trPr>
          <w:trHeight w:val="20"/>
          <w:tblHeader/>
        </w:trPr>
        <w:tc>
          <w:tcPr>
            <w:tcW w:w="8659" w:type="dxa"/>
            <w:gridSpan w:val="4"/>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746951" w:rsidRPr="00CD63E3" w:rsidRDefault="00746951" w:rsidP="00CD63E3">
            <w:pPr>
              <w:jc w:val="center"/>
              <w:rPr>
                <w:rFonts w:ascii="Arial" w:eastAsia="Times New Roman" w:hAnsi="Arial" w:cs="Arial"/>
                <w:b/>
                <w:bCs/>
                <w:color w:val="FFFFFF"/>
                <w:sz w:val="16"/>
                <w:szCs w:val="16"/>
                <w:lang w:val="es-CO" w:eastAsia="es-CO"/>
              </w:rPr>
            </w:pPr>
            <w:r w:rsidRPr="00CD63E3">
              <w:rPr>
                <w:rFonts w:ascii="Arial" w:eastAsia="Times New Roman" w:hAnsi="Arial" w:cs="Arial"/>
                <w:b/>
                <w:bCs/>
                <w:color w:val="FFFFFF"/>
                <w:sz w:val="16"/>
                <w:szCs w:val="16"/>
                <w:lang w:val="es-CO" w:eastAsia="es-CO"/>
              </w:rPr>
              <w:t>TABLA 2 GASTOS COMPROMETIDOS A DICIEMBRE DE 2019 SGP (MILLONES DE $)</w:t>
            </w:r>
          </w:p>
        </w:tc>
      </w:tr>
      <w:tr w:rsidR="00746951" w:rsidRPr="00CD63E3" w:rsidTr="00CD63E3">
        <w:trPr>
          <w:trHeight w:val="20"/>
          <w:tblHeader/>
        </w:trPr>
        <w:tc>
          <w:tcPr>
            <w:tcW w:w="4899" w:type="dxa"/>
            <w:tcBorders>
              <w:top w:val="nil"/>
              <w:left w:val="single" w:sz="4" w:space="0" w:color="auto"/>
              <w:bottom w:val="single" w:sz="4" w:space="0" w:color="auto"/>
              <w:right w:val="single" w:sz="4" w:space="0" w:color="auto"/>
            </w:tcBorders>
            <w:shd w:val="clear" w:color="auto" w:fill="CCCCFF"/>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RUBRO</w:t>
            </w:r>
          </w:p>
        </w:tc>
        <w:tc>
          <w:tcPr>
            <w:tcW w:w="1611"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cente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EJECUCIÓN PPTAL </w:t>
            </w:r>
          </w:p>
        </w:tc>
        <w:tc>
          <w:tcPr>
            <w:tcW w:w="1021"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cente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FUT </w:t>
            </w:r>
          </w:p>
        </w:tc>
        <w:tc>
          <w:tcPr>
            <w:tcW w:w="1128"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cente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DIFERENCIAS </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666699"/>
            <w:noWrap/>
            <w:vAlign w:val="center"/>
            <w:hideMark/>
          </w:tcPr>
          <w:p w:rsidR="00746951" w:rsidRPr="00CD63E3" w:rsidRDefault="00746951" w:rsidP="00CD63E3">
            <w:pPr>
              <w:rPr>
                <w:rFonts w:ascii="Arial" w:eastAsia="Times New Roman" w:hAnsi="Arial" w:cs="Arial"/>
                <w:b/>
                <w:bCs/>
                <w:color w:val="FFFFFF"/>
                <w:sz w:val="16"/>
                <w:szCs w:val="16"/>
                <w:lang w:val="es-CO" w:eastAsia="es-CO"/>
              </w:rPr>
            </w:pPr>
            <w:r w:rsidRPr="00CD63E3">
              <w:rPr>
                <w:rFonts w:ascii="Arial" w:eastAsia="Times New Roman" w:hAnsi="Arial" w:cs="Arial"/>
                <w:b/>
                <w:bCs/>
                <w:color w:val="FFFFFF"/>
                <w:sz w:val="16"/>
                <w:szCs w:val="16"/>
                <w:lang w:val="es-CO" w:eastAsia="es-CO"/>
              </w:rPr>
              <w:t>GASTOS  SGP -Educación</w:t>
            </w:r>
          </w:p>
        </w:tc>
        <w:tc>
          <w:tcPr>
            <w:tcW w:w="1611" w:type="dxa"/>
            <w:tcBorders>
              <w:top w:val="nil"/>
              <w:left w:val="nil"/>
              <w:bottom w:val="single" w:sz="4" w:space="0" w:color="auto"/>
              <w:right w:val="single" w:sz="4" w:space="0" w:color="auto"/>
            </w:tcBorders>
            <w:shd w:val="clear" w:color="auto" w:fill="666699"/>
            <w:noWrap/>
            <w:vAlign w:val="center"/>
            <w:hideMark/>
          </w:tcPr>
          <w:p w:rsidR="00746951" w:rsidRPr="00CD63E3" w:rsidRDefault="00746951" w:rsidP="00CD63E3">
            <w:pPr>
              <w:jc w:val="right"/>
              <w:rPr>
                <w:rFonts w:ascii="Arial" w:eastAsia="Times New Roman" w:hAnsi="Arial" w:cs="Arial"/>
                <w:b/>
                <w:bCs/>
                <w:color w:val="FFFFFF"/>
                <w:sz w:val="16"/>
                <w:szCs w:val="16"/>
                <w:lang w:val="es-CO" w:eastAsia="es-CO"/>
              </w:rPr>
            </w:pPr>
            <w:r w:rsidRPr="00CD63E3">
              <w:rPr>
                <w:rFonts w:ascii="Arial" w:eastAsia="Times New Roman" w:hAnsi="Arial" w:cs="Arial"/>
                <w:b/>
                <w:bCs/>
                <w:color w:val="FFFFFF"/>
                <w:sz w:val="16"/>
                <w:szCs w:val="16"/>
                <w:lang w:val="es-CO" w:eastAsia="es-CO"/>
              </w:rPr>
              <w:t>$ 48.630</w:t>
            </w:r>
          </w:p>
        </w:tc>
        <w:tc>
          <w:tcPr>
            <w:tcW w:w="1021" w:type="dxa"/>
            <w:tcBorders>
              <w:top w:val="nil"/>
              <w:left w:val="nil"/>
              <w:bottom w:val="single" w:sz="4" w:space="0" w:color="auto"/>
              <w:right w:val="single" w:sz="4" w:space="0" w:color="auto"/>
            </w:tcBorders>
            <w:shd w:val="clear" w:color="auto" w:fill="666699"/>
            <w:noWrap/>
            <w:vAlign w:val="center"/>
            <w:hideMark/>
          </w:tcPr>
          <w:p w:rsidR="00746951" w:rsidRPr="00CD63E3" w:rsidRDefault="00746951" w:rsidP="00CD63E3">
            <w:pPr>
              <w:jc w:val="right"/>
              <w:rPr>
                <w:rFonts w:ascii="Arial" w:eastAsia="Times New Roman" w:hAnsi="Arial" w:cs="Arial"/>
                <w:b/>
                <w:bCs/>
                <w:color w:val="FFFFFF"/>
                <w:sz w:val="16"/>
                <w:szCs w:val="16"/>
                <w:lang w:val="es-CO" w:eastAsia="es-CO"/>
              </w:rPr>
            </w:pPr>
            <w:r w:rsidRPr="00CD63E3">
              <w:rPr>
                <w:rFonts w:ascii="Arial" w:eastAsia="Times New Roman" w:hAnsi="Arial" w:cs="Arial"/>
                <w:b/>
                <w:bCs/>
                <w:color w:val="FFFFFF"/>
                <w:sz w:val="16"/>
                <w:szCs w:val="16"/>
                <w:lang w:val="es-CO" w:eastAsia="es-CO"/>
              </w:rPr>
              <w:t>$ 48.578</w:t>
            </w:r>
          </w:p>
        </w:tc>
        <w:tc>
          <w:tcPr>
            <w:tcW w:w="1128" w:type="dxa"/>
            <w:tcBorders>
              <w:top w:val="nil"/>
              <w:left w:val="nil"/>
              <w:bottom w:val="single" w:sz="4" w:space="0" w:color="auto"/>
              <w:right w:val="single" w:sz="4" w:space="0" w:color="auto"/>
            </w:tcBorders>
            <w:shd w:val="clear" w:color="auto" w:fill="666699"/>
            <w:noWrap/>
            <w:vAlign w:val="center"/>
            <w:hideMark/>
          </w:tcPr>
          <w:p w:rsidR="00746951" w:rsidRPr="00CD63E3" w:rsidRDefault="00746951" w:rsidP="00CD63E3">
            <w:pPr>
              <w:jc w:val="right"/>
              <w:rPr>
                <w:rFonts w:ascii="Arial" w:eastAsia="Times New Roman" w:hAnsi="Arial" w:cs="Arial"/>
                <w:b/>
                <w:bCs/>
                <w:color w:val="FFFFFF"/>
                <w:sz w:val="16"/>
                <w:szCs w:val="16"/>
                <w:lang w:val="es-CO" w:eastAsia="es-CO"/>
              </w:rPr>
            </w:pPr>
            <w:r w:rsidRPr="00CD63E3">
              <w:rPr>
                <w:rFonts w:ascii="Arial" w:eastAsia="Times New Roman" w:hAnsi="Arial" w:cs="Arial"/>
                <w:b/>
                <w:bCs/>
                <w:color w:val="FFFFFF"/>
                <w:sz w:val="16"/>
                <w:szCs w:val="16"/>
                <w:lang w:val="es-CO" w:eastAsia="es-CO"/>
              </w:rPr>
              <w:t>$ 52</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CCCCFF"/>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COBERTURA </w:t>
            </w:r>
          </w:p>
        </w:tc>
        <w:tc>
          <w:tcPr>
            <w:tcW w:w="1611"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$ 45.118 </w:t>
            </w:r>
            <w:r w:rsidRPr="00CD63E3">
              <w:rPr>
                <w:rFonts w:ascii="Arial" w:eastAsia="Times New Roman" w:hAnsi="Arial" w:cs="Arial"/>
                <w:b/>
                <w:bCs/>
                <w:color w:val="FF0000"/>
                <w:sz w:val="16"/>
                <w:szCs w:val="16"/>
                <w:lang w:val="es-CO" w:eastAsia="es-CO"/>
              </w:rPr>
              <w:t>(2)</w:t>
            </w:r>
          </w:p>
        </w:tc>
        <w:tc>
          <w:tcPr>
            <w:tcW w:w="1021"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$ 45.456</w:t>
            </w:r>
          </w:p>
        </w:tc>
        <w:tc>
          <w:tcPr>
            <w:tcW w:w="1128"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-$ 338</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Gastos de Personal </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$ 34.824 </w:t>
            </w:r>
            <w:r w:rsidRPr="00CD63E3">
              <w:rPr>
                <w:rFonts w:ascii="Arial" w:eastAsia="Times New Roman" w:hAnsi="Arial" w:cs="Arial"/>
                <w:b/>
                <w:bCs/>
                <w:color w:val="FF0000"/>
                <w:sz w:val="16"/>
                <w:szCs w:val="16"/>
                <w:lang w:val="es-CO" w:eastAsia="es-CO"/>
              </w:rPr>
              <w:t>(1)</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$ 33.752</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$ 1.072 </w:t>
            </w:r>
            <w:r w:rsidRPr="00CD63E3">
              <w:rPr>
                <w:rFonts w:ascii="Arial" w:eastAsia="Times New Roman" w:hAnsi="Arial" w:cs="Arial"/>
                <w:b/>
                <w:bCs/>
                <w:color w:val="FF0000"/>
                <w:sz w:val="16"/>
                <w:szCs w:val="16"/>
                <w:lang w:val="es-CO" w:eastAsia="es-CO"/>
              </w:rPr>
              <w:t>(1)</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Personal Docente </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$ 27.803 </w:t>
            </w:r>
            <w:r w:rsidRPr="00CD63E3">
              <w:rPr>
                <w:rFonts w:ascii="Arial" w:eastAsia="Times New Roman" w:hAnsi="Arial" w:cs="Arial"/>
                <w:color w:val="FF0000"/>
                <w:sz w:val="16"/>
                <w:szCs w:val="16"/>
                <w:lang w:val="es-CO" w:eastAsia="es-CO"/>
              </w:rPr>
              <w:t>(1)</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$ 27.039</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$ 764 </w:t>
            </w:r>
            <w:r w:rsidRPr="00CD63E3">
              <w:rPr>
                <w:rFonts w:ascii="Arial" w:eastAsia="Times New Roman" w:hAnsi="Arial" w:cs="Arial"/>
                <w:color w:val="FF0000"/>
                <w:sz w:val="16"/>
                <w:szCs w:val="16"/>
                <w:lang w:val="es-CO" w:eastAsia="es-CO"/>
              </w:rPr>
              <w:t>(1)</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Personal Directivo - Docente </w:t>
            </w:r>
          </w:p>
        </w:tc>
        <w:tc>
          <w:tcPr>
            <w:tcW w:w="161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$ 3.284 </w:t>
            </w:r>
            <w:r w:rsidRPr="00CD63E3">
              <w:rPr>
                <w:rFonts w:ascii="Arial" w:eastAsia="Times New Roman" w:hAnsi="Arial" w:cs="Arial"/>
                <w:color w:val="FF0000"/>
                <w:sz w:val="16"/>
                <w:szCs w:val="16"/>
                <w:lang w:val="es-CO" w:eastAsia="es-CO"/>
              </w:rPr>
              <w:t>(1)</w:t>
            </w:r>
          </w:p>
        </w:tc>
        <w:tc>
          <w:tcPr>
            <w:tcW w:w="102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$ 2.976</w:t>
            </w:r>
          </w:p>
        </w:tc>
        <w:tc>
          <w:tcPr>
            <w:tcW w:w="1128"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$ 307 </w:t>
            </w:r>
            <w:r w:rsidRPr="00CD63E3">
              <w:rPr>
                <w:rFonts w:ascii="Arial" w:eastAsia="Times New Roman" w:hAnsi="Arial" w:cs="Arial"/>
                <w:color w:val="FF0000"/>
                <w:sz w:val="16"/>
                <w:szCs w:val="16"/>
                <w:lang w:val="es-CO" w:eastAsia="es-CO"/>
              </w:rPr>
              <w:t>(1)</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Personal Administrativo de Instituciones Educativas</w:t>
            </w:r>
          </w:p>
        </w:tc>
        <w:tc>
          <w:tcPr>
            <w:tcW w:w="161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$ 3.107</w:t>
            </w:r>
          </w:p>
        </w:tc>
        <w:tc>
          <w:tcPr>
            <w:tcW w:w="102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$ 3.107</w:t>
            </w:r>
          </w:p>
        </w:tc>
        <w:tc>
          <w:tcPr>
            <w:tcW w:w="1128"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Personal Administrativo Secretaría de Educación</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$ 629</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$ 629</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jc w:val="both"/>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Viáticos y Gastos de Viaje</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Aportes Patronales </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$ 9.057 </w:t>
            </w:r>
            <w:r w:rsidRPr="00CD63E3">
              <w:rPr>
                <w:rFonts w:ascii="Arial" w:eastAsia="Times New Roman" w:hAnsi="Arial" w:cs="Arial"/>
                <w:b/>
                <w:bCs/>
                <w:color w:val="FF0000"/>
                <w:sz w:val="16"/>
                <w:szCs w:val="16"/>
                <w:lang w:val="es-CO" w:eastAsia="es-CO"/>
              </w:rPr>
              <w:t>(1)</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$ 10.128</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-$ 1.072 </w:t>
            </w:r>
            <w:r w:rsidRPr="00CD63E3">
              <w:rPr>
                <w:rFonts w:ascii="Arial" w:eastAsia="Times New Roman" w:hAnsi="Arial" w:cs="Arial"/>
                <w:b/>
                <w:bCs/>
                <w:color w:val="FF0000"/>
                <w:sz w:val="16"/>
                <w:szCs w:val="16"/>
                <w:lang w:val="es-CO" w:eastAsia="es-CO"/>
              </w:rPr>
              <w:t>(1)</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Sin Situación de Fondos (Docentes y Directivos Docentes) </w:t>
            </w:r>
          </w:p>
        </w:tc>
        <w:tc>
          <w:tcPr>
            <w:tcW w:w="161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$ 5.400 </w:t>
            </w:r>
            <w:r w:rsidRPr="00CD63E3">
              <w:rPr>
                <w:rFonts w:ascii="Arial" w:eastAsia="Times New Roman" w:hAnsi="Arial" w:cs="Arial"/>
                <w:color w:val="FF0000"/>
                <w:sz w:val="16"/>
                <w:szCs w:val="16"/>
                <w:lang w:val="es-CO" w:eastAsia="es-CO"/>
              </w:rPr>
              <w:t>(1)</w:t>
            </w:r>
          </w:p>
        </w:tc>
        <w:tc>
          <w:tcPr>
            <w:tcW w:w="102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$ 6.472</w:t>
            </w:r>
          </w:p>
        </w:tc>
        <w:tc>
          <w:tcPr>
            <w:tcW w:w="1128"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-$ 1.072 </w:t>
            </w:r>
            <w:r w:rsidRPr="00CD63E3">
              <w:rPr>
                <w:rFonts w:ascii="Arial" w:eastAsia="Times New Roman" w:hAnsi="Arial" w:cs="Arial"/>
                <w:color w:val="FF0000"/>
                <w:sz w:val="16"/>
                <w:szCs w:val="16"/>
                <w:lang w:val="es-CO" w:eastAsia="es-CO"/>
              </w:rPr>
              <w:t>(1)</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Con situación de Fondos (Docentes y Directivos Docentes)</w:t>
            </w:r>
          </w:p>
        </w:tc>
        <w:tc>
          <w:tcPr>
            <w:tcW w:w="161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$ 2.363</w:t>
            </w:r>
          </w:p>
        </w:tc>
        <w:tc>
          <w:tcPr>
            <w:tcW w:w="102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$ 2.363</w:t>
            </w:r>
          </w:p>
        </w:tc>
        <w:tc>
          <w:tcPr>
            <w:tcW w:w="1128"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Personal Administrativo de Instituciones Educativas (A.P)</w:t>
            </w:r>
          </w:p>
        </w:tc>
        <w:tc>
          <w:tcPr>
            <w:tcW w:w="161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$ 1.086</w:t>
            </w:r>
          </w:p>
        </w:tc>
        <w:tc>
          <w:tcPr>
            <w:tcW w:w="102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$ 1.086</w:t>
            </w:r>
          </w:p>
        </w:tc>
        <w:tc>
          <w:tcPr>
            <w:tcW w:w="1128"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jc w:val="both"/>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Personal Administrativo Secretaría de Educación (A.P)</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$ 207</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$ 207</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Gastos Generales</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Sentencias y Conciliaciones</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Contratos para la Prestación del Servicio Educativo </w:t>
            </w:r>
          </w:p>
        </w:tc>
        <w:tc>
          <w:tcPr>
            <w:tcW w:w="161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$ 1.238 </w:t>
            </w:r>
            <w:r w:rsidRPr="00CD63E3">
              <w:rPr>
                <w:rFonts w:ascii="Arial" w:eastAsia="Times New Roman" w:hAnsi="Arial" w:cs="Arial"/>
                <w:b/>
                <w:bCs/>
                <w:color w:val="FF0000"/>
                <w:sz w:val="16"/>
                <w:szCs w:val="16"/>
                <w:lang w:val="es-CO" w:eastAsia="es-CO"/>
              </w:rPr>
              <w:t>(2)</w:t>
            </w:r>
          </w:p>
        </w:tc>
        <w:tc>
          <w:tcPr>
            <w:tcW w:w="102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$ 1.576</w:t>
            </w:r>
          </w:p>
        </w:tc>
        <w:tc>
          <w:tcPr>
            <w:tcW w:w="1128"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-$ 338</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Contratos Aseo y Vigilancia</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CCCCFF"/>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CALIDAD </w:t>
            </w:r>
          </w:p>
        </w:tc>
        <w:tc>
          <w:tcPr>
            <w:tcW w:w="1611"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$ 1.417 </w:t>
            </w:r>
            <w:r w:rsidRPr="00CD63E3">
              <w:rPr>
                <w:rFonts w:ascii="Arial" w:eastAsia="Times New Roman" w:hAnsi="Arial" w:cs="Arial"/>
                <w:b/>
                <w:bCs/>
                <w:color w:val="FF0000"/>
                <w:sz w:val="16"/>
                <w:szCs w:val="16"/>
                <w:lang w:val="es-CO" w:eastAsia="es-CO"/>
              </w:rPr>
              <w:t>(3)</w:t>
            </w:r>
          </w:p>
        </w:tc>
        <w:tc>
          <w:tcPr>
            <w:tcW w:w="1021"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$ 1.260</w:t>
            </w:r>
          </w:p>
        </w:tc>
        <w:tc>
          <w:tcPr>
            <w:tcW w:w="1128" w:type="dxa"/>
            <w:tcBorders>
              <w:top w:val="nil"/>
              <w:left w:val="nil"/>
              <w:bottom w:val="single" w:sz="4" w:space="0" w:color="auto"/>
              <w:right w:val="single" w:sz="4" w:space="0" w:color="auto"/>
            </w:tcBorders>
            <w:shd w:val="clear" w:color="auto" w:fill="CCCCFF"/>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$ 157</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Pre inversión, Estudios, Diseños, Consultorías, Asesorías e Interventorías </w:t>
            </w:r>
          </w:p>
        </w:tc>
        <w:tc>
          <w:tcPr>
            <w:tcW w:w="161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02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Construcción Ampliación y Adecuación de Infraestructura Educativa</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Mantenimiento de Infraestructura Educativa</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Pago Servicios Públicos de las Instituciones Educativas</w:t>
            </w:r>
          </w:p>
        </w:tc>
        <w:tc>
          <w:tcPr>
            <w:tcW w:w="161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$ 482</w:t>
            </w:r>
          </w:p>
        </w:tc>
        <w:tc>
          <w:tcPr>
            <w:tcW w:w="1021"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$ 482</w:t>
            </w:r>
          </w:p>
        </w:tc>
        <w:tc>
          <w:tcPr>
            <w:tcW w:w="1128" w:type="dxa"/>
            <w:tcBorders>
              <w:top w:val="nil"/>
              <w:left w:val="nil"/>
              <w:bottom w:val="single" w:sz="4" w:space="0" w:color="auto"/>
              <w:right w:val="single" w:sz="4" w:space="0" w:color="auto"/>
            </w:tcBorders>
            <w:noWrap/>
            <w:vAlign w:val="bottom"/>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Transporte Escolar</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$ 366</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$ 366 </w:t>
            </w:r>
            <w:r w:rsidRPr="00CD63E3">
              <w:rPr>
                <w:rFonts w:ascii="Arial" w:eastAsia="Times New Roman" w:hAnsi="Arial" w:cs="Arial"/>
                <w:color w:val="FF0000"/>
                <w:sz w:val="16"/>
                <w:szCs w:val="16"/>
                <w:lang w:val="es-CO" w:eastAsia="es-CO"/>
              </w:rPr>
              <w:t>(4)</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Capacitación a Docentes y Directivos Docentes </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$ 104 </w:t>
            </w:r>
            <w:r w:rsidRPr="00CD63E3">
              <w:rPr>
                <w:rFonts w:ascii="Arial" w:eastAsia="Times New Roman" w:hAnsi="Arial" w:cs="Arial"/>
                <w:color w:val="FF0000"/>
                <w:sz w:val="16"/>
                <w:szCs w:val="16"/>
                <w:lang w:val="es-CO" w:eastAsia="es-CO"/>
              </w:rPr>
              <w:t>(2)</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$ 104</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Funcionamiento Básico de los Establecimientos Educativos</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Alimentación Escolar </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xml:space="preserve">$ 464 </w:t>
            </w:r>
            <w:r w:rsidRPr="00CD63E3">
              <w:rPr>
                <w:rFonts w:ascii="Arial" w:eastAsia="Times New Roman" w:hAnsi="Arial" w:cs="Arial"/>
                <w:color w:val="FF0000"/>
                <w:sz w:val="16"/>
                <w:szCs w:val="16"/>
                <w:lang w:val="es-CO" w:eastAsia="es-CO"/>
              </w:rPr>
              <w:t>(3)</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$ 412</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$ 52</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FFFFFF"/>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Diseño e implementación de Planes de Mejoramiento</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Dotación Institucional de Infraestructura Educativa</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noWrap/>
            <w:vAlign w:val="center"/>
            <w:hideMark/>
          </w:tcPr>
          <w:p w:rsidR="00746951" w:rsidRPr="00CD63E3" w:rsidRDefault="00746951" w:rsidP="00CD63E3">
            <w:pPr>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Dotación Institucional de Material y Medio pedagógicos para el Aprendizaje</w:t>
            </w:r>
          </w:p>
        </w:tc>
        <w:tc>
          <w:tcPr>
            <w:tcW w:w="161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021"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c>
          <w:tcPr>
            <w:tcW w:w="1128" w:type="dxa"/>
            <w:tcBorders>
              <w:top w:val="nil"/>
              <w:left w:val="nil"/>
              <w:bottom w:val="single" w:sz="4" w:space="0" w:color="auto"/>
              <w:right w:val="single" w:sz="4" w:space="0" w:color="auto"/>
            </w:tcBorders>
            <w:noWrap/>
            <w:vAlign w:val="center"/>
            <w:hideMark/>
          </w:tcPr>
          <w:p w:rsidR="00746951" w:rsidRPr="00CD63E3" w:rsidRDefault="00746951" w:rsidP="00CD63E3">
            <w:pPr>
              <w:jc w:val="right"/>
              <w:rPr>
                <w:rFonts w:ascii="Arial" w:eastAsia="Times New Roman" w:hAnsi="Arial" w:cs="Arial"/>
                <w:color w:val="000000"/>
                <w:sz w:val="16"/>
                <w:szCs w:val="16"/>
                <w:lang w:val="es-CO" w:eastAsia="es-CO"/>
              </w:rPr>
            </w:pPr>
            <w:r w:rsidRPr="00CD63E3">
              <w:rPr>
                <w:rFonts w:ascii="Arial" w:eastAsia="Times New Roman" w:hAnsi="Arial" w:cs="Arial"/>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DDEBF7"/>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GRATUIDAD </w:t>
            </w:r>
          </w:p>
        </w:tc>
        <w:tc>
          <w:tcPr>
            <w:tcW w:w="161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$ 1.421</w:t>
            </w:r>
          </w:p>
        </w:tc>
        <w:tc>
          <w:tcPr>
            <w:tcW w:w="102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$ 1.421</w:t>
            </w:r>
          </w:p>
        </w:tc>
        <w:tc>
          <w:tcPr>
            <w:tcW w:w="1128"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DDEBF7"/>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NECESIDADES EDUCATIVAS ESPECIALES </w:t>
            </w:r>
          </w:p>
        </w:tc>
        <w:tc>
          <w:tcPr>
            <w:tcW w:w="161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$ 25</w:t>
            </w:r>
          </w:p>
        </w:tc>
        <w:tc>
          <w:tcPr>
            <w:tcW w:w="102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$ 25</w:t>
            </w:r>
          </w:p>
        </w:tc>
        <w:tc>
          <w:tcPr>
            <w:tcW w:w="1128"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DDEBF7"/>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lastRenderedPageBreak/>
              <w:t xml:space="preserve"> INTERNADOS </w:t>
            </w:r>
          </w:p>
        </w:tc>
        <w:tc>
          <w:tcPr>
            <w:tcW w:w="161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02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128"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DDEBF7"/>
            <w:noWrap/>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APLICACIÓN DE PROYECTOS EDUCATIVOS TRANSVERSALES </w:t>
            </w:r>
          </w:p>
        </w:tc>
        <w:tc>
          <w:tcPr>
            <w:tcW w:w="161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$ 234 </w:t>
            </w:r>
            <w:r w:rsidRPr="00CD63E3">
              <w:rPr>
                <w:rFonts w:ascii="Arial" w:eastAsia="Times New Roman" w:hAnsi="Arial" w:cs="Arial"/>
                <w:b/>
                <w:bCs/>
                <w:color w:val="FF0000"/>
                <w:sz w:val="16"/>
                <w:szCs w:val="16"/>
                <w:lang w:val="es-CO" w:eastAsia="es-CO"/>
              </w:rPr>
              <w:t>(2)</w:t>
            </w:r>
          </w:p>
        </w:tc>
        <w:tc>
          <w:tcPr>
            <w:tcW w:w="102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c>
          <w:tcPr>
            <w:tcW w:w="1128"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$ 234</w:t>
            </w:r>
          </w:p>
        </w:tc>
      </w:tr>
      <w:tr w:rsidR="00746951" w:rsidRPr="00CD63E3" w:rsidTr="00CD63E3">
        <w:trPr>
          <w:trHeight w:val="20"/>
        </w:trPr>
        <w:tc>
          <w:tcPr>
            <w:tcW w:w="4899" w:type="dxa"/>
            <w:tcBorders>
              <w:top w:val="nil"/>
              <w:left w:val="single" w:sz="4" w:space="0" w:color="auto"/>
              <w:bottom w:val="single" w:sz="4" w:space="0" w:color="auto"/>
              <w:right w:val="single" w:sz="4" w:space="0" w:color="auto"/>
            </w:tcBorders>
            <w:shd w:val="clear" w:color="auto" w:fill="DDEBF7"/>
            <w:vAlign w:val="center"/>
            <w:hideMark/>
          </w:tcPr>
          <w:p w:rsidR="00746951" w:rsidRPr="00CD63E3" w:rsidRDefault="00746951" w:rsidP="00CD63E3">
            <w:pPr>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xml:space="preserve"> EFICIENCIA </w:t>
            </w:r>
          </w:p>
        </w:tc>
        <w:tc>
          <w:tcPr>
            <w:tcW w:w="161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$ 415</w:t>
            </w:r>
          </w:p>
        </w:tc>
        <w:tc>
          <w:tcPr>
            <w:tcW w:w="1021"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$ 415</w:t>
            </w:r>
          </w:p>
        </w:tc>
        <w:tc>
          <w:tcPr>
            <w:tcW w:w="1128" w:type="dxa"/>
            <w:tcBorders>
              <w:top w:val="nil"/>
              <w:left w:val="nil"/>
              <w:bottom w:val="single" w:sz="4" w:space="0" w:color="auto"/>
              <w:right w:val="single" w:sz="4" w:space="0" w:color="auto"/>
            </w:tcBorders>
            <w:shd w:val="clear" w:color="auto" w:fill="DDEBF7"/>
            <w:noWrap/>
            <w:vAlign w:val="center"/>
            <w:hideMark/>
          </w:tcPr>
          <w:p w:rsidR="00746951" w:rsidRPr="00CD63E3" w:rsidRDefault="00746951" w:rsidP="00CD63E3">
            <w:pPr>
              <w:jc w:val="right"/>
              <w:rPr>
                <w:rFonts w:ascii="Arial" w:eastAsia="Times New Roman" w:hAnsi="Arial" w:cs="Arial"/>
                <w:b/>
                <w:bCs/>
                <w:color w:val="000000"/>
                <w:sz w:val="16"/>
                <w:szCs w:val="16"/>
                <w:lang w:val="es-CO" w:eastAsia="es-CO"/>
              </w:rPr>
            </w:pPr>
            <w:r w:rsidRPr="00CD63E3">
              <w:rPr>
                <w:rFonts w:ascii="Arial" w:eastAsia="Times New Roman" w:hAnsi="Arial" w:cs="Arial"/>
                <w:b/>
                <w:bCs/>
                <w:color w:val="000000"/>
                <w:sz w:val="16"/>
                <w:szCs w:val="16"/>
                <w:lang w:val="es-CO" w:eastAsia="es-CO"/>
              </w:rPr>
              <w:t>$ 0</w:t>
            </w:r>
          </w:p>
        </w:tc>
      </w:tr>
    </w:tbl>
    <w:p w:rsidR="00746951" w:rsidRDefault="00746951" w:rsidP="00CD63E3">
      <w:pPr>
        <w:autoSpaceDE w:val="0"/>
        <w:autoSpaceDN w:val="0"/>
        <w:adjustRightInd w:val="0"/>
        <w:jc w:val="center"/>
        <w:rPr>
          <w:rStyle w:val="nfasissutil"/>
        </w:rPr>
      </w:pPr>
      <w:r>
        <w:rPr>
          <w:rStyle w:val="nfasissutil"/>
          <w:lang w:val="es-CO"/>
        </w:rPr>
        <w:t>Fuente: Cálculos DAF con base en Ejecución Presupuestal y reporte FUT al 31 de diciembre de 2019.</w:t>
      </w:r>
    </w:p>
    <w:p w:rsidR="00746951" w:rsidRDefault="00746951" w:rsidP="00CD63E3">
      <w:pPr>
        <w:jc w:val="both"/>
        <w:rPr>
          <w:rFonts w:cs="Arial"/>
          <w:bCs/>
          <w:sz w:val="22"/>
          <w:szCs w:val="22"/>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(1). Se identifica una diferencia superior por $1.072 millones entre el valor reportado al FUT y el descrito por la ejecución presupuestal. Dicha situación refleja inconsistencias en los procesos de conciliación y seguimiento a los valores ejecutados y reportados </w:t>
      </w:r>
      <w:r w:rsidR="00CD63E3">
        <w:rPr>
          <w:rFonts w:ascii="Arial" w:hAnsi="Arial" w:cs="Arial"/>
          <w:bCs/>
          <w:sz w:val="22"/>
          <w:szCs w:val="22"/>
          <w:lang w:val="es-CO"/>
        </w:rPr>
        <w:t xml:space="preserve">por </w:t>
      </w:r>
      <w:r>
        <w:rPr>
          <w:rFonts w:ascii="Arial" w:hAnsi="Arial" w:cs="Arial"/>
          <w:bCs/>
          <w:sz w:val="22"/>
          <w:szCs w:val="22"/>
          <w:lang w:val="es-CO"/>
        </w:rPr>
        <w:t>concepto de Aportes Patronales Sin Situación de Fondos de Docentes y Directivos Docentes. Se solicita a la Entidad un seguimiento a los conceptos de nómina reportados al FUT en cada uno de estos rubros.</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(2). Se presenta una diferencia por el rubro de Contratos para la Prestación del Servicio Educativo en el reporte FUT, el cual se encuentra $338 millones superior al registrado en la ejecución presupuestal. Al respecto, se identifica que la Entidad suscribió para la prestación del servicio educativo, el contrato No. 34-14-08-424 del 14 de mayo de 2019 con la Corporación Talentum, cuyo objeto es “</w:t>
      </w:r>
      <w:r w:rsidR="00CD63E3">
        <w:rPr>
          <w:rFonts w:ascii="Arial" w:hAnsi="Arial" w:cs="Arial"/>
          <w:bCs/>
          <w:sz w:val="22"/>
          <w:szCs w:val="22"/>
          <w:lang w:val="es-CO"/>
        </w:rPr>
        <w:t>contratar la implementación de un modelo educativo orientado hacia la atención pertinente de la educación formal de la población privada de la libertad y jóvenes y adultos, en los establecimientos educativos públicos que funcionan en el municipio de Jamundí – Valle del Cauca</w:t>
      </w:r>
      <w:r>
        <w:rPr>
          <w:rFonts w:ascii="Arial" w:hAnsi="Arial" w:cs="Arial"/>
          <w:bCs/>
          <w:sz w:val="22"/>
          <w:szCs w:val="22"/>
          <w:lang w:val="es-CO"/>
        </w:rPr>
        <w:t>”, por valor de $ 2.100 millones.</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Al contrastar el reporte al FUC para la vigencia, se reconoce el valor por $ 2.100 millones</w:t>
      </w:r>
      <w:r w:rsidR="00557242">
        <w:rPr>
          <w:rFonts w:ascii="Arial" w:hAnsi="Arial" w:cs="Arial"/>
          <w:bCs/>
          <w:sz w:val="22"/>
          <w:szCs w:val="22"/>
          <w:lang w:val="es-CO"/>
        </w:rPr>
        <w:t>;</w:t>
      </w:r>
      <w:r>
        <w:rPr>
          <w:rFonts w:ascii="Arial" w:hAnsi="Arial" w:cs="Arial"/>
          <w:bCs/>
          <w:sz w:val="22"/>
          <w:szCs w:val="22"/>
          <w:lang w:val="es-CO"/>
        </w:rPr>
        <w:t xml:space="preserve"> sin embargo, en la ejecución presupuesta</w:t>
      </w:r>
      <w:r w:rsidR="00557242">
        <w:rPr>
          <w:rFonts w:ascii="Arial" w:hAnsi="Arial" w:cs="Arial"/>
          <w:bCs/>
          <w:sz w:val="22"/>
          <w:szCs w:val="22"/>
          <w:lang w:val="es-CO"/>
        </w:rPr>
        <w:t>l</w:t>
      </w:r>
      <w:r>
        <w:rPr>
          <w:rFonts w:ascii="Arial" w:hAnsi="Arial" w:cs="Arial"/>
          <w:bCs/>
          <w:sz w:val="22"/>
          <w:szCs w:val="22"/>
          <w:lang w:val="es-CO"/>
        </w:rPr>
        <w:t xml:space="preserve"> se presenta un valor de $ 1.238 millones mientras que en el FUT la cifra por este concepto asciende a $ 1.576 millones, lo que representa diferencias entre la información reportada por parte de la Entidad. Ahora bien, al observar los conceptos contratados por la entidad en el contrato No. 34-14-08-424, se identifica que el valor por prestación del servicio es de $ 1.238 millones, el comprometido por concepto de diseño e implementación del proceso de Mano de Obra (MO) es de $ 756 millones y el destinado a capacitación de docentes y directivos docentes es de $ 104 millones.</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Esta situación llama la atención, toda vez que </w:t>
      </w:r>
      <w:r w:rsidR="00557242">
        <w:rPr>
          <w:rFonts w:ascii="Arial" w:hAnsi="Arial" w:cs="Arial"/>
          <w:bCs/>
          <w:sz w:val="22"/>
          <w:szCs w:val="22"/>
          <w:lang w:val="es-CO"/>
        </w:rPr>
        <w:t xml:space="preserve">la información reportada por </w:t>
      </w:r>
      <w:r>
        <w:rPr>
          <w:rFonts w:ascii="Arial" w:hAnsi="Arial" w:cs="Arial"/>
          <w:bCs/>
          <w:sz w:val="22"/>
          <w:szCs w:val="22"/>
          <w:lang w:val="es-CO"/>
        </w:rPr>
        <w:t xml:space="preserve">la Entidad </w:t>
      </w:r>
      <w:r w:rsidR="00557242">
        <w:rPr>
          <w:rFonts w:ascii="Arial" w:hAnsi="Arial" w:cs="Arial"/>
          <w:bCs/>
          <w:sz w:val="22"/>
          <w:szCs w:val="22"/>
          <w:lang w:val="es-CO"/>
        </w:rPr>
        <w:t xml:space="preserve">es inconsistente </w:t>
      </w:r>
      <w:r>
        <w:rPr>
          <w:rFonts w:ascii="Arial" w:hAnsi="Arial" w:cs="Arial"/>
          <w:bCs/>
          <w:sz w:val="22"/>
          <w:szCs w:val="22"/>
          <w:lang w:val="es-CO"/>
        </w:rPr>
        <w:t xml:space="preserve">entre los sistemas de información presupuestal </w:t>
      </w:r>
      <w:r w:rsidR="00557242">
        <w:rPr>
          <w:rFonts w:ascii="Arial" w:hAnsi="Arial" w:cs="Arial"/>
          <w:bCs/>
          <w:sz w:val="22"/>
          <w:szCs w:val="22"/>
          <w:lang w:val="es-CO"/>
        </w:rPr>
        <w:t>y</w:t>
      </w:r>
      <w:r>
        <w:rPr>
          <w:rFonts w:ascii="Arial" w:hAnsi="Arial" w:cs="Arial"/>
          <w:bCs/>
          <w:sz w:val="22"/>
          <w:szCs w:val="22"/>
          <w:lang w:val="es-CO"/>
        </w:rPr>
        <w:t xml:space="preserve"> sectorial, así como se identifican objetos de gasto vinculados a los contratos de prestación del servicio que contractualmente hacen parte de la canasta educativa contratada pero que no fueron reportados por la Entidad.</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Es importante resaltar que en la plataforma SECOP no se ubican informes de supervisión que permitan reconocer la ejecución efectiva de la prestación del servicio</w:t>
      </w:r>
      <w:r w:rsidR="00557242">
        <w:rPr>
          <w:rFonts w:ascii="Arial" w:hAnsi="Arial" w:cs="Arial"/>
          <w:bCs/>
          <w:sz w:val="22"/>
          <w:szCs w:val="22"/>
          <w:lang w:val="es-CO"/>
        </w:rPr>
        <w:t>,</w:t>
      </w:r>
      <w:r>
        <w:rPr>
          <w:rFonts w:ascii="Arial" w:hAnsi="Arial" w:cs="Arial"/>
          <w:bCs/>
          <w:sz w:val="22"/>
          <w:szCs w:val="22"/>
          <w:lang w:val="es-CO"/>
        </w:rPr>
        <w:t xml:space="preserve"> ni de la capacitación</w:t>
      </w:r>
      <w:r w:rsidR="00557242">
        <w:rPr>
          <w:rFonts w:ascii="Arial" w:hAnsi="Arial" w:cs="Arial"/>
          <w:bCs/>
          <w:sz w:val="22"/>
          <w:szCs w:val="22"/>
          <w:lang w:val="es-CO"/>
        </w:rPr>
        <w:t>,</w:t>
      </w:r>
      <w:r>
        <w:rPr>
          <w:rFonts w:ascii="Arial" w:hAnsi="Arial" w:cs="Arial"/>
          <w:bCs/>
          <w:sz w:val="22"/>
          <w:szCs w:val="22"/>
          <w:lang w:val="es-CO"/>
        </w:rPr>
        <w:t xml:space="preserve"> ni de los servicios asociados a la implementación del proceso MO</w:t>
      </w:r>
      <w:r w:rsidR="00557242">
        <w:rPr>
          <w:rFonts w:ascii="Arial" w:hAnsi="Arial" w:cs="Arial"/>
          <w:bCs/>
          <w:sz w:val="22"/>
          <w:szCs w:val="22"/>
          <w:lang w:val="es-CO"/>
        </w:rPr>
        <w:t xml:space="preserve"> en el marco del contrato en mención</w:t>
      </w:r>
      <w:r>
        <w:rPr>
          <w:rFonts w:ascii="Arial" w:hAnsi="Arial" w:cs="Arial"/>
          <w:bCs/>
          <w:sz w:val="22"/>
          <w:szCs w:val="22"/>
          <w:lang w:val="es-CO"/>
        </w:rPr>
        <w:t>.</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(3). Se identifica una diferencia de aproximadamente $52 millones entre la ejecución presupuestal y el reporte FUT</w:t>
      </w:r>
      <w:r w:rsidR="00557242">
        <w:rPr>
          <w:rFonts w:ascii="Arial" w:hAnsi="Arial" w:cs="Arial"/>
          <w:bCs/>
          <w:sz w:val="22"/>
          <w:szCs w:val="22"/>
          <w:lang w:val="es-CO"/>
        </w:rPr>
        <w:t>;</w:t>
      </w:r>
      <w:r>
        <w:rPr>
          <w:rFonts w:ascii="Arial" w:hAnsi="Arial" w:cs="Arial"/>
          <w:bCs/>
          <w:sz w:val="22"/>
          <w:szCs w:val="22"/>
          <w:lang w:val="es-CO"/>
        </w:rPr>
        <w:t xml:space="preserve"> sin embargo, el detalle de la ejecución presupuestal no permitió realizar el seguimiento a las causas que derivan en las diferencias del reporte.</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lastRenderedPageBreak/>
        <w:t>Por lo anterior, en el siguiente informe de seguimiento se realizará la revisión de la información presupuestal al corte de cierre de la vigencia 2020, a partir de la información que se solicitará a la Entidad, recomendándole realizar procesos de comparación de la información financiera presupuestal, antes de la elaboración del reporte al FUT.</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(4). Se observa en el reporte al FUT realizado por la Entidad para la categoría de Gastos de Inversión en Transporte Escolar el uso de la fuente SGP </w:t>
      </w:r>
      <w:r w:rsidR="00557242">
        <w:rPr>
          <w:rFonts w:ascii="Arial" w:hAnsi="Arial" w:cs="Arial"/>
          <w:bCs/>
          <w:sz w:val="22"/>
          <w:szCs w:val="22"/>
          <w:lang w:val="es-CO"/>
        </w:rPr>
        <w:t>educación cancelaciones saldos no ejecutados vigencias anteriores y reintegros</w:t>
      </w:r>
      <w:r>
        <w:rPr>
          <w:rFonts w:ascii="Arial" w:hAnsi="Arial" w:cs="Arial"/>
          <w:bCs/>
          <w:sz w:val="22"/>
          <w:szCs w:val="22"/>
          <w:lang w:val="es-CO"/>
        </w:rPr>
        <w:t xml:space="preserve">, a pesar de que la Entidad no cuenta con una asignación </w:t>
      </w:r>
      <w:r w:rsidR="00557242">
        <w:rPr>
          <w:rFonts w:ascii="Arial" w:hAnsi="Arial" w:cs="Arial"/>
          <w:bCs/>
          <w:sz w:val="22"/>
          <w:szCs w:val="22"/>
          <w:lang w:val="es-CO"/>
        </w:rPr>
        <w:t>por este concepto</w:t>
      </w:r>
      <w:r>
        <w:rPr>
          <w:rFonts w:ascii="Arial" w:hAnsi="Arial" w:cs="Arial"/>
          <w:bCs/>
          <w:sz w:val="22"/>
          <w:szCs w:val="22"/>
          <w:lang w:val="es-CO"/>
        </w:rPr>
        <w:t xml:space="preserve">, </w:t>
      </w:r>
      <w:r w:rsidR="00557242">
        <w:rPr>
          <w:rFonts w:ascii="Arial" w:hAnsi="Arial" w:cs="Arial"/>
          <w:bCs/>
          <w:sz w:val="22"/>
          <w:szCs w:val="22"/>
          <w:lang w:val="es-CO"/>
        </w:rPr>
        <w:t xml:space="preserve">el cual </w:t>
      </w:r>
      <w:r>
        <w:rPr>
          <w:rFonts w:ascii="Arial" w:hAnsi="Arial" w:cs="Arial"/>
          <w:bCs/>
          <w:sz w:val="22"/>
          <w:szCs w:val="22"/>
          <w:lang w:val="es-CO"/>
        </w:rPr>
        <w:t>únicamente se asigna a Departamentos. Esta situación denota inconsistencias en el reporte de información al FUT para la vigencia 2019.</w:t>
      </w:r>
    </w:p>
    <w:p w:rsidR="00746951" w:rsidRDefault="00746951" w:rsidP="00CD63E3">
      <w:pPr>
        <w:autoSpaceDE w:val="0"/>
        <w:autoSpaceDN w:val="0"/>
        <w:adjustRightInd w:val="0"/>
        <w:jc w:val="both"/>
        <w:rPr>
          <w:bCs/>
          <w:sz w:val="22"/>
          <w:szCs w:val="22"/>
          <w:lang w:val="es-CO"/>
        </w:rPr>
      </w:pPr>
    </w:p>
    <w:p w:rsidR="00746951" w:rsidRDefault="00746951" w:rsidP="00CD63E3">
      <w:pPr>
        <w:jc w:val="both"/>
        <w:rPr>
          <w:rFonts w:ascii="Arial" w:hAnsi="Arial" w:cs="Arial"/>
          <w:b/>
          <w:bCs/>
          <w:sz w:val="22"/>
          <w:szCs w:val="22"/>
          <w:lang w:val="es-CO"/>
        </w:rPr>
      </w:pPr>
      <w:r>
        <w:rPr>
          <w:rFonts w:ascii="Arial" w:hAnsi="Arial" w:cs="Arial"/>
          <w:b/>
          <w:bCs/>
          <w:sz w:val="22"/>
          <w:szCs w:val="22"/>
          <w:lang w:val="es-CO"/>
        </w:rPr>
        <w:t>Gasto administrativo</w:t>
      </w:r>
    </w:p>
    <w:p w:rsidR="00746951" w:rsidRDefault="00746951" w:rsidP="00CD63E3">
      <w:pPr>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El documento de distribución DD-SGP-34-2019 establece el límite de gasto administrativo para el municipio de Jamundí en 2019, correspondiente a $5.477 millones. Del análisis de las ejecuciones presupuestales, se concluye que en diciembre de 2019 la Entidad no superó el límite de gasto administrativo.</w:t>
      </w:r>
    </w:p>
    <w:p w:rsidR="00746951" w:rsidRDefault="00746951" w:rsidP="00CD63E3">
      <w:pPr>
        <w:rPr>
          <w:rFonts w:ascii="Arial" w:hAnsi="Arial" w:cs="Arial"/>
          <w:sz w:val="22"/>
          <w:szCs w:val="22"/>
          <w:lang w:val="es-CO"/>
        </w:rPr>
      </w:pPr>
    </w:p>
    <w:tbl>
      <w:tblPr>
        <w:tblW w:w="0" w:type="auto"/>
        <w:jc w:val="center"/>
        <w:tblCellMar>
          <w:left w:w="70" w:type="dxa"/>
          <w:right w:w="70" w:type="dxa"/>
        </w:tblCellMar>
        <w:tblLook w:val="04A0" w:firstRow="1" w:lastRow="0" w:firstColumn="1" w:lastColumn="0" w:noHBand="0" w:noVBand="1"/>
      </w:tblPr>
      <w:tblGrid>
        <w:gridCol w:w="5156"/>
        <w:gridCol w:w="2230"/>
      </w:tblGrid>
      <w:tr w:rsidR="00746951" w:rsidTr="00746951">
        <w:trPr>
          <w:trHeight w:val="2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666699"/>
            <w:vAlign w:val="center"/>
            <w:hideMark/>
          </w:tcPr>
          <w:p w:rsidR="00746951" w:rsidRDefault="00746951" w:rsidP="00CD63E3">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TABLA 3. GASTOS ADMINISTRATIVOS DE LA ENTIDAD VIGENCIA 2019 (EN MILLONES DE $)</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shd w:val="clear" w:color="auto" w:fill="CCCCFF"/>
            <w:noWrap/>
            <w:vAlign w:val="center"/>
            <w:hideMark/>
          </w:tcPr>
          <w:p w:rsidR="00746951" w:rsidRDefault="00746951" w:rsidP="00CD63E3">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CONCEPTO</w:t>
            </w:r>
          </w:p>
        </w:tc>
        <w:tc>
          <w:tcPr>
            <w:tcW w:w="0" w:type="auto"/>
            <w:tcBorders>
              <w:top w:val="nil"/>
              <w:left w:val="nil"/>
              <w:bottom w:val="single" w:sz="8" w:space="0" w:color="auto"/>
              <w:right w:val="single" w:sz="8" w:space="0" w:color="auto"/>
            </w:tcBorders>
            <w:shd w:val="clear" w:color="auto" w:fill="CCCCFF"/>
            <w:noWrap/>
            <w:vAlign w:val="center"/>
            <w:hideMark/>
          </w:tcPr>
          <w:p w:rsidR="00746951" w:rsidRDefault="00746951" w:rsidP="00CD63E3">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Valor</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vAlign w:val="center"/>
            <w:hideMark/>
          </w:tcPr>
          <w:p w:rsidR="00746951" w:rsidRDefault="00746951" w:rsidP="00CD63E3">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Gastos Nómina Personal Administrativo de Instituciones Educativas</w:t>
            </w:r>
          </w:p>
        </w:tc>
        <w:tc>
          <w:tcPr>
            <w:tcW w:w="0" w:type="auto"/>
            <w:tcBorders>
              <w:top w:val="nil"/>
              <w:left w:val="nil"/>
              <w:bottom w:val="single" w:sz="8" w:space="0" w:color="auto"/>
              <w:right w:val="single" w:sz="8" w:space="0" w:color="auto"/>
            </w:tcBorders>
            <w:noWrap/>
            <w:vAlign w:val="center"/>
            <w:hideMark/>
          </w:tcPr>
          <w:p w:rsidR="00746951" w:rsidRDefault="00746951" w:rsidP="00CD63E3">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                                   3.107 </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vAlign w:val="center"/>
            <w:hideMark/>
          </w:tcPr>
          <w:p w:rsidR="00746951" w:rsidRDefault="00746951" w:rsidP="00CD63E3">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Gastos Nómina Personal Administrativo de la Secretaría de Educación</w:t>
            </w:r>
          </w:p>
        </w:tc>
        <w:tc>
          <w:tcPr>
            <w:tcW w:w="0" w:type="auto"/>
            <w:tcBorders>
              <w:top w:val="nil"/>
              <w:left w:val="nil"/>
              <w:bottom w:val="single" w:sz="8" w:space="0" w:color="auto"/>
              <w:right w:val="single" w:sz="8" w:space="0" w:color="auto"/>
            </w:tcBorders>
            <w:noWrap/>
            <w:vAlign w:val="center"/>
            <w:hideMark/>
          </w:tcPr>
          <w:p w:rsidR="00746951" w:rsidRDefault="00746951" w:rsidP="00CD63E3">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                                      629 </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vAlign w:val="center"/>
            <w:hideMark/>
          </w:tcPr>
          <w:p w:rsidR="00746951" w:rsidRDefault="00746951" w:rsidP="00CD63E3">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Gastos Personal Administrativo (Aportes patronales)</w:t>
            </w:r>
          </w:p>
        </w:tc>
        <w:tc>
          <w:tcPr>
            <w:tcW w:w="0" w:type="auto"/>
            <w:tcBorders>
              <w:top w:val="nil"/>
              <w:left w:val="nil"/>
              <w:bottom w:val="single" w:sz="8" w:space="0" w:color="auto"/>
              <w:right w:val="single" w:sz="8" w:space="0" w:color="auto"/>
            </w:tcBorders>
            <w:noWrap/>
            <w:vAlign w:val="center"/>
            <w:hideMark/>
          </w:tcPr>
          <w:p w:rsidR="00746951" w:rsidRDefault="00746951" w:rsidP="00CD63E3">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                                   1.293 </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vAlign w:val="center"/>
            <w:hideMark/>
          </w:tcPr>
          <w:p w:rsidR="00746951" w:rsidRDefault="00746951" w:rsidP="00CD63E3">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Gastos Generales Secretaría de Educación</w:t>
            </w:r>
          </w:p>
        </w:tc>
        <w:tc>
          <w:tcPr>
            <w:tcW w:w="0" w:type="auto"/>
            <w:tcBorders>
              <w:top w:val="nil"/>
              <w:left w:val="nil"/>
              <w:bottom w:val="single" w:sz="8" w:space="0" w:color="auto"/>
              <w:right w:val="single" w:sz="8" w:space="0" w:color="auto"/>
            </w:tcBorders>
            <w:noWrap/>
            <w:vAlign w:val="center"/>
            <w:hideMark/>
          </w:tcPr>
          <w:p w:rsidR="00746951" w:rsidRDefault="00746951" w:rsidP="00CD63E3">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                                          - </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vAlign w:val="center"/>
            <w:hideMark/>
          </w:tcPr>
          <w:p w:rsidR="00746951" w:rsidRDefault="00746951" w:rsidP="00CD63E3">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Contratación Servicios de Aseo y Vigilancia</w:t>
            </w:r>
          </w:p>
        </w:tc>
        <w:tc>
          <w:tcPr>
            <w:tcW w:w="0" w:type="auto"/>
            <w:tcBorders>
              <w:top w:val="nil"/>
              <w:left w:val="nil"/>
              <w:bottom w:val="single" w:sz="8" w:space="0" w:color="auto"/>
              <w:right w:val="single" w:sz="8" w:space="0" w:color="auto"/>
            </w:tcBorders>
            <w:noWrap/>
            <w:vAlign w:val="center"/>
            <w:hideMark/>
          </w:tcPr>
          <w:p w:rsidR="00746951" w:rsidRDefault="00746951" w:rsidP="00CD63E3">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                                          - </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shd w:val="clear" w:color="auto" w:fill="666699"/>
            <w:noWrap/>
            <w:vAlign w:val="center"/>
            <w:hideMark/>
          </w:tcPr>
          <w:p w:rsidR="00746951" w:rsidRDefault="00746951" w:rsidP="00CD63E3">
            <w:pPr>
              <w:jc w:val="both"/>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TOTAL GASTOS ADMINISTRATIVOS</w:t>
            </w:r>
          </w:p>
        </w:tc>
        <w:tc>
          <w:tcPr>
            <w:tcW w:w="0" w:type="auto"/>
            <w:tcBorders>
              <w:top w:val="nil"/>
              <w:left w:val="nil"/>
              <w:bottom w:val="single" w:sz="8" w:space="0" w:color="auto"/>
              <w:right w:val="single" w:sz="8" w:space="0" w:color="auto"/>
            </w:tcBorders>
            <w:shd w:val="clear" w:color="auto" w:fill="666699"/>
            <w:noWrap/>
            <w:vAlign w:val="center"/>
            <w:hideMark/>
          </w:tcPr>
          <w:p w:rsidR="00746951" w:rsidRDefault="00746951" w:rsidP="00CD63E3">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xml:space="preserve"> $                                   5.030 </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shd w:val="clear" w:color="auto" w:fill="666699"/>
            <w:noWrap/>
            <w:vAlign w:val="center"/>
            <w:hideMark/>
          </w:tcPr>
          <w:p w:rsidR="00746951" w:rsidRDefault="00746951" w:rsidP="00CD63E3">
            <w:pPr>
              <w:jc w:val="both"/>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LÍMITE A LOS GASTOS ADMINISTRATIVOS</w:t>
            </w:r>
          </w:p>
        </w:tc>
        <w:tc>
          <w:tcPr>
            <w:tcW w:w="0" w:type="auto"/>
            <w:tcBorders>
              <w:top w:val="nil"/>
              <w:left w:val="nil"/>
              <w:bottom w:val="single" w:sz="8" w:space="0" w:color="auto"/>
              <w:right w:val="single" w:sz="8" w:space="0" w:color="auto"/>
            </w:tcBorders>
            <w:shd w:val="clear" w:color="auto" w:fill="666699"/>
            <w:noWrap/>
            <w:vAlign w:val="center"/>
            <w:hideMark/>
          </w:tcPr>
          <w:p w:rsidR="00746951" w:rsidRDefault="00746951" w:rsidP="00CD63E3">
            <w:pPr>
              <w:jc w:val="both"/>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xml:space="preserve"> $                                   5.477 </w:t>
            </w:r>
          </w:p>
        </w:tc>
      </w:tr>
      <w:tr w:rsidR="00746951" w:rsidTr="00746951">
        <w:trPr>
          <w:trHeight w:val="20"/>
          <w:jc w:val="center"/>
        </w:trPr>
        <w:tc>
          <w:tcPr>
            <w:tcW w:w="0" w:type="auto"/>
            <w:tcBorders>
              <w:top w:val="nil"/>
              <w:left w:val="single" w:sz="8" w:space="0" w:color="auto"/>
              <w:bottom w:val="single" w:sz="8" w:space="0" w:color="auto"/>
              <w:right w:val="single" w:sz="8" w:space="0" w:color="auto"/>
            </w:tcBorders>
            <w:shd w:val="clear" w:color="auto" w:fill="666699"/>
            <w:noWrap/>
            <w:vAlign w:val="center"/>
            <w:hideMark/>
          </w:tcPr>
          <w:p w:rsidR="00746951" w:rsidRDefault="00746951" w:rsidP="00CD63E3">
            <w:pPr>
              <w:jc w:val="both"/>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DIFERENCIA CON RESPECTO AL LÍMITE</w:t>
            </w:r>
          </w:p>
        </w:tc>
        <w:tc>
          <w:tcPr>
            <w:tcW w:w="0" w:type="auto"/>
            <w:tcBorders>
              <w:top w:val="nil"/>
              <w:left w:val="nil"/>
              <w:bottom w:val="single" w:sz="8" w:space="0" w:color="auto"/>
              <w:right w:val="single" w:sz="8" w:space="0" w:color="auto"/>
            </w:tcBorders>
            <w:shd w:val="clear" w:color="auto" w:fill="666699"/>
            <w:noWrap/>
            <w:vAlign w:val="center"/>
            <w:hideMark/>
          </w:tcPr>
          <w:p w:rsidR="00746951" w:rsidRDefault="00746951" w:rsidP="00CD63E3">
            <w:pPr>
              <w:jc w:val="both"/>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xml:space="preserve"> $                                      447 </w:t>
            </w:r>
          </w:p>
        </w:tc>
      </w:tr>
    </w:tbl>
    <w:p w:rsidR="00746951" w:rsidRDefault="00746951" w:rsidP="00CD63E3">
      <w:pPr>
        <w:autoSpaceDE w:val="0"/>
        <w:autoSpaceDN w:val="0"/>
        <w:adjustRightInd w:val="0"/>
        <w:jc w:val="center"/>
        <w:rPr>
          <w:rStyle w:val="nfasissutil"/>
        </w:rPr>
      </w:pPr>
      <w:r>
        <w:rPr>
          <w:rStyle w:val="nfasissutil"/>
          <w:lang w:val="es-CO"/>
        </w:rPr>
        <w:t>Fuente: Cálculos DAF con base en Ejecución Presupuestal.</w:t>
      </w:r>
    </w:p>
    <w:p w:rsidR="00746951" w:rsidRDefault="00746951" w:rsidP="00CD63E3">
      <w:pPr>
        <w:jc w:val="both"/>
        <w:rPr>
          <w:rFonts w:ascii="Arial" w:hAnsi="Arial" w:cs="Arial"/>
          <w:sz w:val="22"/>
          <w:szCs w:val="22"/>
          <w:lang w:val="es-CO"/>
        </w:rPr>
      </w:pPr>
    </w:p>
    <w:p w:rsidR="00746951" w:rsidRDefault="00746951" w:rsidP="00CD63E3">
      <w:pPr>
        <w:rPr>
          <w:rFonts w:ascii="Arial" w:hAnsi="Arial" w:cs="Arial"/>
          <w:b/>
          <w:bCs/>
          <w:sz w:val="22"/>
          <w:szCs w:val="22"/>
          <w:lang w:val="es-CO"/>
        </w:rPr>
      </w:pPr>
      <w:r>
        <w:rPr>
          <w:rFonts w:ascii="Arial" w:hAnsi="Arial" w:cs="Arial"/>
          <w:b/>
          <w:bCs/>
          <w:sz w:val="22"/>
          <w:szCs w:val="22"/>
          <w:lang w:val="es-CO"/>
        </w:rPr>
        <w:t>Cierre de tesorería</w:t>
      </w:r>
    </w:p>
    <w:p w:rsidR="00746951" w:rsidRDefault="00746951" w:rsidP="00CD63E3">
      <w:pPr>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Sobre el cierre de tesorería para la vigencia 2019, la ejecución presupuestal de ingresos y gastos arrojó un resultado deficitario para el sector educativo de $</w:t>
      </w:r>
      <w:r w:rsidR="00A13D52">
        <w:rPr>
          <w:rFonts w:ascii="Arial" w:hAnsi="Arial" w:cs="Arial"/>
          <w:sz w:val="22"/>
          <w:szCs w:val="22"/>
          <w:lang w:val="es-CO"/>
        </w:rPr>
        <w:t xml:space="preserve">596 </w:t>
      </w:r>
      <w:r>
        <w:rPr>
          <w:rFonts w:ascii="Arial" w:hAnsi="Arial" w:cs="Arial"/>
          <w:sz w:val="22"/>
          <w:szCs w:val="22"/>
          <w:lang w:val="es-CO"/>
        </w:rPr>
        <w:t xml:space="preserve">millones, además de reconocer que la entidad debió constituir cuentas por pagar por $431 millones y reservas por $48 millones. </w:t>
      </w:r>
    </w:p>
    <w:p w:rsidR="00746951" w:rsidRDefault="00746951" w:rsidP="00CD63E3">
      <w:pPr>
        <w:jc w:val="both"/>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A continuación, se presenta la comparación de cifras reportadas a la categoría Cierre Fiscal del FUT frente a los cálculos realizados con la ejecución presupuestal de la Entidad y el cierre de tesorería.</w:t>
      </w:r>
    </w:p>
    <w:p w:rsidR="00746951" w:rsidRDefault="00746951" w:rsidP="00CD63E3">
      <w:pPr>
        <w:jc w:val="both"/>
        <w:rPr>
          <w:rFonts w:ascii="Arial" w:hAnsi="Arial" w:cs="Arial"/>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2"/>
        <w:gridCol w:w="2032"/>
        <w:gridCol w:w="1074"/>
        <w:gridCol w:w="1604"/>
        <w:gridCol w:w="1226"/>
      </w:tblGrid>
      <w:tr w:rsidR="00746951" w:rsidRPr="00557242" w:rsidTr="00557242">
        <w:trPr>
          <w:trHeight w:val="2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746951" w:rsidRPr="00557242" w:rsidRDefault="00746951" w:rsidP="00CD63E3">
            <w:pPr>
              <w:jc w:val="center"/>
              <w:rPr>
                <w:rFonts w:ascii="Arial" w:eastAsia="Times New Roman" w:hAnsi="Arial" w:cs="Arial"/>
                <w:b/>
                <w:bCs/>
                <w:color w:val="FFFFFF"/>
                <w:sz w:val="16"/>
                <w:szCs w:val="16"/>
                <w:lang w:val="es-CO" w:eastAsia="es-CO"/>
              </w:rPr>
            </w:pPr>
            <w:r w:rsidRPr="00557242">
              <w:rPr>
                <w:rFonts w:ascii="Arial" w:eastAsia="Times New Roman" w:hAnsi="Arial" w:cs="Arial"/>
                <w:b/>
                <w:bCs/>
                <w:color w:val="FFFFFF"/>
                <w:sz w:val="16"/>
                <w:szCs w:val="16"/>
                <w:lang w:val="es-CO" w:eastAsia="es-CO"/>
              </w:rPr>
              <w:t>TABLA 4. INFORMACIÓN DE CIERRE DE VIGENCIA 2019. TESORERÍA VS PRESUPUESTO</w:t>
            </w:r>
          </w:p>
        </w:tc>
      </w:tr>
      <w:tr w:rsidR="00746951" w:rsidRPr="00557242" w:rsidTr="00557242">
        <w:trPr>
          <w:trHeight w:val="2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746951" w:rsidRPr="00557242" w:rsidRDefault="00746951" w:rsidP="00CD63E3">
            <w:pPr>
              <w:jc w:val="center"/>
              <w:rPr>
                <w:rFonts w:ascii="Arial" w:eastAsia="Times New Roman" w:hAnsi="Arial" w:cs="Arial"/>
                <w:b/>
                <w:bCs/>
                <w:color w:val="FFFFFF"/>
                <w:sz w:val="16"/>
                <w:szCs w:val="16"/>
                <w:lang w:val="es-CO" w:eastAsia="es-CO"/>
              </w:rPr>
            </w:pPr>
            <w:r w:rsidRPr="00557242">
              <w:rPr>
                <w:rFonts w:ascii="Arial" w:eastAsia="Times New Roman" w:hAnsi="Arial" w:cs="Arial"/>
                <w:b/>
                <w:bCs/>
                <w:color w:val="FFFFFF"/>
                <w:sz w:val="16"/>
                <w:szCs w:val="16"/>
                <w:lang w:val="es-CO" w:eastAsia="es-CO"/>
              </w:rPr>
              <w:t>(EN MILLONES DE $)</w:t>
            </w:r>
          </w:p>
        </w:tc>
      </w:tr>
      <w:tr w:rsidR="00746951" w:rsidRPr="00557242" w:rsidTr="00557242">
        <w:trPr>
          <w:trHeight w:val="20"/>
          <w:tblHeader/>
        </w:trPr>
        <w:tc>
          <w:tcPr>
            <w:tcW w:w="1658" w:type="pct"/>
            <w:vMerge w:val="restart"/>
            <w:tcBorders>
              <w:top w:val="single" w:sz="4" w:space="0" w:color="auto"/>
              <w:left w:val="single" w:sz="4" w:space="0" w:color="auto"/>
              <w:bottom w:val="single" w:sz="4" w:space="0" w:color="auto"/>
              <w:right w:val="single" w:sz="4" w:space="0" w:color="auto"/>
            </w:tcBorders>
            <w:shd w:val="clear" w:color="auto" w:fill="CCCCFF"/>
            <w:noWrap/>
            <w:vAlign w:val="center"/>
            <w:hideMark/>
          </w:tcPr>
          <w:p w:rsidR="00746951" w:rsidRPr="00557242" w:rsidRDefault="00746951" w:rsidP="00CD63E3">
            <w:pPr>
              <w:jc w:val="center"/>
              <w:rPr>
                <w:rFonts w:ascii="Arial" w:eastAsia="Times New Roman" w:hAnsi="Arial" w:cs="Arial"/>
                <w:b/>
                <w:bCs/>
                <w:color w:val="000000"/>
                <w:sz w:val="16"/>
                <w:szCs w:val="16"/>
                <w:lang w:val="es-CO" w:eastAsia="es-CO"/>
              </w:rPr>
            </w:pPr>
            <w:r w:rsidRPr="00557242">
              <w:rPr>
                <w:rFonts w:ascii="Arial" w:eastAsia="Times New Roman" w:hAnsi="Arial" w:cs="Arial"/>
                <w:b/>
                <w:bCs/>
                <w:color w:val="000000"/>
                <w:sz w:val="16"/>
                <w:szCs w:val="16"/>
                <w:lang w:val="es-CO" w:eastAsia="es-CO"/>
              </w:rPr>
              <w:t>CONCEPTO</w:t>
            </w:r>
          </w:p>
        </w:tc>
        <w:tc>
          <w:tcPr>
            <w:tcW w:w="1170"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746951" w:rsidRPr="00557242" w:rsidRDefault="00746951" w:rsidP="00CD63E3">
            <w:pPr>
              <w:jc w:val="center"/>
              <w:rPr>
                <w:rFonts w:ascii="Arial" w:eastAsia="Times New Roman" w:hAnsi="Arial" w:cs="Arial"/>
                <w:b/>
                <w:bCs/>
                <w:color w:val="000000"/>
                <w:sz w:val="16"/>
                <w:szCs w:val="16"/>
                <w:lang w:val="es-CO" w:eastAsia="es-CO"/>
              </w:rPr>
            </w:pPr>
            <w:r w:rsidRPr="00557242">
              <w:rPr>
                <w:rFonts w:ascii="Arial" w:eastAsia="Times New Roman" w:hAnsi="Arial" w:cs="Arial"/>
                <w:b/>
                <w:bCs/>
                <w:color w:val="000000"/>
                <w:sz w:val="16"/>
                <w:szCs w:val="16"/>
                <w:lang w:val="es-CO" w:eastAsia="es-CO"/>
              </w:rPr>
              <w:t xml:space="preserve"> SEGÚN EJECUCIÓN </w:t>
            </w:r>
          </w:p>
        </w:tc>
        <w:tc>
          <w:tcPr>
            <w:tcW w:w="577"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746951" w:rsidRPr="00557242" w:rsidRDefault="00746951" w:rsidP="00CD63E3">
            <w:pPr>
              <w:jc w:val="center"/>
              <w:rPr>
                <w:rFonts w:ascii="Arial" w:eastAsia="Times New Roman" w:hAnsi="Arial" w:cs="Arial"/>
                <w:b/>
                <w:bCs/>
                <w:color w:val="000000"/>
                <w:sz w:val="16"/>
                <w:szCs w:val="16"/>
                <w:lang w:val="es-CO" w:eastAsia="es-CO"/>
              </w:rPr>
            </w:pPr>
            <w:r w:rsidRPr="00557242">
              <w:rPr>
                <w:rFonts w:ascii="Arial" w:eastAsia="Times New Roman" w:hAnsi="Arial" w:cs="Arial"/>
                <w:b/>
                <w:bCs/>
                <w:color w:val="000000"/>
                <w:sz w:val="16"/>
                <w:szCs w:val="16"/>
                <w:lang w:val="es-CO" w:eastAsia="es-CO"/>
              </w:rPr>
              <w:t xml:space="preserve"> SEGÚN INFORME </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746951" w:rsidRPr="00557242" w:rsidRDefault="00746951" w:rsidP="00CD63E3">
            <w:pPr>
              <w:jc w:val="center"/>
              <w:rPr>
                <w:rFonts w:ascii="Arial" w:eastAsia="Times New Roman" w:hAnsi="Arial" w:cs="Arial"/>
                <w:b/>
                <w:bCs/>
                <w:color w:val="000000"/>
                <w:sz w:val="16"/>
                <w:szCs w:val="16"/>
                <w:lang w:val="es-CO" w:eastAsia="es-CO"/>
              </w:rPr>
            </w:pPr>
            <w:r w:rsidRPr="00557242">
              <w:rPr>
                <w:rFonts w:ascii="Arial" w:eastAsia="Times New Roman" w:hAnsi="Arial" w:cs="Arial"/>
                <w:b/>
                <w:bCs/>
                <w:color w:val="000000"/>
                <w:sz w:val="16"/>
                <w:szCs w:val="16"/>
                <w:lang w:val="es-CO" w:eastAsia="es-CO"/>
              </w:rPr>
              <w:t xml:space="preserve"> DIFERENCIA </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CCCCFF"/>
            <w:vAlign w:val="center"/>
            <w:hideMark/>
          </w:tcPr>
          <w:p w:rsidR="00746951" w:rsidRPr="00557242" w:rsidRDefault="00746951" w:rsidP="00CD63E3">
            <w:pPr>
              <w:jc w:val="center"/>
              <w:rPr>
                <w:rFonts w:ascii="Arial" w:eastAsia="Times New Roman" w:hAnsi="Arial" w:cs="Arial"/>
                <w:b/>
                <w:bCs/>
                <w:color w:val="000000"/>
                <w:sz w:val="16"/>
                <w:szCs w:val="16"/>
                <w:lang w:val="es-CO" w:eastAsia="es-CO"/>
              </w:rPr>
            </w:pPr>
            <w:r w:rsidRPr="00557242">
              <w:rPr>
                <w:rFonts w:ascii="Arial" w:eastAsia="Times New Roman" w:hAnsi="Arial" w:cs="Arial"/>
                <w:b/>
                <w:bCs/>
                <w:color w:val="000000"/>
                <w:sz w:val="16"/>
                <w:szCs w:val="16"/>
                <w:lang w:val="es-CO" w:eastAsia="es-CO"/>
              </w:rPr>
              <w:t xml:space="preserve"> FUT </w:t>
            </w:r>
          </w:p>
        </w:tc>
      </w:tr>
      <w:tr w:rsidR="00746951" w:rsidRPr="00557242" w:rsidTr="00557242">
        <w:trPr>
          <w:trHeight w:val="20"/>
          <w:tblHeader/>
        </w:trPr>
        <w:tc>
          <w:tcPr>
            <w:tcW w:w="1658" w:type="pct"/>
            <w:vMerge/>
            <w:tcBorders>
              <w:top w:val="single" w:sz="4" w:space="0" w:color="auto"/>
              <w:left w:val="single" w:sz="4" w:space="0" w:color="auto"/>
              <w:bottom w:val="single" w:sz="4" w:space="0" w:color="auto"/>
              <w:right w:val="single" w:sz="4" w:space="0" w:color="auto"/>
            </w:tcBorders>
            <w:vAlign w:val="center"/>
            <w:hideMark/>
          </w:tcPr>
          <w:p w:rsidR="00746951" w:rsidRPr="00557242" w:rsidRDefault="00746951" w:rsidP="00CD63E3">
            <w:pPr>
              <w:rPr>
                <w:rFonts w:ascii="Arial" w:eastAsia="Times New Roman" w:hAnsi="Arial" w:cs="Arial"/>
                <w:b/>
                <w:bCs/>
                <w:color w:val="000000"/>
                <w:sz w:val="16"/>
                <w:szCs w:val="16"/>
                <w:lang w:val="es-CO" w:eastAsia="es-CO"/>
              </w:rPr>
            </w:pPr>
          </w:p>
        </w:tc>
        <w:tc>
          <w:tcPr>
            <w:tcW w:w="1170"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746951" w:rsidRPr="00557242" w:rsidRDefault="00746951" w:rsidP="00CD63E3">
            <w:pPr>
              <w:jc w:val="center"/>
              <w:rPr>
                <w:rFonts w:ascii="Arial" w:eastAsia="Times New Roman" w:hAnsi="Arial" w:cs="Arial"/>
                <w:b/>
                <w:bCs/>
                <w:color w:val="000000"/>
                <w:sz w:val="16"/>
                <w:szCs w:val="16"/>
                <w:lang w:val="es-CO" w:eastAsia="es-CO"/>
              </w:rPr>
            </w:pPr>
            <w:r w:rsidRPr="00557242">
              <w:rPr>
                <w:rFonts w:ascii="Arial" w:eastAsia="Times New Roman" w:hAnsi="Arial" w:cs="Arial"/>
                <w:b/>
                <w:bCs/>
                <w:color w:val="000000"/>
                <w:sz w:val="16"/>
                <w:szCs w:val="16"/>
                <w:lang w:val="es-CO" w:eastAsia="es-CO"/>
              </w:rPr>
              <w:t xml:space="preserve"> PRESUPUESTAL </w:t>
            </w:r>
          </w:p>
        </w:tc>
        <w:tc>
          <w:tcPr>
            <w:tcW w:w="577"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746951" w:rsidRPr="00557242" w:rsidRDefault="00746951" w:rsidP="00CD63E3">
            <w:pPr>
              <w:jc w:val="center"/>
              <w:rPr>
                <w:rFonts w:ascii="Arial" w:eastAsia="Times New Roman" w:hAnsi="Arial" w:cs="Arial"/>
                <w:b/>
                <w:bCs/>
                <w:color w:val="000000"/>
                <w:sz w:val="16"/>
                <w:szCs w:val="16"/>
                <w:lang w:val="es-CO" w:eastAsia="es-CO"/>
              </w:rPr>
            </w:pPr>
            <w:r w:rsidRPr="00557242">
              <w:rPr>
                <w:rFonts w:ascii="Arial" w:eastAsia="Times New Roman" w:hAnsi="Arial" w:cs="Arial"/>
                <w:b/>
                <w:bCs/>
                <w:color w:val="000000"/>
                <w:sz w:val="16"/>
                <w:szCs w:val="16"/>
                <w:lang w:val="es-CO" w:eastAsia="es-CO"/>
              </w:rPr>
              <w:t xml:space="preserve"> DE TESORERÍA </w:t>
            </w:r>
          </w:p>
        </w:tc>
        <w:tc>
          <w:tcPr>
            <w:tcW w:w="928" w:type="pct"/>
            <w:vMerge/>
            <w:tcBorders>
              <w:top w:val="single" w:sz="4" w:space="0" w:color="auto"/>
              <w:left w:val="single" w:sz="4" w:space="0" w:color="auto"/>
              <w:bottom w:val="single" w:sz="4" w:space="0" w:color="auto"/>
              <w:right w:val="single" w:sz="4" w:space="0" w:color="auto"/>
            </w:tcBorders>
            <w:vAlign w:val="center"/>
            <w:hideMark/>
          </w:tcPr>
          <w:p w:rsidR="00746951" w:rsidRPr="00557242" w:rsidRDefault="00746951" w:rsidP="00CD63E3">
            <w:pPr>
              <w:rPr>
                <w:rFonts w:ascii="Arial" w:eastAsia="Times New Roman" w:hAnsi="Arial" w:cs="Arial"/>
                <w:b/>
                <w:bCs/>
                <w:color w:val="000000"/>
                <w:sz w:val="16"/>
                <w:szCs w:val="16"/>
                <w:lang w:val="es-CO" w:eastAsia="es-CO"/>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746951" w:rsidRPr="00557242" w:rsidRDefault="00746951" w:rsidP="00CD63E3">
            <w:pPr>
              <w:rPr>
                <w:rFonts w:ascii="Arial" w:eastAsia="Times New Roman" w:hAnsi="Arial" w:cs="Arial"/>
                <w:b/>
                <w:bCs/>
                <w:color w:val="000000"/>
                <w:sz w:val="16"/>
                <w:szCs w:val="16"/>
                <w:lang w:val="es-CO" w:eastAsia="es-CO"/>
              </w:rPr>
            </w:pP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1. Ingresos (Recaudados)</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$ 48.033,29 </w:t>
            </w:r>
            <w:r w:rsidRPr="00557242">
              <w:rPr>
                <w:rFonts w:ascii="Arial" w:eastAsia="Times New Roman" w:hAnsi="Arial" w:cs="Arial"/>
                <w:color w:val="FF0000"/>
                <w:sz w:val="16"/>
                <w:szCs w:val="16"/>
                <w:lang w:val="es-CO" w:eastAsia="es-CO"/>
              </w:rPr>
              <w:t>(1)</w:t>
            </w:r>
          </w:p>
        </w:tc>
        <w:tc>
          <w:tcPr>
            <w:tcW w:w="577"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6951" w:rsidRPr="00557242" w:rsidRDefault="00746951" w:rsidP="00CD63E3">
            <w:pPr>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w:t>
            </w:r>
          </w:p>
        </w:tc>
        <w:tc>
          <w:tcPr>
            <w:tcW w:w="928"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6951" w:rsidRPr="00557242" w:rsidRDefault="00746951" w:rsidP="00CD63E3">
            <w:pPr>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w:t>
            </w:r>
          </w:p>
        </w:tc>
        <w:tc>
          <w:tcPr>
            <w:tcW w:w="66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$ 48.033,29 </w:t>
            </w:r>
            <w:r w:rsidRPr="00557242">
              <w:rPr>
                <w:rFonts w:ascii="Arial" w:eastAsia="Times New Roman" w:hAnsi="Arial" w:cs="Arial"/>
                <w:color w:val="FF0000"/>
                <w:sz w:val="16"/>
                <w:szCs w:val="16"/>
                <w:lang w:val="es-CO" w:eastAsia="es-CO"/>
              </w:rPr>
              <w:t>(1)</w:t>
            </w: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2. Gastos (Comprometidos) </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$ 48.629,71 </w:t>
            </w:r>
            <w:r w:rsidRPr="00557242">
              <w:rPr>
                <w:rFonts w:ascii="Arial" w:eastAsia="Times New Roman" w:hAnsi="Arial" w:cs="Arial"/>
                <w:color w:val="FF0000"/>
                <w:sz w:val="16"/>
                <w:szCs w:val="16"/>
                <w:lang w:val="es-CO" w:eastAsia="es-CO"/>
              </w:rPr>
              <w:t>(1)</w:t>
            </w:r>
          </w:p>
        </w:tc>
        <w:tc>
          <w:tcPr>
            <w:tcW w:w="577"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6951" w:rsidRPr="00557242" w:rsidRDefault="00746951" w:rsidP="00CD63E3">
            <w:pPr>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w:t>
            </w:r>
          </w:p>
        </w:tc>
        <w:tc>
          <w:tcPr>
            <w:tcW w:w="928"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6951" w:rsidRPr="00557242" w:rsidRDefault="00746951" w:rsidP="00CD63E3">
            <w:pPr>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w:t>
            </w:r>
          </w:p>
        </w:tc>
        <w:tc>
          <w:tcPr>
            <w:tcW w:w="66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$ 48.578,05 </w:t>
            </w:r>
            <w:r w:rsidRPr="00557242">
              <w:rPr>
                <w:rFonts w:ascii="Arial" w:eastAsia="Times New Roman" w:hAnsi="Arial" w:cs="Arial"/>
                <w:color w:val="FF0000"/>
                <w:sz w:val="16"/>
                <w:szCs w:val="16"/>
                <w:lang w:val="es-CO" w:eastAsia="es-CO"/>
              </w:rPr>
              <w:t>(1)</w:t>
            </w: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3. Gastos (Obligados) </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$ 48.582,02</w:t>
            </w:r>
          </w:p>
        </w:tc>
        <w:tc>
          <w:tcPr>
            <w:tcW w:w="577"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6951" w:rsidRPr="00557242" w:rsidRDefault="00746951" w:rsidP="00CD63E3">
            <w:pPr>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w:t>
            </w:r>
          </w:p>
        </w:tc>
        <w:tc>
          <w:tcPr>
            <w:tcW w:w="928"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6951" w:rsidRPr="00557242" w:rsidRDefault="00746951" w:rsidP="00CD63E3">
            <w:pPr>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w:t>
            </w:r>
          </w:p>
        </w:tc>
        <w:tc>
          <w:tcPr>
            <w:tcW w:w="66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$ 48.545,32</w:t>
            </w: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4. Pagos </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$ 48.151,09</w:t>
            </w:r>
          </w:p>
        </w:tc>
        <w:tc>
          <w:tcPr>
            <w:tcW w:w="577"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6951" w:rsidRPr="00557242" w:rsidRDefault="00746951" w:rsidP="00CD63E3">
            <w:pPr>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w:t>
            </w:r>
          </w:p>
        </w:tc>
        <w:tc>
          <w:tcPr>
            <w:tcW w:w="928"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46951" w:rsidRPr="00557242" w:rsidRDefault="00746951" w:rsidP="00CD63E3">
            <w:pPr>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w:t>
            </w:r>
          </w:p>
        </w:tc>
        <w:tc>
          <w:tcPr>
            <w:tcW w:w="66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$ 48.114,39</w:t>
            </w: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Déficit o superávit (1) - (2)  </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-$ 596,42 </w:t>
            </w:r>
            <w:r w:rsidRPr="00557242">
              <w:rPr>
                <w:rFonts w:ascii="Arial" w:eastAsia="Times New Roman" w:hAnsi="Arial" w:cs="Arial"/>
                <w:color w:val="FF0000"/>
                <w:sz w:val="16"/>
                <w:szCs w:val="16"/>
                <w:lang w:val="es-CO" w:eastAsia="es-CO"/>
              </w:rPr>
              <w:t>(1)</w:t>
            </w:r>
          </w:p>
        </w:tc>
        <w:tc>
          <w:tcPr>
            <w:tcW w:w="57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$ 146,54</w:t>
            </w:r>
          </w:p>
        </w:tc>
        <w:tc>
          <w:tcPr>
            <w:tcW w:w="928"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-$ 742,96</w:t>
            </w: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46951" w:rsidRPr="00557242" w:rsidRDefault="00746951" w:rsidP="00CD63E3">
            <w:pPr>
              <w:jc w:val="right"/>
              <w:rPr>
                <w:rFonts w:ascii="Arial" w:eastAsia="Times New Roman" w:hAnsi="Arial" w:cs="Arial"/>
                <w:sz w:val="16"/>
                <w:szCs w:val="16"/>
                <w:lang w:val="es-CO" w:eastAsia="es-CO"/>
              </w:rPr>
            </w:pPr>
            <w:r w:rsidRPr="00557242">
              <w:rPr>
                <w:rFonts w:ascii="Arial" w:eastAsia="Times New Roman" w:hAnsi="Arial" w:cs="Arial"/>
                <w:sz w:val="16"/>
                <w:szCs w:val="16"/>
                <w:lang w:val="es-CO" w:eastAsia="es-CO"/>
              </w:rPr>
              <w:t>$ 146,54</w:t>
            </w: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lastRenderedPageBreak/>
              <w:t xml:space="preserve"> Reservas (2) - (3)</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$ 47,69 </w:t>
            </w:r>
            <w:r w:rsidRPr="00557242">
              <w:rPr>
                <w:rFonts w:ascii="Arial" w:eastAsia="Times New Roman" w:hAnsi="Arial" w:cs="Arial"/>
                <w:color w:val="FF0000"/>
                <w:sz w:val="16"/>
                <w:szCs w:val="16"/>
                <w:lang w:val="es-CO" w:eastAsia="es-CO"/>
              </w:rPr>
              <w:t>(2)</w:t>
            </w:r>
          </w:p>
        </w:tc>
        <w:tc>
          <w:tcPr>
            <w:tcW w:w="57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$ 32,73</w:t>
            </w:r>
          </w:p>
        </w:tc>
        <w:tc>
          <w:tcPr>
            <w:tcW w:w="928"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$ 14,96</w:t>
            </w: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$ 32,73</w:t>
            </w: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Cuentas por pagar (3) – (4)</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$ 430,93</w:t>
            </w:r>
          </w:p>
        </w:tc>
        <w:tc>
          <w:tcPr>
            <w:tcW w:w="57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$ 430,93</w:t>
            </w:r>
          </w:p>
        </w:tc>
        <w:tc>
          <w:tcPr>
            <w:tcW w:w="928"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$ 0,00</w:t>
            </w: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$ 430,93</w:t>
            </w: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Exigibilidades </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rPr>
                <w:rFonts w:ascii="Arial" w:eastAsia="Times New Roman" w:hAnsi="Arial" w:cs="Arial"/>
                <w:color w:val="000000"/>
                <w:sz w:val="16"/>
                <w:szCs w:val="16"/>
                <w:lang w:val="es-CO" w:eastAsia="es-CO"/>
              </w:rPr>
            </w:pPr>
          </w:p>
        </w:tc>
        <w:tc>
          <w:tcPr>
            <w:tcW w:w="57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$ 816,27</w:t>
            </w:r>
          </w:p>
        </w:tc>
        <w:tc>
          <w:tcPr>
            <w:tcW w:w="928"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rPr>
                <w:rFonts w:ascii="Arial" w:eastAsia="Times New Roman" w:hAnsi="Arial" w:cs="Arial"/>
                <w:color w:val="000000"/>
                <w:sz w:val="16"/>
                <w:szCs w:val="16"/>
                <w:lang w:val="es-CO" w:eastAsia="es-CO"/>
              </w:rPr>
            </w:pP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46951" w:rsidRPr="00557242" w:rsidRDefault="00746951" w:rsidP="00CD63E3">
            <w:pPr>
              <w:jc w:val="right"/>
              <w:rPr>
                <w:rFonts w:ascii="Arial" w:eastAsia="Times New Roman" w:hAnsi="Arial" w:cs="Arial"/>
                <w:color w:val="FF0000"/>
                <w:sz w:val="16"/>
                <w:szCs w:val="16"/>
                <w:lang w:val="es-CO" w:eastAsia="es-CO"/>
              </w:rPr>
            </w:pPr>
            <w:r w:rsidRPr="00557242">
              <w:rPr>
                <w:rFonts w:ascii="Arial" w:eastAsia="Times New Roman" w:hAnsi="Arial" w:cs="Arial"/>
                <w:color w:val="FF0000"/>
                <w:sz w:val="16"/>
                <w:szCs w:val="16"/>
                <w:lang w:val="es-CO" w:eastAsia="es-CO"/>
              </w:rPr>
              <w:t> </w:t>
            </w:r>
            <w:r w:rsidRPr="00557242">
              <w:rPr>
                <w:rFonts w:ascii="Arial" w:eastAsia="Times New Roman" w:hAnsi="Arial" w:cs="Arial"/>
                <w:sz w:val="16"/>
                <w:szCs w:val="16"/>
                <w:lang w:val="es-CO" w:eastAsia="es-CO"/>
              </w:rPr>
              <w:t>$ 816,27</w:t>
            </w:r>
          </w:p>
        </w:tc>
      </w:tr>
      <w:tr w:rsidR="00746951" w:rsidRPr="00557242" w:rsidTr="00557242">
        <w:trPr>
          <w:trHeight w:val="20"/>
        </w:trPr>
        <w:tc>
          <w:tcPr>
            <w:tcW w:w="1658" w:type="pct"/>
            <w:tcBorders>
              <w:top w:val="single" w:sz="4" w:space="0" w:color="auto"/>
              <w:left w:val="single" w:sz="4" w:space="0" w:color="auto"/>
              <w:bottom w:val="single" w:sz="4" w:space="0" w:color="auto"/>
              <w:right w:val="single" w:sz="4" w:space="0" w:color="auto"/>
            </w:tcBorders>
            <w:noWrap/>
            <w:vAlign w:val="center"/>
            <w:hideMark/>
          </w:tcPr>
          <w:p w:rsidR="00746951" w:rsidRPr="00557242" w:rsidRDefault="00746951" w:rsidP="00CD63E3">
            <w:pPr>
              <w:jc w:val="both"/>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Saldo en Caja y Bancos (1) - (4)</w:t>
            </w:r>
          </w:p>
        </w:tc>
        <w:tc>
          <w:tcPr>
            <w:tcW w:w="1170"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xml:space="preserve">-$ 117,80 </w:t>
            </w:r>
            <w:r w:rsidRPr="00557242">
              <w:rPr>
                <w:rFonts w:ascii="Arial" w:eastAsia="Times New Roman" w:hAnsi="Arial" w:cs="Arial"/>
                <w:color w:val="FF0000"/>
                <w:sz w:val="16"/>
                <w:szCs w:val="16"/>
                <w:lang w:val="es-CO" w:eastAsia="es-CO"/>
              </w:rPr>
              <w:t>(3)</w:t>
            </w:r>
          </w:p>
        </w:tc>
        <w:tc>
          <w:tcPr>
            <w:tcW w:w="577" w:type="pct"/>
            <w:tcBorders>
              <w:top w:val="single" w:sz="4" w:space="0" w:color="auto"/>
              <w:left w:val="single" w:sz="4" w:space="0" w:color="auto"/>
              <w:bottom w:val="single" w:sz="4" w:space="0" w:color="auto"/>
              <w:right w:val="single" w:sz="4" w:space="0" w:color="auto"/>
            </w:tcBorders>
            <w:noWrap/>
            <w:vAlign w:val="bottom"/>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$ 1.426,47</w:t>
            </w:r>
          </w:p>
        </w:tc>
        <w:tc>
          <w:tcPr>
            <w:tcW w:w="928" w:type="pct"/>
            <w:tcBorders>
              <w:top w:val="single" w:sz="4" w:space="0" w:color="auto"/>
              <w:left w:val="single" w:sz="4" w:space="0" w:color="auto"/>
              <w:bottom w:val="single" w:sz="4" w:space="0" w:color="auto"/>
              <w:right w:val="single" w:sz="4" w:space="0" w:color="auto"/>
            </w:tcBorders>
            <w:noWrap/>
            <w:hideMark/>
          </w:tcPr>
          <w:p w:rsidR="00746951" w:rsidRPr="00557242" w:rsidRDefault="00746951" w:rsidP="00CD63E3">
            <w:pPr>
              <w:jc w:val="right"/>
              <w:rPr>
                <w:rFonts w:ascii="Arial" w:eastAsia="Times New Roman" w:hAnsi="Arial" w:cs="Arial"/>
                <w:color w:val="000000"/>
                <w:sz w:val="16"/>
                <w:szCs w:val="16"/>
                <w:lang w:val="es-CO" w:eastAsia="es-CO"/>
              </w:rPr>
            </w:pPr>
            <w:r w:rsidRPr="00557242">
              <w:rPr>
                <w:rFonts w:ascii="Arial" w:eastAsia="Times New Roman" w:hAnsi="Arial" w:cs="Arial"/>
                <w:color w:val="000000"/>
                <w:sz w:val="16"/>
                <w:szCs w:val="16"/>
                <w:lang w:val="es-CO" w:eastAsia="es-CO"/>
              </w:rPr>
              <w:t>-$ 1.544,27</w:t>
            </w: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46951" w:rsidRPr="00557242" w:rsidRDefault="00746951" w:rsidP="00CD63E3">
            <w:pPr>
              <w:jc w:val="right"/>
              <w:rPr>
                <w:rFonts w:ascii="Arial" w:eastAsia="Times New Roman" w:hAnsi="Arial" w:cs="Arial"/>
                <w:sz w:val="16"/>
                <w:szCs w:val="16"/>
                <w:lang w:val="es-CO" w:eastAsia="es-CO"/>
              </w:rPr>
            </w:pPr>
            <w:r w:rsidRPr="00557242">
              <w:rPr>
                <w:rFonts w:ascii="Arial" w:eastAsia="Times New Roman" w:hAnsi="Arial" w:cs="Arial"/>
                <w:sz w:val="16"/>
                <w:szCs w:val="16"/>
                <w:lang w:val="es-CO" w:eastAsia="es-CO"/>
              </w:rPr>
              <w:t>$ 1.426,47</w:t>
            </w:r>
          </w:p>
        </w:tc>
      </w:tr>
    </w:tbl>
    <w:p w:rsidR="00746951" w:rsidRDefault="00746951" w:rsidP="00CD63E3">
      <w:pPr>
        <w:autoSpaceDE w:val="0"/>
        <w:autoSpaceDN w:val="0"/>
        <w:adjustRightInd w:val="0"/>
        <w:jc w:val="center"/>
        <w:rPr>
          <w:rStyle w:val="nfasissutil"/>
        </w:rPr>
      </w:pPr>
      <w:r>
        <w:rPr>
          <w:rStyle w:val="nfasissutil"/>
          <w:lang w:val="es-CO"/>
        </w:rPr>
        <w:t>Fuente: Cálculos DAF con base en Ejecución Presupuestal, cierre de tesorería y reporte FUT al 31 de diciembre de 2019.</w:t>
      </w:r>
    </w:p>
    <w:p w:rsidR="00746951" w:rsidRDefault="00746951" w:rsidP="00CD63E3">
      <w:pPr>
        <w:rPr>
          <w:rFonts w:cs="Arial"/>
          <w:sz w:val="22"/>
          <w:szCs w:val="22"/>
        </w:rPr>
      </w:pPr>
    </w:p>
    <w:p w:rsidR="00746951" w:rsidRDefault="00746951" w:rsidP="00CD63E3">
      <w:pPr>
        <w:jc w:val="both"/>
        <w:rPr>
          <w:rFonts w:ascii="Arial" w:hAnsi="Arial" w:cs="Arial"/>
          <w:sz w:val="22"/>
          <w:szCs w:val="22"/>
          <w:lang w:val="es-CO"/>
        </w:rPr>
      </w:pPr>
      <w:r>
        <w:rPr>
          <w:rFonts w:ascii="Arial" w:hAnsi="Arial" w:cs="Arial"/>
          <w:sz w:val="22"/>
          <w:szCs w:val="22"/>
          <w:lang w:val="es-CO"/>
        </w:rPr>
        <w:t xml:space="preserve">(1) Se identifican incorrectas prácticas presupuestales adelantadas por la Entidad al realizar compromisos con fuentes de la participación de educación, tanto corrientes como de capital, que derivan en compromisos superiores a los ingresos recibidos. </w:t>
      </w:r>
    </w:p>
    <w:p w:rsidR="00A13D52" w:rsidRDefault="00A13D52" w:rsidP="00CD63E3">
      <w:pPr>
        <w:jc w:val="both"/>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 xml:space="preserve">Estas cifras describen déficit en la ejecución presupuestal </w:t>
      </w:r>
      <w:r w:rsidR="00A13D52">
        <w:rPr>
          <w:rFonts w:ascii="Arial" w:hAnsi="Arial" w:cs="Arial"/>
          <w:sz w:val="22"/>
          <w:szCs w:val="22"/>
          <w:lang w:val="es-CO"/>
        </w:rPr>
        <w:t xml:space="preserve">por $596 millones </w:t>
      </w:r>
      <w:r>
        <w:rPr>
          <w:rFonts w:ascii="Arial" w:hAnsi="Arial" w:cs="Arial"/>
          <w:sz w:val="22"/>
          <w:szCs w:val="22"/>
          <w:lang w:val="es-CO"/>
        </w:rPr>
        <w:t xml:space="preserve">y </w:t>
      </w:r>
      <w:r w:rsidR="00A13D52">
        <w:rPr>
          <w:rFonts w:ascii="Arial" w:hAnsi="Arial" w:cs="Arial"/>
          <w:sz w:val="22"/>
          <w:szCs w:val="22"/>
          <w:lang w:val="es-CO"/>
        </w:rPr>
        <w:t>al comparar la información reportada en las categorías de ingresos y gastos d</w:t>
      </w:r>
      <w:r>
        <w:rPr>
          <w:rFonts w:ascii="Arial" w:hAnsi="Arial" w:cs="Arial"/>
          <w:sz w:val="22"/>
          <w:szCs w:val="22"/>
          <w:lang w:val="es-CO"/>
        </w:rPr>
        <w:t>el FUT</w:t>
      </w:r>
      <w:r w:rsidR="00A13D52">
        <w:rPr>
          <w:rFonts w:ascii="Arial" w:hAnsi="Arial" w:cs="Arial"/>
          <w:sz w:val="22"/>
          <w:szCs w:val="22"/>
          <w:lang w:val="es-CO"/>
        </w:rPr>
        <w:t xml:space="preserve"> el déficit ascendería a $543 millones. S</w:t>
      </w:r>
      <w:r>
        <w:rPr>
          <w:rFonts w:ascii="Arial" w:hAnsi="Arial" w:cs="Arial"/>
          <w:sz w:val="22"/>
          <w:szCs w:val="22"/>
          <w:lang w:val="es-CO"/>
        </w:rPr>
        <w:t xml:space="preserve">in embargo, en la categoría de Cierre Fiscal del FUT y en el cierre de tesorería de la Entidad, </w:t>
      </w:r>
      <w:r w:rsidR="00A13D52">
        <w:rPr>
          <w:rFonts w:ascii="Arial" w:hAnsi="Arial" w:cs="Arial"/>
          <w:sz w:val="22"/>
          <w:szCs w:val="22"/>
          <w:lang w:val="es-CO"/>
        </w:rPr>
        <w:t>se reporta un superávit de $147 millones</w:t>
      </w:r>
      <w:r>
        <w:rPr>
          <w:rFonts w:ascii="Arial" w:hAnsi="Arial" w:cs="Arial"/>
          <w:sz w:val="22"/>
          <w:szCs w:val="22"/>
          <w:lang w:val="es-CO"/>
        </w:rPr>
        <w:t xml:space="preserve">. Lo anterior, permite concluir la falta de conciliación de las cifras y movimientos presupuestales adelantados por el Municipio, al igual que inconsistencias en los reportes de información para las categorías del FUT de Ingresos, Gastos de Inversión y Gastos de Funcionamiento, </w:t>
      </w:r>
      <w:r w:rsidR="00A13D52">
        <w:rPr>
          <w:rFonts w:ascii="Arial" w:hAnsi="Arial" w:cs="Arial"/>
          <w:sz w:val="22"/>
          <w:szCs w:val="22"/>
          <w:lang w:val="es-CO"/>
        </w:rPr>
        <w:t xml:space="preserve">durante </w:t>
      </w:r>
      <w:r>
        <w:rPr>
          <w:rFonts w:ascii="Arial" w:hAnsi="Arial" w:cs="Arial"/>
          <w:sz w:val="22"/>
          <w:szCs w:val="22"/>
          <w:lang w:val="es-CO"/>
        </w:rPr>
        <w:t>la vigencia 2019.</w:t>
      </w:r>
    </w:p>
    <w:p w:rsidR="00746951" w:rsidRDefault="00746951" w:rsidP="00CD63E3">
      <w:pPr>
        <w:jc w:val="both"/>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 xml:space="preserve">(2) La estimación de las reservas, realizada a partir de la información </w:t>
      </w:r>
      <w:r w:rsidR="00A13D52">
        <w:rPr>
          <w:rFonts w:ascii="Arial" w:hAnsi="Arial" w:cs="Arial"/>
          <w:sz w:val="22"/>
          <w:szCs w:val="22"/>
          <w:lang w:val="es-CO"/>
        </w:rPr>
        <w:t>registrada</w:t>
      </w:r>
      <w:r>
        <w:rPr>
          <w:rFonts w:ascii="Arial" w:hAnsi="Arial" w:cs="Arial"/>
          <w:sz w:val="22"/>
          <w:szCs w:val="22"/>
          <w:lang w:val="es-CO"/>
        </w:rPr>
        <w:t xml:space="preserve"> en la ejecución presupuestal, describe un monto de $47,69 millones, mientras que, al realizar esta estimación con las cifras reportadas al FUT de las categorías de Ingresos, Gastos de Funcionamiento y Gastos de Inversión, se identifica consistencia con el cierre de tesorería y la información reportada en la categoría Cierre Fiscal, por $32,73 millones. Esta situación describe una falta de conciliación entre las cifras </w:t>
      </w:r>
      <w:r w:rsidR="00A13D52">
        <w:rPr>
          <w:rFonts w:ascii="Arial" w:hAnsi="Arial" w:cs="Arial"/>
          <w:sz w:val="22"/>
          <w:szCs w:val="22"/>
          <w:lang w:val="es-CO"/>
        </w:rPr>
        <w:t>registradas</w:t>
      </w:r>
      <w:r>
        <w:rPr>
          <w:rFonts w:ascii="Arial" w:hAnsi="Arial" w:cs="Arial"/>
          <w:sz w:val="22"/>
          <w:szCs w:val="22"/>
          <w:lang w:val="es-CO"/>
        </w:rPr>
        <w:t xml:space="preserve"> en la ejecución presupuestal y los procesos de reporte de información a las categorías del FUT, razón por la que se recomienda implementar procesos de control que garantice</w:t>
      </w:r>
      <w:r w:rsidR="00A13D52">
        <w:rPr>
          <w:rFonts w:ascii="Arial" w:hAnsi="Arial" w:cs="Arial"/>
          <w:sz w:val="22"/>
          <w:szCs w:val="22"/>
          <w:lang w:val="es-CO"/>
        </w:rPr>
        <w:t>n</w:t>
      </w:r>
      <w:r>
        <w:rPr>
          <w:rFonts w:ascii="Arial" w:hAnsi="Arial" w:cs="Arial"/>
          <w:sz w:val="22"/>
          <w:szCs w:val="22"/>
          <w:lang w:val="es-CO"/>
        </w:rPr>
        <w:t xml:space="preserve"> la consistencia de las cifras.</w:t>
      </w:r>
    </w:p>
    <w:p w:rsidR="00746951" w:rsidRDefault="00746951" w:rsidP="00CD63E3">
      <w:pPr>
        <w:jc w:val="both"/>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 xml:space="preserve">(3) Se identifica que el reporte efectuado al FUT para la categoría de Cierre Fiscal es coherente con el cierre de tesorería analizado, sin embargo, las estimaciones del saldo en caja y bancos efectuadas a partir de las ejecuciones presupuestales y de la información reportada en el FUT para las categorías de Ingresos, Gastos de Funcionamiento y Gastos de Inversión presentan diferencias con los valores </w:t>
      </w:r>
      <w:r w:rsidR="00A13D52">
        <w:rPr>
          <w:rFonts w:ascii="Arial" w:hAnsi="Arial" w:cs="Arial"/>
          <w:sz w:val="22"/>
          <w:szCs w:val="22"/>
          <w:lang w:val="es-CO"/>
        </w:rPr>
        <w:t xml:space="preserve">registrados </w:t>
      </w:r>
      <w:r>
        <w:rPr>
          <w:rFonts w:ascii="Arial" w:hAnsi="Arial" w:cs="Arial"/>
          <w:sz w:val="22"/>
          <w:szCs w:val="22"/>
          <w:lang w:val="es-CO"/>
        </w:rPr>
        <w:t>en los cierres descritos. Lo anterior describe la ausencia de procesos de conciliación de cifras presupuestales, sin embargo, no se dispuso de la información financiera asociada a las cuentas bancarias de la Entidad, con el propósito de verificar los saldos presentes en caja y bancos.</w:t>
      </w:r>
    </w:p>
    <w:p w:rsidR="00746951" w:rsidRDefault="00746951" w:rsidP="00CD63E3">
      <w:pPr>
        <w:rPr>
          <w:rFonts w:ascii="Arial" w:hAnsi="Arial" w:cs="Arial"/>
          <w:sz w:val="22"/>
          <w:szCs w:val="22"/>
          <w:lang w:val="es-CO"/>
        </w:rPr>
      </w:pPr>
    </w:p>
    <w:p w:rsidR="00746951" w:rsidRDefault="00746951" w:rsidP="00CD63E3">
      <w:pPr>
        <w:pStyle w:val="Prrafodelista"/>
        <w:numPr>
          <w:ilvl w:val="0"/>
          <w:numId w:val="8"/>
        </w:numPr>
        <w:jc w:val="both"/>
        <w:rPr>
          <w:rFonts w:ascii="Arial" w:hAnsi="Arial" w:cs="Arial"/>
          <w:b/>
          <w:sz w:val="22"/>
          <w:szCs w:val="22"/>
          <w:lang w:val="es-CO"/>
        </w:rPr>
      </w:pPr>
      <w:r>
        <w:rPr>
          <w:rFonts w:ascii="Arial" w:hAnsi="Arial" w:cs="Arial"/>
          <w:b/>
          <w:sz w:val="22"/>
          <w:szCs w:val="22"/>
          <w:lang w:val="es-CO"/>
        </w:rPr>
        <w:t>Resultados de la evaluación a la medida adoptada</w:t>
      </w:r>
    </w:p>
    <w:p w:rsidR="00746951" w:rsidRDefault="00746951" w:rsidP="00CD63E3">
      <w:pPr>
        <w:rPr>
          <w:rFonts w:ascii="Arial" w:hAnsi="Arial" w:cs="Arial"/>
          <w:b/>
          <w:sz w:val="22"/>
          <w:szCs w:val="22"/>
          <w:lang w:val="es-CO"/>
        </w:rPr>
      </w:pPr>
    </w:p>
    <w:p w:rsidR="00746951" w:rsidRDefault="00746951" w:rsidP="00CD63E3">
      <w:pPr>
        <w:jc w:val="both"/>
        <w:rPr>
          <w:rFonts w:ascii="Arial" w:hAnsi="Arial" w:cs="Arial"/>
          <w:sz w:val="22"/>
          <w:szCs w:val="22"/>
        </w:rPr>
      </w:pPr>
      <w:r>
        <w:rPr>
          <w:rFonts w:ascii="Arial" w:hAnsi="Arial" w:cs="Arial"/>
          <w:sz w:val="22"/>
          <w:szCs w:val="22"/>
        </w:rPr>
        <w:t xml:space="preserve">En el marco de la ejecución del Plan de Desempeño, esta Dirección realizó una visita de seguimiento entre los días 13 al 15 de mayo de 2019, solicitando a la Administración Municipal la información asociada a las acciones de cumplimiento del Plan de Desempeño, </w:t>
      </w:r>
      <w:r>
        <w:rPr>
          <w:rFonts w:ascii="Arial" w:hAnsi="Arial" w:cs="Arial"/>
          <w:sz w:val="22"/>
          <w:szCs w:val="22"/>
        </w:rPr>
        <w:lastRenderedPageBreak/>
        <w:t>la cual fue remitida mediante el radicado No. 1-2019-045070 del 16 de mayo de 2019, con el propósito de analizar el avance de las siguientes actividades:</w:t>
      </w:r>
    </w:p>
    <w:p w:rsidR="00746951" w:rsidRDefault="00746951" w:rsidP="00CD63E3">
      <w:pPr>
        <w:jc w:val="both"/>
        <w:rPr>
          <w:rFonts w:ascii="Arial" w:hAnsi="Arial" w:cs="Arial"/>
          <w:sz w:val="22"/>
          <w:szCs w:val="22"/>
        </w:rPr>
      </w:pPr>
    </w:p>
    <w:tbl>
      <w:tblPr>
        <w:tblStyle w:val="Tablaconcuadrcula"/>
        <w:tblW w:w="5000" w:type="pct"/>
        <w:tblLook w:val="04A0" w:firstRow="1" w:lastRow="0" w:firstColumn="1" w:lastColumn="0" w:noHBand="0" w:noVBand="1"/>
      </w:tblPr>
      <w:tblGrid>
        <w:gridCol w:w="694"/>
        <w:gridCol w:w="6875"/>
        <w:gridCol w:w="1259"/>
      </w:tblGrid>
      <w:tr w:rsidR="00746951" w:rsidTr="00A13D52">
        <w:trPr>
          <w:tblHeader/>
        </w:trPr>
        <w:tc>
          <w:tcPr>
            <w:tcW w:w="393"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center"/>
              <w:rPr>
                <w:rFonts w:ascii="Arial" w:hAnsi="Arial" w:cs="Arial"/>
                <w:b/>
                <w:bCs/>
                <w:sz w:val="18"/>
                <w:szCs w:val="18"/>
              </w:rPr>
            </w:pPr>
            <w:r>
              <w:rPr>
                <w:rFonts w:ascii="Arial" w:hAnsi="Arial" w:cs="Arial"/>
                <w:b/>
                <w:bCs/>
                <w:sz w:val="18"/>
                <w:szCs w:val="18"/>
              </w:rPr>
              <w:t>No.</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center"/>
              <w:rPr>
                <w:rFonts w:ascii="Arial" w:hAnsi="Arial" w:cs="Arial"/>
                <w:b/>
                <w:bCs/>
                <w:sz w:val="18"/>
                <w:szCs w:val="18"/>
              </w:rPr>
            </w:pPr>
            <w:r>
              <w:rPr>
                <w:rFonts w:ascii="Arial" w:hAnsi="Arial" w:cs="Arial"/>
                <w:b/>
                <w:bCs/>
                <w:sz w:val="18"/>
                <w:szCs w:val="18"/>
              </w:rPr>
              <w:t>Actividades / Indicadores</w:t>
            </w:r>
          </w:p>
        </w:tc>
        <w:tc>
          <w:tcPr>
            <w:tcW w:w="713"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center"/>
              <w:rPr>
                <w:rFonts w:ascii="Arial" w:hAnsi="Arial" w:cs="Arial"/>
                <w:b/>
                <w:bCs/>
                <w:sz w:val="18"/>
                <w:szCs w:val="18"/>
              </w:rPr>
            </w:pPr>
            <w:r>
              <w:rPr>
                <w:rFonts w:ascii="Arial" w:hAnsi="Arial" w:cs="Arial"/>
                <w:b/>
                <w:bCs/>
                <w:sz w:val="18"/>
                <w:szCs w:val="18"/>
              </w:rPr>
              <w:t>Evaluación</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1.1.1.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Articular los procesos de gestión y reporte de información financiera del Sector Educación al interior de la Secretaría de Hacienda y de esta con la Secretaría de Educación, de forma tal que permita a la Secretaría de Educación realizar el seguimiento total a la información presupuestal y de tesorería del Sector.</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1.1.2.</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Reportar la información financiera de ingresos, gastos y cierre fiscal del sector, en el Formulario Único territorial -FUT, con criterios de consistencia, calidad, oportunidad, formalidad y suficiencia, de conformidad con los recursos asignados por el Ministerio de Educación Nacional y lo establecido en la normatividad vigente</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1.1.3.</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Dar cumplimiento al proceso interno para que los ajustes de los recursos sin situación de fondos se hagan oportunamente y de acuerdo con los giros PAC realizados por el Ministerio de Educación Nacional, valores de las nóminas mensuales / Incorporar en el ingreso y ejecutar en el gasto, los recursos del SGP en Educación CSF y SSF (realizando toda la cadena presupuestal, contable y de tesorería).</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1.1.4.</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Actualizar con oportunidad el FUC de tal forma que el reporte guarde consistencia con la información reportada en SIMAT, ejecución presupuestal, FUT y expedientes contractuales.</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1.1.5.</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Efectuar el cierre presupuestal y de tesorería, guardando coherencia entre los saldos reportados en los estados de tesorería y los extractos y conciliaciones bancarias.</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2.1.1.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Garantizar el cumplimiento de la reglamentación de la contratación del servicio educativo estipulada en el Decreto 1075 de 2015.</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2.1.2.</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Publicar en el Sistema Electrónico de Contratación Pública la totalidad de documentos y actos relacionados con el proceso de contratación conforme la normatividad vigente.</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2.1.3.</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Garantizar la supervisión y/o interventoría de acuerdo con la normatividad vigente.</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2.2.1.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Dar cumplimiento a las condiciones, procesos y lineamientos en la adquisición de bienes y servicios para el sector educación, de acuerdo con los fines de destinación de los recursos con que se financian y la observancia de la normatividad de contratación en su ejecución.</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3.1.1.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Reconocer oportunamente las Zonas de Difícil Acceso, así como, apropiar, ejecutar y pagar, las obligaciones por este concepto a los docentes y directivos docentes, que durante el año lectivo, laboren permanentemente en Zonas de Difícil Acceso.</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Avanzada</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3.1.2.</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Normalizar la entrega de la dotación de personal del sector educativo conforme la normatividad.</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3.2.1.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Adelantar con el Ministerio de Educación Nacional la actualización del estudio técnico de planta docente, de conformidad con los requisitos establecidos en la normatividad vigente y los lineamientos del MEN.</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3.2.3.</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Ajustar los gastos administrativos con cargo a los recursos del SGP Educación al tope establecido por la Nación en concordancia con la Ley 1176 de 2007; Garantizando que el aumento salarial del personal administrativo no supere el máximo definido por la Nación. *En caso de que exceda el monto máximo de gastos, evidenciar la compensación de los gastos excedidos mediante la expedición de registros presupuestales con cargo a recursos propios para financiar las destinaciones permitidas en el artículo 15 de la Ley 715 de 2001.</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4.1.1.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Depurar las medidas cautelares contra recursos del SGP – Educación y gestionar su levantamiento</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5.1.1.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Sanear la deuda de servicios públicos de las instituciones educativas</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6.1.1.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Sincronizar los sistemas de información del sector de acuerdo con el acto administrativo que define el Directorio Único de Establecimientos Educativos del Municipio.</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6.1.2.</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 xml:space="preserve">Adelantar las verificaciones y corregir las inconsistencias en la información de los sistemas DUE, SIMAT, HUMANO, SINEB y SIFSE, hasta subsanar los hallazgos </w:t>
            </w:r>
            <w:r>
              <w:rPr>
                <w:rFonts w:ascii="Arial" w:hAnsi="Arial" w:cs="Arial"/>
                <w:sz w:val="18"/>
                <w:szCs w:val="18"/>
              </w:rPr>
              <w:lastRenderedPageBreak/>
              <w:t>derivados de las validaciones de consistencia realizadas por el Ministerio de Educación Nacional. La línea base es el corte a octubre de 2018, en la cual se relacionan 6 inconsistencias.</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lastRenderedPageBreak/>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7.1.1.</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Depurar y conciliar las deudas con el Fondo Nacional de Prestaciones Sociales del Magisterio; Tramitar el respectivo cruce de cuentas con la Fiduprevisora ante el Ministerio de Educación Nacional.</w:t>
            </w:r>
            <w:r>
              <w:rPr>
                <w:rFonts w:ascii="Arial" w:hAnsi="Arial" w:cs="Arial"/>
                <w:sz w:val="18"/>
                <w:szCs w:val="18"/>
              </w:rPr>
              <w:tab/>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r w:rsidR="00746951" w:rsidTr="00A13D52">
        <w:tc>
          <w:tcPr>
            <w:tcW w:w="39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7.1.2.</w:t>
            </w:r>
          </w:p>
        </w:tc>
        <w:tc>
          <w:tcPr>
            <w:tcW w:w="3894" w:type="pct"/>
            <w:tcBorders>
              <w:top w:val="single" w:sz="4" w:space="0" w:color="auto"/>
              <w:left w:val="single" w:sz="4" w:space="0" w:color="auto"/>
              <w:bottom w:val="single" w:sz="4" w:space="0" w:color="auto"/>
              <w:right w:val="single" w:sz="4" w:space="0" w:color="auto"/>
            </w:tcBorders>
            <w:hideMark/>
          </w:tcPr>
          <w:p w:rsidR="00746951" w:rsidRDefault="00746951" w:rsidP="00CD63E3">
            <w:pPr>
              <w:jc w:val="both"/>
              <w:rPr>
                <w:rFonts w:ascii="Arial" w:hAnsi="Arial" w:cs="Arial"/>
                <w:sz w:val="18"/>
                <w:szCs w:val="18"/>
              </w:rPr>
            </w:pPr>
            <w:r>
              <w:rPr>
                <w:rFonts w:ascii="Arial" w:hAnsi="Arial" w:cs="Arial"/>
                <w:sz w:val="18"/>
                <w:szCs w:val="18"/>
              </w:rPr>
              <w:t>Aclarar las deudas laborales canceladas al personal docente con recursos del SGP – Calidad de la vigencia 2017. En caso de que estos pagos se hayan realizado sin dar cumplimiento a lo establecido en el Artículo 148 de la Ley 1450 de 2011, compensar los recursos ejecutados.</w:t>
            </w:r>
          </w:p>
        </w:tc>
        <w:tc>
          <w:tcPr>
            <w:tcW w:w="713" w:type="pct"/>
            <w:tcBorders>
              <w:top w:val="single" w:sz="4" w:space="0" w:color="auto"/>
              <w:left w:val="single" w:sz="4" w:space="0" w:color="auto"/>
              <w:bottom w:val="single" w:sz="4" w:space="0" w:color="auto"/>
              <w:right w:val="single" w:sz="4" w:space="0" w:color="auto"/>
            </w:tcBorders>
            <w:vAlign w:val="center"/>
            <w:hideMark/>
          </w:tcPr>
          <w:p w:rsidR="00746951" w:rsidRDefault="00746951" w:rsidP="00CD63E3">
            <w:pPr>
              <w:jc w:val="center"/>
              <w:rPr>
                <w:rFonts w:ascii="Arial" w:hAnsi="Arial" w:cs="Arial"/>
                <w:sz w:val="18"/>
                <w:szCs w:val="18"/>
              </w:rPr>
            </w:pPr>
            <w:r>
              <w:rPr>
                <w:rFonts w:ascii="Arial" w:hAnsi="Arial" w:cs="Arial"/>
                <w:sz w:val="18"/>
                <w:szCs w:val="18"/>
              </w:rPr>
              <w:t>Sin avance</w:t>
            </w:r>
          </w:p>
        </w:tc>
      </w:tr>
    </w:tbl>
    <w:p w:rsidR="00746951" w:rsidRDefault="00746951" w:rsidP="00CD63E3">
      <w:pPr>
        <w:jc w:val="both"/>
        <w:rPr>
          <w:rFonts w:ascii="Arial" w:hAnsi="Arial" w:cs="Arial"/>
          <w:sz w:val="22"/>
          <w:szCs w:val="22"/>
        </w:rPr>
      </w:pPr>
    </w:p>
    <w:p w:rsidR="00746951" w:rsidRDefault="00746951" w:rsidP="00CD63E3">
      <w:pPr>
        <w:jc w:val="both"/>
        <w:rPr>
          <w:rFonts w:ascii="Arial" w:hAnsi="Arial" w:cs="Arial"/>
          <w:sz w:val="22"/>
          <w:szCs w:val="22"/>
        </w:rPr>
      </w:pPr>
      <w:r>
        <w:rPr>
          <w:rFonts w:ascii="Arial" w:hAnsi="Arial" w:cs="Arial"/>
          <w:sz w:val="22"/>
          <w:szCs w:val="22"/>
        </w:rPr>
        <w:t>A continuación, se presenta un análisis detallado del cumplimiento de las actividades a partir de la información analizada.</w:t>
      </w:r>
    </w:p>
    <w:p w:rsidR="00746951" w:rsidRDefault="00746951" w:rsidP="00CD63E3">
      <w:pPr>
        <w:jc w:val="both"/>
        <w:rPr>
          <w:rFonts w:ascii="Arial" w:hAnsi="Arial" w:cs="Arial"/>
          <w:sz w:val="22"/>
          <w:szCs w:val="22"/>
          <w:highlight w:val="yellow"/>
          <w:lang w:val="es-CO"/>
        </w:rPr>
      </w:pPr>
    </w:p>
    <w:p w:rsidR="00746951" w:rsidRPr="00B7605D" w:rsidRDefault="00A13D52" w:rsidP="00CD63E3">
      <w:pPr>
        <w:pStyle w:val="Prrafodelista"/>
        <w:numPr>
          <w:ilvl w:val="0"/>
          <w:numId w:val="9"/>
        </w:numPr>
        <w:jc w:val="both"/>
        <w:rPr>
          <w:rFonts w:ascii="Arial" w:hAnsi="Arial" w:cs="Arial"/>
          <w:b/>
          <w:sz w:val="22"/>
          <w:szCs w:val="22"/>
          <w:lang w:val="es-CO"/>
        </w:rPr>
      </w:pPr>
      <w:r w:rsidRPr="00B7605D">
        <w:rPr>
          <w:rFonts w:ascii="Arial" w:hAnsi="Arial" w:cs="Arial"/>
          <w:b/>
          <w:sz w:val="22"/>
          <w:szCs w:val="22"/>
          <w:lang w:val="es-CO"/>
        </w:rPr>
        <w:t>Incumplimientos</w:t>
      </w:r>
    </w:p>
    <w:p w:rsidR="00746951" w:rsidRPr="00B7605D" w:rsidRDefault="00746951" w:rsidP="00CD63E3">
      <w:pPr>
        <w:rPr>
          <w:rFonts w:ascii="Arial" w:hAnsi="Arial" w:cs="Arial"/>
          <w:b/>
          <w:sz w:val="22"/>
          <w:szCs w:val="22"/>
          <w:lang w:val="es-CO"/>
        </w:rPr>
      </w:pPr>
    </w:p>
    <w:p w:rsidR="00746951" w:rsidRPr="00B7605D" w:rsidRDefault="00746951" w:rsidP="00CD63E3">
      <w:pPr>
        <w:jc w:val="both"/>
        <w:rPr>
          <w:rFonts w:ascii="Arial" w:hAnsi="Arial" w:cs="Arial"/>
          <w:b/>
          <w:sz w:val="22"/>
          <w:szCs w:val="22"/>
          <w:lang w:val="es-CO"/>
        </w:rPr>
      </w:pPr>
      <w:r w:rsidRPr="00B7605D">
        <w:rPr>
          <w:rFonts w:ascii="Arial" w:hAnsi="Arial" w:cs="Arial"/>
          <w:b/>
          <w:sz w:val="22"/>
          <w:szCs w:val="22"/>
          <w:lang w:val="es-CO"/>
        </w:rPr>
        <w:t>Actividad 1.1.1. Articular los procesos de gestión y reporte de información financiera del Sector educación al interior de la Secretar</w:t>
      </w:r>
      <w:r w:rsidR="00A13D52" w:rsidRPr="00B7605D">
        <w:rPr>
          <w:rFonts w:ascii="Arial" w:hAnsi="Arial" w:cs="Arial"/>
          <w:b/>
          <w:sz w:val="22"/>
          <w:szCs w:val="22"/>
          <w:lang w:val="es-CO"/>
        </w:rPr>
        <w:t>í</w:t>
      </w:r>
      <w:r w:rsidRPr="00B7605D">
        <w:rPr>
          <w:rFonts w:ascii="Arial" w:hAnsi="Arial" w:cs="Arial"/>
          <w:b/>
          <w:sz w:val="22"/>
          <w:szCs w:val="22"/>
          <w:lang w:val="es-CO"/>
        </w:rPr>
        <w:t xml:space="preserve">a de Hacienda y de </w:t>
      </w:r>
      <w:r w:rsidR="00A13D52" w:rsidRPr="00B7605D">
        <w:rPr>
          <w:rFonts w:ascii="Arial" w:hAnsi="Arial" w:cs="Arial"/>
          <w:b/>
          <w:sz w:val="22"/>
          <w:szCs w:val="22"/>
          <w:lang w:val="es-CO"/>
        </w:rPr>
        <w:t>é</w:t>
      </w:r>
      <w:r w:rsidRPr="00B7605D">
        <w:rPr>
          <w:rFonts w:ascii="Arial" w:hAnsi="Arial" w:cs="Arial"/>
          <w:b/>
          <w:sz w:val="22"/>
          <w:szCs w:val="22"/>
          <w:lang w:val="es-CO"/>
        </w:rPr>
        <w:t>sta con la Secretar</w:t>
      </w:r>
      <w:r w:rsidR="00A13D52" w:rsidRPr="00B7605D">
        <w:rPr>
          <w:rFonts w:ascii="Arial" w:hAnsi="Arial" w:cs="Arial"/>
          <w:b/>
          <w:sz w:val="22"/>
          <w:szCs w:val="22"/>
          <w:lang w:val="es-CO"/>
        </w:rPr>
        <w:t>í</w:t>
      </w:r>
      <w:r w:rsidRPr="00B7605D">
        <w:rPr>
          <w:rFonts w:ascii="Arial" w:hAnsi="Arial" w:cs="Arial"/>
          <w:b/>
          <w:sz w:val="22"/>
          <w:szCs w:val="22"/>
          <w:lang w:val="es-CO"/>
        </w:rPr>
        <w:t>a de Educación, de forma tal que permita a la Secretar</w:t>
      </w:r>
      <w:r w:rsidR="00A13D52" w:rsidRPr="00B7605D">
        <w:rPr>
          <w:rFonts w:ascii="Arial" w:hAnsi="Arial" w:cs="Arial"/>
          <w:b/>
          <w:sz w:val="22"/>
          <w:szCs w:val="22"/>
          <w:lang w:val="es-CO"/>
        </w:rPr>
        <w:t>í</w:t>
      </w:r>
      <w:r w:rsidRPr="00B7605D">
        <w:rPr>
          <w:rFonts w:ascii="Arial" w:hAnsi="Arial" w:cs="Arial"/>
          <w:b/>
          <w:sz w:val="22"/>
          <w:szCs w:val="22"/>
          <w:lang w:val="es-CO"/>
        </w:rPr>
        <w:t>a de Educación el seguimiento total a la información presupuestal y de tesorería del Sector.</w:t>
      </w:r>
    </w:p>
    <w:p w:rsidR="00746951" w:rsidRPr="00B7605D" w:rsidRDefault="00746951" w:rsidP="00CD63E3">
      <w:pPr>
        <w:jc w:val="both"/>
        <w:rPr>
          <w:rFonts w:ascii="Arial" w:hAnsi="Arial" w:cs="Arial"/>
          <w:b/>
          <w:sz w:val="22"/>
          <w:szCs w:val="22"/>
          <w:lang w:val="es-CO"/>
        </w:rPr>
      </w:pPr>
    </w:p>
    <w:p w:rsidR="00746951" w:rsidRPr="00B7605D" w:rsidRDefault="00746951" w:rsidP="00A13D52">
      <w:pPr>
        <w:pStyle w:val="Prrafodelista"/>
        <w:numPr>
          <w:ilvl w:val="0"/>
          <w:numId w:val="12"/>
        </w:numPr>
        <w:ind w:left="284" w:hanging="284"/>
        <w:jc w:val="both"/>
        <w:rPr>
          <w:rFonts w:ascii="Arial" w:hAnsi="Arial" w:cs="Arial"/>
          <w:sz w:val="22"/>
          <w:szCs w:val="22"/>
          <w:lang w:val="es-CO"/>
        </w:rPr>
      </w:pPr>
      <w:r w:rsidRPr="00B7605D">
        <w:rPr>
          <w:rFonts w:ascii="Arial" w:hAnsi="Arial" w:cs="Arial"/>
          <w:i/>
          <w:iCs/>
          <w:sz w:val="22"/>
          <w:szCs w:val="22"/>
          <w:lang w:val="es-CO"/>
        </w:rPr>
        <w:t>Productos:</w:t>
      </w:r>
      <w:r w:rsidRPr="00B7605D">
        <w:rPr>
          <w:rFonts w:ascii="Arial" w:hAnsi="Arial" w:cs="Arial"/>
          <w:sz w:val="22"/>
          <w:szCs w:val="22"/>
          <w:lang w:val="es-CO"/>
        </w:rPr>
        <w:t xml:space="preserve"> Acta de reuniones del comité previas a la presentación de los reportes al FUT que evidencien la conciliación de la información a reportar. Calificación “Aceptable” en los indicadores que se establezcan para la calificación de la gestión financiera en el informe anual de monitoreo que elabore el Ministerio de Educación Nacional, conforme el artículo 2.6.3.1.4 del Decreto 1068 del 2015. Certificaciones de tesorería y contabilidad debidamente conciliadas con el financiero de la Secretaria de Educación. Conciliación bancaria al día, dentro de los 10 días siguientes al mes terminado.</w:t>
      </w:r>
    </w:p>
    <w:p w:rsidR="00746951" w:rsidRPr="00B7605D" w:rsidRDefault="00746951" w:rsidP="00CD63E3">
      <w:pPr>
        <w:jc w:val="both"/>
        <w:rPr>
          <w:rFonts w:ascii="Arial" w:hAnsi="Arial" w:cs="Arial"/>
          <w:sz w:val="22"/>
          <w:szCs w:val="22"/>
          <w:lang w:val="es-CO"/>
        </w:rPr>
      </w:pPr>
    </w:p>
    <w:p w:rsidR="00746951" w:rsidRDefault="00746951" w:rsidP="00CD63E3">
      <w:pPr>
        <w:jc w:val="both"/>
        <w:rPr>
          <w:rFonts w:ascii="Arial" w:hAnsi="Arial" w:cs="Arial"/>
          <w:bCs/>
          <w:sz w:val="22"/>
          <w:szCs w:val="22"/>
          <w:lang w:val="es-CO"/>
        </w:rPr>
      </w:pPr>
      <w:r w:rsidRPr="00B7605D">
        <w:rPr>
          <w:rFonts w:ascii="Arial" w:hAnsi="Arial" w:cs="Arial"/>
          <w:bCs/>
          <w:sz w:val="22"/>
          <w:szCs w:val="22"/>
          <w:lang w:val="es-CO"/>
        </w:rPr>
        <w:t>En la información allegada por la Entidad</w:t>
      </w:r>
      <w:r w:rsidR="00B7605D" w:rsidRPr="00B7605D">
        <w:rPr>
          <w:rFonts w:ascii="Arial" w:hAnsi="Arial" w:cs="Arial"/>
          <w:bCs/>
          <w:sz w:val="22"/>
          <w:szCs w:val="22"/>
          <w:lang w:val="es-CO"/>
        </w:rPr>
        <w:t xml:space="preserve"> Territorial</w:t>
      </w:r>
      <w:r w:rsidRPr="00B7605D">
        <w:rPr>
          <w:rFonts w:ascii="Arial" w:hAnsi="Arial" w:cs="Arial"/>
          <w:bCs/>
          <w:sz w:val="22"/>
          <w:szCs w:val="22"/>
          <w:lang w:val="es-CO"/>
        </w:rPr>
        <w:t xml:space="preserve"> mediante el radicado No. 1-2019-045070 del 16 de mayo de 2019 se presentan las ejecuciones presupuestales a corte de 31 de diciembre de 2018, pero, con el propósito de analizar con información reciente la consistencia de los</w:t>
      </w:r>
      <w:r>
        <w:rPr>
          <w:rFonts w:ascii="Arial" w:hAnsi="Arial" w:cs="Arial"/>
          <w:bCs/>
          <w:sz w:val="22"/>
          <w:szCs w:val="22"/>
          <w:lang w:val="es-CO"/>
        </w:rPr>
        <w:t xml:space="preserve"> reportes al FUT, se analizó la ejecución presupuestal allegada mediante el radicado No. 1-2020-040621 del 18 de mayo de 2020 por parte del Ministerio de Educación Nacional. Sobre las ejecuciones analizadas, se evidenciaron inconsistencias en los reportes de información efectuados en la vigencia 2019 a corte 31 de diciembre, las cuales fueron descritas en la sección de análisis financiero del presente informe.</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Sin embargo, con respecto a la información remitida por la Entidad, no se presenta información alguna asociada a las actas de reuniones del comité previas a la presentación de los reportes al FUT, en donde se evidencie la conciliación de la información a reportar. Adicionalmente, al analizar la calificación de riesgo dada a la Entidad en el indicador de gestión financiera del informe de monitoreo para la vigencia 2018 y 2019, se identifica la calificación de riesgo crítico medio, en ambas vigencias. Así mismo, en torno a las certificaciones de tesorería y contabilidad asociadas con la conciliación bancaria, en la información allegada en el radicado, se presentan conciliaciones para el año 2017 y no se ubican las asociadas al último corte (marzo de 2019) de la solicitud de información.</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sz w:val="22"/>
          <w:szCs w:val="22"/>
          <w:lang w:val="es-CO"/>
        </w:rPr>
      </w:pPr>
      <w:r>
        <w:rPr>
          <w:rFonts w:ascii="Arial" w:hAnsi="Arial" w:cs="Arial"/>
          <w:bCs/>
          <w:sz w:val="22"/>
          <w:szCs w:val="22"/>
          <w:lang w:val="es-CO"/>
        </w:rPr>
        <w:lastRenderedPageBreak/>
        <w:t>Por lo anterior, no se identifican avances en el cumplimiento de esta actividad por parte de la Entidad Territorial, y se procederá en el siguiente informe de seguimiento a evaluar el cumplimiento de esta, de cara a la consistencia y confiabilidad del reporte de información presupuestal al FUT.</w:t>
      </w:r>
    </w:p>
    <w:p w:rsidR="00746951" w:rsidRDefault="00746951" w:rsidP="00CD63E3">
      <w:pPr>
        <w:jc w:val="both"/>
        <w:rPr>
          <w:rFonts w:ascii="Arial" w:hAnsi="Arial" w:cs="Arial"/>
          <w:sz w:val="22"/>
          <w:szCs w:val="22"/>
          <w:lang w:val="es-CO"/>
        </w:rPr>
      </w:pPr>
    </w:p>
    <w:p w:rsidR="00746951" w:rsidRPr="00B7605D" w:rsidRDefault="00746951" w:rsidP="00CD63E3">
      <w:pPr>
        <w:jc w:val="both"/>
        <w:rPr>
          <w:rFonts w:ascii="Arial" w:hAnsi="Arial" w:cs="Arial"/>
          <w:b/>
          <w:sz w:val="22"/>
          <w:szCs w:val="22"/>
          <w:lang w:val="es-CO"/>
        </w:rPr>
      </w:pPr>
      <w:r>
        <w:rPr>
          <w:rFonts w:ascii="Arial" w:hAnsi="Arial" w:cs="Arial"/>
          <w:b/>
          <w:sz w:val="22"/>
          <w:szCs w:val="22"/>
          <w:lang w:val="es-CO"/>
        </w:rPr>
        <w:t xml:space="preserve">Actividad 1.1.2. Reportar la información financiera de ingresos, gastos y cierre fiscal del sector, en </w:t>
      </w:r>
      <w:r w:rsidRPr="00B7605D">
        <w:rPr>
          <w:rFonts w:ascii="Arial" w:hAnsi="Arial" w:cs="Arial"/>
          <w:b/>
          <w:sz w:val="22"/>
          <w:szCs w:val="22"/>
          <w:lang w:val="es-CO"/>
        </w:rPr>
        <w:t>el Formulario Único Territorial – FUT, con criterios de consistencia, calidad, oportunidad, formalidad y suficiencia, de conformidad con los recursos asignados por el Ministerio de Educación Nacional y lo establecido en la normatividad vigente.</w:t>
      </w:r>
    </w:p>
    <w:p w:rsidR="00746951" w:rsidRPr="00B7605D" w:rsidRDefault="00746951" w:rsidP="00CD63E3">
      <w:pPr>
        <w:jc w:val="both"/>
        <w:rPr>
          <w:rFonts w:ascii="Arial" w:hAnsi="Arial" w:cs="Arial"/>
          <w:b/>
          <w:sz w:val="22"/>
          <w:szCs w:val="22"/>
          <w:lang w:val="es-CO"/>
        </w:rPr>
      </w:pPr>
    </w:p>
    <w:p w:rsidR="00746951" w:rsidRPr="00B7605D" w:rsidRDefault="00746951" w:rsidP="00B7605D">
      <w:pPr>
        <w:pStyle w:val="Prrafodelista"/>
        <w:numPr>
          <w:ilvl w:val="0"/>
          <w:numId w:val="12"/>
        </w:numPr>
        <w:ind w:left="284" w:hanging="284"/>
        <w:jc w:val="both"/>
        <w:rPr>
          <w:rFonts w:ascii="Arial" w:hAnsi="Arial" w:cs="Arial"/>
          <w:sz w:val="22"/>
          <w:szCs w:val="22"/>
          <w:lang w:val="es-CO"/>
        </w:rPr>
      </w:pPr>
      <w:r w:rsidRPr="00B7605D">
        <w:rPr>
          <w:rFonts w:ascii="Arial" w:hAnsi="Arial" w:cs="Arial"/>
          <w:i/>
          <w:iCs/>
          <w:sz w:val="22"/>
          <w:szCs w:val="22"/>
          <w:lang w:val="es-CO"/>
        </w:rPr>
        <w:t>Productos:</w:t>
      </w:r>
      <w:r w:rsidRPr="00B7605D">
        <w:rPr>
          <w:rFonts w:ascii="Arial" w:hAnsi="Arial" w:cs="Arial"/>
          <w:sz w:val="22"/>
          <w:szCs w:val="22"/>
          <w:lang w:val="es-CO"/>
        </w:rPr>
        <w:t xml:space="preserve"> Ejecuciones presupuestales de ingresos, gastos y cierre presupuestal desagregadas por concepto y fuente de financiación que guarden coherencia con el catálogo de cuentas establecido en el FUT y la certificación de tesorería de los saldos de las cuentas donde se manejen recursos del SGP – Educación al corte trimestral del FUT. Actos administrativos de incorporación de recursos, constitución de reservas y cuentas por pagar.</w:t>
      </w:r>
    </w:p>
    <w:p w:rsidR="00746951" w:rsidRPr="00B7605D" w:rsidRDefault="00746951" w:rsidP="00CD63E3">
      <w:pPr>
        <w:jc w:val="both"/>
        <w:rPr>
          <w:rFonts w:ascii="Arial" w:hAnsi="Arial" w:cs="Arial"/>
          <w:sz w:val="22"/>
          <w:szCs w:val="22"/>
          <w:lang w:val="es-CO"/>
        </w:rPr>
      </w:pPr>
    </w:p>
    <w:p w:rsidR="00746951" w:rsidRDefault="00746951" w:rsidP="00CD63E3">
      <w:pPr>
        <w:jc w:val="both"/>
        <w:rPr>
          <w:rFonts w:ascii="Arial" w:hAnsi="Arial" w:cs="Arial"/>
          <w:bCs/>
          <w:sz w:val="22"/>
          <w:szCs w:val="22"/>
          <w:lang w:val="es-CO"/>
        </w:rPr>
      </w:pPr>
      <w:r w:rsidRPr="00B7605D">
        <w:rPr>
          <w:rFonts w:ascii="Arial" w:hAnsi="Arial" w:cs="Arial"/>
          <w:sz w:val="22"/>
          <w:szCs w:val="22"/>
          <w:lang w:val="es-CO"/>
        </w:rPr>
        <w:t>De acuerdo con la información presupuestal de la Entidad</w:t>
      </w:r>
      <w:r w:rsidR="00B7605D" w:rsidRPr="00B7605D">
        <w:rPr>
          <w:rFonts w:ascii="Arial" w:hAnsi="Arial" w:cs="Arial"/>
          <w:bCs/>
          <w:sz w:val="22"/>
          <w:szCs w:val="22"/>
          <w:lang w:val="es-CO"/>
        </w:rPr>
        <w:t xml:space="preserve"> a corte del 31 de diciembre de 2019</w:t>
      </w:r>
      <w:r w:rsidRPr="00B7605D">
        <w:rPr>
          <w:rFonts w:ascii="Arial" w:hAnsi="Arial" w:cs="Arial"/>
          <w:sz w:val="22"/>
          <w:szCs w:val="22"/>
          <w:lang w:val="es-CO"/>
        </w:rPr>
        <w:t xml:space="preserve">, remitida por el Ministerio de Educación Nacional mediante el radicado </w:t>
      </w:r>
      <w:r w:rsidRPr="00B7605D">
        <w:rPr>
          <w:rFonts w:ascii="Arial" w:hAnsi="Arial" w:cs="Arial"/>
          <w:bCs/>
          <w:sz w:val="22"/>
          <w:szCs w:val="22"/>
          <w:lang w:val="es-CO"/>
        </w:rPr>
        <w:t xml:space="preserve">No. 1-2020-040621 del 18 de mayo de 2020, </w:t>
      </w:r>
      <w:r>
        <w:rPr>
          <w:rFonts w:ascii="Arial" w:hAnsi="Arial" w:cs="Arial"/>
          <w:bCs/>
          <w:sz w:val="22"/>
          <w:szCs w:val="22"/>
          <w:lang w:val="es-CO"/>
        </w:rPr>
        <w:t>se identifica</w:t>
      </w:r>
      <w:r w:rsidR="00B7605D">
        <w:rPr>
          <w:rFonts w:ascii="Arial" w:hAnsi="Arial" w:cs="Arial"/>
          <w:bCs/>
          <w:sz w:val="22"/>
          <w:szCs w:val="22"/>
          <w:lang w:val="es-CO"/>
        </w:rPr>
        <w:t>n las siguientes diferencias</w:t>
      </w:r>
      <w:r>
        <w:rPr>
          <w:rFonts w:ascii="Arial" w:hAnsi="Arial" w:cs="Arial"/>
          <w:bCs/>
          <w:sz w:val="22"/>
          <w:szCs w:val="22"/>
          <w:lang w:val="es-CO"/>
        </w:rPr>
        <w:t>, mediante la comparación con el reporte realizado por la Ad</w:t>
      </w:r>
      <w:r w:rsidR="00B7605D">
        <w:rPr>
          <w:rFonts w:ascii="Arial" w:hAnsi="Arial" w:cs="Arial"/>
          <w:bCs/>
          <w:sz w:val="22"/>
          <w:szCs w:val="22"/>
          <w:lang w:val="es-CO"/>
        </w:rPr>
        <w:t>ministración Territorial al FUT</w:t>
      </w:r>
      <w:r>
        <w:rPr>
          <w:rFonts w:ascii="Arial" w:hAnsi="Arial" w:cs="Arial"/>
          <w:bCs/>
          <w:sz w:val="22"/>
          <w:szCs w:val="22"/>
          <w:lang w:val="es-CO"/>
        </w:rPr>
        <w:t>:</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Para la categoría de Ingresos:</w:t>
      </w:r>
    </w:p>
    <w:p w:rsidR="00746951" w:rsidRDefault="00746951" w:rsidP="00CD63E3">
      <w:pPr>
        <w:jc w:val="both"/>
        <w:rPr>
          <w:rFonts w:ascii="Arial" w:hAnsi="Arial" w:cs="Arial"/>
          <w:bCs/>
          <w:sz w:val="22"/>
          <w:szCs w:val="22"/>
          <w:lang w:val="es-CO"/>
        </w:rPr>
      </w:pPr>
    </w:p>
    <w:p w:rsidR="00746951" w:rsidRDefault="00746951" w:rsidP="00B7605D">
      <w:pPr>
        <w:pStyle w:val="Prrafodelista"/>
        <w:numPr>
          <w:ilvl w:val="0"/>
          <w:numId w:val="12"/>
        </w:numPr>
        <w:ind w:left="284" w:hanging="284"/>
        <w:jc w:val="both"/>
        <w:rPr>
          <w:rFonts w:ascii="Arial" w:hAnsi="Arial" w:cs="Arial"/>
          <w:sz w:val="22"/>
          <w:szCs w:val="22"/>
          <w:lang w:val="es-CO"/>
        </w:rPr>
      </w:pPr>
      <w:r>
        <w:rPr>
          <w:rFonts w:ascii="Arial" w:hAnsi="Arial" w:cs="Arial"/>
          <w:sz w:val="22"/>
          <w:szCs w:val="22"/>
          <w:lang w:val="es-CO"/>
        </w:rPr>
        <w:t xml:space="preserve">La ejecución presupuestal analizada no presenta la discriminación de recursos con y sin situación de fondos, lo cual </w:t>
      </w:r>
      <w:r w:rsidR="00B7605D">
        <w:rPr>
          <w:rFonts w:ascii="Arial" w:hAnsi="Arial" w:cs="Arial"/>
          <w:sz w:val="22"/>
          <w:szCs w:val="22"/>
          <w:lang w:val="es-CO"/>
        </w:rPr>
        <w:t xml:space="preserve">impide </w:t>
      </w:r>
      <w:r>
        <w:rPr>
          <w:rFonts w:ascii="Arial" w:hAnsi="Arial" w:cs="Arial"/>
          <w:sz w:val="22"/>
          <w:szCs w:val="22"/>
          <w:lang w:val="es-CO"/>
        </w:rPr>
        <w:t>la verificación del proceso presupuestal implementado en la administración del recurso SGP Educación.</w:t>
      </w:r>
    </w:p>
    <w:p w:rsidR="00746951" w:rsidRDefault="00746951" w:rsidP="00CD63E3">
      <w:pPr>
        <w:jc w:val="both"/>
        <w:rPr>
          <w:rFonts w:ascii="Arial" w:hAnsi="Arial" w:cs="Arial"/>
          <w:sz w:val="22"/>
          <w:szCs w:val="22"/>
          <w:lang w:val="es-CO"/>
        </w:rPr>
      </w:pPr>
    </w:p>
    <w:p w:rsidR="00746951" w:rsidRDefault="00746951" w:rsidP="00B7605D">
      <w:pPr>
        <w:pStyle w:val="Prrafodelista"/>
        <w:numPr>
          <w:ilvl w:val="0"/>
          <w:numId w:val="12"/>
        </w:numPr>
        <w:ind w:left="284" w:hanging="284"/>
        <w:jc w:val="both"/>
        <w:rPr>
          <w:rFonts w:ascii="Arial" w:hAnsi="Arial" w:cs="Arial"/>
          <w:sz w:val="22"/>
          <w:szCs w:val="22"/>
          <w:lang w:val="es-CO"/>
        </w:rPr>
      </w:pPr>
      <w:r>
        <w:rPr>
          <w:rFonts w:ascii="Arial" w:hAnsi="Arial" w:cs="Arial"/>
          <w:sz w:val="22"/>
          <w:szCs w:val="22"/>
          <w:lang w:val="es-CO"/>
        </w:rPr>
        <w:t xml:space="preserve">Se identifican inconsistencias en el reporte de información FUT para la categoría de ingresos en la vigencia 2019, toda vez que los recursos asignados por concepto de calidad gratuidad fueron reportados como recursos sin situación de fondos en el rubro de </w:t>
      </w:r>
      <w:r w:rsidR="00B7605D">
        <w:rPr>
          <w:rFonts w:ascii="Arial" w:hAnsi="Arial" w:cs="Arial"/>
          <w:sz w:val="22"/>
          <w:szCs w:val="22"/>
          <w:lang w:val="es-CO"/>
        </w:rPr>
        <w:t xml:space="preserve">Calidad Matrícula Oficial </w:t>
      </w:r>
      <w:r>
        <w:rPr>
          <w:rFonts w:ascii="Arial" w:hAnsi="Arial" w:cs="Arial"/>
          <w:sz w:val="22"/>
          <w:szCs w:val="22"/>
          <w:lang w:val="es-CO"/>
        </w:rPr>
        <w:t xml:space="preserve">y no en el rubro correspondiente a </w:t>
      </w:r>
      <w:r w:rsidR="00B7605D">
        <w:rPr>
          <w:rFonts w:ascii="Arial" w:hAnsi="Arial" w:cs="Arial"/>
          <w:sz w:val="22"/>
          <w:szCs w:val="22"/>
          <w:lang w:val="es-CO"/>
        </w:rPr>
        <w:t>Calidad Por Gratuidad (Sin Situación De Fondos</w:t>
      </w:r>
      <w:r>
        <w:rPr>
          <w:rFonts w:ascii="Arial" w:hAnsi="Arial" w:cs="Arial"/>
          <w:sz w:val="22"/>
          <w:szCs w:val="22"/>
          <w:lang w:val="es-CO"/>
        </w:rPr>
        <w:t>).</w:t>
      </w:r>
    </w:p>
    <w:p w:rsidR="00746951" w:rsidRDefault="00746951" w:rsidP="00CD63E3">
      <w:pPr>
        <w:jc w:val="both"/>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Para las categorías de Gastos de Funcionamiento y Gastos de Inversión:</w:t>
      </w:r>
    </w:p>
    <w:p w:rsidR="00746951" w:rsidRDefault="00746951" w:rsidP="00CD63E3">
      <w:pPr>
        <w:jc w:val="both"/>
        <w:rPr>
          <w:rFonts w:ascii="Arial" w:hAnsi="Arial" w:cs="Arial"/>
          <w:sz w:val="22"/>
          <w:szCs w:val="22"/>
          <w:lang w:val="es-CO"/>
        </w:rPr>
      </w:pPr>
    </w:p>
    <w:p w:rsidR="00746951" w:rsidRDefault="00746951" w:rsidP="00B7605D">
      <w:pPr>
        <w:pStyle w:val="Prrafodelista"/>
        <w:numPr>
          <w:ilvl w:val="0"/>
          <w:numId w:val="12"/>
        </w:numPr>
        <w:ind w:left="284" w:hanging="284"/>
        <w:jc w:val="both"/>
        <w:rPr>
          <w:rFonts w:ascii="Arial" w:hAnsi="Arial" w:cs="Arial"/>
          <w:sz w:val="22"/>
          <w:szCs w:val="22"/>
          <w:lang w:val="es-CO"/>
        </w:rPr>
      </w:pPr>
      <w:r>
        <w:rPr>
          <w:rFonts w:ascii="Arial" w:hAnsi="Arial" w:cs="Arial"/>
          <w:sz w:val="22"/>
          <w:szCs w:val="22"/>
          <w:lang w:val="es-CO"/>
        </w:rPr>
        <w:t>No se identifica en la ejecución presupuestal el detalle de los conceptos de nómina susceptibles de ser reportados al FUT como Aportes Patronales Sin Situación de Fondos de Docentes y Directivos Docentes, lo que caracteriza un mayor valor de los saldos reportados como Gastos de Personal tanto para Docentes como para Directivos Docentes, y un menor valor de los Aportes Patronales de los mismos. Se solicita a la Entidad un seguimiento a los conceptos de nómina reportados al FUT en cada uno de estos rubros.</w:t>
      </w:r>
    </w:p>
    <w:p w:rsidR="00746951" w:rsidRDefault="00746951" w:rsidP="00CD63E3">
      <w:pPr>
        <w:pStyle w:val="Prrafodelista"/>
        <w:jc w:val="both"/>
        <w:rPr>
          <w:rFonts w:ascii="Arial" w:hAnsi="Arial" w:cs="Arial"/>
          <w:sz w:val="22"/>
          <w:szCs w:val="22"/>
          <w:lang w:val="es-CO"/>
        </w:rPr>
      </w:pPr>
    </w:p>
    <w:p w:rsidR="00746951" w:rsidRDefault="00746951" w:rsidP="00B7605D">
      <w:pPr>
        <w:pStyle w:val="Prrafodelista"/>
        <w:numPr>
          <w:ilvl w:val="0"/>
          <w:numId w:val="12"/>
        </w:numPr>
        <w:ind w:left="284" w:hanging="284"/>
        <w:jc w:val="both"/>
        <w:rPr>
          <w:rFonts w:ascii="Arial" w:hAnsi="Arial" w:cs="Arial"/>
          <w:sz w:val="22"/>
          <w:szCs w:val="22"/>
          <w:lang w:val="es-CO"/>
        </w:rPr>
      </w:pPr>
      <w:r>
        <w:rPr>
          <w:rFonts w:ascii="Arial" w:hAnsi="Arial" w:cs="Arial"/>
          <w:sz w:val="22"/>
          <w:szCs w:val="22"/>
          <w:lang w:val="es-CO"/>
        </w:rPr>
        <w:t xml:space="preserve">Se identifica </w:t>
      </w:r>
      <w:r w:rsidR="00B7605D">
        <w:rPr>
          <w:rFonts w:ascii="Arial" w:hAnsi="Arial" w:cs="Arial"/>
          <w:sz w:val="22"/>
          <w:szCs w:val="22"/>
          <w:lang w:val="es-CO"/>
        </w:rPr>
        <w:t>in</w:t>
      </w:r>
      <w:r>
        <w:rPr>
          <w:rFonts w:ascii="Arial" w:hAnsi="Arial" w:cs="Arial"/>
          <w:sz w:val="22"/>
          <w:szCs w:val="22"/>
          <w:lang w:val="es-CO"/>
        </w:rPr>
        <w:t xml:space="preserve">consistencia en los valores reportados por la Entidad sobre el rubro de Contratos de Prestación del Servicio Educativo, toda vez que el reporte al FUC presenta </w:t>
      </w:r>
      <w:r>
        <w:rPr>
          <w:rFonts w:ascii="Arial" w:hAnsi="Arial" w:cs="Arial"/>
          <w:sz w:val="22"/>
          <w:szCs w:val="22"/>
          <w:lang w:val="es-CO"/>
        </w:rPr>
        <w:lastRenderedPageBreak/>
        <w:t xml:space="preserve">un valor de la contratación del servicio por $2.100,8 millones, mientras que </w:t>
      </w:r>
      <w:r w:rsidR="00B7605D">
        <w:rPr>
          <w:rFonts w:ascii="Arial" w:hAnsi="Arial" w:cs="Arial"/>
          <w:sz w:val="22"/>
          <w:szCs w:val="22"/>
          <w:lang w:val="es-CO"/>
        </w:rPr>
        <w:t xml:space="preserve">en </w:t>
      </w:r>
      <w:r>
        <w:rPr>
          <w:rFonts w:ascii="Arial" w:hAnsi="Arial" w:cs="Arial"/>
          <w:sz w:val="22"/>
          <w:szCs w:val="22"/>
          <w:lang w:val="es-CO"/>
        </w:rPr>
        <w:t xml:space="preserve">el reporte FUT </w:t>
      </w:r>
      <w:r w:rsidR="00B7605D">
        <w:rPr>
          <w:rFonts w:ascii="Arial" w:hAnsi="Arial" w:cs="Arial"/>
          <w:sz w:val="22"/>
          <w:szCs w:val="22"/>
          <w:lang w:val="es-CO"/>
        </w:rPr>
        <w:t xml:space="preserve">el monto asciende a </w:t>
      </w:r>
      <w:r>
        <w:rPr>
          <w:rFonts w:ascii="Arial" w:hAnsi="Arial" w:cs="Arial"/>
          <w:sz w:val="22"/>
          <w:szCs w:val="22"/>
          <w:lang w:val="es-CO"/>
        </w:rPr>
        <w:t xml:space="preserve">$1.576 millones y la ejecución presupuestal </w:t>
      </w:r>
      <w:r w:rsidR="00B7605D">
        <w:rPr>
          <w:rFonts w:ascii="Arial" w:hAnsi="Arial" w:cs="Arial"/>
          <w:sz w:val="22"/>
          <w:szCs w:val="22"/>
          <w:lang w:val="es-CO"/>
        </w:rPr>
        <w:t xml:space="preserve">registra </w:t>
      </w:r>
      <w:r>
        <w:rPr>
          <w:rFonts w:ascii="Arial" w:hAnsi="Arial" w:cs="Arial"/>
          <w:sz w:val="22"/>
          <w:szCs w:val="22"/>
          <w:lang w:val="es-CO"/>
        </w:rPr>
        <w:t>un valor de $1.238 millones, a pesar de presentarse valores discriminados por conceptos de inversión tanto en el reporte FUT como en la ejecución presupuestal.</w:t>
      </w:r>
    </w:p>
    <w:p w:rsidR="00B7605D" w:rsidRDefault="00B7605D" w:rsidP="00B7605D">
      <w:pPr>
        <w:pStyle w:val="Prrafodelista"/>
        <w:ind w:left="284"/>
        <w:jc w:val="both"/>
        <w:rPr>
          <w:rFonts w:ascii="Arial" w:hAnsi="Arial" w:cs="Arial"/>
          <w:sz w:val="22"/>
          <w:szCs w:val="22"/>
          <w:lang w:val="es-CO"/>
        </w:rPr>
      </w:pPr>
    </w:p>
    <w:p w:rsidR="00746951" w:rsidRDefault="00746951" w:rsidP="00B7605D">
      <w:pPr>
        <w:pStyle w:val="Prrafodelista"/>
        <w:numPr>
          <w:ilvl w:val="0"/>
          <w:numId w:val="12"/>
        </w:numPr>
        <w:ind w:left="284" w:hanging="284"/>
        <w:jc w:val="both"/>
        <w:rPr>
          <w:rFonts w:ascii="Arial" w:hAnsi="Arial" w:cs="Arial"/>
          <w:sz w:val="22"/>
          <w:szCs w:val="22"/>
          <w:lang w:val="es-CO"/>
        </w:rPr>
      </w:pPr>
      <w:r>
        <w:rPr>
          <w:rFonts w:ascii="Arial" w:hAnsi="Arial" w:cs="Arial"/>
          <w:sz w:val="22"/>
          <w:szCs w:val="22"/>
          <w:lang w:val="es-CO"/>
        </w:rPr>
        <w:t>Se identifica una diferencia de aproximadamente $52 millones entre la ejecución presupuestal y el reporte FUT, sin embargo, el detalle de la ejecución presupuestal no permitió realizar el seguimiento a las causas que derivan en las diferencias del reporte.</w:t>
      </w:r>
    </w:p>
    <w:p w:rsidR="00746951" w:rsidRDefault="00746951" w:rsidP="00CD63E3">
      <w:pPr>
        <w:jc w:val="both"/>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Por lo anterior, no se reconocen avances en el cumplimiento de esta actividad por parte de la Entidad Territorial. La información actualizada será analizada en el siguiente informe de evaluación del cumplimiento de la medida preventiva de Plan de Desempeño.</w:t>
      </w:r>
    </w:p>
    <w:p w:rsidR="00746951" w:rsidRDefault="00746951" w:rsidP="00CD63E3">
      <w:pPr>
        <w:jc w:val="both"/>
        <w:rPr>
          <w:rFonts w:ascii="Arial" w:hAnsi="Arial" w:cs="Arial"/>
          <w:sz w:val="22"/>
          <w:szCs w:val="22"/>
          <w:lang w:val="es-CO"/>
        </w:rPr>
      </w:pPr>
    </w:p>
    <w:p w:rsidR="00746951" w:rsidRPr="00B7605D" w:rsidRDefault="00746951" w:rsidP="00CD63E3">
      <w:pPr>
        <w:jc w:val="both"/>
        <w:rPr>
          <w:rFonts w:ascii="Arial" w:hAnsi="Arial" w:cs="Arial"/>
          <w:b/>
          <w:sz w:val="22"/>
          <w:szCs w:val="22"/>
          <w:lang w:val="es-CO"/>
        </w:rPr>
      </w:pPr>
      <w:r>
        <w:rPr>
          <w:rFonts w:ascii="Arial" w:hAnsi="Arial" w:cs="Arial"/>
          <w:b/>
          <w:sz w:val="22"/>
          <w:szCs w:val="22"/>
          <w:lang w:val="es-CO"/>
        </w:rPr>
        <w:t xml:space="preserve">Actividad 1.1.3. Dar cumplimiento al proceso interno para que los ajustes de los recursos sin situación de fondos se hagan oportunamente y de acuerdo con los giros PAC realizados por el Ministerio de Educación Nacional, valores de las nóminas mensuales / Incorporar en el ingreso y ejecutar en el gasto, los recursos del SGP en Educación </w:t>
      </w:r>
      <w:r w:rsidRPr="00B7605D">
        <w:rPr>
          <w:rFonts w:ascii="Arial" w:hAnsi="Arial" w:cs="Arial"/>
          <w:b/>
          <w:sz w:val="22"/>
          <w:szCs w:val="22"/>
          <w:lang w:val="es-CO"/>
        </w:rPr>
        <w:t>CSF y SSF (realizando toda la cadena presupuestal, contable y de tesorería).</w:t>
      </w:r>
    </w:p>
    <w:p w:rsidR="00746951" w:rsidRPr="00B7605D" w:rsidRDefault="00746951" w:rsidP="00CD63E3">
      <w:pPr>
        <w:jc w:val="both"/>
        <w:rPr>
          <w:rFonts w:ascii="Arial" w:hAnsi="Arial" w:cs="Arial"/>
          <w:b/>
          <w:sz w:val="22"/>
          <w:szCs w:val="22"/>
          <w:lang w:val="es-CO"/>
        </w:rPr>
      </w:pPr>
    </w:p>
    <w:p w:rsidR="00746951" w:rsidRPr="00B7605D" w:rsidRDefault="00746951" w:rsidP="00B7605D">
      <w:pPr>
        <w:pStyle w:val="Prrafodelista"/>
        <w:numPr>
          <w:ilvl w:val="0"/>
          <w:numId w:val="12"/>
        </w:numPr>
        <w:ind w:left="284" w:hanging="284"/>
        <w:jc w:val="both"/>
        <w:rPr>
          <w:rFonts w:ascii="Arial" w:hAnsi="Arial" w:cs="Arial"/>
          <w:bCs/>
          <w:sz w:val="22"/>
          <w:szCs w:val="22"/>
          <w:lang w:val="es-CO"/>
        </w:rPr>
      </w:pPr>
      <w:r w:rsidRPr="00B7605D">
        <w:rPr>
          <w:rFonts w:ascii="Arial" w:hAnsi="Arial" w:cs="Arial"/>
          <w:bCs/>
          <w:i/>
          <w:iCs/>
          <w:sz w:val="22"/>
          <w:szCs w:val="22"/>
          <w:lang w:val="es-CO"/>
        </w:rPr>
        <w:t>Productos:</w:t>
      </w:r>
      <w:r w:rsidRPr="00B7605D">
        <w:rPr>
          <w:rFonts w:ascii="Arial" w:hAnsi="Arial" w:cs="Arial"/>
          <w:bCs/>
          <w:sz w:val="22"/>
          <w:szCs w:val="22"/>
          <w:lang w:val="es-CO"/>
        </w:rPr>
        <w:t xml:space="preserve"> Evidencias de los ajustes presupuestales realizados, acta de conciliación entre Documentos de Distribución y presupuesto, además evidencia de los informes enviados a la Fiducia y al MEN. Ejecuciones presupuestales de ingresos y gastos. Actas de conciliación de los aportes sin situación de fondos para los periodos 2010 – 2016 debidamente formalizadas.</w:t>
      </w:r>
    </w:p>
    <w:p w:rsidR="00746951" w:rsidRPr="00B7605D"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B7605D">
        <w:rPr>
          <w:rFonts w:ascii="Arial" w:hAnsi="Arial" w:cs="Arial"/>
          <w:bCs/>
          <w:sz w:val="22"/>
          <w:szCs w:val="22"/>
          <w:lang w:val="es-CO"/>
        </w:rPr>
        <w:t>A partir del análisis de la información allegada por la Entidad mediante el radicado No. 1-2019-045070 del 16 de mayo de 2019, no se identifican actas de conciliación entre los documentos de distribución y las ejecuciones presupuestales allegadas. Al respecto, es importante mencionar que no se identifica una conciliación entre los aportes de la Fiduprevisora y las liquidaciones de nómina realizadas por la Entidad</w:t>
      </w:r>
      <w:r w:rsidR="00B7605D">
        <w:rPr>
          <w:rFonts w:ascii="Arial" w:hAnsi="Arial" w:cs="Arial"/>
          <w:bCs/>
          <w:sz w:val="22"/>
          <w:szCs w:val="22"/>
          <w:lang w:val="es-CO"/>
        </w:rPr>
        <w:t>;</w:t>
      </w:r>
      <w:r w:rsidRPr="00B7605D">
        <w:rPr>
          <w:rFonts w:ascii="Arial" w:hAnsi="Arial" w:cs="Arial"/>
          <w:bCs/>
          <w:sz w:val="22"/>
          <w:szCs w:val="22"/>
          <w:lang w:val="es-CO"/>
        </w:rPr>
        <w:t xml:space="preserve"> sin embargo, se remiten las liquidaciones de nómina hasta el mes de abril de 2019 y se presenta el concepto actualizado de deuda</w:t>
      </w:r>
      <w:r>
        <w:rPr>
          <w:rFonts w:ascii="Arial" w:hAnsi="Arial" w:cs="Arial"/>
          <w:bCs/>
          <w:sz w:val="22"/>
          <w:szCs w:val="22"/>
          <w:lang w:val="es-CO"/>
        </w:rPr>
        <w:t xml:space="preserve"> con la Fiduprevisora, al 10 de abril de </w:t>
      </w:r>
      <w:r w:rsidR="00B7605D">
        <w:rPr>
          <w:rFonts w:ascii="Arial" w:hAnsi="Arial" w:cs="Arial"/>
          <w:bCs/>
          <w:sz w:val="22"/>
          <w:szCs w:val="22"/>
          <w:lang w:val="es-CO"/>
        </w:rPr>
        <w:t>la misma vigencia</w:t>
      </w:r>
      <w:r>
        <w:rPr>
          <w:rFonts w:ascii="Arial" w:hAnsi="Arial" w:cs="Arial"/>
          <w:bCs/>
          <w:sz w:val="22"/>
          <w:szCs w:val="22"/>
          <w:lang w:val="es-CO"/>
        </w:rPr>
        <w:t>, en donde la Entidad presenta deudas por $51.504 millones, con un pasivo adeudado en el corriente de $2.246 millones.</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En consecuencia, considerando que no se evidencia información que describa avances en el cumplimiento de la actividad, se solicitará a la Entidad los procesos de conciliación de nómina y aportes SSF realizados por el Ministerio de Educación Nacional, actualizados al corte de 31 de diciembre de 2020.</w:t>
      </w:r>
    </w:p>
    <w:p w:rsidR="00746951" w:rsidRDefault="00746951" w:rsidP="00CD63E3">
      <w:pPr>
        <w:jc w:val="both"/>
        <w:rPr>
          <w:rFonts w:ascii="Arial" w:hAnsi="Arial" w:cs="Arial"/>
          <w:bCs/>
          <w:sz w:val="22"/>
          <w:szCs w:val="22"/>
          <w:lang w:val="es-CO"/>
        </w:rPr>
      </w:pPr>
    </w:p>
    <w:p w:rsidR="00746951" w:rsidRPr="00A070FD" w:rsidRDefault="00746951" w:rsidP="00CD63E3">
      <w:pPr>
        <w:jc w:val="both"/>
        <w:rPr>
          <w:rFonts w:ascii="Arial" w:hAnsi="Arial" w:cs="Arial"/>
          <w:b/>
          <w:sz w:val="22"/>
          <w:szCs w:val="22"/>
          <w:lang w:val="es-CO"/>
        </w:rPr>
      </w:pPr>
      <w:r>
        <w:rPr>
          <w:rFonts w:ascii="Arial" w:hAnsi="Arial" w:cs="Arial"/>
          <w:b/>
          <w:sz w:val="22"/>
          <w:szCs w:val="22"/>
          <w:lang w:val="es-CO"/>
        </w:rPr>
        <w:t xml:space="preserve">Actividad 1.1.4. Actualizar con oportunidad el FUC de tal forma que el reporte guarde consistencia con la </w:t>
      </w:r>
      <w:r w:rsidRPr="00A070FD">
        <w:rPr>
          <w:rFonts w:ascii="Arial" w:hAnsi="Arial" w:cs="Arial"/>
          <w:b/>
          <w:sz w:val="22"/>
          <w:szCs w:val="22"/>
          <w:lang w:val="es-CO"/>
        </w:rPr>
        <w:t>información reportada en SIMAT, ejecución presupuestal, FUT y expedientes contractuales.</w:t>
      </w:r>
    </w:p>
    <w:p w:rsidR="00746951" w:rsidRPr="00A070FD" w:rsidRDefault="00746951" w:rsidP="00CD63E3">
      <w:pPr>
        <w:jc w:val="both"/>
        <w:rPr>
          <w:rFonts w:ascii="Arial" w:hAnsi="Arial" w:cs="Arial"/>
          <w:b/>
          <w:sz w:val="22"/>
          <w:szCs w:val="22"/>
          <w:lang w:val="es-CO"/>
        </w:rPr>
      </w:pPr>
    </w:p>
    <w:p w:rsidR="00746951" w:rsidRPr="00A070FD" w:rsidRDefault="00746951" w:rsidP="00A070FD">
      <w:pPr>
        <w:pStyle w:val="Prrafodelista"/>
        <w:numPr>
          <w:ilvl w:val="0"/>
          <w:numId w:val="12"/>
        </w:numPr>
        <w:ind w:left="284" w:hanging="284"/>
        <w:jc w:val="both"/>
        <w:rPr>
          <w:rFonts w:ascii="Arial" w:hAnsi="Arial" w:cs="Arial"/>
          <w:bCs/>
          <w:sz w:val="22"/>
          <w:szCs w:val="22"/>
          <w:lang w:val="es-CO"/>
        </w:rPr>
      </w:pPr>
      <w:r w:rsidRPr="00A070FD">
        <w:rPr>
          <w:rFonts w:ascii="Arial" w:hAnsi="Arial" w:cs="Arial"/>
          <w:bCs/>
          <w:i/>
          <w:iCs/>
          <w:sz w:val="22"/>
          <w:szCs w:val="22"/>
          <w:lang w:val="es-CO"/>
        </w:rPr>
        <w:lastRenderedPageBreak/>
        <w:t>Productos</w:t>
      </w:r>
      <w:r w:rsidRPr="00A070FD">
        <w:rPr>
          <w:rFonts w:ascii="Arial" w:hAnsi="Arial" w:cs="Arial"/>
          <w:bCs/>
          <w:sz w:val="22"/>
          <w:szCs w:val="22"/>
          <w:lang w:val="es-CO"/>
        </w:rPr>
        <w:t>: Presupuesto de gastos consistentes con reporte FUC y con reporte FUT. Copia de reporte FUC. Copia digital de los expedientes contractuales. Reporte en FUT y SIMAT.</w:t>
      </w:r>
    </w:p>
    <w:p w:rsidR="00746951" w:rsidRPr="00A070FD"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Del análisis de la información allegada por la Entidad mediante el radicado No. 1-2019-045070 del 16 de mayo de 2019, se identifica que para la vigencia 2019 el Municipio suscrib</w:t>
      </w:r>
      <w:r w:rsidR="00A070FD">
        <w:rPr>
          <w:rFonts w:ascii="Arial" w:hAnsi="Arial" w:cs="Arial"/>
          <w:bCs/>
          <w:sz w:val="22"/>
          <w:szCs w:val="22"/>
          <w:lang w:val="es-CO"/>
        </w:rPr>
        <w:t xml:space="preserve">ió </w:t>
      </w:r>
      <w:r>
        <w:rPr>
          <w:rFonts w:ascii="Arial" w:hAnsi="Arial" w:cs="Arial"/>
          <w:bCs/>
          <w:sz w:val="22"/>
          <w:szCs w:val="22"/>
          <w:lang w:val="es-CO"/>
        </w:rPr>
        <w:t xml:space="preserve">el contrato No. 34-14-08-424 del 14 de mayo de 2019 suscrito con la Corporación Talentum, cuyo objeto es </w:t>
      </w:r>
      <w:r w:rsidR="00A070FD">
        <w:rPr>
          <w:rFonts w:ascii="Arial" w:hAnsi="Arial" w:cs="Arial"/>
          <w:bCs/>
          <w:sz w:val="22"/>
          <w:szCs w:val="22"/>
          <w:lang w:val="es-CO"/>
        </w:rPr>
        <w:t>“</w:t>
      </w:r>
      <w:r w:rsidR="00A070FD">
        <w:rPr>
          <w:rFonts w:ascii="Arial" w:hAnsi="Arial" w:cs="Arial"/>
          <w:bCs/>
          <w:i/>
          <w:iCs/>
          <w:sz w:val="22"/>
          <w:szCs w:val="22"/>
          <w:lang w:val="es-CO"/>
        </w:rPr>
        <w:t>contratar la implementación de un modelo educativo orientado hacia la atención pertinente de la educación formal de la población privada de la libertad y jóvenes y adultos, en los establecimientos educativos públicos que funcionan en el municipio de Jamundí – Valle del Cauca</w:t>
      </w:r>
      <w:r>
        <w:rPr>
          <w:rFonts w:ascii="Arial" w:hAnsi="Arial" w:cs="Arial"/>
          <w:bCs/>
          <w:sz w:val="22"/>
          <w:szCs w:val="22"/>
          <w:lang w:val="es-CO"/>
        </w:rPr>
        <w:t>”, por valor de $2.100,8 millones. El contrato en mención presenta la atención de 2.647 estudiantes con 49 docentes vinculados por el contratista para la atención de población adulta. Este contrato fue reportado en el FUC como contratación de la prestación del servicio educativo en adultos.</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Sin embargo, </w:t>
      </w:r>
      <w:r w:rsidR="00A070FD">
        <w:rPr>
          <w:rFonts w:ascii="Arial" w:hAnsi="Arial" w:cs="Arial"/>
          <w:bCs/>
          <w:sz w:val="22"/>
          <w:szCs w:val="22"/>
          <w:lang w:val="es-CO"/>
        </w:rPr>
        <w:t xml:space="preserve">se identifican inconsistencias entre </w:t>
      </w:r>
      <w:r>
        <w:rPr>
          <w:rFonts w:ascii="Arial" w:hAnsi="Arial" w:cs="Arial"/>
          <w:bCs/>
          <w:sz w:val="22"/>
          <w:szCs w:val="22"/>
          <w:lang w:val="es-CO"/>
        </w:rPr>
        <w:t>los valores descritos por la ejecución presupuestal y el reporte FUT</w:t>
      </w:r>
      <w:r w:rsidR="00A070FD">
        <w:rPr>
          <w:rFonts w:ascii="Arial" w:hAnsi="Arial" w:cs="Arial"/>
          <w:bCs/>
          <w:sz w:val="22"/>
          <w:szCs w:val="22"/>
          <w:lang w:val="es-CO"/>
        </w:rPr>
        <w:t xml:space="preserve">. En la </w:t>
      </w:r>
      <w:r>
        <w:rPr>
          <w:rFonts w:ascii="Arial" w:hAnsi="Arial" w:cs="Arial"/>
          <w:bCs/>
          <w:sz w:val="22"/>
          <w:szCs w:val="22"/>
          <w:lang w:val="es-CO"/>
        </w:rPr>
        <w:t xml:space="preserve">ejecución presupuestal </w:t>
      </w:r>
      <w:r w:rsidR="00A070FD">
        <w:rPr>
          <w:rFonts w:ascii="Arial" w:hAnsi="Arial" w:cs="Arial"/>
          <w:bCs/>
          <w:sz w:val="22"/>
          <w:szCs w:val="22"/>
          <w:lang w:val="es-CO"/>
        </w:rPr>
        <w:t xml:space="preserve">se registra </w:t>
      </w:r>
      <w:r>
        <w:rPr>
          <w:rFonts w:ascii="Arial" w:hAnsi="Arial" w:cs="Arial"/>
          <w:bCs/>
          <w:sz w:val="22"/>
          <w:szCs w:val="22"/>
          <w:lang w:val="es-CO"/>
        </w:rPr>
        <w:t>un valor de contratación del servicio educativo por $1.238 millones, mientras que el reporte al FUT describe un valor de $1.576 millones</w:t>
      </w:r>
      <w:r w:rsidR="00A070FD">
        <w:rPr>
          <w:rFonts w:ascii="Arial" w:hAnsi="Arial" w:cs="Arial"/>
          <w:bCs/>
          <w:sz w:val="22"/>
          <w:szCs w:val="22"/>
          <w:lang w:val="es-CO"/>
        </w:rPr>
        <w:t xml:space="preserve">. A </w:t>
      </w:r>
      <w:r>
        <w:rPr>
          <w:rFonts w:ascii="Arial" w:hAnsi="Arial" w:cs="Arial"/>
          <w:bCs/>
          <w:sz w:val="22"/>
          <w:szCs w:val="22"/>
          <w:lang w:val="es-CO"/>
        </w:rPr>
        <w:t>partir del detalle de las cifras presente en cada fuente de información, se identificó que la Entidad reportó en los rubros de Capacitación a docentes y directivos docentes y Aplicación de proyectos educativos transversales, parte de las diferencias identificadas entre los valores de las tres fuentes</w:t>
      </w:r>
      <w:r w:rsidR="00A070FD">
        <w:rPr>
          <w:rFonts w:ascii="Arial" w:hAnsi="Arial" w:cs="Arial"/>
          <w:bCs/>
          <w:sz w:val="22"/>
          <w:szCs w:val="22"/>
          <w:lang w:val="es-CO"/>
        </w:rPr>
        <w:t>:</w:t>
      </w:r>
      <w:r>
        <w:rPr>
          <w:rFonts w:ascii="Arial" w:hAnsi="Arial" w:cs="Arial"/>
          <w:bCs/>
          <w:sz w:val="22"/>
          <w:szCs w:val="22"/>
          <w:lang w:val="es-CO"/>
        </w:rPr>
        <w:t xml:space="preserve"> el contrato, la ejecución presupuestal y el FUT.</w:t>
      </w:r>
    </w:p>
    <w:p w:rsidR="00746951" w:rsidRDefault="00746951" w:rsidP="00CD63E3">
      <w:pPr>
        <w:jc w:val="both"/>
        <w:rPr>
          <w:rFonts w:ascii="Arial" w:hAnsi="Arial" w:cs="Arial"/>
          <w:bCs/>
          <w:sz w:val="22"/>
          <w:szCs w:val="22"/>
          <w:lang w:val="es-CO"/>
        </w:rPr>
      </w:pPr>
    </w:p>
    <w:p w:rsidR="00746951" w:rsidRDefault="00A070FD" w:rsidP="00CD63E3">
      <w:pPr>
        <w:jc w:val="both"/>
        <w:rPr>
          <w:rFonts w:ascii="Arial" w:hAnsi="Arial" w:cs="Arial"/>
          <w:bCs/>
          <w:sz w:val="22"/>
          <w:szCs w:val="22"/>
          <w:lang w:val="es-CO"/>
        </w:rPr>
      </w:pPr>
      <w:r>
        <w:rPr>
          <w:rFonts w:ascii="Arial" w:hAnsi="Arial" w:cs="Arial"/>
          <w:bCs/>
          <w:sz w:val="22"/>
          <w:szCs w:val="22"/>
          <w:lang w:val="es-CO"/>
        </w:rPr>
        <w:t>Adicionalmente,</w:t>
      </w:r>
      <w:r w:rsidR="00746951">
        <w:rPr>
          <w:rFonts w:ascii="Arial" w:hAnsi="Arial" w:cs="Arial"/>
          <w:bCs/>
          <w:sz w:val="22"/>
          <w:szCs w:val="22"/>
          <w:lang w:val="es-CO"/>
        </w:rPr>
        <w:t xml:space="preserve"> no fue posible realizar la trazabilidad de la ejecución del contrato </w:t>
      </w:r>
      <w:r>
        <w:rPr>
          <w:rFonts w:ascii="Arial" w:hAnsi="Arial" w:cs="Arial"/>
          <w:bCs/>
          <w:sz w:val="22"/>
          <w:szCs w:val="22"/>
          <w:lang w:val="es-CO"/>
        </w:rPr>
        <w:t xml:space="preserve">en mención, </w:t>
      </w:r>
      <w:r w:rsidR="00746951">
        <w:rPr>
          <w:rFonts w:ascii="Arial" w:hAnsi="Arial" w:cs="Arial"/>
          <w:bCs/>
          <w:sz w:val="22"/>
          <w:szCs w:val="22"/>
          <w:lang w:val="es-CO"/>
        </w:rPr>
        <w:t xml:space="preserve">con el propósito de reconocer si el Certificado de Disponibilidad Presupuestal y el Registro Presupuestal describen una discriminación de responsabilidades contractuales de acuerdo con el rubro presupuestal reportado en FUT.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En consecuencia, dadas las inconsistencias de las cifras entre las fuentes de información, no se evidencian avances en el cumplimiento de esta actividad por parte de la Entidad.</w:t>
      </w:r>
    </w:p>
    <w:p w:rsidR="00746951" w:rsidRDefault="00746951" w:rsidP="00CD63E3">
      <w:pPr>
        <w:jc w:val="both"/>
        <w:rPr>
          <w:rFonts w:ascii="Arial" w:hAnsi="Arial" w:cs="Arial"/>
          <w:bCs/>
          <w:sz w:val="22"/>
          <w:szCs w:val="22"/>
          <w:lang w:val="es-CO"/>
        </w:rPr>
      </w:pPr>
    </w:p>
    <w:p w:rsidR="00746951" w:rsidRPr="00A070FD" w:rsidRDefault="00746951" w:rsidP="00CD63E3">
      <w:pPr>
        <w:jc w:val="both"/>
        <w:rPr>
          <w:rFonts w:ascii="Arial" w:hAnsi="Arial" w:cs="Arial"/>
          <w:b/>
          <w:sz w:val="22"/>
          <w:szCs w:val="22"/>
          <w:lang w:val="es-CO"/>
        </w:rPr>
      </w:pPr>
      <w:r>
        <w:rPr>
          <w:rFonts w:ascii="Arial" w:hAnsi="Arial" w:cs="Arial"/>
          <w:b/>
          <w:sz w:val="22"/>
          <w:szCs w:val="22"/>
          <w:lang w:val="es-CO"/>
        </w:rPr>
        <w:t xml:space="preserve">Actividad 1.1.5. Efectuar el cierre presupuestal y de tesorería, guardando coherencia entre </w:t>
      </w:r>
      <w:r w:rsidRPr="00A070FD">
        <w:rPr>
          <w:rFonts w:ascii="Arial" w:hAnsi="Arial" w:cs="Arial"/>
          <w:b/>
          <w:sz w:val="22"/>
          <w:szCs w:val="22"/>
          <w:lang w:val="es-CO"/>
        </w:rPr>
        <w:t>los saldos reportados en los estados de tesorería y los extractos y conciliaciones bancarias.</w:t>
      </w:r>
    </w:p>
    <w:p w:rsidR="00746951" w:rsidRPr="00A070FD" w:rsidRDefault="00746951" w:rsidP="00CD63E3">
      <w:pPr>
        <w:jc w:val="both"/>
        <w:rPr>
          <w:rFonts w:ascii="Arial" w:hAnsi="Arial" w:cs="Arial"/>
          <w:b/>
          <w:sz w:val="22"/>
          <w:szCs w:val="22"/>
          <w:lang w:val="es-CO"/>
        </w:rPr>
      </w:pPr>
    </w:p>
    <w:p w:rsidR="00746951" w:rsidRPr="00A070FD" w:rsidRDefault="00746951" w:rsidP="00A070FD">
      <w:pPr>
        <w:pStyle w:val="Prrafodelista"/>
        <w:numPr>
          <w:ilvl w:val="0"/>
          <w:numId w:val="12"/>
        </w:numPr>
        <w:ind w:left="284" w:hanging="284"/>
        <w:jc w:val="both"/>
        <w:rPr>
          <w:rFonts w:ascii="Arial" w:hAnsi="Arial" w:cs="Arial"/>
          <w:bCs/>
          <w:sz w:val="22"/>
          <w:szCs w:val="22"/>
          <w:lang w:val="es-CO"/>
        </w:rPr>
      </w:pPr>
      <w:r w:rsidRPr="00A070FD">
        <w:rPr>
          <w:rFonts w:ascii="Arial" w:hAnsi="Arial" w:cs="Arial"/>
          <w:bCs/>
          <w:i/>
          <w:iCs/>
          <w:sz w:val="22"/>
          <w:szCs w:val="22"/>
          <w:lang w:val="es-CO"/>
        </w:rPr>
        <w:t>Productos:</w:t>
      </w:r>
      <w:r w:rsidRPr="00A070FD">
        <w:rPr>
          <w:rFonts w:ascii="Arial" w:hAnsi="Arial" w:cs="Arial"/>
          <w:bCs/>
          <w:sz w:val="22"/>
          <w:szCs w:val="22"/>
          <w:lang w:val="es-CO"/>
        </w:rPr>
        <w:t xml:space="preserve"> Cierre de tesorería. Extractos bancarios. Conciliaciones bancarias. Cierre presupuestal desagregado por concepto de gasto, que guarde coherencia con el catálogo de cuentas establecido en el FUT, en las vigencias analizadas, extractos bancarios por cuenta y tipo de fuente.</w:t>
      </w:r>
    </w:p>
    <w:p w:rsidR="00746951" w:rsidRPr="00A070FD"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A070FD">
        <w:rPr>
          <w:rFonts w:ascii="Arial" w:hAnsi="Arial" w:cs="Arial"/>
          <w:bCs/>
          <w:sz w:val="22"/>
          <w:szCs w:val="22"/>
          <w:lang w:val="es-CO"/>
        </w:rPr>
        <w:t>Del análisis</w:t>
      </w:r>
      <w:r>
        <w:rPr>
          <w:rFonts w:ascii="Arial" w:hAnsi="Arial" w:cs="Arial"/>
          <w:bCs/>
          <w:sz w:val="22"/>
          <w:szCs w:val="22"/>
          <w:lang w:val="es-CO"/>
        </w:rPr>
        <w:t xml:space="preserve"> de la información allegada por parte del </w:t>
      </w:r>
      <w:r>
        <w:rPr>
          <w:rFonts w:ascii="Arial" w:hAnsi="Arial" w:cs="Arial"/>
          <w:sz w:val="22"/>
          <w:szCs w:val="22"/>
          <w:lang w:val="es-CO"/>
        </w:rPr>
        <w:t xml:space="preserve">Ministerio de Educación Nacional mediante el radicado </w:t>
      </w:r>
      <w:r>
        <w:rPr>
          <w:rFonts w:ascii="Arial" w:hAnsi="Arial" w:cs="Arial"/>
          <w:bCs/>
          <w:sz w:val="22"/>
          <w:szCs w:val="22"/>
          <w:lang w:val="es-CO"/>
        </w:rPr>
        <w:t xml:space="preserve">No. 1-2020-040621 del 18 de mayo de </w:t>
      </w:r>
      <w:r w:rsidR="00652E33">
        <w:rPr>
          <w:rFonts w:ascii="Arial" w:hAnsi="Arial" w:cs="Arial"/>
          <w:bCs/>
          <w:sz w:val="22"/>
          <w:szCs w:val="22"/>
          <w:lang w:val="es-CO"/>
        </w:rPr>
        <w:t xml:space="preserve">2020, se realizó la revisión del Cierre de Tesorería para </w:t>
      </w:r>
      <w:r>
        <w:rPr>
          <w:rFonts w:ascii="Arial" w:hAnsi="Arial" w:cs="Arial"/>
          <w:bCs/>
          <w:sz w:val="22"/>
          <w:szCs w:val="22"/>
          <w:lang w:val="es-CO"/>
        </w:rPr>
        <w:t xml:space="preserve">la vigencia 2019, el reporte al FUT para la categoría Cierre Fiscal, así como se realizaron estimaciones con respecto a los valores </w:t>
      </w:r>
      <w:r w:rsidR="00652E33">
        <w:rPr>
          <w:rFonts w:ascii="Arial" w:hAnsi="Arial" w:cs="Arial"/>
          <w:bCs/>
          <w:sz w:val="22"/>
          <w:szCs w:val="22"/>
          <w:lang w:val="es-CO"/>
        </w:rPr>
        <w:t xml:space="preserve">registrados </w:t>
      </w:r>
      <w:r>
        <w:rPr>
          <w:rFonts w:ascii="Arial" w:hAnsi="Arial" w:cs="Arial"/>
          <w:bCs/>
          <w:sz w:val="22"/>
          <w:szCs w:val="22"/>
          <w:lang w:val="es-CO"/>
        </w:rPr>
        <w:t xml:space="preserve">en las ejecuciones presupuestales de ingresos y gastos y los reportes al FUT </w:t>
      </w:r>
      <w:r w:rsidR="00652E33">
        <w:rPr>
          <w:rFonts w:ascii="Arial" w:hAnsi="Arial" w:cs="Arial"/>
          <w:bCs/>
          <w:sz w:val="22"/>
          <w:szCs w:val="22"/>
          <w:lang w:val="es-CO"/>
        </w:rPr>
        <w:t xml:space="preserve">realizados en </w:t>
      </w:r>
      <w:r>
        <w:rPr>
          <w:rFonts w:ascii="Arial" w:hAnsi="Arial" w:cs="Arial"/>
          <w:bCs/>
          <w:sz w:val="22"/>
          <w:szCs w:val="22"/>
          <w:lang w:val="es-CO"/>
        </w:rPr>
        <w:t xml:space="preserve">las categorías de Ingresos, Gastos de Funcionamiento y Gastos de Inversión.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Del proceso de análisis, se identificó que la información </w:t>
      </w:r>
      <w:r w:rsidR="00652E33">
        <w:rPr>
          <w:rFonts w:ascii="Arial" w:hAnsi="Arial" w:cs="Arial"/>
          <w:bCs/>
          <w:sz w:val="22"/>
          <w:szCs w:val="22"/>
          <w:lang w:val="es-CO"/>
        </w:rPr>
        <w:t>d</w:t>
      </w:r>
      <w:r>
        <w:rPr>
          <w:rFonts w:ascii="Arial" w:hAnsi="Arial" w:cs="Arial"/>
          <w:bCs/>
          <w:sz w:val="22"/>
          <w:szCs w:val="22"/>
          <w:lang w:val="es-CO"/>
        </w:rPr>
        <w:t>el Cierre de Tesorería es consistente con el reporte al FUT para la categoría Cierre Fiscal; sin embargo, al comparar estos valores con los cálculos realizados a partir de las ejecuciones presupuestales y los reportes al FUT mencionados, se identificaron las siguientes diferencias:</w:t>
      </w:r>
    </w:p>
    <w:p w:rsidR="00746951" w:rsidRDefault="00746951" w:rsidP="00CD63E3">
      <w:pPr>
        <w:jc w:val="both"/>
        <w:rPr>
          <w:rFonts w:ascii="Arial" w:hAnsi="Arial" w:cs="Arial"/>
          <w:bCs/>
          <w:sz w:val="22"/>
          <w:szCs w:val="22"/>
          <w:lang w:val="es-CO"/>
        </w:rPr>
      </w:pPr>
    </w:p>
    <w:p w:rsidR="00746951" w:rsidRDefault="00746951" w:rsidP="00652E33">
      <w:pPr>
        <w:pStyle w:val="Prrafodelista"/>
        <w:numPr>
          <w:ilvl w:val="0"/>
          <w:numId w:val="12"/>
        </w:numPr>
        <w:ind w:left="284" w:hanging="284"/>
        <w:jc w:val="both"/>
        <w:rPr>
          <w:rFonts w:ascii="Arial" w:hAnsi="Arial" w:cs="Arial"/>
          <w:sz w:val="22"/>
          <w:szCs w:val="22"/>
          <w:lang w:val="es-CO"/>
        </w:rPr>
      </w:pPr>
      <w:r w:rsidRPr="00652E33">
        <w:rPr>
          <w:rFonts w:ascii="Arial" w:hAnsi="Arial" w:cs="Arial"/>
          <w:bCs/>
          <w:iCs/>
          <w:sz w:val="22"/>
          <w:szCs w:val="22"/>
          <w:lang w:val="es-CO"/>
        </w:rPr>
        <w:t>Inconsistencias</w:t>
      </w:r>
      <w:r>
        <w:rPr>
          <w:rFonts w:ascii="Arial" w:hAnsi="Arial" w:cs="Arial"/>
          <w:sz w:val="22"/>
          <w:szCs w:val="22"/>
          <w:lang w:val="es-CO"/>
        </w:rPr>
        <w:t xml:space="preserve"> en el superávit, ya que, al realizar el cálculo del cierre fiscal a partir de las ejecuciones presupuestales se estima un déficit por $596 millones, esta misma estimación con la información reportada al FUT para las categorías de Ingresos, Gastos de Inversión y Gastos de Financiación presenta un déficit que asciende a $543 millones; mientras que</w:t>
      </w:r>
      <w:r w:rsidR="00652E33">
        <w:rPr>
          <w:rFonts w:ascii="Arial" w:hAnsi="Arial" w:cs="Arial"/>
          <w:sz w:val="22"/>
          <w:szCs w:val="22"/>
          <w:lang w:val="es-CO"/>
        </w:rPr>
        <w:t xml:space="preserve"> </w:t>
      </w:r>
      <w:r>
        <w:rPr>
          <w:rFonts w:ascii="Arial" w:hAnsi="Arial" w:cs="Arial"/>
          <w:sz w:val="22"/>
          <w:szCs w:val="22"/>
          <w:lang w:val="es-CO"/>
        </w:rPr>
        <w:t xml:space="preserve">la información reportada en la categoría Cierre Fiscal del FUT y el cierre de tesorería presenta un superávit de $146,54 millones. </w:t>
      </w:r>
    </w:p>
    <w:p w:rsidR="00746951" w:rsidRDefault="00746951" w:rsidP="00CD63E3">
      <w:pPr>
        <w:jc w:val="both"/>
        <w:rPr>
          <w:rFonts w:ascii="Arial" w:hAnsi="Arial" w:cs="Arial"/>
          <w:sz w:val="22"/>
          <w:szCs w:val="22"/>
          <w:lang w:val="es-CO"/>
        </w:rPr>
      </w:pPr>
    </w:p>
    <w:p w:rsidR="00746951" w:rsidRDefault="00746951" w:rsidP="00652E33">
      <w:pPr>
        <w:pStyle w:val="Prrafodelista"/>
        <w:numPr>
          <w:ilvl w:val="0"/>
          <w:numId w:val="12"/>
        </w:numPr>
        <w:ind w:left="284" w:hanging="284"/>
        <w:jc w:val="both"/>
        <w:rPr>
          <w:rFonts w:ascii="Arial" w:hAnsi="Arial" w:cs="Arial"/>
          <w:sz w:val="22"/>
          <w:szCs w:val="22"/>
          <w:lang w:val="es-CO"/>
        </w:rPr>
      </w:pPr>
      <w:r w:rsidRPr="00652E33">
        <w:rPr>
          <w:rFonts w:ascii="Arial" w:hAnsi="Arial" w:cs="Arial"/>
          <w:bCs/>
          <w:iCs/>
          <w:sz w:val="22"/>
          <w:szCs w:val="22"/>
          <w:lang w:val="es-CO"/>
        </w:rPr>
        <w:t>La</w:t>
      </w:r>
      <w:r>
        <w:rPr>
          <w:rFonts w:ascii="Arial" w:hAnsi="Arial" w:cs="Arial"/>
          <w:sz w:val="22"/>
          <w:szCs w:val="22"/>
          <w:lang w:val="es-CO"/>
        </w:rPr>
        <w:t xml:space="preserve"> estimación de las reservas realizada a partir de la ejecución presupuestal</w:t>
      </w:r>
      <w:r w:rsidR="00652E33">
        <w:rPr>
          <w:rFonts w:ascii="Arial" w:hAnsi="Arial" w:cs="Arial"/>
          <w:sz w:val="22"/>
          <w:szCs w:val="22"/>
          <w:lang w:val="es-CO"/>
        </w:rPr>
        <w:t xml:space="preserve"> de ingresos y gastos</w:t>
      </w:r>
      <w:r>
        <w:rPr>
          <w:rFonts w:ascii="Arial" w:hAnsi="Arial" w:cs="Arial"/>
          <w:sz w:val="22"/>
          <w:szCs w:val="22"/>
          <w:lang w:val="es-CO"/>
        </w:rPr>
        <w:t xml:space="preserve"> describe un monto de $47,69 millones, mientras que, al realizar esta estimación con las cifras reportadas al FUT de las categorías de Ingresos, Gastos de Funcionamiento y Gastos de Inversión, se identifica consistencia con el cierre de tesorería y la información reportada en la categoría Cierre Fiscal, por $32,73 millones. Esta situación describe una falta de conciliación entre la ejecución presupuestal </w:t>
      </w:r>
      <w:r w:rsidR="00652E33">
        <w:rPr>
          <w:rFonts w:ascii="Arial" w:hAnsi="Arial" w:cs="Arial"/>
          <w:sz w:val="22"/>
          <w:szCs w:val="22"/>
          <w:lang w:val="es-CO"/>
        </w:rPr>
        <w:t xml:space="preserve">de ingresos y gastos </w:t>
      </w:r>
      <w:r>
        <w:rPr>
          <w:rFonts w:ascii="Arial" w:hAnsi="Arial" w:cs="Arial"/>
          <w:sz w:val="22"/>
          <w:szCs w:val="22"/>
          <w:lang w:val="es-CO"/>
        </w:rPr>
        <w:t>y los procesos de reporte de información a las categorías del FUT, razón por la que se recomienda implementar procesos de control que garantice la consistencia de las cifras.</w:t>
      </w:r>
    </w:p>
    <w:p w:rsidR="00746951" w:rsidRDefault="00746951" w:rsidP="00CD63E3">
      <w:pPr>
        <w:jc w:val="both"/>
        <w:rPr>
          <w:rFonts w:ascii="Arial" w:hAnsi="Arial" w:cs="Arial"/>
          <w:sz w:val="22"/>
          <w:szCs w:val="22"/>
          <w:lang w:val="es-CO"/>
        </w:rPr>
      </w:pPr>
    </w:p>
    <w:p w:rsidR="00746951" w:rsidRDefault="00746951" w:rsidP="00652E33">
      <w:pPr>
        <w:pStyle w:val="Prrafodelista"/>
        <w:numPr>
          <w:ilvl w:val="0"/>
          <w:numId w:val="12"/>
        </w:numPr>
        <w:ind w:left="284" w:hanging="284"/>
        <w:jc w:val="both"/>
        <w:rPr>
          <w:rFonts w:ascii="Arial" w:hAnsi="Arial" w:cs="Arial"/>
          <w:sz w:val="22"/>
          <w:szCs w:val="22"/>
          <w:lang w:val="es-CO"/>
        </w:rPr>
      </w:pPr>
      <w:r>
        <w:rPr>
          <w:rFonts w:ascii="Arial" w:hAnsi="Arial" w:cs="Arial"/>
          <w:sz w:val="22"/>
          <w:szCs w:val="22"/>
          <w:lang w:val="es-CO"/>
        </w:rPr>
        <w:t>Se identifica que el reporte efectuado al FUT para la categoría de Cierre Fiscal es coherente con el cierre de tesorería analizado</w:t>
      </w:r>
      <w:r w:rsidR="00652E33">
        <w:rPr>
          <w:rFonts w:ascii="Arial" w:hAnsi="Arial" w:cs="Arial"/>
          <w:sz w:val="22"/>
          <w:szCs w:val="22"/>
          <w:lang w:val="es-CO"/>
        </w:rPr>
        <w:t>;</w:t>
      </w:r>
      <w:r>
        <w:rPr>
          <w:rFonts w:ascii="Arial" w:hAnsi="Arial" w:cs="Arial"/>
          <w:sz w:val="22"/>
          <w:szCs w:val="22"/>
          <w:lang w:val="es-CO"/>
        </w:rPr>
        <w:t xml:space="preserve"> sin embargo, las estimaciones del saldo en caja y bancos efectuadas a partir de las ejecuciones presupuestales y de la información reportada en el FUT para las categorías de Ingresos, Gastos de Funcionamiento y Gastos de Inversión presentan diferencias con los valores </w:t>
      </w:r>
      <w:r w:rsidR="00652E33">
        <w:rPr>
          <w:rFonts w:ascii="Arial" w:hAnsi="Arial" w:cs="Arial"/>
          <w:sz w:val="22"/>
          <w:szCs w:val="22"/>
          <w:lang w:val="es-CO"/>
        </w:rPr>
        <w:t xml:space="preserve">registrados </w:t>
      </w:r>
      <w:r>
        <w:rPr>
          <w:rFonts w:ascii="Arial" w:hAnsi="Arial" w:cs="Arial"/>
          <w:sz w:val="22"/>
          <w:szCs w:val="22"/>
          <w:lang w:val="es-CO"/>
        </w:rPr>
        <w:t>en los cierres descritos. Lo anterior describe la ausencia de procesos de conciliación de cifras presupuestales, sin embargo, no se dispuso de la información financiera asociada a las cuentas bancarias de la Entidad, con el propósito de verificar los saldos presentes en caja y bancos.</w:t>
      </w:r>
    </w:p>
    <w:p w:rsidR="00746951" w:rsidRDefault="00746951" w:rsidP="00CD63E3">
      <w:pPr>
        <w:pStyle w:val="Prrafodelista"/>
        <w:rPr>
          <w:rFonts w:ascii="Arial" w:hAnsi="Arial" w:cs="Arial"/>
          <w:sz w:val="22"/>
          <w:szCs w:val="22"/>
          <w:lang w:val="es-CO"/>
        </w:rPr>
      </w:pPr>
    </w:p>
    <w:p w:rsidR="00746951" w:rsidRDefault="00746951" w:rsidP="00CD63E3">
      <w:pPr>
        <w:jc w:val="both"/>
        <w:rPr>
          <w:rFonts w:ascii="Arial" w:hAnsi="Arial" w:cs="Arial"/>
          <w:bCs/>
          <w:sz w:val="22"/>
          <w:szCs w:val="22"/>
          <w:lang w:val="es-CO"/>
        </w:rPr>
      </w:pPr>
      <w:r>
        <w:rPr>
          <w:rFonts w:ascii="Arial" w:hAnsi="Arial" w:cs="Arial"/>
          <w:sz w:val="22"/>
          <w:szCs w:val="22"/>
          <w:lang w:val="es-CO"/>
        </w:rPr>
        <w:t>Por lo anterior, no se evidencian avances en el cumplimiento de esta actividad por parte de la Entidad Territorial.</w:t>
      </w:r>
    </w:p>
    <w:p w:rsidR="00746951" w:rsidRDefault="00746951" w:rsidP="00CD63E3">
      <w:pPr>
        <w:jc w:val="both"/>
        <w:rPr>
          <w:rFonts w:ascii="Arial" w:hAnsi="Arial" w:cs="Arial"/>
          <w:bCs/>
          <w:sz w:val="22"/>
          <w:szCs w:val="22"/>
          <w:lang w:val="es-CO"/>
        </w:rPr>
      </w:pPr>
    </w:p>
    <w:p w:rsidR="00746951" w:rsidRPr="00652E33" w:rsidRDefault="00746951" w:rsidP="00CD63E3">
      <w:pPr>
        <w:jc w:val="both"/>
        <w:rPr>
          <w:rFonts w:ascii="Arial" w:hAnsi="Arial" w:cs="Arial"/>
          <w:b/>
          <w:sz w:val="22"/>
          <w:szCs w:val="22"/>
          <w:lang w:val="es-CO"/>
        </w:rPr>
      </w:pPr>
      <w:r>
        <w:rPr>
          <w:rFonts w:ascii="Arial" w:hAnsi="Arial" w:cs="Arial"/>
          <w:b/>
          <w:sz w:val="22"/>
          <w:szCs w:val="22"/>
          <w:lang w:val="es-CO"/>
        </w:rPr>
        <w:t xml:space="preserve">Actividad 2.1.1. Garantizar el cumplimiento de la reglamentación de la contratación del servicio </w:t>
      </w:r>
      <w:r w:rsidRPr="00652E33">
        <w:rPr>
          <w:rFonts w:ascii="Arial" w:hAnsi="Arial" w:cs="Arial"/>
          <w:b/>
          <w:sz w:val="22"/>
          <w:szCs w:val="22"/>
          <w:lang w:val="es-CO"/>
        </w:rPr>
        <w:t>educativo estipulada en el Decreto 1075 de 2015.</w:t>
      </w:r>
    </w:p>
    <w:p w:rsidR="00746951" w:rsidRPr="00652E33" w:rsidRDefault="00746951" w:rsidP="00CD63E3">
      <w:pPr>
        <w:jc w:val="both"/>
        <w:rPr>
          <w:rFonts w:ascii="Arial" w:hAnsi="Arial" w:cs="Arial"/>
          <w:b/>
          <w:sz w:val="22"/>
          <w:szCs w:val="22"/>
          <w:lang w:val="es-CO"/>
        </w:rPr>
      </w:pPr>
    </w:p>
    <w:p w:rsidR="00746951" w:rsidRPr="00652E33" w:rsidRDefault="00746951" w:rsidP="00652E33">
      <w:pPr>
        <w:pStyle w:val="Prrafodelista"/>
        <w:numPr>
          <w:ilvl w:val="0"/>
          <w:numId w:val="12"/>
        </w:numPr>
        <w:ind w:left="284" w:hanging="284"/>
        <w:jc w:val="both"/>
        <w:rPr>
          <w:rFonts w:ascii="Arial" w:hAnsi="Arial" w:cs="Arial"/>
          <w:bCs/>
          <w:sz w:val="22"/>
          <w:szCs w:val="22"/>
          <w:lang w:val="es-CO"/>
        </w:rPr>
      </w:pPr>
      <w:r w:rsidRPr="00652E33">
        <w:rPr>
          <w:rFonts w:ascii="Arial" w:hAnsi="Arial" w:cs="Arial"/>
          <w:bCs/>
          <w:i/>
          <w:iCs/>
          <w:sz w:val="22"/>
          <w:szCs w:val="22"/>
          <w:lang w:val="es-CO"/>
        </w:rPr>
        <w:t>Productos:</w:t>
      </w:r>
      <w:r w:rsidRPr="00652E33">
        <w:rPr>
          <w:rFonts w:ascii="Arial" w:hAnsi="Arial" w:cs="Arial"/>
          <w:bCs/>
          <w:sz w:val="22"/>
          <w:szCs w:val="22"/>
          <w:lang w:val="es-CO"/>
        </w:rPr>
        <w:t xml:space="preserve"> Estudio de insuficiencia. Plan anual de contratación del Servicio Educativo – PACSE -, publicado. PACSE definitivo publicado. Contratos, CDP, RP, garantías aprobadas. Acta de inicio de los contratos suscritos. Formato único de contratación remitido al Ministerio de Educación Nacional. Contratos publicados en SECOP (Documentos y actos administrativos del proceso de contratación).</w:t>
      </w:r>
    </w:p>
    <w:p w:rsidR="00746951" w:rsidRPr="00652E33"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652E33">
        <w:rPr>
          <w:rFonts w:ascii="Arial" w:hAnsi="Arial" w:cs="Arial"/>
          <w:bCs/>
          <w:sz w:val="22"/>
          <w:szCs w:val="22"/>
          <w:lang w:val="es-CO"/>
        </w:rPr>
        <w:t>En la información allegada por la Entidad mediante el radicado No. 1-2019-045070 del 16 de mayo de 2019</w:t>
      </w:r>
      <w:r>
        <w:rPr>
          <w:rFonts w:ascii="Arial" w:hAnsi="Arial" w:cs="Arial"/>
          <w:bCs/>
          <w:sz w:val="22"/>
          <w:szCs w:val="22"/>
          <w:lang w:val="es-CO"/>
        </w:rPr>
        <w:t xml:space="preserve"> no se identifica archivo alguno asociado al proceso contractual No. 34-</w:t>
      </w:r>
      <w:r>
        <w:rPr>
          <w:rFonts w:ascii="Arial" w:hAnsi="Arial" w:cs="Arial"/>
          <w:bCs/>
          <w:sz w:val="22"/>
          <w:szCs w:val="22"/>
          <w:lang w:val="es-CO"/>
        </w:rPr>
        <w:lastRenderedPageBreak/>
        <w:t xml:space="preserve">14-08-424 del 14 de mayo de 2019, que tiene por objeto </w:t>
      </w:r>
      <w:r w:rsidR="00652E33">
        <w:rPr>
          <w:rFonts w:ascii="Arial" w:hAnsi="Arial" w:cs="Arial"/>
          <w:bCs/>
          <w:sz w:val="22"/>
          <w:szCs w:val="22"/>
          <w:lang w:val="es-CO"/>
        </w:rPr>
        <w:t>“</w:t>
      </w:r>
      <w:r w:rsidR="00652E33">
        <w:rPr>
          <w:rFonts w:ascii="Arial" w:hAnsi="Arial" w:cs="Arial"/>
          <w:bCs/>
          <w:i/>
          <w:iCs/>
          <w:sz w:val="22"/>
          <w:szCs w:val="22"/>
          <w:lang w:val="es-CO"/>
        </w:rPr>
        <w:t>contratar la implementación de un modelo educativo orientado hacia la atención pertinente de la educación formal de la población privada de la libertad y jóvenes y adultos, en los establecimientos educativos públicos que funcionan en el municipio de Jamundí – Valle del Cauca.</w:t>
      </w:r>
      <w:r w:rsidR="00652E33">
        <w:rPr>
          <w:rFonts w:ascii="Arial" w:hAnsi="Arial" w:cs="Arial"/>
          <w:bCs/>
          <w:sz w:val="22"/>
          <w:szCs w:val="22"/>
          <w:lang w:val="es-CO"/>
        </w:rPr>
        <w:t>”</w:t>
      </w:r>
      <w:r>
        <w:rPr>
          <w:rFonts w:ascii="Arial" w:hAnsi="Arial" w:cs="Arial"/>
          <w:bCs/>
          <w:sz w:val="22"/>
          <w:szCs w:val="22"/>
          <w:lang w:val="es-CO"/>
        </w:rPr>
        <w:t>, por valor de $2.100 millones.</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En consecuencia, mediante la revisión del proceso contractual </w:t>
      </w:r>
      <w:r w:rsidR="00652E33">
        <w:rPr>
          <w:rFonts w:ascii="Arial" w:hAnsi="Arial" w:cs="Arial"/>
          <w:bCs/>
          <w:sz w:val="22"/>
          <w:szCs w:val="22"/>
          <w:lang w:val="es-CO"/>
        </w:rPr>
        <w:t xml:space="preserve">en </w:t>
      </w:r>
      <w:r>
        <w:rPr>
          <w:rFonts w:ascii="Arial" w:hAnsi="Arial" w:cs="Arial"/>
          <w:bCs/>
          <w:sz w:val="22"/>
          <w:szCs w:val="22"/>
          <w:lang w:val="es-CO"/>
        </w:rPr>
        <w:t xml:space="preserve">la plataforma SECOP y con la información allegada por el Ministerio de Educación Nacional mediante el radicado No. 1-2020-040621 del 18 de mayo de 2020, se identifica que dicho contrato contempla la atención de 2.647 estudiantes atendidos con 49 docentes vinculados por el contratista, sin embargo, no se </w:t>
      </w:r>
      <w:r w:rsidR="00652E33">
        <w:rPr>
          <w:rFonts w:ascii="Arial" w:hAnsi="Arial" w:cs="Arial"/>
          <w:bCs/>
          <w:sz w:val="22"/>
          <w:szCs w:val="22"/>
          <w:lang w:val="es-CO"/>
        </w:rPr>
        <w:t xml:space="preserve">encuentra </w:t>
      </w:r>
      <w:r>
        <w:rPr>
          <w:rFonts w:ascii="Arial" w:hAnsi="Arial" w:cs="Arial"/>
          <w:bCs/>
          <w:sz w:val="22"/>
          <w:szCs w:val="22"/>
          <w:lang w:val="es-CO"/>
        </w:rPr>
        <w:t xml:space="preserve">en la plataforma la publicación de documentos como CDP, RP, garantías aprobadas, acta de inicio e informes de supervisión. </w:t>
      </w:r>
    </w:p>
    <w:p w:rsidR="00746951" w:rsidRDefault="00746951" w:rsidP="00CD63E3">
      <w:pPr>
        <w:jc w:val="both"/>
        <w:rPr>
          <w:rFonts w:ascii="Arial" w:hAnsi="Arial" w:cs="Arial"/>
          <w:bCs/>
          <w:sz w:val="22"/>
          <w:szCs w:val="22"/>
          <w:lang w:val="es-CO"/>
        </w:rPr>
      </w:pPr>
    </w:p>
    <w:p w:rsidR="00652E33" w:rsidRDefault="00746951" w:rsidP="00CD63E3">
      <w:pPr>
        <w:jc w:val="both"/>
        <w:rPr>
          <w:rFonts w:ascii="Arial" w:hAnsi="Arial" w:cs="Arial"/>
          <w:bCs/>
          <w:sz w:val="22"/>
          <w:szCs w:val="22"/>
          <w:lang w:val="es-CO"/>
        </w:rPr>
      </w:pPr>
      <w:r>
        <w:rPr>
          <w:rFonts w:ascii="Arial" w:hAnsi="Arial" w:cs="Arial"/>
          <w:bCs/>
          <w:sz w:val="22"/>
          <w:szCs w:val="22"/>
          <w:lang w:val="es-CO"/>
        </w:rPr>
        <w:t xml:space="preserve">Al revisar el reporte de información al FUC, se identifica que </w:t>
      </w:r>
      <w:r w:rsidR="00652E33">
        <w:rPr>
          <w:rFonts w:ascii="Arial" w:hAnsi="Arial" w:cs="Arial"/>
          <w:bCs/>
          <w:sz w:val="22"/>
          <w:szCs w:val="22"/>
          <w:lang w:val="es-CO"/>
        </w:rPr>
        <w:t xml:space="preserve">este </w:t>
      </w:r>
      <w:r>
        <w:rPr>
          <w:rFonts w:ascii="Arial" w:hAnsi="Arial" w:cs="Arial"/>
          <w:bCs/>
          <w:sz w:val="22"/>
          <w:szCs w:val="22"/>
          <w:lang w:val="es-CO"/>
        </w:rPr>
        <w:t>es consistente con las características planteadas por el contrato</w:t>
      </w:r>
      <w:r w:rsidR="00652E33">
        <w:rPr>
          <w:rFonts w:ascii="Arial" w:hAnsi="Arial" w:cs="Arial"/>
          <w:bCs/>
          <w:sz w:val="22"/>
          <w:szCs w:val="22"/>
          <w:lang w:val="es-CO"/>
        </w:rPr>
        <w:t>;</w:t>
      </w:r>
      <w:r>
        <w:rPr>
          <w:rFonts w:ascii="Arial" w:hAnsi="Arial" w:cs="Arial"/>
          <w:bCs/>
          <w:sz w:val="22"/>
          <w:szCs w:val="22"/>
          <w:lang w:val="es-CO"/>
        </w:rPr>
        <w:t xml:space="preserve"> sin embargo, considerando que el contrato fue suscrito el 14 de mayo de 2019 y que el calendario escolar en la Entidad dio inicio el 28 de enero de 2019, de acuerdo con la resolución No. 0440 del 17 de octubre de 2018, se considera que el contrato no fue suscrito con la oportunidad adecuada. </w:t>
      </w:r>
    </w:p>
    <w:p w:rsidR="00652E33" w:rsidRDefault="00652E33"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En consecuencia, se evidencia que no se presentan avances en los procesos de planeación contractual, que deriven en la suscripción de contratos de prestación del servicio educativo de acuerdo con el Decreto 1075 de 2015.</w:t>
      </w:r>
    </w:p>
    <w:p w:rsidR="00746951" w:rsidRDefault="00746951" w:rsidP="00CD63E3">
      <w:pPr>
        <w:jc w:val="both"/>
        <w:rPr>
          <w:rFonts w:ascii="Arial" w:hAnsi="Arial" w:cs="Arial"/>
          <w:bCs/>
          <w:sz w:val="22"/>
          <w:szCs w:val="22"/>
          <w:lang w:val="es-CO"/>
        </w:rPr>
      </w:pPr>
    </w:p>
    <w:p w:rsidR="00746951" w:rsidRPr="00652E33" w:rsidRDefault="00746951" w:rsidP="00CD63E3">
      <w:pPr>
        <w:jc w:val="both"/>
        <w:rPr>
          <w:rFonts w:ascii="Arial" w:hAnsi="Arial" w:cs="Arial"/>
          <w:b/>
          <w:sz w:val="22"/>
          <w:szCs w:val="22"/>
          <w:lang w:val="es-CO"/>
        </w:rPr>
      </w:pPr>
      <w:r>
        <w:rPr>
          <w:rFonts w:ascii="Arial" w:hAnsi="Arial" w:cs="Arial"/>
          <w:b/>
          <w:sz w:val="22"/>
          <w:szCs w:val="22"/>
          <w:lang w:val="es-CO"/>
        </w:rPr>
        <w:t xml:space="preserve">Actividad 2.1.2. Publicar en el Sistema Electrónico de Contratación Pública la totalidad </w:t>
      </w:r>
      <w:r w:rsidRPr="00652E33">
        <w:rPr>
          <w:rFonts w:ascii="Arial" w:hAnsi="Arial" w:cs="Arial"/>
          <w:b/>
          <w:sz w:val="22"/>
          <w:szCs w:val="22"/>
          <w:lang w:val="es-CO"/>
        </w:rPr>
        <w:t>de documentos y actos relacionados con el proceso de contratación conforme la normatividad vigente.</w:t>
      </w:r>
    </w:p>
    <w:p w:rsidR="00746951" w:rsidRPr="00652E33" w:rsidRDefault="00746951" w:rsidP="00CD63E3">
      <w:pPr>
        <w:jc w:val="both"/>
        <w:rPr>
          <w:rFonts w:ascii="Arial" w:hAnsi="Arial" w:cs="Arial"/>
          <w:b/>
          <w:sz w:val="22"/>
          <w:szCs w:val="22"/>
          <w:lang w:val="es-CO"/>
        </w:rPr>
      </w:pPr>
    </w:p>
    <w:p w:rsidR="00746951" w:rsidRPr="00652E33" w:rsidRDefault="00746951" w:rsidP="00652E33">
      <w:pPr>
        <w:pStyle w:val="Prrafodelista"/>
        <w:numPr>
          <w:ilvl w:val="0"/>
          <w:numId w:val="12"/>
        </w:numPr>
        <w:ind w:left="284" w:hanging="284"/>
        <w:jc w:val="both"/>
        <w:rPr>
          <w:rFonts w:ascii="Arial" w:hAnsi="Arial" w:cs="Arial"/>
          <w:bCs/>
          <w:sz w:val="22"/>
          <w:szCs w:val="22"/>
          <w:lang w:val="es-CO"/>
        </w:rPr>
      </w:pPr>
      <w:r w:rsidRPr="00652E33">
        <w:rPr>
          <w:rFonts w:ascii="Arial" w:hAnsi="Arial" w:cs="Arial"/>
          <w:bCs/>
          <w:i/>
          <w:iCs/>
          <w:sz w:val="22"/>
          <w:szCs w:val="22"/>
          <w:lang w:val="es-CO"/>
        </w:rPr>
        <w:t>Producto:</w:t>
      </w:r>
      <w:r w:rsidRPr="00652E33">
        <w:rPr>
          <w:rFonts w:ascii="Arial" w:hAnsi="Arial" w:cs="Arial"/>
          <w:bCs/>
          <w:sz w:val="22"/>
          <w:szCs w:val="22"/>
          <w:lang w:val="es-CO"/>
        </w:rPr>
        <w:t xml:space="preserve"> Relación contractual con el link de acceso a SECOP.</w:t>
      </w:r>
    </w:p>
    <w:p w:rsidR="00746951" w:rsidRPr="00652E33"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652E33">
        <w:rPr>
          <w:rFonts w:ascii="Arial" w:hAnsi="Arial" w:cs="Arial"/>
          <w:bCs/>
          <w:sz w:val="22"/>
          <w:szCs w:val="22"/>
          <w:lang w:val="es-CO"/>
        </w:rPr>
        <w:t xml:space="preserve">Bajo el análisis de la información allegada por la Entidad mediante el radicado No. 1-2019-045070 del 16 de mayo de 2019, no se identifica archivo alguno que contenga la relación contractual con link de acceso a SECOP, </w:t>
      </w:r>
      <w:r w:rsidR="00120D0B">
        <w:rPr>
          <w:rFonts w:ascii="Arial" w:hAnsi="Arial" w:cs="Arial"/>
          <w:bCs/>
          <w:sz w:val="22"/>
          <w:szCs w:val="22"/>
          <w:lang w:val="es-CO"/>
        </w:rPr>
        <w:t xml:space="preserve">para </w:t>
      </w:r>
      <w:r w:rsidRPr="00652E33">
        <w:rPr>
          <w:rFonts w:ascii="Arial" w:hAnsi="Arial" w:cs="Arial"/>
          <w:bCs/>
          <w:sz w:val="22"/>
          <w:szCs w:val="22"/>
          <w:lang w:val="es-CO"/>
        </w:rPr>
        <w:t>hacer seguimiento a la publicación de</w:t>
      </w:r>
      <w:r>
        <w:rPr>
          <w:rFonts w:ascii="Arial" w:hAnsi="Arial" w:cs="Arial"/>
          <w:bCs/>
          <w:sz w:val="22"/>
          <w:szCs w:val="22"/>
          <w:lang w:val="es-CO"/>
        </w:rPr>
        <w:t xml:space="preserve"> la información contractual generada en el sector Educación por parte del Municipio.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Sin embargo, al analizar algunos de los procesos contractuales publicados en la plataforma SECOP para la vigencia 2019, se </w:t>
      </w:r>
      <w:r w:rsidR="00120D0B">
        <w:rPr>
          <w:rFonts w:ascii="Arial" w:hAnsi="Arial" w:cs="Arial"/>
          <w:bCs/>
          <w:sz w:val="22"/>
          <w:szCs w:val="22"/>
          <w:lang w:val="es-CO"/>
        </w:rPr>
        <w:t>identifica</w:t>
      </w:r>
      <w:r>
        <w:rPr>
          <w:rFonts w:ascii="Arial" w:hAnsi="Arial" w:cs="Arial"/>
          <w:bCs/>
          <w:sz w:val="22"/>
          <w:szCs w:val="22"/>
          <w:lang w:val="es-CO"/>
        </w:rPr>
        <w:t xml:space="preserve"> en los siguientes procesos: No. 34-14-08-113 del 26 de marzo de 2019, LP-002-2019 del 29 de julio de 2019, 005-2019 del 02 de junio de 2019 y 34-14-08-831 del 25 de junio de 2019, la falta de la publicación de documentos contractuales como el Certificado de Disponibilidad Presupuestal, el Registro Presupuestal, los Informes de Supervisión y las Actas de Liquidación y/o adición.</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rPr>
      </w:pPr>
      <w:r>
        <w:rPr>
          <w:rFonts w:ascii="Arial" w:hAnsi="Arial" w:cs="Arial"/>
          <w:bCs/>
          <w:sz w:val="22"/>
          <w:szCs w:val="22"/>
          <w:lang w:val="es-CO"/>
        </w:rPr>
        <w:t xml:space="preserve">Para la vigencia 2020, mediante la revisión de los procesos contractuales </w:t>
      </w:r>
      <w:r>
        <w:rPr>
          <w:rFonts w:ascii="Arial" w:hAnsi="Arial" w:cs="Arial"/>
          <w:bCs/>
          <w:sz w:val="22"/>
          <w:szCs w:val="22"/>
        </w:rPr>
        <w:t xml:space="preserve">No. UM34-14-23-002 del 08 de abril de 2020 y 34-14-08-170 del 05 de marzo de 2020, se reconoce la publicación de los documentos asociados al proceso a la fecha. Por lo anterior, considerando que, los mismos se encuentran en ejecución, la publicación de la totalidad de los documentos será revisada en un segundo informe de supervisión o durante la fase de evaluación.  </w:t>
      </w:r>
    </w:p>
    <w:p w:rsidR="00746951" w:rsidRDefault="00746951" w:rsidP="00CD63E3">
      <w:pPr>
        <w:jc w:val="both"/>
        <w:rPr>
          <w:rFonts w:ascii="Arial" w:hAnsi="Arial" w:cs="Arial"/>
          <w:bCs/>
          <w:sz w:val="22"/>
          <w:szCs w:val="22"/>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Así, se evidencia que no se presentan avances en la publicación de la totalidad de documentos y actos relacionados con los procesos de contratación en la plataforma SECOP conforme a la normatividad vigente.</w:t>
      </w:r>
    </w:p>
    <w:p w:rsidR="00746951" w:rsidRDefault="00746951" w:rsidP="00CD63E3">
      <w:pPr>
        <w:jc w:val="both"/>
        <w:rPr>
          <w:rFonts w:ascii="Arial" w:hAnsi="Arial" w:cs="Arial"/>
          <w:bCs/>
          <w:sz w:val="22"/>
          <w:szCs w:val="22"/>
          <w:lang w:val="es-CO"/>
        </w:rPr>
      </w:pPr>
    </w:p>
    <w:p w:rsidR="00746951" w:rsidRPr="00120D0B" w:rsidRDefault="00746951" w:rsidP="00CD63E3">
      <w:pPr>
        <w:jc w:val="both"/>
        <w:rPr>
          <w:rFonts w:ascii="Arial" w:hAnsi="Arial" w:cs="Arial"/>
          <w:b/>
          <w:sz w:val="22"/>
          <w:szCs w:val="22"/>
          <w:lang w:val="es-CO"/>
        </w:rPr>
      </w:pPr>
      <w:r>
        <w:rPr>
          <w:rFonts w:ascii="Arial" w:hAnsi="Arial" w:cs="Arial"/>
          <w:b/>
          <w:sz w:val="22"/>
          <w:szCs w:val="22"/>
          <w:lang w:val="es-CO"/>
        </w:rPr>
        <w:t>Actividad 2.1.3. Garantizar la supervisión y/o interventoría de acuerdo con la normatividad vigente.</w:t>
      </w:r>
    </w:p>
    <w:p w:rsidR="00746951" w:rsidRPr="00120D0B" w:rsidRDefault="00746951" w:rsidP="00CD63E3">
      <w:pPr>
        <w:jc w:val="both"/>
        <w:rPr>
          <w:rFonts w:ascii="Arial" w:hAnsi="Arial" w:cs="Arial"/>
          <w:b/>
          <w:sz w:val="22"/>
          <w:szCs w:val="22"/>
          <w:lang w:val="es-CO"/>
        </w:rPr>
      </w:pPr>
    </w:p>
    <w:p w:rsidR="00746951" w:rsidRPr="00120D0B" w:rsidRDefault="00746951" w:rsidP="00120D0B">
      <w:pPr>
        <w:pStyle w:val="Prrafodelista"/>
        <w:numPr>
          <w:ilvl w:val="0"/>
          <w:numId w:val="12"/>
        </w:numPr>
        <w:ind w:left="284" w:hanging="284"/>
        <w:jc w:val="both"/>
        <w:rPr>
          <w:rFonts w:ascii="Arial" w:hAnsi="Arial" w:cs="Arial"/>
          <w:bCs/>
          <w:sz w:val="22"/>
          <w:szCs w:val="22"/>
          <w:lang w:val="es-CO"/>
        </w:rPr>
      </w:pPr>
      <w:r w:rsidRPr="00120D0B">
        <w:rPr>
          <w:rFonts w:ascii="Arial" w:hAnsi="Arial" w:cs="Arial"/>
          <w:bCs/>
          <w:i/>
          <w:iCs/>
          <w:sz w:val="22"/>
          <w:szCs w:val="22"/>
          <w:lang w:val="es-CO"/>
        </w:rPr>
        <w:t>Productos:</w:t>
      </w:r>
      <w:r w:rsidRPr="00120D0B">
        <w:rPr>
          <w:rFonts w:ascii="Arial" w:hAnsi="Arial" w:cs="Arial"/>
          <w:bCs/>
          <w:sz w:val="22"/>
          <w:szCs w:val="22"/>
          <w:lang w:val="es-CO"/>
        </w:rPr>
        <w:t xml:space="preserve"> Informes de supervisión y/o interventoría de los contratos de administración y/o prestación del servicio educativo, en donde se evidencie la ejecución de los contratos de prestación del servicio durante la totalidad del año lectivo, el cumplimiento de la canasta educativa, el número de alumnos a atender y el cumplimiento de los requisitos de trayectoria e idoneidad de la firma contratada.</w:t>
      </w:r>
    </w:p>
    <w:p w:rsidR="00746951" w:rsidRPr="00120D0B"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120D0B">
        <w:rPr>
          <w:rFonts w:ascii="Arial" w:hAnsi="Arial" w:cs="Arial"/>
          <w:bCs/>
          <w:sz w:val="22"/>
          <w:szCs w:val="22"/>
          <w:lang w:val="es-CO"/>
        </w:rPr>
        <w:t xml:space="preserve">A partir de </w:t>
      </w:r>
      <w:r w:rsidR="00120D0B">
        <w:rPr>
          <w:rFonts w:ascii="Arial" w:hAnsi="Arial" w:cs="Arial"/>
          <w:bCs/>
          <w:sz w:val="22"/>
          <w:szCs w:val="22"/>
          <w:lang w:val="es-CO"/>
        </w:rPr>
        <w:t>la</w:t>
      </w:r>
      <w:r w:rsidRPr="00120D0B">
        <w:rPr>
          <w:rFonts w:ascii="Arial" w:hAnsi="Arial" w:cs="Arial"/>
          <w:bCs/>
          <w:sz w:val="22"/>
          <w:szCs w:val="22"/>
          <w:lang w:val="es-CO"/>
        </w:rPr>
        <w:t xml:space="preserve"> revisión de los procesos contractuales No. 34-14-08-113 del 26 de marzo de 2019, LP-002-2019 del 29 de julio de 2019, 005-2019 del 02 de junio de 2019 y 34-14-08-831 del 25 de junio de 2019, los cuales</w:t>
      </w:r>
      <w:r>
        <w:rPr>
          <w:rFonts w:ascii="Arial" w:hAnsi="Arial" w:cs="Arial"/>
          <w:bCs/>
          <w:sz w:val="22"/>
          <w:szCs w:val="22"/>
          <w:lang w:val="es-CO"/>
        </w:rPr>
        <w:t xml:space="preserve"> presentan una ejecución de recursos asociada con el SGP- Sector Educación en la vigencia 2019, no se identifica en ellos la publicación de </w:t>
      </w:r>
      <w:r w:rsidR="00120D0B">
        <w:rPr>
          <w:rFonts w:ascii="Arial" w:hAnsi="Arial" w:cs="Arial"/>
          <w:bCs/>
          <w:sz w:val="22"/>
          <w:szCs w:val="22"/>
          <w:lang w:val="es-CO"/>
        </w:rPr>
        <w:t xml:space="preserve">los </w:t>
      </w:r>
      <w:r>
        <w:rPr>
          <w:rFonts w:ascii="Arial" w:hAnsi="Arial" w:cs="Arial"/>
          <w:bCs/>
          <w:sz w:val="22"/>
          <w:szCs w:val="22"/>
          <w:lang w:val="es-CO"/>
        </w:rPr>
        <w:t xml:space="preserve">informes de supervisión </w:t>
      </w:r>
      <w:r w:rsidR="00120D0B">
        <w:rPr>
          <w:rFonts w:ascii="Arial" w:hAnsi="Arial" w:cs="Arial"/>
          <w:bCs/>
          <w:sz w:val="22"/>
          <w:szCs w:val="22"/>
          <w:lang w:val="es-CO"/>
        </w:rPr>
        <w:t>respectivos</w:t>
      </w:r>
      <w:r>
        <w:rPr>
          <w:rFonts w:ascii="Arial" w:hAnsi="Arial" w:cs="Arial"/>
          <w:bCs/>
          <w:sz w:val="22"/>
          <w:szCs w:val="22"/>
          <w:lang w:val="es-CO"/>
        </w:rPr>
        <w:t>, en los cuales se brinde un estado de la ejecución desarrollada por el contratista durante la vigencia.</w:t>
      </w:r>
    </w:p>
    <w:p w:rsidR="00746951" w:rsidRDefault="00746951" w:rsidP="00CD63E3">
      <w:pPr>
        <w:jc w:val="both"/>
        <w:rPr>
          <w:rFonts w:ascii="Arial" w:hAnsi="Arial" w:cs="Arial"/>
          <w:bCs/>
          <w:sz w:val="22"/>
          <w:szCs w:val="22"/>
        </w:rPr>
      </w:pPr>
    </w:p>
    <w:p w:rsidR="00120D0B" w:rsidRDefault="00746951" w:rsidP="00CD63E3">
      <w:pPr>
        <w:jc w:val="both"/>
        <w:rPr>
          <w:rFonts w:ascii="Arial" w:hAnsi="Arial" w:cs="Arial"/>
          <w:bCs/>
          <w:sz w:val="22"/>
          <w:szCs w:val="22"/>
        </w:rPr>
      </w:pPr>
      <w:r>
        <w:rPr>
          <w:rFonts w:ascii="Arial" w:hAnsi="Arial" w:cs="Arial"/>
          <w:bCs/>
          <w:sz w:val="22"/>
          <w:szCs w:val="22"/>
        </w:rPr>
        <w:t>Para la vigencia 2020, se revisaron los procesos contractuales No. UM34-14-23-002 del 08 de abril de 2020 y 34-14-08-170 del 05 de marzo de 2020. De forma similar, dichos contratos representan inversiones en el sector Educación, en los cuales es posible identificar los informes de supervisión asociados a la ejecución de los contratos. Sin embargo, al analizar el informe de supervisión Uno (1) del  08 de abril de 2020 y Dos (2) del 30 de abril de 2020, vinculados al proceso contractual UM34-14-23-002 del 08 de abril de 2020 que tiene por objeto “</w:t>
      </w:r>
      <w:r>
        <w:rPr>
          <w:rFonts w:ascii="Arial" w:hAnsi="Arial" w:cs="Arial"/>
          <w:bCs/>
          <w:i/>
          <w:iCs/>
          <w:sz w:val="22"/>
          <w:szCs w:val="22"/>
        </w:rPr>
        <w:t>Suministrar bonos de alimentación para el desarrollo del programa de alimentación escolar – PAE, en aplicación de los lineamientos establecidos en la Resolución No. 0006 de 2020 en el marco del Decreto No. 470 del 2020 del Ministerio de Educación Nacional</w:t>
      </w:r>
      <w:r>
        <w:rPr>
          <w:rFonts w:ascii="Arial" w:hAnsi="Arial" w:cs="Arial"/>
          <w:bCs/>
          <w:sz w:val="22"/>
          <w:szCs w:val="22"/>
        </w:rPr>
        <w:t>”, no se presenta por parte del supervisor una verificación de las actividades contractuales</w:t>
      </w:r>
      <w:r w:rsidR="00120D0B">
        <w:rPr>
          <w:rFonts w:ascii="Arial" w:hAnsi="Arial" w:cs="Arial"/>
          <w:bCs/>
          <w:sz w:val="22"/>
          <w:szCs w:val="22"/>
        </w:rPr>
        <w:t xml:space="preserve">. </w:t>
      </w:r>
    </w:p>
    <w:p w:rsidR="00120D0B" w:rsidRDefault="00120D0B" w:rsidP="00CD63E3">
      <w:pPr>
        <w:jc w:val="both"/>
        <w:rPr>
          <w:rFonts w:ascii="Arial" w:hAnsi="Arial" w:cs="Arial"/>
          <w:bCs/>
          <w:sz w:val="22"/>
          <w:szCs w:val="22"/>
        </w:rPr>
      </w:pPr>
    </w:p>
    <w:p w:rsidR="00746951" w:rsidRDefault="00120D0B" w:rsidP="00CD63E3">
      <w:pPr>
        <w:jc w:val="both"/>
        <w:rPr>
          <w:rFonts w:ascii="Arial" w:hAnsi="Arial" w:cs="Arial"/>
          <w:bCs/>
          <w:sz w:val="22"/>
          <w:szCs w:val="22"/>
        </w:rPr>
      </w:pPr>
      <w:r>
        <w:rPr>
          <w:rFonts w:ascii="Arial" w:hAnsi="Arial" w:cs="Arial"/>
          <w:bCs/>
          <w:sz w:val="22"/>
          <w:szCs w:val="22"/>
        </w:rPr>
        <w:t>Por ejemplo, e</w:t>
      </w:r>
      <w:r w:rsidR="00746951">
        <w:rPr>
          <w:rFonts w:ascii="Arial" w:hAnsi="Arial" w:cs="Arial"/>
          <w:bCs/>
          <w:sz w:val="22"/>
          <w:szCs w:val="22"/>
        </w:rPr>
        <w:t xml:space="preserve">n el Informe de Supervisión Uno (1) sólo se presenta una manifestación del Secretario de Educación de Jamundí </w:t>
      </w:r>
      <w:r>
        <w:rPr>
          <w:rFonts w:ascii="Arial" w:hAnsi="Arial" w:cs="Arial"/>
          <w:bCs/>
          <w:sz w:val="22"/>
          <w:szCs w:val="22"/>
        </w:rPr>
        <w:t xml:space="preserve">que </w:t>
      </w:r>
      <w:r w:rsidR="00746951">
        <w:rPr>
          <w:rFonts w:ascii="Arial" w:hAnsi="Arial" w:cs="Arial"/>
          <w:bCs/>
          <w:sz w:val="22"/>
          <w:szCs w:val="22"/>
        </w:rPr>
        <w:t>señala el cumplimiento a satisfacción de la entrega del acta de inicio, cronograma de actividades y la emisión de bonos (soportada con una carta del contratista), con la que se aprueba el primer pago por $764.694.000 el mismo día de suscripción del contrato, monto que representa el 95,8% del valor del contrato.</w:t>
      </w:r>
    </w:p>
    <w:p w:rsidR="00746951" w:rsidRDefault="00746951" w:rsidP="00CD63E3">
      <w:pPr>
        <w:jc w:val="both"/>
        <w:rPr>
          <w:rFonts w:ascii="Arial" w:hAnsi="Arial" w:cs="Arial"/>
          <w:bCs/>
          <w:sz w:val="22"/>
          <w:szCs w:val="22"/>
        </w:rPr>
      </w:pPr>
    </w:p>
    <w:p w:rsidR="00746951" w:rsidRDefault="00746951" w:rsidP="00CD63E3">
      <w:pPr>
        <w:jc w:val="both"/>
        <w:rPr>
          <w:rFonts w:ascii="Arial" w:hAnsi="Arial" w:cs="Arial"/>
          <w:bCs/>
          <w:sz w:val="22"/>
          <w:szCs w:val="22"/>
        </w:rPr>
      </w:pPr>
      <w:r>
        <w:rPr>
          <w:rFonts w:ascii="Arial" w:hAnsi="Arial" w:cs="Arial"/>
          <w:bCs/>
          <w:sz w:val="22"/>
          <w:szCs w:val="22"/>
        </w:rPr>
        <w:t xml:space="preserve">Seguidamente, el Informe de Supervisión No. 2 del 30 de abril de 2020 plantea como argumentación la entrega de 15.493 bonos de </w:t>
      </w:r>
      <w:r w:rsidR="00120D0B">
        <w:rPr>
          <w:rFonts w:ascii="Arial" w:hAnsi="Arial" w:cs="Arial"/>
          <w:bCs/>
          <w:sz w:val="22"/>
          <w:szCs w:val="22"/>
        </w:rPr>
        <w:t xml:space="preserve">los </w:t>
      </w:r>
      <w:r>
        <w:rPr>
          <w:rFonts w:ascii="Arial" w:hAnsi="Arial" w:cs="Arial"/>
          <w:bCs/>
          <w:sz w:val="22"/>
          <w:szCs w:val="22"/>
        </w:rPr>
        <w:t>18.207 contratados, presentando un total de bonos pendientes de entrega de 2.714, razón por la cual solicita la ampliación del plazo del contrato hasta el día 10 de mayo de 2020. De este informe se resalta el siguiente extracto “</w:t>
      </w:r>
      <w:r>
        <w:rPr>
          <w:rFonts w:ascii="Arial" w:hAnsi="Arial" w:cs="Arial"/>
          <w:bCs/>
          <w:i/>
          <w:iCs/>
          <w:sz w:val="22"/>
          <w:szCs w:val="22"/>
        </w:rPr>
        <w:t xml:space="preserve">En el desarrollo de la ejecución del objeto contractual No. UM34-14-23-002 de 2020, se pudo evidenciar la muy buena aceptación por parte de los padres de familia o acudientes que hacía efectivo el bono de alimentación en los diferentes supermercados que fueron vinculados para la redención de los mismo. Aunque era necesario cumplir con la tabla nutricional del anexo 01 de la Resolución No. 0006 emitida por la Unidad </w:t>
      </w:r>
      <w:r>
        <w:rPr>
          <w:rFonts w:ascii="Arial" w:hAnsi="Arial" w:cs="Arial"/>
          <w:bCs/>
          <w:i/>
          <w:iCs/>
          <w:sz w:val="22"/>
          <w:szCs w:val="22"/>
        </w:rPr>
        <w:lastRenderedPageBreak/>
        <w:t>Administrativa Especial de Alimentación Escolar – Alimentos para Aprender, existía la posibilidad de seleccionar las provisiones necesarias para la alimentación equilibrada del niño, niña, adolescente o joven</w:t>
      </w:r>
      <w:r>
        <w:rPr>
          <w:rFonts w:ascii="Arial" w:hAnsi="Arial" w:cs="Arial"/>
          <w:bCs/>
          <w:sz w:val="22"/>
          <w:szCs w:val="22"/>
        </w:rPr>
        <w:t>”.</w:t>
      </w:r>
    </w:p>
    <w:p w:rsidR="00746951" w:rsidRDefault="00746951" w:rsidP="00CD63E3">
      <w:pPr>
        <w:jc w:val="both"/>
        <w:rPr>
          <w:rFonts w:ascii="Arial" w:hAnsi="Arial" w:cs="Arial"/>
          <w:bCs/>
          <w:sz w:val="22"/>
          <w:szCs w:val="22"/>
        </w:rPr>
      </w:pPr>
    </w:p>
    <w:p w:rsidR="00746951" w:rsidRDefault="00746951" w:rsidP="00CD63E3">
      <w:pPr>
        <w:jc w:val="both"/>
        <w:rPr>
          <w:rFonts w:ascii="Arial" w:hAnsi="Arial" w:cs="Arial"/>
          <w:bCs/>
          <w:sz w:val="22"/>
          <w:szCs w:val="22"/>
        </w:rPr>
      </w:pPr>
      <w:r>
        <w:rPr>
          <w:rFonts w:ascii="Arial" w:hAnsi="Arial" w:cs="Arial"/>
          <w:bCs/>
          <w:sz w:val="22"/>
          <w:szCs w:val="22"/>
        </w:rPr>
        <w:t>De lo expuesto se aclara que el contrato No. UM34-14-23-002 del 08 de abril de 2020 plantea un total de 13 obligaciones a cargo del Contratista, en las que se resalta la obligación g, que indica, “</w:t>
      </w:r>
      <w:r>
        <w:rPr>
          <w:rFonts w:ascii="Arial" w:hAnsi="Arial" w:cs="Arial"/>
          <w:bCs/>
          <w:i/>
          <w:iCs/>
          <w:sz w:val="22"/>
          <w:szCs w:val="22"/>
        </w:rPr>
        <w:t>El contratista deberá de garantizar que los bonos solo podrán ser redimidos por los alimentos autorizados en el anexo No. 1 ‘lista de alimentos por los cuales se puede cambiar el bono en el centro de acopio, tienda o supermercado (conforme a lo definido por el ETC)’ de la Resolución No. 0006 del 25 de marzo de 2020</w:t>
      </w:r>
      <w:r>
        <w:rPr>
          <w:rFonts w:ascii="Arial" w:hAnsi="Arial" w:cs="Arial"/>
          <w:bCs/>
          <w:sz w:val="22"/>
          <w:szCs w:val="22"/>
        </w:rPr>
        <w:t>”; por ello, se concluye que los informes de supervisión realizados no describen el cumplimiento de las obligaciones por parte del contratista, razón por la que esta actividad se da por incumplida.</w:t>
      </w:r>
    </w:p>
    <w:p w:rsidR="00746951" w:rsidRDefault="00746951" w:rsidP="00CD63E3">
      <w:pPr>
        <w:jc w:val="both"/>
        <w:rPr>
          <w:rFonts w:ascii="Arial" w:hAnsi="Arial" w:cs="Arial"/>
          <w:bCs/>
          <w:sz w:val="22"/>
          <w:szCs w:val="22"/>
        </w:rPr>
      </w:pPr>
    </w:p>
    <w:p w:rsidR="00746951" w:rsidRDefault="00746951" w:rsidP="00CD63E3">
      <w:pPr>
        <w:jc w:val="both"/>
        <w:rPr>
          <w:rFonts w:ascii="Arial" w:hAnsi="Arial" w:cs="Arial"/>
          <w:bCs/>
          <w:i/>
          <w:iCs/>
          <w:sz w:val="22"/>
          <w:szCs w:val="22"/>
        </w:rPr>
      </w:pPr>
      <w:r>
        <w:rPr>
          <w:rFonts w:ascii="Arial" w:hAnsi="Arial" w:cs="Arial"/>
          <w:bCs/>
          <w:sz w:val="22"/>
          <w:szCs w:val="22"/>
        </w:rPr>
        <w:t>Considerando la información analizada</w:t>
      </w:r>
      <w:r w:rsidR="00893EBC">
        <w:rPr>
          <w:rFonts w:ascii="Arial" w:hAnsi="Arial" w:cs="Arial"/>
          <w:bCs/>
          <w:sz w:val="22"/>
          <w:szCs w:val="22"/>
        </w:rPr>
        <w:t>,</w:t>
      </w:r>
      <w:r>
        <w:rPr>
          <w:rFonts w:ascii="Arial" w:hAnsi="Arial" w:cs="Arial"/>
          <w:bCs/>
          <w:sz w:val="22"/>
          <w:szCs w:val="22"/>
        </w:rPr>
        <w:t xml:space="preserve"> se concluye que la Entidad no presenta avances en el cumplimiento de esta actividad, y para efectos del siguiente informe de seguimiento se realizará la revisión de los procesos de supervisión adelantados sobre los contratos de prestación del servicio educativo.</w:t>
      </w:r>
    </w:p>
    <w:p w:rsidR="00746951" w:rsidRDefault="00746951" w:rsidP="00CD63E3">
      <w:pPr>
        <w:jc w:val="both"/>
        <w:rPr>
          <w:rFonts w:ascii="Arial" w:hAnsi="Arial" w:cs="Arial"/>
          <w:bCs/>
          <w:sz w:val="22"/>
          <w:szCs w:val="22"/>
        </w:rPr>
      </w:pPr>
    </w:p>
    <w:p w:rsidR="00746951" w:rsidRPr="00893EBC" w:rsidRDefault="00746951" w:rsidP="00CD63E3">
      <w:pPr>
        <w:jc w:val="both"/>
        <w:rPr>
          <w:rFonts w:ascii="Arial" w:hAnsi="Arial" w:cs="Arial"/>
          <w:b/>
          <w:sz w:val="22"/>
          <w:szCs w:val="22"/>
          <w:lang w:val="es-CO"/>
        </w:rPr>
      </w:pPr>
      <w:r>
        <w:rPr>
          <w:rFonts w:ascii="Arial" w:hAnsi="Arial" w:cs="Arial"/>
          <w:b/>
          <w:sz w:val="22"/>
          <w:szCs w:val="22"/>
          <w:lang w:val="es-CO"/>
        </w:rPr>
        <w:t xml:space="preserve">Actividad 2.2.1. Dar cumplimiento a las condiciones, procesos y lineamientos en la adquisición de bienes y servicios para el sector educación, de acuerdo con los fines de </w:t>
      </w:r>
      <w:r w:rsidRPr="00893EBC">
        <w:rPr>
          <w:rFonts w:ascii="Arial" w:hAnsi="Arial" w:cs="Arial"/>
          <w:b/>
          <w:sz w:val="22"/>
          <w:szCs w:val="22"/>
          <w:lang w:val="es-CO"/>
        </w:rPr>
        <w:t>destinación de los recursos con que se financian y la observancia de la normatividad de contratación en su ejecución.</w:t>
      </w:r>
    </w:p>
    <w:p w:rsidR="00746951" w:rsidRPr="00893EBC" w:rsidRDefault="00746951" w:rsidP="00CD63E3">
      <w:pPr>
        <w:jc w:val="both"/>
        <w:rPr>
          <w:rFonts w:ascii="Arial" w:hAnsi="Arial" w:cs="Arial"/>
          <w:bCs/>
          <w:sz w:val="22"/>
          <w:szCs w:val="22"/>
          <w:lang w:val="es-CO"/>
        </w:rPr>
      </w:pPr>
    </w:p>
    <w:p w:rsidR="00746951" w:rsidRPr="00893EBC" w:rsidRDefault="00746951" w:rsidP="00893EBC">
      <w:pPr>
        <w:pStyle w:val="Prrafodelista"/>
        <w:numPr>
          <w:ilvl w:val="0"/>
          <w:numId w:val="12"/>
        </w:numPr>
        <w:ind w:left="284" w:hanging="284"/>
        <w:jc w:val="both"/>
        <w:rPr>
          <w:rFonts w:ascii="Arial" w:hAnsi="Arial" w:cs="Arial"/>
          <w:bCs/>
          <w:sz w:val="22"/>
          <w:szCs w:val="22"/>
          <w:lang w:val="es-CO"/>
        </w:rPr>
      </w:pPr>
      <w:r w:rsidRPr="00893EBC">
        <w:rPr>
          <w:rFonts w:ascii="Arial" w:hAnsi="Arial" w:cs="Arial"/>
          <w:bCs/>
          <w:i/>
          <w:iCs/>
          <w:sz w:val="22"/>
          <w:szCs w:val="22"/>
          <w:lang w:val="es-CO"/>
        </w:rPr>
        <w:t>Productos:</w:t>
      </w:r>
      <w:r w:rsidRPr="00893EBC">
        <w:rPr>
          <w:rFonts w:ascii="Arial" w:hAnsi="Arial" w:cs="Arial"/>
          <w:bCs/>
          <w:sz w:val="22"/>
          <w:szCs w:val="22"/>
          <w:lang w:val="es-CO"/>
        </w:rPr>
        <w:t xml:space="preserve"> Plan de Compras actualizado. Evidencias verificables en SECOP de los procesos adelantados para cada contratación definida en el plan de compras del Municipio, para el sector educativo. Listados de CDP y RP, en medio físico y magnético.</w:t>
      </w:r>
    </w:p>
    <w:p w:rsidR="00746951" w:rsidRPr="00893EBC" w:rsidRDefault="00746951" w:rsidP="00CD63E3">
      <w:pPr>
        <w:jc w:val="both"/>
        <w:rPr>
          <w:rFonts w:ascii="Arial" w:hAnsi="Arial" w:cs="Arial"/>
          <w:bCs/>
          <w:sz w:val="22"/>
          <w:szCs w:val="22"/>
          <w:lang w:val="es-CO"/>
        </w:rPr>
      </w:pPr>
    </w:p>
    <w:p w:rsidR="00746951" w:rsidRPr="00893EBC" w:rsidRDefault="00746951" w:rsidP="00CD63E3">
      <w:pPr>
        <w:jc w:val="both"/>
        <w:rPr>
          <w:rFonts w:ascii="Arial" w:hAnsi="Arial" w:cs="Arial"/>
          <w:bCs/>
          <w:sz w:val="22"/>
          <w:szCs w:val="22"/>
          <w:lang w:val="es-CO"/>
        </w:rPr>
      </w:pPr>
      <w:r w:rsidRPr="00893EBC">
        <w:rPr>
          <w:rFonts w:ascii="Arial" w:hAnsi="Arial" w:cs="Arial"/>
          <w:bCs/>
          <w:sz w:val="22"/>
          <w:szCs w:val="22"/>
          <w:lang w:val="es-CO"/>
        </w:rPr>
        <w:t>En la información allegada por la Entidad mediante el radicado No. 1-2019-045070 del 16 de mayo de 2019 no se encontraba el Plan de Compras que permitiera realizar seguimiento a los procesos contractuales del Sector Educación cargados al SECOP.</w:t>
      </w:r>
    </w:p>
    <w:p w:rsidR="00746951" w:rsidRPr="00893EBC"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Así mismo, al revisar el listado de CDP y RP, al igual que la ejecución presupuestal de ingresos y de gastos correspondiente a la vigencia 2019, se iden</w:t>
      </w:r>
      <w:r w:rsidR="00893EBC">
        <w:rPr>
          <w:rFonts w:ascii="Arial" w:hAnsi="Arial" w:cs="Arial"/>
          <w:bCs/>
          <w:sz w:val="22"/>
          <w:szCs w:val="22"/>
          <w:lang w:val="es-CO"/>
        </w:rPr>
        <w:t>tifican inconsistencias en la d</w:t>
      </w:r>
      <w:r>
        <w:rPr>
          <w:rFonts w:ascii="Arial" w:hAnsi="Arial" w:cs="Arial"/>
          <w:bCs/>
          <w:sz w:val="22"/>
          <w:szCs w:val="22"/>
          <w:lang w:val="es-CO"/>
        </w:rPr>
        <w:t>estinación de los recursos con que se financia la adquisición de bienes y servicios para el sector educación. A partir de lo anterior, la Tabla No. 5 describe la ejecución presupuestal realizada por fuente por parte de la Entidad, en donde se identifica la generación de déficit con los recursos corrientes de la fuente Prestación del Servicio.</w:t>
      </w:r>
    </w:p>
    <w:p w:rsidR="00893EBC" w:rsidRDefault="00893EBC"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En torno al cumplimiento de las condiciones, procesos y lineamientos para la prestación del servicio, se identifica que los rendimientos generados por las asignaciones del sector fueron destinados a la contratación de personal para la atención de la población con Necesidades Educativas Especiales; mientras que, los recursos del superávit generado por la fuente prestación del servicio en vigencias anteriores, se destinaron al pago del personal docente en la vigencia. El superávit asociado a la fuente Calidad Matrícula se destinó en la vigencia al mejoramiento de los restaurantes escolares en las sedes educativas con jornada única y regular.</w:t>
      </w:r>
    </w:p>
    <w:p w:rsidR="00746951" w:rsidRDefault="00746951" w:rsidP="00CD63E3">
      <w:pPr>
        <w:jc w:val="both"/>
        <w:rPr>
          <w:rFonts w:ascii="Arial" w:hAnsi="Arial" w:cs="Arial"/>
          <w:bCs/>
          <w:sz w:val="22"/>
          <w:szCs w:val="22"/>
          <w:lang w:val="es-CO"/>
        </w:rPr>
      </w:pPr>
    </w:p>
    <w:tbl>
      <w:tblPr>
        <w:tblW w:w="0" w:type="auto"/>
        <w:jc w:val="center"/>
        <w:tblCellMar>
          <w:left w:w="70" w:type="dxa"/>
          <w:right w:w="70" w:type="dxa"/>
        </w:tblCellMar>
        <w:tblLook w:val="04A0" w:firstRow="1" w:lastRow="0" w:firstColumn="1" w:lastColumn="0" w:noHBand="0" w:noVBand="1"/>
      </w:tblPr>
      <w:tblGrid>
        <w:gridCol w:w="3696"/>
        <w:gridCol w:w="1562"/>
        <w:gridCol w:w="1562"/>
        <w:gridCol w:w="1367"/>
      </w:tblGrid>
      <w:tr w:rsidR="00746951" w:rsidTr="00746951">
        <w:trPr>
          <w:trHeight w:val="588"/>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666699"/>
            <w:vAlign w:val="center"/>
            <w:hideMark/>
          </w:tcPr>
          <w:p w:rsidR="00746951" w:rsidRDefault="00746951" w:rsidP="00CD63E3">
            <w:pPr>
              <w:jc w:val="center"/>
              <w:rPr>
                <w:rFonts w:ascii="Calibri" w:eastAsia="Times New Roman" w:hAnsi="Calibri" w:cs="Calibri"/>
                <w:b/>
                <w:bCs/>
                <w:color w:val="FFFFFF"/>
                <w:sz w:val="20"/>
                <w:szCs w:val="20"/>
                <w:lang w:val="es-CO" w:eastAsia="es-CO"/>
              </w:rPr>
            </w:pPr>
            <w:r>
              <w:rPr>
                <w:rFonts w:ascii="Calibri" w:eastAsia="Times New Roman" w:hAnsi="Calibri" w:cs="Calibri"/>
                <w:b/>
                <w:bCs/>
                <w:color w:val="FFFFFF"/>
                <w:sz w:val="20"/>
                <w:szCs w:val="20"/>
                <w:lang w:val="es-CO" w:eastAsia="es-CO"/>
              </w:rPr>
              <w:lastRenderedPageBreak/>
              <w:t>TABLA 5. ANÁLISIS DEL USO DE LOS RECURSOS SGP - EDUCACIÓN</w:t>
            </w:r>
            <w:r>
              <w:rPr>
                <w:rFonts w:ascii="Calibri" w:eastAsia="Times New Roman" w:hAnsi="Calibri" w:cs="Calibri"/>
                <w:b/>
                <w:bCs/>
                <w:color w:val="FFFFFF"/>
                <w:sz w:val="20"/>
                <w:szCs w:val="20"/>
                <w:lang w:val="es-CO" w:eastAsia="es-CO"/>
              </w:rPr>
              <w:br/>
              <w:t>Cifras en pesos</w:t>
            </w:r>
          </w:p>
        </w:tc>
      </w:tr>
      <w:tr w:rsidR="00746951" w:rsidTr="00746951">
        <w:trPr>
          <w:trHeight w:val="288"/>
          <w:jc w:val="center"/>
        </w:trPr>
        <w:tc>
          <w:tcPr>
            <w:tcW w:w="0" w:type="auto"/>
            <w:tcBorders>
              <w:top w:val="nil"/>
              <w:left w:val="single" w:sz="4" w:space="0" w:color="auto"/>
              <w:bottom w:val="single" w:sz="4" w:space="0" w:color="auto"/>
              <w:right w:val="single" w:sz="4" w:space="0" w:color="auto"/>
            </w:tcBorders>
            <w:shd w:val="clear" w:color="auto" w:fill="666699"/>
            <w:noWrap/>
            <w:vAlign w:val="bottom"/>
            <w:hideMark/>
          </w:tcPr>
          <w:p w:rsidR="00746951" w:rsidRDefault="00746951" w:rsidP="00CD63E3">
            <w:pPr>
              <w:jc w:val="center"/>
              <w:rPr>
                <w:rFonts w:ascii="Calibri" w:eastAsia="Times New Roman" w:hAnsi="Calibri" w:cs="Calibri"/>
                <w:b/>
                <w:bCs/>
                <w:color w:val="FFFFFF"/>
                <w:sz w:val="20"/>
                <w:szCs w:val="20"/>
                <w:lang w:val="es-CO" w:eastAsia="es-CO"/>
              </w:rPr>
            </w:pPr>
            <w:r>
              <w:rPr>
                <w:rFonts w:ascii="Calibri" w:eastAsia="Times New Roman" w:hAnsi="Calibri" w:cs="Calibri"/>
                <w:b/>
                <w:bCs/>
                <w:color w:val="FFFFFF"/>
                <w:sz w:val="20"/>
                <w:szCs w:val="20"/>
                <w:lang w:val="es-CO" w:eastAsia="es-CO"/>
              </w:rPr>
              <w:t>Fuente</w:t>
            </w:r>
          </w:p>
        </w:tc>
        <w:tc>
          <w:tcPr>
            <w:tcW w:w="0" w:type="auto"/>
            <w:tcBorders>
              <w:top w:val="nil"/>
              <w:left w:val="nil"/>
              <w:bottom w:val="single" w:sz="4" w:space="0" w:color="auto"/>
              <w:right w:val="single" w:sz="4" w:space="0" w:color="auto"/>
            </w:tcBorders>
            <w:shd w:val="clear" w:color="auto" w:fill="666699"/>
            <w:noWrap/>
            <w:vAlign w:val="bottom"/>
            <w:hideMark/>
          </w:tcPr>
          <w:p w:rsidR="00746951" w:rsidRDefault="00746951" w:rsidP="00CD63E3">
            <w:pPr>
              <w:jc w:val="center"/>
              <w:rPr>
                <w:rFonts w:ascii="Calibri" w:eastAsia="Times New Roman" w:hAnsi="Calibri" w:cs="Calibri"/>
                <w:b/>
                <w:bCs/>
                <w:color w:val="FFFFFF"/>
                <w:sz w:val="20"/>
                <w:szCs w:val="20"/>
                <w:lang w:val="es-CO" w:eastAsia="es-CO"/>
              </w:rPr>
            </w:pPr>
            <w:r>
              <w:rPr>
                <w:rFonts w:ascii="Calibri" w:eastAsia="Times New Roman" w:hAnsi="Calibri" w:cs="Calibri"/>
                <w:b/>
                <w:bCs/>
                <w:color w:val="FFFFFF"/>
                <w:sz w:val="20"/>
                <w:szCs w:val="20"/>
                <w:lang w:val="es-CO" w:eastAsia="es-CO"/>
              </w:rPr>
              <w:t>Ingreso</w:t>
            </w:r>
          </w:p>
        </w:tc>
        <w:tc>
          <w:tcPr>
            <w:tcW w:w="0" w:type="auto"/>
            <w:tcBorders>
              <w:top w:val="nil"/>
              <w:left w:val="nil"/>
              <w:bottom w:val="single" w:sz="4" w:space="0" w:color="auto"/>
              <w:right w:val="single" w:sz="4" w:space="0" w:color="auto"/>
            </w:tcBorders>
            <w:shd w:val="clear" w:color="auto" w:fill="666699"/>
            <w:noWrap/>
            <w:vAlign w:val="bottom"/>
            <w:hideMark/>
          </w:tcPr>
          <w:p w:rsidR="00746951" w:rsidRDefault="00746951" w:rsidP="00893EBC">
            <w:pPr>
              <w:jc w:val="center"/>
              <w:rPr>
                <w:rFonts w:ascii="Calibri" w:eastAsia="Times New Roman" w:hAnsi="Calibri" w:cs="Calibri"/>
                <w:b/>
                <w:bCs/>
                <w:color w:val="FFFFFF"/>
                <w:sz w:val="20"/>
                <w:szCs w:val="20"/>
                <w:lang w:val="es-CO" w:eastAsia="es-CO"/>
              </w:rPr>
            </w:pPr>
            <w:r>
              <w:rPr>
                <w:rFonts w:ascii="Calibri" w:eastAsia="Times New Roman" w:hAnsi="Calibri" w:cs="Calibri"/>
                <w:b/>
                <w:bCs/>
                <w:color w:val="FFFFFF"/>
                <w:sz w:val="20"/>
                <w:szCs w:val="20"/>
                <w:lang w:val="es-CO" w:eastAsia="es-CO"/>
              </w:rPr>
              <w:t xml:space="preserve">Gastos </w:t>
            </w:r>
          </w:p>
        </w:tc>
        <w:tc>
          <w:tcPr>
            <w:tcW w:w="0" w:type="auto"/>
            <w:tcBorders>
              <w:top w:val="nil"/>
              <w:left w:val="nil"/>
              <w:bottom w:val="single" w:sz="4" w:space="0" w:color="auto"/>
              <w:right w:val="single" w:sz="4" w:space="0" w:color="auto"/>
            </w:tcBorders>
            <w:shd w:val="clear" w:color="auto" w:fill="666699"/>
            <w:noWrap/>
            <w:vAlign w:val="bottom"/>
            <w:hideMark/>
          </w:tcPr>
          <w:p w:rsidR="00746951" w:rsidRDefault="00746951" w:rsidP="00CD63E3">
            <w:pPr>
              <w:jc w:val="center"/>
              <w:rPr>
                <w:rFonts w:ascii="Calibri" w:eastAsia="Times New Roman" w:hAnsi="Calibri" w:cs="Calibri"/>
                <w:b/>
                <w:bCs/>
                <w:color w:val="FFFFFF"/>
                <w:sz w:val="20"/>
                <w:szCs w:val="20"/>
                <w:lang w:val="es-CO" w:eastAsia="es-CO"/>
              </w:rPr>
            </w:pPr>
            <w:r>
              <w:rPr>
                <w:rFonts w:ascii="Calibri" w:eastAsia="Times New Roman" w:hAnsi="Calibri" w:cs="Calibri"/>
                <w:b/>
                <w:bCs/>
                <w:color w:val="FFFFFF"/>
                <w:sz w:val="20"/>
                <w:szCs w:val="20"/>
                <w:lang w:val="es-CO" w:eastAsia="es-CO"/>
              </w:rPr>
              <w:t>Diferencia</w:t>
            </w:r>
          </w:p>
        </w:tc>
      </w:tr>
      <w:tr w:rsidR="00746951" w:rsidTr="00746951">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Prestación del Servicio - Corriente</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$ 44.300.136.787</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$ 45.021.879.370</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-$ 721.742.583</w:t>
            </w:r>
          </w:p>
        </w:tc>
      </w:tr>
      <w:tr w:rsidR="00746951" w:rsidTr="00746951">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Calidad Matrícula - Corriente</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$ 1.026.386.940</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$ 1.006.808.852</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$ 19.578.088</w:t>
            </w:r>
          </w:p>
        </w:tc>
      </w:tr>
      <w:tr w:rsidR="00746951" w:rsidTr="00746951">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Calidad Gratuidad - Corriente</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$ 1.421.293.042</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$ 1.421.293.042</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$ 0</w:t>
            </w:r>
          </w:p>
        </w:tc>
      </w:tr>
      <w:tr w:rsidR="00746951" w:rsidTr="00746951">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Superávit (Prestación del Servicio + Calidad)</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$ 1.254.611.570</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$ 1.103.060.780</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$ 151.550.790</w:t>
            </w:r>
          </w:p>
        </w:tc>
      </w:tr>
      <w:tr w:rsidR="00746951" w:rsidTr="00746951">
        <w:trPr>
          <w:trHeight w:val="288"/>
          <w:jc w:val="center"/>
        </w:trPr>
        <w:tc>
          <w:tcPr>
            <w:tcW w:w="0" w:type="auto"/>
            <w:tcBorders>
              <w:top w:val="nil"/>
              <w:left w:val="single" w:sz="4" w:space="0" w:color="auto"/>
              <w:bottom w:val="single" w:sz="4" w:space="0" w:color="auto"/>
              <w:right w:val="single" w:sz="4" w:space="0" w:color="auto"/>
            </w:tcBorders>
            <w:noWrap/>
            <w:vAlign w:val="bottom"/>
            <w:hideMark/>
          </w:tcPr>
          <w:p w:rsidR="00746951" w:rsidRDefault="00746951" w:rsidP="00CD63E3">
            <w:pP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Rendimientos</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$ 30.861.517</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$ 25.005.000</w:t>
            </w:r>
          </w:p>
        </w:tc>
        <w:tc>
          <w:tcPr>
            <w:tcW w:w="0" w:type="auto"/>
            <w:tcBorders>
              <w:top w:val="nil"/>
              <w:left w:val="nil"/>
              <w:bottom w:val="single" w:sz="4" w:space="0" w:color="auto"/>
              <w:right w:val="single" w:sz="4" w:space="0" w:color="auto"/>
            </w:tcBorders>
            <w:noWrap/>
            <w:vAlign w:val="bottom"/>
            <w:hideMark/>
          </w:tcPr>
          <w:p w:rsidR="00746951" w:rsidRDefault="00746951" w:rsidP="00CD63E3">
            <w:pPr>
              <w:jc w:val="right"/>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$ 5.856.517</w:t>
            </w:r>
          </w:p>
        </w:tc>
      </w:tr>
      <w:tr w:rsidR="00746951" w:rsidTr="00746951">
        <w:trPr>
          <w:trHeight w:val="288"/>
          <w:jc w:val="center"/>
        </w:trPr>
        <w:tc>
          <w:tcPr>
            <w:tcW w:w="0" w:type="auto"/>
            <w:tcBorders>
              <w:top w:val="nil"/>
              <w:left w:val="single" w:sz="4" w:space="0" w:color="auto"/>
              <w:bottom w:val="single" w:sz="4" w:space="0" w:color="auto"/>
              <w:right w:val="single" w:sz="4" w:space="0" w:color="auto"/>
            </w:tcBorders>
            <w:shd w:val="clear" w:color="auto" w:fill="D9D9D9"/>
            <w:noWrap/>
            <w:vAlign w:val="bottom"/>
            <w:hideMark/>
          </w:tcPr>
          <w:p w:rsidR="00746951" w:rsidRDefault="00746951" w:rsidP="00CD63E3">
            <w:pPr>
              <w:rPr>
                <w:rFonts w:ascii="Calibri" w:eastAsia="Times New Roman" w:hAnsi="Calibri" w:cs="Calibri"/>
                <w:b/>
                <w:bCs/>
                <w:color w:val="000000"/>
                <w:sz w:val="20"/>
                <w:szCs w:val="20"/>
                <w:lang w:val="es-CO" w:eastAsia="es-CO"/>
              </w:rPr>
            </w:pPr>
            <w:r>
              <w:rPr>
                <w:rFonts w:ascii="Calibri" w:eastAsia="Times New Roman" w:hAnsi="Calibri" w:cs="Calibri"/>
                <w:b/>
                <w:bCs/>
                <w:color w:val="000000"/>
                <w:sz w:val="20"/>
                <w:szCs w:val="20"/>
                <w:lang w:val="es-CO" w:eastAsia="es-CO"/>
              </w:rPr>
              <w:t>Total</w:t>
            </w:r>
          </w:p>
        </w:tc>
        <w:tc>
          <w:tcPr>
            <w:tcW w:w="0" w:type="auto"/>
            <w:tcBorders>
              <w:top w:val="nil"/>
              <w:left w:val="nil"/>
              <w:bottom w:val="single" w:sz="4" w:space="0" w:color="auto"/>
              <w:right w:val="single" w:sz="4" w:space="0" w:color="auto"/>
            </w:tcBorders>
            <w:shd w:val="clear" w:color="auto" w:fill="D9D9D9"/>
            <w:noWrap/>
            <w:vAlign w:val="bottom"/>
            <w:hideMark/>
          </w:tcPr>
          <w:p w:rsidR="00746951" w:rsidRDefault="00746951" w:rsidP="00CD63E3">
            <w:pPr>
              <w:jc w:val="right"/>
              <w:rPr>
                <w:rFonts w:ascii="Calibri" w:eastAsia="Times New Roman" w:hAnsi="Calibri" w:cs="Calibri"/>
                <w:b/>
                <w:bCs/>
                <w:color w:val="000000"/>
                <w:sz w:val="20"/>
                <w:szCs w:val="20"/>
                <w:lang w:val="es-CO" w:eastAsia="es-CO"/>
              </w:rPr>
            </w:pPr>
            <w:r>
              <w:rPr>
                <w:rFonts w:ascii="Calibri" w:eastAsia="Times New Roman" w:hAnsi="Calibri" w:cs="Calibri"/>
                <w:b/>
                <w:bCs/>
                <w:color w:val="000000"/>
                <w:sz w:val="20"/>
                <w:szCs w:val="20"/>
                <w:lang w:val="es-CO" w:eastAsia="es-CO"/>
              </w:rPr>
              <w:t>$ 48.033.289.857</w:t>
            </w:r>
          </w:p>
        </w:tc>
        <w:tc>
          <w:tcPr>
            <w:tcW w:w="0" w:type="auto"/>
            <w:tcBorders>
              <w:top w:val="nil"/>
              <w:left w:val="nil"/>
              <w:bottom w:val="single" w:sz="4" w:space="0" w:color="auto"/>
              <w:right w:val="single" w:sz="4" w:space="0" w:color="auto"/>
            </w:tcBorders>
            <w:shd w:val="clear" w:color="auto" w:fill="D9D9D9"/>
            <w:noWrap/>
            <w:vAlign w:val="bottom"/>
            <w:hideMark/>
          </w:tcPr>
          <w:p w:rsidR="00746951" w:rsidRDefault="00746951" w:rsidP="00CD63E3">
            <w:pPr>
              <w:jc w:val="right"/>
              <w:rPr>
                <w:rFonts w:ascii="Calibri" w:eastAsia="Times New Roman" w:hAnsi="Calibri" w:cs="Calibri"/>
                <w:b/>
                <w:bCs/>
                <w:color w:val="000000"/>
                <w:sz w:val="20"/>
                <w:szCs w:val="20"/>
                <w:lang w:val="es-CO" w:eastAsia="es-CO"/>
              </w:rPr>
            </w:pPr>
            <w:r>
              <w:rPr>
                <w:rFonts w:ascii="Calibri" w:eastAsia="Times New Roman" w:hAnsi="Calibri" w:cs="Calibri"/>
                <w:b/>
                <w:bCs/>
                <w:color w:val="000000"/>
                <w:sz w:val="20"/>
                <w:szCs w:val="20"/>
                <w:lang w:val="es-CO" w:eastAsia="es-CO"/>
              </w:rPr>
              <w:t>$ 48.578.047.044</w:t>
            </w:r>
          </w:p>
        </w:tc>
        <w:tc>
          <w:tcPr>
            <w:tcW w:w="0" w:type="auto"/>
            <w:tcBorders>
              <w:top w:val="nil"/>
              <w:left w:val="nil"/>
              <w:bottom w:val="single" w:sz="4" w:space="0" w:color="auto"/>
              <w:right w:val="single" w:sz="4" w:space="0" w:color="auto"/>
            </w:tcBorders>
            <w:shd w:val="clear" w:color="auto" w:fill="D9D9D9"/>
            <w:noWrap/>
            <w:vAlign w:val="bottom"/>
            <w:hideMark/>
          </w:tcPr>
          <w:p w:rsidR="00746951" w:rsidRDefault="00746951" w:rsidP="00CD63E3">
            <w:pPr>
              <w:jc w:val="right"/>
              <w:rPr>
                <w:rFonts w:ascii="Calibri" w:eastAsia="Times New Roman" w:hAnsi="Calibri" w:cs="Calibri"/>
                <w:b/>
                <w:bCs/>
                <w:color w:val="000000"/>
                <w:sz w:val="20"/>
                <w:szCs w:val="20"/>
                <w:lang w:val="es-CO" w:eastAsia="es-CO"/>
              </w:rPr>
            </w:pPr>
            <w:r>
              <w:rPr>
                <w:rFonts w:ascii="Calibri" w:eastAsia="Times New Roman" w:hAnsi="Calibri" w:cs="Calibri"/>
                <w:b/>
                <w:bCs/>
                <w:color w:val="000000"/>
                <w:sz w:val="20"/>
                <w:szCs w:val="20"/>
                <w:lang w:val="es-CO" w:eastAsia="es-CO"/>
              </w:rPr>
              <w:t>-$ 544.757.187</w:t>
            </w:r>
          </w:p>
        </w:tc>
      </w:tr>
    </w:tbl>
    <w:p w:rsidR="00746951" w:rsidRDefault="00746951" w:rsidP="00CD63E3">
      <w:pPr>
        <w:jc w:val="center"/>
        <w:rPr>
          <w:rFonts w:ascii="Arial" w:hAnsi="Arial" w:cs="Arial"/>
          <w:bCs/>
          <w:sz w:val="18"/>
          <w:szCs w:val="18"/>
          <w:lang w:val="es-CO"/>
        </w:rPr>
      </w:pPr>
      <w:r>
        <w:rPr>
          <w:rFonts w:ascii="Arial" w:hAnsi="Arial" w:cs="Arial"/>
          <w:bCs/>
          <w:sz w:val="18"/>
          <w:szCs w:val="18"/>
          <w:lang w:val="es-CO"/>
        </w:rPr>
        <w:t>Fuente: Elaboración propia.</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Así, se identifica que durante la vigencia</w:t>
      </w:r>
      <w:r w:rsidR="00893EBC">
        <w:rPr>
          <w:rFonts w:ascii="Arial" w:hAnsi="Arial" w:cs="Arial"/>
          <w:bCs/>
          <w:sz w:val="22"/>
          <w:szCs w:val="22"/>
          <w:lang w:val="es-CO"/>
        </w:rPr>
        <w:t xml:space="preserve"> 2019</w:t>
      </w:r>
      <w:r>
        <w:rPr>
          <w:rFonts w:ascii="Arial" w:hAnsi="Arial" w:cs="Arial"/>
          <w:bCs/>
          <w:sz w:val="22"/>
          <w:szCs w:val="22"/>
          <w:lang w:val="es-CO"/>
        </w:rPr>
        <w:t xml:space="preserve"> la Entidad no cumplió con las condiciones</w:t>
      </w:r>
      <w:r w:rsidR="00893EBC">
        <w:rPr>
          <w:rFonts w:ascii="Arial" w:hAnsi="Arial" w:cs="Arial"/>
          <w:bCs/>
          <w:sz w:val="22"/>
          <w:szCs w:val="22"/>
          <w:lang w:val="es-CO"/>
        </w:rPr>
        <w:t>,</w:t>
      </w:r>
      <w:r>
        <w:rPr>
          <w:rFonts w:ascii="Arial" w:hAnsi="Arial" w:cs="Arial"/>
          <w:bCs/>
          <w:sz w:val="22"/>
          <w:szCs w:val="22"/>
          <w:lang w:val="es-CO"/>
        </w:rPr>
        <w:t xml:space="preserve"> procesos y lineamientos para la ejecución de los recursos de la participación asociados con la fuente Prestación del Servicio, lo que generó déficit en el sector y describe incorrectas prácticas presupuestales para la adquisición de bienes y servicios; en consecuencia, no se evidencian avances en las acciones adelantadas por el Municipio para el cumplimiento de esta actividad.</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Ahora bien, en el siguiente informe de seguimiento, se realizará el análisis de la información presupuestal</w:t>
      </w:r>
      <w:r w:rsidR="00893EBC">
        <w:rPr>
          <w:rFonts w:ascii="Arial" w:hAnsi="Arial" w:cs="Arial"/>
          <w:bCs/>
          <w:sz w:val="22"/>
          <w:szCs w:val="22"/>
          <w:lang w:val="es-CO"/>
        </w:rPr>
        <w:t xml:space="preserve"> de </w:t>
      </w:r>
      <w:r>
        <w:rPr>
          <w:rFonts w:ascii="Arial" w:hAnsi="Arial" w:cs="Arial"/>
          <w:bCs/>
          <w:sz w:val="22"/>
          <w:szCs w:val="22"/>
          <w:lang w:val="es-CO"/>
        </w:rPr>
        <w:t>las vigencias 2020 y 2021 en torno a la planeación presupuestal y a la ejecución realizada mediante los CDP y RP emitidos por la Entidad en cumplimiento de la normatividad.</w:t>
      </w:r>
    </w:p>
    <w:p w:rsidR="00746951" w:rsidRDefault="00746951" w:rsidP="00CD63E3">
      <w:pPr>
        <w:jc w:val="both"/>
        <w:rPr>
          <w:rFonts w:ascii="Arial" w:hAnsi="Arial" w:cs="Arial"/>
          <w:bCs/>
          <w:sz w:val="22"/>
          <w:szCs w:val="22"/>
          <w:lang w:val="es-CO"/>
        </w:rPr>
      </w:pPr>
    </w:p>
    <w:p w:rsidR="00746951" w:rsidRPr="00893EBC" w:rsidRDefault="00746951" w:rsidP="00CD63E3">
      <w:pPr>
        <w:jc w:val="both"/>
        <w:rPr>
          <w:rFonts w:ascii="Arial" w:hAnsi="Arial" w:cs="Arial"/>
          <w:b/>
          <w:sz w:val="22"/>
          <w:szCs w:val="22"/>
          <w:lang w:val="es-CO"/>
        </w:rPr>
      </w:pPr>
      <w:r w:rsidRPr="00893EBC">
        <w:rPr>
          <w:rFonts w:ascii="Arial" w:hAnsi="Arial" w:cs="Arial"/>
          <w:b/>
          <w:sz w:val="22"/>
          <w:szCs w:val="22"/>
          <w:lang w:val="es-CO"/>
        </w:rPr>
        <w:t>Actividad 3.1.2. Normalizar la entrega de la dotación de personal del sector educativo conforme la normatividad.</w:t>
      </w:r>
    </w:p>
    <w:p w:rsidR="00746951" w:rsidRPr="00893EBC" w:rsidRDefault="00746951" w:rsidP="00CD63E3">
      <w:pPr>
        <w:jc w:val="both"/>
        <w:rPr>
          <w:rFonts w:ascii="Arial" w:hAnsi="Arial" w:cs="Arial"/>
          <w:b/>
          <w:sz w:val="22"/>
          <w:szCs w:val="22"/>
          <w:lang w:val="es-CO"/>
        </w:rPr>
      </w:pPr>
    </w:p>
    <w:p w:rsidR="00746951" w:rsidRPr="00893EBC" w:rsidRDefault="00746951" w:rsidP="00893EBC">
      <w:pPr>
        <w:pStyle w:val="Prrafodelista"/>
        <w:numPr>
          <w:ilvl w:val="0"/>
          <w:numId w:val="12"/>
        </w:numPr>
        <w:ind w:left="284" w:hanging="284"/>
        <w:jc w:val="both"/>
        <w:rPr>
          <w:rFonts w:ascii="Arial" w:hAnsi="Arial" w:cs="Arial"/>
          <w:bCs/>
          <w:sz w:val="22"/>
          <w:szCs w:val="22"/>
          <w:lang w:val="es-CO"/>
        </w:rPr>
      </w:pPr>
      <w:r w:rsidRPr="00893EBC">
        <w:rPr>
          <w:rFonts w:ascii="Arial" w:hAnsi="Arial" w:cs="Arial"/>
          <w:bCs/>
          <w:i/>
          <w:iCs/>
          <w:sz w:val="22"/>
          <w:szCs w:val="22"/>
          <w:lang w:val="es-CO"/>
        </w:rPr>
        <w:t>Productos:</w:t>
      </w:r>
      <w:r w:rsidRPr="00893EBC">
        <w:rPr>
          <w:rFonts w:ascii="Arial" w:hAnsi="Arial" w:cs="Arial"/>
          <w:bCs/>
          <w:sz w:val="22"/>
          <w:szCs w:val="22"/>
          <w:lang w:val="es-CO"/>
        </w:rPr>
        <w:t xml:space="preserve"> Evidencias de publicación en el SECOP de los procesos adelantados para el suministro de la dotación de vestuario y calzado al personal del sector educativo del Municipio. Informes de supervisión que reporten la entrega de la dotación al personal del sector educativo en los plazos definidos en la Ley. Certificación de paz y salvo emitida por el responsable de la entidad de la entrega de la dotación, debidamente soportada con las planillas de entrega correspondiente a la vigencia actual y anteriores.</w:t>
      </w:r>
    </w:p>
    <w:p w:rsidR="00746951" w:rsidRPr="00893EBC"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893EBC">
        <w:rPr>
          <w:rFonts w:ascii="Arial" w:hAnsi="Arial" w:cs="Arial"/>
          <w:bCs/>
          <w:sz w:val="22"/>
          <w:szCs w:val="22"/>
          <w:lang w:val="es-CO"/>
        </w:rPr>
        <w:t>A partir de la revisión de los procesos contractuales cargados a la plataforma SEC</w:t>
      </w:r>
      <w:r w:rsidR="00893EBC">
        <w:rPr>
          <w:rFonts w:ascii="Arial" w:hAnsi="Arial" w:cs="Arial"/>
          <w:bCs/>
          <w:sz w:val="22"/>
          <w:szCs w:val="22"/>
          <w:lang w:val="es-CO"/>
        </w:rPr>
        <w:t xml:space="preserve">OP por parte de la Entidad, se identificó </w:t>
      </w:r>
      <w:r w:rsidRPr="00893EBC">
        <w:rPr>
          <w:rFonts w:ascii="Arial" w:hAnsi="Arial" w:cs="Arial"/>
          <w:bCs/>
          <w:sz w:val="22"/>
          <w:szCs w:val="22"/>
          <w:lang w:val="es-CO"/>
        </w:rPr>
        <w:t>el contrato No. 34-14-23-778 del 19 de junio de 2019 cuyo objeto contractual es “</w:t>
      </w:r>
      <w:r w:rsidR="00893EBC" w:rsidRPr="00893EBC">
        <w:rPr>
          <w:rFonts w:ascii="Arial" w:hAnsi="Arial" w:cs="Arial"/>
          <w:bCs/>
          <w:i/>
          <w:iCs/>
          <w:sz w:val="22"/>
          <w:szCs w:val="22"/>
          <w:lang w:val="es-CO"/>
        </w:rPr>
        <w:t>suministro de dotación (calzado y vestido de labor) para docentes</w:t>
      </w:r>
      <w:r w:rsidR="00893EBC">
        <w:rPr>
          <w:rFonts w:ascii="Arial" w:hAnsi="Arial" w:cs="Arial"/>
          <w:bCs/>
          <w:i/>
          <w:iCs/>
          <w:sz w:val="22"/>
          <w:szCs w:val="22"/>
          <w:lang w:val="es-CO"/>
        </w:rPr>
        <w:t xml:space="preserve"> y al personal administrativo de la planta de cargos de la Secretaría de Educación Jamundí, bajo la modalidad de bonos u órdenes de compra correspondiente a la vigencia 2019</w:t>
      </w:r>
      <w:r>
        <w:rPr>
          <w:rFonts w:ascii="Arial" w:hAnsi="Arial" w:cs="Arial"/>
          <w:bCs/>
          <w:sz w:val="22"/>
          <w:szCs w:val="22"/>
          <w:lang w:val="es-CO"/>
        </w:rPr>
        <w:t xml:space="preserve">”, </w:t>
      </w:r>
      <w:r w:rsidR="00893EBC">
        <w:rPr>
          <w:rFonts w:ascii="Arial" w:hAnsi="Arial" w:cs="Arial"/>
          <w:bCs/>
          <w:sz w:val="22"/>
          <w:szCs w:val="22"/>
          <w:lang w:val="es-CO"/>
        </w:rPr>
        <w:t xml:space="preserve">por </w:t>
      </w:r>
      <w:r>
        <w:rPr>
          <w:rFonts w:ascii="Arial" w:hAnsi="Arial" w:cs="Arial"/>
          <w:bCs/>
          <w:sz w:val="22"/>
          <w:szCs w:val="22"/>
          <w:lang w:val="es-CO"/>
        </w:rPr>
        <w:t xml:space="preserve">valor </w:t>
      </w:r>
      <w:r w:rsidR="00893EBC">
        <w:rPr>
          <w:rFonts w:ascii="Arial" w:hAnsi="Arial" w:cs="Arial"/>
          <w:bCs/>
          <w:sz w:val="22"/>
          <w:szCs w:val="22"/>
          <w:lang w:val="es-CO"/>
        </w:rPr>
        <w:t xml:space="preserve">de </w:t>
      </w:r>
      <w:r>
        <w:rPr>
          <w:rFonts w:ascii="Arial" w:hAnsi="Arial" w:cs="Arial"/>
          <w:bCs/>
          <w:sz w:val="22"/>
          <w:szCs w:val="22"/>
          <w:lang w:val="es-CO"/>
        </w:rPr>
        <w:t xml:space="preserve">$97.220 millones </w:t>
      </w:r>
      <w:r w:rsidR="00893EBC">
        <w:rPr>
          <w:rFonts w:ascii="Arial" w:hAnsi="Arial" w:cs="Arial"/>
          <w:bCs/>
          <w:sz w:val="22"/>
          <w:szCs w:val="22"/>
          <w:lang w:val="es-CO"/>
        </w:rPr>
        <w:t xml:space="preserve">y cuyo </w:t>
      </w:r>
      <w:r>
        <w:rPr>
          <w:rFonts w:ascii="Arial" w:hAnsi="Arial" w:cs="Arial"/>
          <w:bCs/>
          <w:sz w:val="22"/>
          <w:szCs w:val="22"/>
          <w:lang w:val="es-CO"/>
        </w:rPr>
        <w:t xml:space="preserve">por un plazo de ejecución de seis (06) meses.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Al considerar la fecha de suscripción del contrato por parte de la Entidad para el suministro de la dotación al personal del sector Educación, se reconoce que de conformidad con el artículo 1° de la Ley 70 de 1988, la Entidad no cumplió con la obligación correspondiente a la entrega de la primera dotación de la vigencia, la cual debe ser suministrada </w:t>
      </w:r>
      <w:r w:rsidR="00893EBC">
        <w:rPr>
          <w:rFonts w:ascii="Arial" w:hAnsi="Arial" w:cs="Arial"/>
          <w:bCs/>
          <w:sz w:val="22"/>
          <w:szCs w:val="22"/>
          <w:lang w:val="es-CO"/>
        </w:rPr>
        <w:t xml:space="preserve">el 30 de </w:t>
      </w:r>
      <w:r>
        <w:rPr>
          <w:rFonts w:ascii="Arial" w:hAnsi="Arial" w:cs="Arial"/>
          <w:bCs/>
          <w:sz w:val="22"/>
          <w:szCs w:val="22"/>
          <w:lang w:val="es-CO"/>
        </w:rPr>
        <w:t>abril</w:t>
      </w:r>
      <w:r w:rsidR="00893EBC">
        <w:rPr>
          <w:rFonts w:ascii="Arial" w:hAnsi="Arial" w:cs="Arial"/>
          <w:bCs/>
          <w:sz w:val="22"/>
          <w:szCs w:val="22"/>
          <w:lang w:val="es-CO"/>
        </w:rPr>
        <w:t xml:space="preserve"> de cada </w:t>
      </w:r>
      <w:r>
        <w:rPr>
          <w:rFonts w:ascii="Arial" w:hAnsi="Arial" w:cs="Arial"/>
          <w:bCs/>
          <w:sz w:val="22"/>
          <w:szCs w:val="22"/>
          <w:lang w:val="es-CO"/>
        </w:rPr>
        <w:t>vigencia.</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Ahora bien, de acuerdo con las obligaciones del contratista, este se comprometió a suministrar 3 dotaciones compuestas de vestido/camisa, pantalón y calzado tanto para hombre o para dama, según el caso, durante la vigencia 2019. Sin embargo, con respecto al cumplimiento de esta obligación, no se cuenta con informes de supervisión ni certificados de paz y salvo que den cuenta de la entrega de estas dotaciones a los docentes y administrativos que tengan el derecho, ni con actas de liquidación </w:t>
      </w:r>
      <w:r w:rsidR="00893EBC">
        <w:rPr>
          <w:rFonts w:ascii="Arial" w:hAnsi="Arial" w:cs="Arial"/>
          <w:bCs/>
          <w:sz w:val="22"/>
          <w:szCs w:val="22"/>
          <w:lang w:val="es-CO"/>
        </w:rPr>
        <w:t xml:space="preserve">publicadas en </w:t>
      </w:r>
      <w:r>
        <w:rPr>
          <w:rFonts w:ascii="Arial" w:hAnsi="Arial" w:cs="Arial"/>
          <w:bCs/>
          <w:sz w:val="22"/>
          <w:szCs w:val="22"/>
          <w:lang w:val="es-CO"/>
        </w:rPr>
        <w:t>la plataforma SECOP.</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A partir del análisis de la información suministrada por la Entidad, se </w:t>
      </w:r>
      <w:r w:rsidR="00893EBC">
        <w:rPr>
          <w:rFonts w:ascii="Arial" w:hAnsi="Arial" w:cs="Arial"/>
          <w:bCs/>
          <w:sz w:val="22"/>
          <w:szCs w:val="22"/>
          <w:lang w:val="es-CO"/>
        </w:rPr>
        <w:t xml:space="preserve">evidencia que no se ha normalizado la entrega </w:t>
      </w:r>
      <w:r>
        <w:rPr>
          <w:rFonts w:ascii="Arial" w:hAnsi="Arial" w:cs="Arial"/>
          <w:bCs/>
          <w:sz w:val="22"/>
          <w:szCs w:val="22"/>
          <w:lang w:val="es-CO"/>
        </w:rPr>
        <w:t>de la dotación al personal del sector Educación, reiterando el incumplimiento por parte de la Entidad en lo dispuesto por la Ley 70 de 1988.</w:t>
      </w:r>
    </w:p>
    <w:p w:rsidR="00746951" w:rsidRDefault="00746951" w:rsidP="00CD63E3">
      <w:pPr>
        <w:jc w:val="both"/>
        <w:rPr>
          <w:rFonts w:ascii="Arial" w:hAnsi="Arial" w:cs="Arial"/>
          <w:bCs/>
          <w:sz w:val="22"/>
          <w:szCs w:val="22"/>
          <w:lang w:val="es-CO"/>
        </w:rPr>
      </w:pPr>
    </w:p>
    <w:p w:rsidR="00746951" w:rsidRPr="00EF71AC" w:rsidRDefault="00746951" w:rsidP="00CD63E3">
      <w:pPr>
        <w:jc w:val="both"/>
        <w:rPr>
          <w:rFonts w:ascii="Arial" w:hAnsi="Arial" w:cs="Arial"/>
          <w:b/>
          <w:sz w:val="22"/>
          <w:szCs w:val="22"/>
          <w:lang w:val="es-CO"/>
        </w:rPr>
      </w:pPr>
      <w:r>
        <w:rPr>
          <w:rFonts w:ascii="Arial" w:hAnsi="Arial" w:cs="Arial"/>
          <w:b/>
          <w:sz w:val="22"/>
          <w:szCs w:val="22"/>
          <w:lang w:val="es-CO"/>
        </w:rPr>
        <w:t xml:space="preserve">Actividad 3.2.1. Adelantar con el Ministerio de Educación Nacional la actualización del </w:t>
      </w:r>
      <w:r w:rsidRPr="00EF71AC">
        <w:rPr>
          <w:rFonts w:ascii="Arial" w:hAnsi="Arial" w:cs="Arial"/>
          <w:b/>
          <w:sz w:val="22"/>
          <w:szCs w:val="22"/>
          <w:lang w:val="es-CO"/>
        </w:rPr>
        <w:t>estudio técnico de planta docente, de conformidad con los requisitos establecidos en la normatividad vigente y los lineamientos del MEN.</w:t>
      </w:r>
    </w:p>
    <w:p w:rsidR="00746951" w:rsidRPr="00EF71AC" w:rsidRDefault="00746951" w:rsidP="00CD63E3">
      <w:pPr>
        <w:jc w:val="both"/>
        <w:rPr>
          <w:rFonts w:ascii="Arial" w:hAnsi="Arial" w:cs="Arial"/>
          <w:b/>
          <w:sz w:val="22"/>
          <w:szCs w:val="22"/>
          <w:lang w:val="es-CO"/>
        </w:rPr>
      </w:pPr>
    </w:p>
    <w:p w:rsidR="00746951" w:rsidRPr="00EF71AC" w:rsidRDefault="00746951" w:rsidP="00EF71AC">
      <w:pPr>
        <w:pStyle w:val="Prrafodelista"/>
        <w:numPr>
          <w:ilvl w:val="0"/>
          <w:numId w:val="12"/>
        </w:numPr>
        <w:ind w:left="284" w:hanging="284"/>
        <w:jc w:val="both"/>
        <w:rPr>
          <w:rFonts w:ascii="Arial" w:hAnsi="Arial" w:cs="Arial"/>
          <w:bCs/>
          <w:sz w:val="22"/>
          <w:szCs w:val="22"/>
          <w:lang w:val="es-CO"/>
        </w:rPr>
      </w:pPr>
      <w:r w:rsidRPr="00EF71AC">
        <w:rPr>
          <w:rFonts w:ascii="Arial" w:hAnsi="Arial" w:cs="Arial"/>
          <w:bCs/>
          <w:i/>
          <w:iCs/>
          <w:sz w:val="22"/>
          <w:szCs w:val="22"/>
          <w:lang w:val="es-CO"/>
        </w:rPr>
        <w:t>Productos:</w:t>
      </w:r>
      <w:r w:rsidRPr="00EF71AC">
        <w:rPr>
          <w:rFonts w:ascii="Arial" w:hAnsi="Arial" w:cs="Arial"/>
          <w:bCs/>
          <w:sz w:val="22"/>
          <w:szCs w:val="22"/>
          <w:lang w:val="es-CO"/>
        </w:rPr>
        <w:t xml:space="preserve"> Evidencias de la gestión, estudio técnico presentado y actualizado.</w:t>
      </w:r>
    </w:p>
    <w:p w:rsidR="00746951" w:rsidRPr="00EF71AC"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EF71AC">
        <w:rPr>
          <w:rFonts w:ascii="Arial" w:hAnsi="Arial" w:cs="Arial"/>
          <w:bCs/>
          <w:sz w:val="22"/>
          <w:szCs w:val="22"/>
          <w:lang w:val="es-CO"/>
        </w:rPr>
        <w:t>Mediante el radicado No. 1-2019-045070 del 16 de mayo de 2019 la Entidad Territorial alleg</w:t>
      </w:r>
      <w:r w:rsidR="00EF71AC">
        <w:rPr>
          <w:rFonts w:ascii="Arial" w:hAnsi="Arial" w:cs="Arial"/>
          <w:bCs/>
          <w:sz w:val="22"/>
          <w:szCs w:val="22"/>
          <w:lang w:val="es-CO"/>
        </w:rPr>
        <w:t>ó</w:t>
      </w:r>
      <w:r w:rsidRPr="00EF71AC">
        <w:rPr>
          <w:rFonts w:ascii="Arial" w:hAnsi="Arial" w:cs="Arial"/>
          <w:bCs/>
          <w:sz w:val="22"/>
          <w:szCs w:val="22"/>
          <w:lang w:val="es-CO"/>
        </w:rPr>
        <w:t xml:space="preserve"> el Concepto Técnico No. 2010EE5749 del 29 de enero de 2010, en el cual se viabiliza el personal de planta docente, directivo docente y administrativos de las Instituciones Educativas</w:t>
      </w:r>
      <w:r>
        <w:rPr>
          <w:rFonts w:ascii="Arial" w:hAnsi="Arial" w:cs="Arial"/>
          <w:bCs/>
          <w:sz w:val="22"/>
          <w:szCs w:val="22"/>
          <w:lang w:val="es-CO"/>
        </w:rPr>
        <w:t xml:space="preserve">, y el No. 2016-EE-049602 del 27 de abril de 2016, que determina planta docente para la atención de la Jornada Única en establecimientos educativos oficiales.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Lo anterior describe que la Entidad al corte de análisis del presente informe no ha adelantado la actualización del estudio técnico de planta docente para la prestación del servicio educativo en las instituciones de su jurisdicción. Por lo anterior, no se presentan avances con respecto al cumplimiento de esta actividad.</w:t>
      </w: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 </w:t>
      </w:r>
    </w:p>
    <w:p w:rsidR="00746951" w:rsidRPr="00EF71AC" w:rsidRDefault="00746951" w:rsidP="00CD63E3">
      <w:pPr>
        <w:jc w:val="both"/>
        <w:rPr>
          <w:rFonts w:ascii="Arial" w:hAnsi="Arial" w:cs="Arial"/>
          <w:b/>
          <w:sz w:val="22"/>
          <w:szCs w:val="22"/>
          <w:lang w:val="es-CO"/>
        </w:rPr>
      </w:pPr>
      <w:r>
        <w:rPr>
          <w:rFonts w:ascii="Arial" w:hAnsi="Arial" w:cs="Arial"/>
          <w:b/>
          <w:sz w:val="22"/>
          <w:szCs w:val="22"/>
          <w:lang w:val="es-CO"/>
        </w:rPr>
        <w:t xml:space="preserve">Actividad 3.2.3. Ajustar los gastos administrativos con cargo a los recursos del SGP Educación al tope establecido por la Nación en concordancia con la Ley 1176 de 2007; garantizando que el aumento salarial del personal administrativo no supere el máximo definido por la Nación. *En caso de que exceda el monto máximo de gastos, evidencia la compensación de los gastos excedidos mediante la expedición de registros </w:t>
      </w:r>
      <w:r w:rsidRPr="00EF71AC">
        <w:rPr>
          <w:rFonts w:ascii="Arial" w:hAnsi="Arial" w:cs="Arial"/>
          <w:b/>
          <w:sz w:val="22"/>
          <w:szCs w:val="22"/>
          <w:lang w:val="es-CO"/>
        </w:rPr>
        <w:t>presupuestales con cargo a recursos propios para financiar las destinaciones permitidas en el artículo 15 de la Ley 715 de 2001.</w:t>
      </w:r>
    </w:p>
    <w:p w:rsidR="00746951" w:rsidRPr="00EF71AC" w:rsidRDefault="00746951" w:rsidP="00CD63E3">
      <w:pPr>
        <w:jc w:val="both"/>
        <w:rPr>
          <w:rFonts w:ascii="Arial" w:hAnsi="Arial" w:cs="Arial"/>
          <w:b/>
          <w:sz w:val="22"/>
          <w:szCs w:val="22"/>
          <w:lang w:val="es-CO"/>
        </w:rPr>
      </w:pPr>
    </w:p>
    <w:p w:rsidR="00746951" w:rsidRPr="00EF71AC" w:rsidRDefault="00746951" w:rsidP="00EF71AC">
      <w:pPr>
        <w:pStyle w:val="Prrafodelista"/>
        <w:numPr>
          <w:ilvl w:val="0"/>
          <w:numId w:val="12"/>
        </w:numPr>
        <w:ind w:left="284" w:hanging="284"/>
        <w:jc w:val="both"/>
        <w:rPr>
          <w:rFonts w:ascii="Arial" w:hAnsi="Arial" w:cs="Arial"/>
          <w:bCs/>
          <w:sz w:val="22"/>
          <w:szCs w:val="22"/>
          <w:lang w:val="es-CO"/>
        </w:rPr>
      </w:pPr>
      <w:r w:rsidRPr="00EF71AC">
        <w:rPr>
          <w:rFonts w:ascii="Arial" w:hAnsi="Arial" w:cs="Arial"/>
          <w:bCs/>
          <w:i/>
          <w:iCs/>
          <w:sz w:val="22"/>
          <w:szCs w:val="22"/>
          <w:lang w:val="es-CO"/>
        </w:rPr>
        <w:t>Productos:</w:t>
      </w:r>
      <w:r w:rsidRPr="00EF71AC">
        <w:rPr>
          <w:rFonts w:ascii="Arial" w:hAnsi="Arial" w:cs="Arial"/>
          <w:bCs/>
          <w:sz w:val="22"/>
          <w:szCs w:val="22"/>
          <w:lang w:val="es-CO"/>
        </w:rPr>
        <w:t xml:space="preserve"> Presentar evidencias del ajuste de los gastos administrativos de acuerdo al tope establecido por la Nación para financiar con recursos del Sistema General de Participaciones del Sector Educación. Ejecuciones presupuestales. Nómina del personal administrativo y reporte de gastos generales. Reporte de gasto (contratos) en servicio de Aseo y Vigilancia con cargo a recursos del SGP. Actos administrativos de aumentos salariales</w:t>
      </w:r>
    </w:p>
    <w:p w:rsidR="00746951" w:rsidRPr="00EF71AC"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EF71AC">
        <w:rPr>
          <w:rFonts w:ascii="Arial" w:hAnsi="Arial" w:cs="Arial"/>
          <w:bCs/>
          <w:sz w:val="22"/>
          <w:szCs w:val="22"/>
          <w:lang w:val="es-CO"/>
        </w:rPr>
        <w:t xml:space="preserve">De conformidad con el documento de distribución SGP-34-2019, el </w:t>
      </w:r>
      <w:r w:rsidR="00EF71AC" w:rsidRPr="00EF71AC">
        <w:rPr>
          <w:rFonts w:ascii="Arial" w:hAnsi="Arial" w:cs="Arial"/>
          <w:bCs/>
          <w:sz w:val="22"/>
          <w:szCs w:val="22"/>
          <w:lang w:val="es-CO"/>
        </w:rPr>
        <w:t xml:space="preserve">límite a los gastos administrativos </w:t>
      </w:r>
      <w:r w:rsidR="00EF71AC">
        <w:rPr>
          <w:rFonts w:ascii="Arial" w:hAnsi="Arial" w:cs="Arial"/>
          <w:bCs/>
          <w:sz w:val="22"/>
          <w:szCs w:val="22"/>
          <w:lang w:val="es-CO"/>
        </w:rPr>
        <w:t xml:space="preserve">autorizado al </w:t>
      </w:r>
      <w:r w:rsidRPr="00EF71AC">
        <w:rPr>
          <w:rFonts w:ascii="Arial" w:hAnsi="Arial" w:cs="Arial"/>
          <w:bCs/>
          <w:sz w:val="22"/>
          <w:szCs w:val="22"/>
          <w:lang w:val="es-CO"/>
        </w:rPr>
        <w:t xml:space="preserve">municipio de Jamundí para la vigencia 2019 </w:t>
      </w:r>
      <w:r w:rsidR="00EF71AC">
        <w:rPr>
          <w:rFonts w:ascii="Arial" w:hAnsi="Arial" w:cs="Arial"/>
          <w:bCs/>
          <w:sz w:val="22"/>
          <w:szCs w:val="22"/>
          <w:lang w:val="es-CO"/>
        </w:rPr>
        <w:t xml:space="preserve">ascendió a </w:t>
      </w:r>
      <w:r w:rsidRPr="00EF71AC">
        <w:rPr>
          <w:rFonts w:ascii="Arial" w:hAnsi="Arial" w:cs="Arial"/>
          <w:bCs/>
          <w:sz w:val="22"/>
          <w:szCs w:val="22"/>
          <w:lang w:val="es-CO"/>
        </w:rPr>
        <w:t xml:space="preserve">$5.476 </w:t>
      </w:r>
      <w:r w:rsidRPr="00EF71AC">
        <w:rPr>
          <w:rFonts w:ascii="Arial" w:hAnsi="Arial" w:cs="Arial"/>
          <w:bCs/>
          <w:sz w:val="22"/>
          <w:szCs w:val="22"/>
          <w:lang w:val="es-CO"/>
        </w:rPr>
        <w:lastRenderedPageBreak/>
        <w:t>millones</w:t>
      </w:r>
      <w:r>
        <w:rPr>
          <w:rFonts w:ascii="Arial" w:hAnsi="Arial" w:cs="Arial"/>
          <w:bCs/>
          <w:sz w:val="22"/>
          <w:szCs w:val="22"/>
          <w:lang w:val="es-CO"/>
        </w:rPr>
        <w:t>. Ahora bien, teniendo en cuenta el reporte al Formulario Único Territorial efectuado por la Entidad para la vigencia, se reconocen gastos administrativos por $5.029 millones de pesos. Esta situación identifica que la Entidad no superó el monto máximo de gastos administrativos determinado para la vigencia 2019.</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Sin embargo, el decreto No. 0105 del 28 de marzo de 2019, “</w:t>
      </w:r>
      <w:r>
        <w:rPr>
          <w:rFonts w:ascii="Arial" w:hAnsi="Arial" w:cs="Arial"/>
          <w:bCs/>
          <w:i/>
          <w:iCs/>
          <w:sz w:val="22"/>
          <w:szCs w:val="22"/>
          <w:lang w:val="es-CO"/>
        </w:rPr>
        <w:t>Por medio del cual se incrementa la asignación básica mensual de los trabajadores oficiales y los empleados públicos del municipio de Jamundí para la vigencia fiscal de 2019</w:t>
      </w:r>
      <w:r>
        <w:rPr>
          <w:rFonts w:ascii="Arial" w:hAnsi="Arial" w:cs="Arial"/>
          <w:bCs/>
          <w:sz w:val="22"/>
          <w:szCs w:val="22"/>
          <w:lang w:val="es-CO"/>
        </w:rPr>
        <w:t xml:space="preserve">”, </w:t>
      </w:r>
      <w:r w:rsidR="00EF71AC">
        <w:rPr>
          <w:rFonts w:ascii="Arial" w:hAnsi="Arial" w:cs="Arial"/>
          <w:bCs/>
          <w:sz w:val="22"/>
          <w:szCs w:val="22"/>
          <w:lang w:val="es-CO"/>
        </w:rPr>
        <w:t xml:space="preserve">autoriza </w:t>
      </w:r>
      <w:r>
        <w:rPr>
          <w:rFonts w:ascii="Arial" w:hAnsi="Arial" w:cs="Arial"/>
          <w:bCs/>
          <w:sz w:val="22"/>
          <w:szCs w:val="22"/>
          <w:lang w:val="es-CO"/>
        </w:rPr>
        <w:t>un aumento salarial para la vigencia del 9%, en consideración de las convenciones sindicales suscritas entre el Municipio y los Sindicatos de Trabajadores Oficiales; dicho aumento es superior al determinado por el Gobierno Nacional mediante el Decreto No. 1028 del 06 de junio de 2019, “</w:t>
      </w:r>
      <w:r>
        <w:rPr>
          <w:rFonts w:ascii="Arial" w:hAnsi="Arial" w:cs="Arial"/>
          <w:bCs/>
          <w:i/>
          <w:iCs/>
          <w:sz w:val="22"/>
          <w:szCs w:val="22"/>
          <w:lang w:val="es-CO"/>
        </w:rPr>
        <w:t>Por el cual se fijan los límites máximos salariales de los Gobernadores, Alcaldes y empleados públicos de las entidades territoriales y se dictan disposiciones en materia prestacional</w:t>
      </w:r>
      <w:r>
        <w:rPr>
          <w:rFonts w:ascii="Arial" w:hAnsi="Arial" w:cs="Arial"/>
          <w:bCs/>
          <w:sz w:val="22"/>
          <w:szCs w:val="22"/>
          <w:lang w:val="es-CO"/>
        </w:rPr>
        <w:t>”, el cual plantea un aumento del 4.5% con respecto a la vigencia anterior, lo que representa que en vigencias posteriores este incremento de salarios puede provocar un exceso de gastos administrativos.</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En consecuencia, se reconoce que la verificación de los gastos administrativos ejecutados por la Entidad durante la vigencia 2019 no exceden el límite determinado por el documento de distribución SGP-34-2019. Pero, el Municipio para la vigencia 2019 incrementó los salarios del personal administrativo superando el máximo definido por la Nación en el Decreto No. 1028 del 06 de junio de 2019. Lo anterior describe que la Entidad durante la vigencia 2019 no presenta avances en el cumplimiento de esta actividad y sus acciones puede derivar en un exceso de gasto administrativo en vigencias futuras, situación a verificar en el siguiente informe de seguimiento.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
          <w:sz w:val="22"/>
          <w:szCs w:val="22"/>
          <w:lang w:val="es-CO"/>
        </w:rPr>
      </w:pPr>
      <w:r>
        <w:rPr>
          <w:rFonts w:ascii="Arial" w:hAnsi="Arial" w:cs="Arial"/>
          <w:b/>
          <w:sz w:val="22"/>
          <w:szCs w:val="22"/>
          <w:lang w:val="es-CO"/>
        </w:rPr>
        <w:t>Actividad 4.1.1. Depurar las medidas cautelares contra recursos del SGP – Educación y gestionar su levantamiento.</w:t>
      </w:r>
    </w:p>
    <w:p w:rsidR="00746951" w:rsidRPr="00EF71AC" w:rsidRDefault="00746951" w:rsidP="00CD63E3">
      <w:pPr>
        <w:jc w:val="both"/>
        <w:rPr>
          <w:rFonts w:ascii="Arial" w:hAnsi="Arial" w:cs="Arial"/>
          <w:b/>
          <w:sz w:val="22"/>
          <w:szCs w:val="22"/>
          <w:lang w:val="es-CO"/>
        </w:rPr>
      </w:pPr>
    </w:p>
    <w:p w:rsidR="00746951" w:rsidRPr="00EF71AC" w:rsidRDefault="00746951" w:rsidP="00EF71AC">
      <w:pPr>
        <w:pStyle w:val="Prrafodelista"/>
        <w:numPr>
          <w:ilvl w:val="0"/>
          <w:numId w:val="12"/>
        </w:numPr>
        <w:ind w:left="284" w:hanging="284"/>
        <w:jc w:val="both"/>
        <w:rPr>
          <w:rFonts w:ascii="Arial" w:hAnsi="Arial" w:cs="Arial"/>
          <w:bCs/>
          <w:sz w:val="22"/>
          <w:szCs w:val="22"/>
          <w:lang w:val="es-CO"/>
        </w:rPr>
      </w:pPr>
      <w:r w:rsidRPr="00EF71AC">
        <w:rPr>
          <w:rFonts w:ascii="Arial" w:hAnsi="Arial" w:cs="Arial"/>
          <w:bCs/>
          <w:i/>
          <w:iCs/>
          <w:sz w:val="22"/>
          <w:szCs w:val="22"/>
          <w:lang w:val="es-CO"/>
        </w:rPr>
        <w:t>Productos:</w:t>
      </w:r>
      <w:r w:rsidRPr="00EF71AC">
        <w:rPr>
          <w:rFonts w:ascii="Arial" w:hAnsi="Arial" w:cs="Arial"/>
          <w:bCs/>
          <w:sz w:val="22"/>
          <w:szCs w:val="22"/>
          <w:lang w:val="es-CO"/>
        </w:rPr>
        <w:t xml:space="preserve"> Certificación bancaría para cada una de las cuentas en las que se administren recursos del SGP – Educación frente a la existencia de medidas cautelares. </w:t>
      </w:r>
    </w:p>
    <w:p w:rsidR="00746951" w:rsidRPr="00EF71AC"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EF71AC">
        <w:rPr>
          <w:rFonts w:ascii="Arial" w:hAnsi="Arial" w:cs="Arial"/>
          <w:bCs/>
          <w:sz w:val="22"/>
          <w:szCs w:val="22"/>
          <w:lang w:val="es-CO"/>
        </w:rPr>
        <w:t xml:space="preserve">Mediante el radicado No. 1-2019-045070 del 16 de mayo de 2019 la Entidad Territorial allega una certificación del Banco de Bogotá del 13 de mayo de 2019 para la cuenta de ahorros No. 47018401-1 denominada </w:t>
      </w:r>
      <w:r w:rsidR="00EF71AC">
        <w:rPr>
          <w:rFonts w:ascii="Arial" w:hAnsi="Arial" w:cs="Arial"/>
          <w:bCs/>
          <w:sz w:val="22"/>
          <w:szCs w:val="22"/>
          <w:lang w:val="es-CO"/>
        </w:rPr>
        <w:t>“M</w:t>
      </w:r>
      <w:r w:rsidR="00EF71AC" w:rsidRPr="00EF71AC">
        <w:rPr>
          <w:rFonts w:ascii="Arial" w:hAnsi="Arial" w:cs="Arial"/>
          <w:bCs/>
          <w:sz w:val="22"/>
          <w:szCs w:val="22"/>
          <w:lang w:val="es-CO"/>
        </w:rPr>
        <w:t xml:space="preserve">unicipio de </w:t>
      </w:r>
      <w:r w:rsidR="00EF71AC">
        <w:rPr>
          <w:rFonts w:ascii="Arial" w:hAnsi="Arial" w:cs="Arial"/>
          <w:bCs/>
          <w:sz w:val="22"/>
          <w:szCs w:val="22"/>
          <w:lang w:val="es-CO"/>
        </w:rPr>
        <w:t>J</w:t>
      </w:r>
      <w:r w:rsidR="00EF71AC" w:rsidRPr="00EF71AC">
        <w:rPr>
          <w:rFonts w:ascii="Arial" w:hAnsi="Arial" w:cs="Arial"/>
          <w:bCs/>
          <w:sz w:val="22"/>
          <w:szCs w:val="22"/>
          <w:lang w:val="es-CO"/>
        </w:rPr>
        <w:t>amundi</w:t>
      </w:r>
      <w:r w:rsidR="00EF71AC">
        <w:rPr>
          <w:rFonts w:ascii="Arial" w:hAnsi="Arial" w:cs="Arial"/>
          <w:bCs/>
          <w:sz w:val="22"/>
          <w:szCs w:val="22"/>
          <w:lang w:val="es-CO"/>
        </w:rPr>
        <w:t xml:space="preserve"> </w:t>
      </w:r>
      <w:r w:rsidR="00EF71AC" w:rsidRPr="00EF71AC">
        <w:rPr>
          <w:rFonts w:ascii="Arial" w:hAnsi="Arial" w:cs="Arial"/>
          <w:bCs/>
          <w:sz w:val="22"/>
          <w:szCs w:val="22"/>
          <w:lang w:val="es-CO"/>
        </w:rPr>
        <w:t>-</w:t>
      </w:r>
      <w:r w:rsidR="00EF71AC">
        <w:rPr>
          <w:rFonts w:ascii="Arial" w:hAnsi="Arial" w:cs="Arial"/>
          <w:bCs/>
          <w:sz w:val="22"/>
          <w:szCs w:val="22"/>
          <w:lang w:val="es-CO"/>
        </w:rPr>
        <w:t xml:space="preserve"> C</w:t>
      </w:r>
      <w:r w:rsidR="00EF71AC" w:rsidRPr="00EF71AC">
        <w:rPr>
          <w:rFonts w:ascii="Arial" w:hAnsi="Arial" w:cs="Arial"/>
          <w:bCs/>
          <w:sz w:val="22"/>
          <w:szCs w:val="22"/>
          <w:lang w:val="es-CO"/>
        </w:rPr>
        <w:t xml:space="preserve">alidad </w:t>
      </w:r>
      <w:r w:rsidR="00EF71AC">
        <w:rPr>
          <w:rFonts w:ascii="Arial" w:hAnsi="Arial" w:cs="Arial"/>
          <w:bCs/>
          <w:sz w:val="22"/>
          <w:szCs w:val="22"/>
          <w:lang w:val="es-CO"/>
        </w:rPr>
        <w:t>E</w:t>
      </w:r>
      <w:r w:rsidR="00EF71AC" w:rsidRPr="00EF71AC">
        <w:rPr>
          <w:rFonts w:ascii="Arial" w:hAnsi="Arial" w:cs="Arial"/>
          <w:bCs/>
          <w:sz w:val="22"/>
          <w:szCs w:val="22"/>
          <w:lang w:val="es-CO"/>
        </w:rPr>
        <w:t>ducación resolución</w:t>
      </w:r>
      <w:r w:rsidR="00EF71AC">
        <w:rPr>
          <w:rFonts w:ascii="Arial" w:hAnsi="Arial" w:cs="Arial"/>
          <w:bCs/>
          <w:sz w:val="22"/>
          <w:szCs w:val="22"/>
          <w:lang w:val="es-CO"/>
        </w:rPr>
        <w:t xml:space="preserve"> 12829 junio de 2017”</w:t>
      </w:r>
      <w:r>
        <w:rPr>
          <w:rFonts w:ascii="Arial" w:hAnsi="Arial" w:cs="Arial"/>
          <w:bCs/>
          <w:sz w:val="22"/>
          <w:szCs w:val="22"/>
          <w:lang w:val="es-CO"/>
        </w:rPr>
        <w:t xml:space="preserve">, en la que se indica que no presenta embargos a la fecha sobre la misma.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Igualmente, mediante certificación del Banco AV Villas del 13 de mayo de 2019, se señala que sobre la cuenta corriente No. 101-123701, y las cuentas de ahorros No. 101-124261, 101-123719 y 101-124295 aperturadas entre septiembre de 2017 y enero de 2018 por la Entidad, no se presentan embargos y se encuentran registradas como activas frente al Ministerio de Educación Nacional.</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Sobre la información allegada se reconoce que ninguna de las cuentas certificadas por las entidades bancarias corresponde a aquellas cuentas que dieron origen al evento de riesgo descrito por la Resolución No. 4653 del 26 de diciembre de 2016, las cuales son, las cuentas </w:t>
      </w:r>
      <w:r>
        <w:rPr>
          <w:rFonts w:ascii="Arial" w:hAnsi="Arial" w:cs="Arial"/>
          <w:bCs/>
          <w:sz w:val="22"/>
          <w:szCs w:val="22"/>
          <w:lang w:val="es-CO"/>
        </w:rPr>
        <w:lastRenderedPageBreak/>
        <w:t>corrientes No. 470-11085-9 del Banco de Bogotá y No. 165-00304-7 del Banco AV Villas y la cuenta de ahorros No. 101-11868-5 del Banco AV Villas. En consecuencia, se concluye que la información allegada no permite evidenciar la gestión realizada por la Entidad en torno a la depuración de las medidas cautelares sobre los recursos del SGP – Educación.</w:t>
      </w:r>
    </w:p>
    <w:p w:rsidR="00746951" w:rsidRPr="00EF71AC" w:rsidRDefault="00746951" w:rsidP="00CD63E3">
      <w:pPr>
        <w:jc w:val="both"/>
        <w:rPr>
          <w:rFonts w:ascii="Arial" w:hAnsi="Arial" w:cs="Arial"/>
          <w:bCs/>
          <w:sz w:val="22"/>
          <w:szCs w:val="22"/>
          <w:lang w:val="es-CO"/>
        </w:rPr>
      </w:pPr>
    </w:p>
    <w:p w:rsidR="00746951" w:rsidRPr="00EF71AC" w:rsidRDefault="00746951" w:rsidP="00CD63E3">
      <w:pPr>
        <w:jc w:val="both"/>
        <w:rPr>
          <w:rFonts w:ascii="Arial" w:hAnsi="Arial" w:cs="Arial"/>
          <w:b/>
          <w:sz w:val="22"/>
          <w:szCs w:val="22"/>
          <w:lang w:val="es-CO"/>
        </w:rPr>
      </w:pPr>
      <w:r w:rsidRPr="00EF71AC">
        <w:rPr>
          <w:rFonts w:ascii="Arial" w:hAnsi="Arial" w:cs="Arial"/>
          <w:b/>
          <w:sz w:val="22"/>
          <w:szCs w:val="22"/>
          <w:lang w:val="es-CO"/>
        </w:rPr>
        <w:t>Actividad 5.1.1. Sanear la deuda de servicios públicos de las instituciones educativas</w:t>
      </w:r>
    </w:p>
    <w:p w:rsidR="00746951" w:rsidRPr="00EF71AC" w:rsidRDefault="00746951" w:rsidP="00CD63E3">
      <w:pPr>
        <w:jc w:val="both"/>
        <w:rPr>
          <w:rFonts w:ascii="Arial" w:hAnsi="Arial" w:cs="Arial"/>
          <w:b/>
          <w:sz w:val="22"/>
          <w:szCs w:val="22"/>
          <w:lang w:val="es-CO"/>
        </w:rPr>
      </w:pPr>
    </w:p>
    <w:p w:rsidR="00746951" w:rsidRPr="00EF71AC" w:rsidRDefault="00746951" w:rsidP="00EF71AC">
      <w:pPr>
        <w:pStyle w:val="Prrafodelista"/>
        <w:numPr>
          <w:ilvl w:val="0"/>
          <w:numId w:val="12"/>
        </w:numPr>
        <w:ind w:left="284" w:hanging="284"/>
        <w:jc w:val="both"/>
        <w:rPr>
          <w:rFonts w:ascii="Arial" w:hAnsi="Arial" w:cs="Arial"/>
          <w:bCs/>
          <w:sz w:val="22"/>
          <w:szCs w:val="22"/>
          <w:lang w:val="es-CO"/>
        </w:rPr>
      </w:pPr>
      <w:r w:rsidRPr="00EF71AC">
        <w:rPr>
          <w:rFonts w:ascii="Arial" w:hAnsi="Arial" w:cs="Arial"/>
          <w:bCs/>
          <w:i/>
          <w:iCs/>
          <w:sz w:val="22"/>
          <w:szCs w:val="22"/>
          <w:lang w:val="es-CO"/>
        </w:rPr>
        <w:t>Productos:</w:t>
      </w:r>
      <w:r w:rsidRPr="00EF71AC">
        <w:rPr>
          <w:rFonts w:ascii="Arial" w:hAnsi="Arial" w:cs="Arial"/>
          <w:bCs/>
          <w:sz w:val="22"/>
          <w:szCs w:val="22"/>
          <w:lang w:val="es-CO"/>
        </w:rPr>
        <w:t xml:space="preserve"> Liquidación de la deuda depurada, revisada y aprobada con su financiación definida. Evidencias del pago de la obligación o acuerdo de pago.</w:t>
      </w:r>
    </w:p>
    <w:p w:rsidR="00746951" w:rsidRPr="00EF71AC"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EF71AC">
        <w:rPr>
          <w:rFonts w:ascii="Arial" w:hAnsi="Arial" w:cs="Arial"/>
          <w:bCs/>
          <w:sz w:val="22"/>
          <w:szCs w:val="22"/>
          <w:lang w:val="es-CO"/>
        </w:rPr>
        <w:t>El reporte al Formulario Único Territorial efectuado por la Entidad describe pagos de Déficit de la Inversión en</w:t>
      </w:r>
      <w:r>
        <w:rPr>
          <w:rFonts w:ascii="Arial" w:hAnsi="Arial" w:cs="Arial"/>
          <w:bCs/>
          <w:sz w:val="22"/>
          <w:szCs w:val="22"/>
          <w:lang w:val="es-CO"/>
        </w:rPr>
        <w:t xml:space="preserve"> Educación por $1.743 millones, los cuales fueron reportados con una fuente distinta al SGP Educación. Sin embargo, la información allegada mediante el radicado No. 1-2019-045070 del 16 de mayo de 2019 no permite identificar el reconocimiento de los pagos efectuados, así como los terceros beneficiarios de los mismos.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Sobre esta actividad, se resalta que la Entidad debía realizar el pago de $107 millones por concepto de servicios públicos domiciliarios de las Instituciones Educativas, discriminados de la siguiente manera: EPSA por $34,3 millones, ACUAVALLE por $61 millones, </w:t>
      </w:r>
      <w:r w:rsidR="00EF71AC">
        <w:rPr>
          <w:rFonts w:ascii="Arial" w:hAnsi="Arial" w:cs="Arial"/>
          <w:bCs/>
          <w:sz w:val="22"/>
          <w:szCs w:val="22"/>
          <w:lang w:val="es-CO"/>
        </w:rPr>
        <w:t xml:space="preserve">Compañía Energética De Occidente </w:t>
      </w:r>
      <w:r>
        <w:rPr>
          <w:rFonts w:ascii="Arial" w:hAnsi="Arial" w:cs="Arial"/>
          <w:bCs/>
          <w:sz w:val="22"/>
          <w:szCs w:val="22"/>
          <w:lang w:val="es-CO"/>
        </w:rPr>
        <w:t>por $5,2 millones, y ACUASUR por $6,5 millones.</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En consecuencia, la actividad no presenta avances, dado que la información no permite el reconocimiento del cumplimiento de la misma al 31 de diciembre de 2019. Ahora bien, se aclara que en el siguiente informe de seguimiento o en la fase de evaluación se solicitará a la Entidad el detalle discriminado de estos pagos.</w:t>
      </w:r>
    </w:p>
    <w:p w:rsidR="00746951" w:rsidRDefault="00746951" w:rsidP="00CD63E3">
      <w:pPr>
        <w:jc w:val="both"/>
        <w:rPr>
          <w:rFonts w:ascii="Arial" w:hAnsi="Arial" w:cs="Arial"/>
          <w:bCs/>
          <w:sz w:val="22"/>
          <w:szCs w:val="22"/>
          <w:lang w:val="es-CO"/>
        </w:rPr>
      </w:pPr>
    </w:p>
    <w:p w:rsidR="00746951" w:rsidRPr="00EF71AC" w:rsidRDefault="00746951" w:rsidP="00CD63E3">
      <w:pPr>
        <w:jc w:val="both"/>
        <w:rPr>
          <w:rFonts w:ascii="Arial" w:hAnsi="Arial" w:cs="Arial"/>
          <w:b/>
          <w:sz w:val="22"/>
          <w:szCs w:val="22"/>
          <w:lang w:val="es-CO"/>
        </w:rPr>
      </w:pPr>
      <w:r>
        <w:rPr>
          <w:rFonts w:ascii="Arial" w:hAnsi="Arial" w:cs="Arial"/>
          <w:b/>
          <w:sz w:val="22"/>
          <w:szCs w:val="22"/>
          <w:lang w:val="es-CO"/>
        </w:rPr>
        <w:t xml:space="preserve">Actividad 6.1.1. </w:t>
      </w:r>
      <w:r w:rsidRPr="00EF71AC">
        <w:rPr>
          <w:rFonts w:ascii="Arial" w:hAnsi="Arial" w:cs="Arial"/>
          <w:b/>
          <w:sz w:val="22"/>
          <w:szCs w:val="22"/>
          <w:lang w:val="es-CO"/>
        </w:rPr>
        <w:t>Sincronizar los sistemas de información del sector de acuerdo con el acto administrativo que define el Directorio Único de Establecimientos Educativos del Municipio.</w:t>
      </w:r>
    </w:p>
    <w:p w:rsidR="00746951" w:rsidRPr="00EF71AC" w:rsidRDefault="00746951" w:rsidP="00CD63E3">
      <w:pPr>
        <w:jc w:val="both"/>
        <w:rPr>
          <w:rFonts w:ascii="Arial" w:hAnsi="Arial" w:cs="Arial"/>
          <w:b/>
          <w:sz w:val="22"/>
          <w:szCs w:val="22"/>
          <w:lang w:val="es-CO"/>
        </w:rPr>
      </w:pPr>
    </w:p>
    <w:p w:rsidR="00746951" w:rsidRPr="00EF71AC" w:rsidRDefault="00746951" w:rsidP="00EF71AC">
      <w:pPr>
        <w:pStyle w:val="Prrafodelista"/>
        <w:numPr>
          <w:ilvl w:val="0"/>
          <w:numId w:val="12"/>
        </w:numPr>
        <w:ind w:left="284" w:hanging="284"/>
        <w:jc w:val="both"/>
        <w:rPr>
          <w:rFonts w:ascii="Arial" w:hAnsi="Arial" w:cs="Arial"/>
          <w:bCs/>
          <w:sz w:val="22"/>
          <w:szCs w:val="22"/>
          <w:lang w:val="es-CO"/>
        </w:rPr>
      </w:pPr>
      <w:r w:rsidRPr="00EF71AC">
        <w:rPr>
          <w:rFonts w:ascii="Arial" w:hAnsi="Arial" w:cs="Arial"/>
          <w:bCs/>
          <w:i/>
          <w:iCs/>
          <w:sz w:val="22"/>
          <w:szCs w:val="22"/>
          <w:lang w:val="es-CO"/>
        </w:rPr>
        <w:t>Productos:</w:t>
      </w:r>
      <w:r w:rsidRPr="00EF71AC">
        <w:rPr>
          <w:rFonts w:ascii="Arial" w:hAnsi="Arial" w:cs="Arial"/>
          <w:bCs/>
          <w:sz w:val="22"/>
          <w:szCs w:val="22"/>
          <w:lang w:val="es-CO"/>
        </w:rPr>
        <w:t xml:space="preserve"> Actos administrativos municipales de definición del Directorio Único de Establecimientos – DUE. Reporte generado desde el sistema de información que administra el DUE, donde se evidencia la actualización del inventario de establecimientos, de forma tal que guarde consistencia. Reporte generado desde SIMAT, donde se evidencia la actualización del inventario de establecimientos, de forma tal que guarde consistencia. Reporte generado desde los demás sistemas de información (HUMANO, SIFSE), donde se evidencie la actualización del inventario de establecimientos.</w:t>
      </w:r>
    </w:p>
    <w:p w:rsidR="00746951" w:rsidRPr="00EF71AC"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color w:val="000000" w:themeColor="text1"/>
          <w:sz w:val="22"/>
          <w:szCs w:val="22"/>
          <w:lang w:val="es-CO"/>
        </w:rPr>
      </w:pPr>
      <w:r w:rsidRPr="00EF71AC">
        <w:rPr>
          <w:rFonts w:ascii="Arial" w:hAnsi="Arial" w:cs="Arial"/>
          <w:bCs/>
          <w:sz w:val="22"/>
          <w:szCs w:val="22"/>
          <w:lang w:val="es-CO"/>
        </w:rPr>
        <w:t>A partir del análisis de la información allegada mediante el radicado 1-2019-045070 del 16 de mayo de 2019 la</w:t>
      </w:r>
      <w:r>
        <w:rPr>
          <w:rFonts w:ascii="Arial" w:hAnsi="Arial" w:cs="Arial"/>
          <w:bCs/>
          <w:sz w:val="22"/>
          <w:szCs w:val="22"/>
          <w:lang w:val="es-CO"/>
        </w:rPr>
        <w:t xml:space="preserve"> Entidad Territorial no allegó acto administrativo en el cual se defina el Directorio Único de establecimientos – DUE para la vigencia 2019, </w:t>
      </w:r>
      <w:r>
        <w:rPr>
          <w:rFonts w:ascii="Arial" w:hAnsi="Arial" w:cs="Arial"/>
          <w:bCs/>
          <w:color w:val="000000" w:themeColor="text1"/>
          <w:sz w:val="22"/>
          <w:szCs w:val="22"/>
          <w:lang w:val="es-CO"/>
        </w:rPr>
        <w:t xml:space="preserve">razón por la que no </w:t>
      </w:r>
      <w:r w:rsidR="00EF71AC">
        <w:rPr>
          <w:rFonts w:ascii="Arial" w:hAnsi="Arial" w:cs="Arial"/>
          <w:bCs/>
          <w:color w:val="000000" w:themeColor="text1"/>
          <w:sz w:val="22"/>
          <w:szCs w:val="22"/>
          <w:lang w:val="es-CO"/>
        </w:rPr>
        <w:t xml:space="preserve">fue posible </w:t>
      </w:r>
      <w:r>
        <w:rPr>
          <w:rFonts w:ascii="Arial" w:hAnsi="Arial" w:cs="Arial"/>
          <w:bCs/>
          <w:color w:val="000000" w:themeColor="text1"/>
          <w:sz w:val="22"/>
          <w:szCs w:val="22"/>
          <w:lang w:val="es-CO"/>
        </w:rPr>
        <w:t>verifica</w:t>
      </w:r>
      <w:r w:rsidR="00EF71AC">
        <w:rPr>
          <w:rFonts w:ascii="Arial" w:hAnsi="Arial" w:cs="Arial"/>
          <w:bCs/>
          <w:color w:val="000000" w:themeColor="text1"/>
          <w:sz w:val="22"/>
          <w:szCs w:val="22"/>
          <w:lang w:val="es-CO"/>
        </w:rPr>
        <w:t xml:space="preserve">r </w:t>
      </w:r>
      <w:r>
        <w:rPr>
          <w:rFonts w:ascii="Arial" w:hAnsi="Arial" w:cs="Arial"/>
          <w:bCs/>
          <w:color w:val="000000" w:themeColor="text1"/>
          <w:sz w:val="22"/>
          <w:szCs w:val="22"/>
          <w:lang w:val="es-CO"/>
        </w:rPr>
        <w:t>la consistencia de este acto administrativo que define la oferta educativa de la jurisdicción municipal con respecto a los reportes de matrícula atendida</w:t>
      </w:r>
      <w:r w:rsidR="00EF71AC">
        <w:rPr>
          <w:rFonts w:ascii="Arial" w:hAnsi="Arial" w:cs="Arial"/>
          <w:bCs/>
          <w:color w:val="000000" w:themeColor="text1"/>
          <w:sz w:val="22"/>
          <w:szCs w:val="22"/>
          <w:lang w:val="es-CO"/>
        </w:rPr>
        <w:t xml:space="preserve"> registrada en el SIMAT</w:t>
      </w:r>
      <w:r>
        <w:rPr>
          <w:rFonts w:ascii="Arial" w:hAnsi="Arial" w:cs="Arial"/>
          <w:bCs/>
          <w:color w:val="000000" w:themeColor="text1"/>
          <w:sz w:val="22"/>
          <w:szCs w:val="22"/>
          <w:lang w:val="es-CO"/>
        </w:rPr>
        <w:t>.</w:t>
      </w:r>
    </w:p>
    <w:p w:rsidR="00746951" w:rsidRDefault="00746951" w:rsidP="00CD63E3">
      <w:pPr>
        <w:jc w:val="both"/>
        <w:rPr>
          <w:rFonts w:ascii="Arial" w:hAnsi="Arial" w:cs="Arial"/>
          <w:bCs/>
          <w:color w:val="000000" w:themeColor="text1"/>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color w:val="000000" w:themeColor="text1"/>
          <w:sz w:val="22"/>
          <w:szCs w:val="22"/>
          <w:lang w:val="es-CO"/>
        </w:rPr>
        <w:lastRenderedPageBreak/>
        <w:t>Por lo anterior, no se evidencian acciones por parte de la Entidad que permitan reconocer avances en el cumplimiento de esta actividad.</w:t>
      </w:r>
    </w:p>
    <w:p w:rsidR="00746951" w:rsidRDefault="00746951" w:rsidP="00CD63E3">
      <w:pPr>
        <w:jc w:val="both"/>
        <w:rPr>
          <w:rFonts w:ascii="Arial" w:hAnsi="Arial" w:cs="Arial"/>
          <w:bCs/>
          <w:sz w:val="22"/>
          <w:szCs w:val="22"/>
          <w:lang w:val="es-CO"/>
        </w:rPr>
      </w:pPr>
    </w:p>
    <w:p w:rsidR="00746951" w:rsidRPr="00EF71AC" w:rsidRDefault="00746951" w:rsidP="00CD63E3">
      <w:pPr>
        <w:jc w:val="both"/>
        <w:rPr>
          <w:rFonts w:ascii="Arial" w:hAnsi="Arial" w:cs="Arial"/>
          <w:b/>
          <w:sz w:val="22"/>
          <w:szCs w:val="22"/>
          <w:lang w:val="es-CO"/>
        </w:rPr>
      </w:pPr>
      <w:r>
        <w:rPr>
          <w:rFonts w:ascii="Arial" w:hAnsi="Arial" w:cs="Arial"/>
          <w:b/>
          <w:sz w:val="22"/>
          <w:szCs w:val="22"/>
          <w:lang w:val="es-CO"/>
        </w:rPr>
        <w:t xml:space="preserve">Actividad 6.1.2. Adelantar las verificaciones y corregir las inconsistencias en la información de los sistemas DUE, SIMAT, HUMANO, SINEB, y SIFSE, hasta subsanar los hallazgos </w:t>
      </w:r>
      <w:r w:rsidRPr="00EF71AC">
        <w:rPr>
          <w:rFonts w:ascii="Arial" w:hAnsi="Arial" w:cs="Arial"/>
          <w:b/>
          <w:sz w:val="22"/>
          <w:szCs w:val="22"/>
          <w:lang w:val="es-CO"/>
        </w:rPr>
        <w:t>derivados de las validaciones de consistencia realizadas por el Ministerio de Educación Nacional. La línea de base es con corte a la validación realizada en octubre 2018, en el cual se relacionan 6 inconsistencias.</w:t>
      </w:r>
    </w:p>
    <w:p w:rsidR="00746951" w:rsidRPr="00EF71AC" w:rsidRDefault="00746951" w:rsidP="00CD63E3">
      <w:pPr>
        <w:jc w:val="both"/>
        <w:rPr>
          <w:rFonts w:ascii="Arial" w:hAnsi="Arial" w:cs="Arial"/>
          <w:b/>
          <w:sz w:val="22"/>
          <w:szCs w:val="22"/>
          <w:lang w:val="es-CO"/>
        </w:rPr>
      </w:pPr>
    </w:p>
    <w:p w:rsidR="00746951" w:rsidRPr="00EF71AC" w:rsidRDefault="00746951" w:rsidP="00EF71AC">
      <w:pPr>
        <w:pStyle w:val="Prrafodelista"/>
        <w:numPr>
          <w:ilvl w:val="0"/>
          <w:numId w:val="12"/>
        </w:numPr>
        <w:ind w:left="284" w:hanging="284"/>
        <w:jc w:val="both"/>
        <w:rPr>
          <w:rFonts w:ascii="Arial" w:hAnsi="Arial" w:cs="Arial"/>
          <w:bCs/>
          <w:sz w:val="22"/>
          <w:szCs w:val="22"/>
          <w:lang w:val="es-CO"/>
        </w:rPr>
      </w:pPr>
      <w:r w:rsidRPr="00EF71AC">
        <w:rPr>
          <w:rFonts w:ascii="Arial" w:hAnsi="Arial" w:cs="Arial"/>
          <w:bCs/>
          <w:i/>
          <w:iCs/>
          <w:sz w:val="22"/>
          <w:szCs w:val="22"/>
          <w:lang w:val="es-CO"/>
        </w:rPr>
        <w:t xml:space="preserve">Productos: </w:t>
      </w:r>
      <w:r w:rsidRPr="00EF71AC">
        <w:rPr>
          <w:rFonts w:ascii="Arial" w:hAnsi="Arial" w:cs="Arial"/>
          <w:bCs/>
          <w:sz w:val="22"/>
          <w:szCs w:val="22"/>
          <w:lang w:val="es-CO"/>
        </w:rPr>
        <w:t>Reporte trimestral de inconsistencias generado por el MEN en que se evidencie la Reducción de al menos un 100% al final de la medida frente a la línea de base, en el número de inconsistencias derivados de las validaciones de consistencia realizadas por el Ministerio de Educación Nacional.</w:t>
      </w:r>
    </w:p>
    <w:p w:rsidR="00746951" w:rsidRPr="00EF71AC" w:rsidRDefault="00746951" w:rsidP="00CD63E3">
      <w:pPr>
        <w:jc w:val="both"/>
        <w:rPr>
          <w:rFonts w:ascii="Arial" w:hAnsi="Arial" w:cs="Arial"/>
          <w:bCs/>
          <w:color w:val="000000" w:themeColor="text1"/>
          <w:sz w:val="22"/>
          <w:szCs w:val="22"/>
          <w:lang w:val="es-CO"/>
        </w:rPr>
      </w:pPr>
    </w:p>
    <w:p w:rsidR="00746951" w:rsidRDefault="00746951" w:rsidP="00CD63E3">
      <w:pPr>
        <w:jc w:val="both"/>
        <w:rPr>
          <w:rFonts w:ascii="Arial" w:hAnsi="Arial" w:cs="Arial"/>
          <w:bCs/>
          <w:sz w:val="22"/>
          <w:szCs w:val="22"/>
          <w:lang w:val="es-CO"/>
        </w:rPr>
      </w:pPr>
      <w:r w:rsidRPr="00EF71AC">
        <w:rPr>
          <w:rFonts w:ascii="Arial" w:hAnsi="Arial" w:cs="Arial"/>
          <w:bCs/>
          <w:color w:val="000000" w:themeColor="text1"/>
          <w:sz w:val="22"/>
          <w:szCs w:val="22"/>
          <w:lang w:val="es-CO"/>
        </w:rPr>
        <w:t>Mediante el radicado</w:t>
      </w:r>
      <w:r>
        <w:rPr>
          <w:rFonts w:ascii="Arial" w:hAnsi="Arial" w:cs="Arial"/>
          <w:bCs/>
          <w:color w:val="000000" w:themeColor="text1"/>
          <w:sz w:val="22"/>
          <w:szCs w:val="22"/>
          <w:lang w:val="es-CO"/>
        </w:rPr>
        <w:t xml:space="preserve"> No. 1-2020-040621 del 18 de mayo de 2020, el Ministerio de Educación Nacional remitió los reportes trimestrales de validaciones entre </w:t>
      </w:r>
      <w:r>
        <w:rPr>
          <w:rFonts w:ascii="Arial" w:hAnsi="Arial" w:cs="Arial"/>
          <w:bCs/>
          <w:sz w:val="22"/>
          <w:szCs w:val="22"/>
          <w:lang w:val="es-CO"/>
        </w:rPr>
        <w:t xml:space="preserve">los sistemas de información sectorial DUE, SIMAT, HUMANO, SINEB y SIFSE de la vigencia 2019, en donde se identifica </w:t>
      </w:r>
      <w:r w:rsidR="00EF71AC">
        <w:rPr>
          <w:rFonts w:ascii="Arial" w:hAnsi="Arial" w:cs="Arial"/>
          <w:bCs/>
          <w:sz w:val="22"/>
          <w:szCs w:val="22"/>
          <w:lang w:val="es-CO"/>
        </w:rPr>
        <w:t xml:space="preserve">que a </w:t>
      </w:r>
      <w:r>
        <w:rPr>
          <w:rFonts w:ascii="Arial" w:hAnsi="Arial" w:cs="Arial"/>
          <w:bCs/>
          <w:sz w:val="22"/>
          <w:szCs w:val="22"/>
          <w:lang w:val="es-CO"/>
        </w:rPr>
        <w:t xml:space="preserve">noviembre de 2019 un total de 13 instituciones educativas </w:t>
      </w:r>
      <w:r w:rsidR="00EF71AC">
        <w:rPr>
          <w:rFonts w:ascii="Arial" w:hAnsi="Arial" w:cs="Arial"/>
          <w:bCs/>
          <w:sz w:val="22"/>
          <w:szCs w:val="22"/>
          <w:lang w:val="es-CO"/>
        </w:rPr>
        <w:t xml:space="preserve">presentan </w:t>
      </w:r>
      <w:r>
        <w:rPr>
          <w:rFonts w:ascii="Arial" w:hAnsi="Arial" w:cs="Arial"/>
          <w:bCs/>
          <w:sz w:val="22"/>
          <w:szCs w:val="22"/>
          <w:lang w:val="es-CO"/>
        </w:rPr>
        <w:t>inconsistencias en la información reportada por la Entidad Territorial en los sistemas de información sectorial. Por lo anterior, se reconoce que la Entidad no ha adelantado los procesos de corrección y verificación de la información.</w:t>
      </w:r>
    </w:p>
    <w:p w:rsidR="00746951" w:rsidRDefault="00746951" w:rsidP="00CD63E3">
      <w:pPr>
        <w:jc w:val="both"/>
        <w:rPr>
          <w:rFonts w:ascii="Arial" w:hAnsi="Arial" w:cs="Arial"/>
          <w:bCs/>
          <w:sz w:val="22"/>
          <w:szCs w:val="22"/>
          <w:lang w:val="es-CO"/>
        </w:rPr>
      </w:pPr>
    </w:p>
    <w:p w:rsidR="00746951" w:rsidRPr="00EF71AC" w:rsidRDefault="00746951" w:rsidP="00CD63E3">
      <w:pPr>
        <w:tabs>
          <w:tab w:val="left" w:pos="993"/>
        </w:tabs>
        <w:jc w:val="both"/>
        <w:rPr>
          <w:rFonts w:ascii="Arial" w:hAnsi="Arial" w:cs="Arial"/>
          <w:b/>
          <w:sz w:val="22"/>
          <w:szCs w:val="22"/>
          <w:lang w:val="es-CO"/>
        </w:rPr>
      </w:pPr>
      <w:r>
        <w:rPr>
          <w:rFonts w:ascii="Arial" w:hAnsi="Arial" w:cs="Arial"/>
          <w:b/>
          <w:sz w:val="22"/>
          <w:szCs w:val="22"/>
          <w:lang w:val="es-CO"/>
        </w:rPr>
        <w:t xml:space="preserve">Actividad 7.1.1. </w:t>
      </w:r>
      <w:r w:rsidRPr="00EF71AC">
        <w:rPr>
          <w:rFonts w:ascii="Arial" w:hAnsi="Arial" w:cs="Arial"/>
          <w:b/>
          <w:sz w:val="22"/>
          <w:szCs w:val="22"/>
          <w:lang w:val="es-CO"/>
        </w:rPr>
        <w:t>Depurar y conciliar las deudas con el Fondo Nacional de Prestaciones Sociales del Magisterio; Tramitar el respectivo cruce de cuentas con la Fiduprevisora ante el Ministerio de Educación Nacional.</w:t>
      </w:r>
    </w:p>
    <w:p w:rsidR="00746951" w:rsidRPr="00EF71AC" w:rsidRDefault="00746951" w:rsidP="00CD63E3">
      <w:pPr>
        <w:jc w:val="both"/>
        <w:rPr>
          <w:rFonts w:ascii="Arial" w:hAnsi="Arial" w:cs="Arial"/>
          <w:b/>
          <w:sz w:val="22"/>
          <w:szCs w:val="22"/>
          <w:lang w:val="es-CO"/>
        </w:rPr>
      </w:pPr>
    </w:p>
    <w:p w:rsidR="00746951" w:rsidRPr="00EF71AC" w:rsidRDefault="00746951" w:rsidP="00EF71AC">
      <w:pPr>
        <w:pStyle w:val="Prrafodelista"/>
        <w:numPr>
          <w:ilvl w:val="0"/>
          <w:numId w:val="12"/>
        </w:numPr>
        <w:ind w:left="284" w:hanging="284"/>
        <w:jc w:val="both"/>
        <w:rPr>
          <w:rFonts w:ascii="Arial" w:hAnsi="Arial" w:cs="Arial"/>
          <w:bCs/>
          <w:sz w:val="22"/>
          <w:szCs w:val="22"/>
          <w:lang w:val="es-CO"/>
        </w:rPr>
      </w:pPr>
      <w:r w:rsidRPr="00EF71AC">
        <w:rPr>
          <w:rFonts w:ascii="Arial" w:hAnsi="Arial" w:cs="Arial"/>
          <w:bCs/>
          <w:i/>
          <w:iCs/>
          <w:sz w:val="22"/>
          <w:szCs w:val="22"/>
          <w:lang w:val="es-CO"/>
        </w:rPr>
        <w:t>Productos:</w:t>
      </w:r>
      <w:r w:rsidRPr="00EF71AC">
        <w:rPr>
          <w:rFonts w:ascii="Arial" w:hAnsi="Arial" w:cs="Arial"/>
          <w:bCs/>
          <w:sz w:val="22"/>
          <w:szCs w:val="22"/>
          <w:lang w:val="es-CO"/>
        </w:rPr>
        <w:t xml:space="preserve"> Actas de conciliación de los aportes sin situación de fondos para los periodos 2010 – 2016 debidamente formalizadas. Soportes de la gestión adelantada ante el Ministerio de Educación Nacional para efectuar cruce de cuentas con la Fiduprevisora.</w:t>
      </w:r>
    </w:p>
    <w:p w:rsidR="00746951" w:rsidRPr="00EF71AC"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EF71AC">
        <w:rPr>
          <w:rFonts w:ascii="Arial" w:hAnsi="Arial" w:cs="Arial"/>
          <w:bCs/>
          <w:sz w:val="22"/>
          <w:szCs w:val="22"/>
          <w:lang w:val="es-CO"/>
        </w:rPr>
        <w:t>Mediante la revisión de la información allegada a través del radicado No. 1-2019-045070 del 16 de mayo de 2019</w:t>
      </w:r>
      <w:r>
        <w:rPr>
          <w:rFonts w:ascii="Arial" w:hAnsi="Arial" w:cs="Arial"/>
          <w:bCs/>
          <w:sz w:val="22"/>
          <w:szCs w:val="22"/>
          <w:lang w:val="es-CO"/>
        </w:rPr>
        <w:t xml:space="preserve"> por parte de la Entidad Territorial, se identifica una carta remitida </w:t>
      </w:r>
      <w:r w:rsidR="003F1A90">
        <w:rPr>
          <w:rFonts w:ascii="Arial" w:hAnsi="Arial" w:cs="Arial"/>
          <w:bCs/>
          <w:sz w:val="22"/>
          <w:szCs w:val="22"/>
          <w:lang w:val="es-CO"/>
        </w:rPr>
        <w:t xml:space="preserve">al Municipio de Jamundí </w:t>
      </w:r>
      <w:r>
        <w:rPr>
          <w:rFonts w:ascii="Arial" w:hAnsi="Arial" w:cs="Arial"/>
          <w:bCs/>
          <w:sz w:val="22"/>
          <w:szCs w:val="22"/>
          <w:lang w:val="es-CO"/>
        </w:rPr>
        <w:t xml:space="preserve">por parte de la Directora de Afiliaciones, Recaudos y Pagos del Fondo Nacional de Prestaciones Sociales del Magisterio, </w:t>
      </w:r>
      <w:r w:rsidR="003F1A90">
        <w:rPr>
          <w:rFonts w:ascii="Arial" w:hAnsi="Arial" w:cs="Arial"/>
          <w:bCs/>
          <w:sz w:val="22"/>
          <w:szCs w:val="22"/>
          <w:lang w:val="es-CO"/>
        </w:rPr>
        <w:t xml:space="preserve">del </w:t>
      </w:r>
      <w:r>
        <w:rPr>
          <w:rFonts w:ascii="Arial" w:hAnsi="Arial" w:cs="Arial"/>
          <w:bCs/>
          <w:sz w:val="22"/>
          <w:szCs w:val="22"/>
          <w:lang w:val="es-CO"/>
        </w:rPr>
        <w:t>11 de abril de 2019. En dicha carta se adjunta la estimación del pasivo neto adeudado por parte de la Entidad a la Fiduprevisora, la cual, señala:</w:t>
      </w:r>
    </w:p>
    <w:p w:rsidR="00746951" w:rsidRDefault="00746951" w:rsidP="00CD63E3">
      <w:pPr>
        <w:jc w:val="both"/>
        <w:rPr>
          <w:rFonts w:ascii="Arial" w:hAnsi="Arial" w:cs="Arial"/>
          <w:bCs/>
          <w:sz w:val="22"/>
          <w:szCs w:val="22"/>
          <w:lang w:val="es-CO"/>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1"/>
        <w:gridCol w:w="1771"/>
        <w:gridCol w:w="2265"/>
        <w:gridCol w:w="8"/>
      </w:tblGrid>
      <w:tr w:rsidR="00746951" w:rsidTr="00746951">
        <w:trPr>
          <w:trHeight w:val="20"/>
          <w:tblHeader/>
          <w:jc w:val="center"/>
        </w:trPr>
        <w:tc>
          <w:tcPr>
            <w:tcW w:w="8289" w:type="dxa"/>
            <w:gridSpan w:val="4"/>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746951" w:rsidRDefault="00746951" w:rsidP="00CD63E3">
            <w:pPr>
              <w:jc w:val="center"/>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 xml:space="preserve">TABLA 6. PASIVO PRESTACIONAL DEL MUNICIPIO </w:t>
            </w:r>
          </w:p>
          <w:p w:rsidR="00746951" w:rsidRDefault="00746951" w:rsidP="00CD63E3">
            <w:pPr>
              <w:jc w:val="center"/>
              <w:rPr>
                <w:rFonts w:ascii="Arial" w:eastAsia="Times New Roman" w:hAnsi="Arial" w:cs="Arial"/>
                <w:b/>
                <w:bCs/>
                <w:color w:val="FFFFFF" w:themeColor="background1"/>
                <w:sz w:val="20"/>
                <w:szCs w:val="20"/>
                <w:lang w:val="es-CO" w:eastAsia="es-CO"/>
              </w:rPr>
            </w:pPr>
            <w:r>
              <w:rPr>
                <w:rFonts w:ascii="Arial" w:eastAsia="Times New Roman" w:hAnsi="Arial" w:cs="Arial"/>
                <w:b/>
                <w:bCs/>
                <w:color w:val="FFFFFF" w:themeColor="background1"/>
                <w:sz w:val="18"/>
                <w:szCs w:val="18"/>
                <w:lang w:val="es-CO" w:eastAsia="es-CO"/>
              </w:rPr>
              <w:t>Cifras en millones de pesos</w:t>
            </w:r>
          </w:p>
        </w:tc>
      </w:tr>
      <w:tr w:rsidR="00746951" w:rsidTr="00746951">
        <w:trPr>
          <w:gridAfter w:val="1"/>
          <w:wAfter w:w="8" w:type="dxa"/>
          <w:trHeight w:val="20"/>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CCCCFF"/>
            <w:noWrap/>
            <w:vAlign w:val="center"/>
            <w:hideMark/>
          </w:tcPr>
          <w:p w:rsidR="00746951" w:rsidRDefault="00746951" w:rsidP="00CD63E3">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CONCEPTO</w:t>
            </w:r>
          </w:p>
        </w:tc>
        <w:tc>
          <w:tcPr>
            <w:tcW w:w="1770"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746951" w:rsidRDefault="00746951" w:rsidP="00CD63E3">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2017 </w:t>
            </w:r>
          </w:p>
        </w:tc>
        <w:tc>
          <w:tcPr>
            <w:tcW w:w="2263"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746951" w:rsidRDefault="00746951" w:rsidP="00CD63E3">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31 DE MARZO DE 2019 </w:t>
            </w:r>
          </w:p>
        </w:tc>
      </w:tr>
      <w:tr w:rsidR="00746951" w:rsidTr="00746951">
        <w:trPr>
          <w:gridAfter w:val="1"/>
          <w:wAfter w:w="8" w:type="dxa"/>
          <w:trHeight w:val="2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CD63E3">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Pasivo pensional por cálculo actuarial (2016) – Actualizado financieramente a 2017.</w:t>
            </w:r>
          </w:p>
        </w:tc>
        <w:tc>
          <w:tcPr>
            <w:tcW w:w="1770"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$ 36.967</w:t>
            </w: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$ 36.967 </w:t>
            </w:r>
          </w:p>
        </w:tc>
      </w:tr>
      <w:tr w:rsidR="00746951" w:rsidTr="00746951">
        <w:trPr>
          <w:gridAfter w:val="1"/>
          <w:wAfter w:w="8" w:type="dxa"/>
          <w:trHeight w:val="2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CD63E3">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Pasivo prestacional del Convenio/Decreto 196/95</w:t>
            </w:r>
          </w:p>
        </w:tc>
        <w:tc>
          <w:tcPr>
            <w:tcW w:w="1770"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w:t>
            </w: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$ 5.772</w:t>
            </w:r>
          </w:p>
        </w:tc>
      </w:tr>
      <w:tr w:rsidR="00746951" w:rsidTr="00746951">
        <w:trPr>
          <w:gridAfter w:val="1"/>
          <w:wAfter w:w="8" w:type="dxa"/>
          <w:trHeight w:val="2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CD63E3">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Pasivo corriente de 2013 a 2017</w:t>
            </w:r>
          </w:p>
        </w:tc>
        <w:tc>
          <w:tcPr>
            <w:tcW w:w="1770"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w:t>
            </w: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$ 2.246</w:t>
            </w:r>
          </w:p>
        </w:tc>
      </w:tr>
      <w:tr w:rsidR="00746951" w:rsidTr="00746951">
        <w:trPr>
          <w:gridAfter w:val="1"/>
          <w:wAfter w:w="8" w:type="dxa"/>
          <w:trHeight w:val="2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CD63E3">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Pasivo prestacional de Cesantías-Decreto 3752/03</w:t>
            </w:r>
          </w:p>
        </w:tc>
        <w:tc>
          <w:tcPr>
            <w:tcW w:w="1770"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w:t>
            </w: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$ 5.757</w:t>
            </w:r>
          </w:p>
        </w:tc>
      </w:tr>
      <w:tr w:rsidR="00746951" w:rsidTr="00746951">
        <w:trPr>
          <w:gridAfter w:val="1"/>
          <w:wAfter w:w="8" w:type="dxa"/>
          <w:trHeight w:val="2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CD63E3">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Cuotas de afiliación e incrementos salariales</w:t>
            </w:r>
          </w:p>
        </w:tc>
        <w:tc>
          <w:tcPr>
            <w:tcW w:w="1770"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w:t>
            </w: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$ 344</w:t>
            </w:r>
          </w:p>
        </w:tc>
      </w:tr>
      <w:tr w:rsidR="00746951" w:rsidTr="00746951">
        <w:trPr>
          <w:gridAfter w:val="1"/>
          <w:wAfter w:w="8" w:type="dxa"/>
          <w:trHeight w:val="2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CD63E3">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Cuotas partes al 31 de diciembre de 2012</w:t>
            </w:r>
          </w:p>
        </w:tc>
        <w:tc>
          <w:tcPr>
            <w:tcW w:w="1770"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$ 0</w:t>
            </w: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$ 418 </w:t>
            </w:r>
          </w:p>
        </w:tc>
      </w:tr>
      <w:tr w:rsidR="00746951" w:rsidTr="00746951">
        <w:trPr>
          <w:gridAfter w:val="1"/>
          <w:wAfter w:w="8" w:type="dxa"/>
          <w:trHeight w:val="2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CD63E3">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Totales</w:t>
            </w:r>
          </w:p>
        </w:tc>
        <w:tc>
          <w:tcPr>
            <w:tcW w:w="1770"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$ 36.967</w:t>
            </w: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746951" w:rsidRDefault="00746951" w:rsidP="003F1A90">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$ 51.504</w:t>
            </w:r>
          </w:p>
        </w:tc>
      </w:tr>
    </w:tbl>
    <w:p w:rsidR="00746951" w:rsidRDefault="00746951" w:rsidP="00CD63E3">
      <w:pPr>
        <w:jc w:val="center"/>
        <w:rPr>
          <w:rFonts w:ascii="Arial" w:hAnsi="Arial" w:cs="Arial"/>
          <w:bCs/>
          <w:sz w:val="20"/>
          <w:szCs w:val="20"/>
          <w:lang w:val="es-CO"/>
        </w:rPr>
      </w:pPr>
      <w:r>
        <w:rPr>
          <w:rFonts w:ascii="Arial" w:hAnsi="Arial" w:cs="Arial"/>
          <w:bCs/>
          <w:sz w:val="20"/>
          <w:szCs w:val="20"/>
          <w:lang w:val="es-CO"/>
        </w:rPr>
        <w:t>Fuente: Elaboración propia</w:t>
      </w:r>
    </w:p>
    <w:p w:rsidR="00746951" w:rsidRDefault="00746951" w:rsidP="00CD63E3">
      <w:pPr>
        <w:jc w:val="both"/>
        <w:rPr>
          <w:rFonts w:ascii="Arial" w:hAnsi="Arial" w:cs="Arial"/>
          <w:bCs/>
          <w:sz w:val="22"/>
          <w:szCs w:val="22"/>
          <w:lang w:val="es-CO"/>
        </w:rPr>
      </w:pPr>
    </w:p>
    <w:p w:rsidR="003F1A90" w:rsidRDefault="00746951" w:rsidP="00CD63E3">
      <w:pPr>
        <w:jc w:val="both"/>
        <w:rPr>
          <w:rFonts w:ascii="Arial" w:hAnsi="Arial" w:cs="Arial"/>
          <w:bCs/>
          <w:sz w:val="22"/>
          <w:szCs w:val="22"/>
          <w:lang w:val="es-CO"/>
        </w:rPr>
      </w:pPr>
      <w:r>
        <w:rPr>
          <w:rFonts w:ascii="Arial" w:hAnsi="Arial" w:cs="Arial"/>
          <w:bCs/>
          <w:sz w:val="22"/>
          <w:szCs w:val="22"/>
          <w:lang w:val="es-CO"/>
        </w:rPr>
        <w:t xml:space="preserve">Así mismo, es de mencionar que en la información allegada no se presentan actas de conciliación de aportes de nómina con respecto a los recursos Sin Situación de Fondos, razón por la que se desconoce el estado actual de la deuda. </w:t>
      </w:r>
    </w:p>
    <w:p w:rsidR="003F1A90" w:rsidRDefault="003F1A90"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En consecuencia, a pesar de que se presenta un reconocimiento de la deuda entre la Fiduprevisora y la Entidad, no se identifican gestiones adicionales por parte de la Administración Municipal para la depuración y conciliación de </w:t>
      </w:r>
      <w:r w:rsidR="003F1A90">
        <w:rPr>
          <w:rFonts w:ascii="Arial" w:hAnsi="Arial" w:cs="Arial"/>
          <w:bCs/>
          <w:sz w:val="22"/>
          <w:szCs w:val="22"/>
          <w:lang w:val="es-CO"/>
        </w:rPr>
        <w:t>las mismas</w:t>
      </w:r>
      <w:r>
        <w:rPr>
          <w:rFonts w:ascii="Arial" w:hAnsi="Arial" w:cs="Arial"/>
          <w:bCs/>
          <w:sz w:val="22"/>
          <w:szCs w:val="22"/>
          <w:lang w:val="es-CO"/>
        </w:rPr>
        <w:t>.</w:t>
      </w:r>
    </w:p>
    <w:p w:rsidR="00746951" w:rsidRPr="003F1A90" w:rsidRDefault="00746951" w:rsidP="00CD63E3">
      <w:pPr>
        <w:jc w:val="both"/>
        <w:rPr>
          <w:rFonts w:ascii="Arial" w:hAnsi="Arial" w:cs="Arial"/>
          <w:bCs/>
          <w:sz w:val="22"/>
          <w:szCs w:val="22"/>
          <w:lang w:val="es-CO"/>
        </w:rPr>
      </w:pPr>
    </w:p>
    <w:p w:rsidR="00746951" w:rsidRPr="003F1A90" w:rsidRDefault="00746951" w:rsidP="00CD63E3">
      <w:pPr>
        <w:jc w:val="both"/>
        <w:rPr>
          <w:rFonts w:ascii="Arial" w:hAnsi="Arial" w:cs="Arial"/>
          <w:b/>
          <w:sz w:val="22"/>
          <w:szCs w:val="22"/>
          <w:lang w:val="es-CO"/>
        </w:rPr>
      </w:pPr>
      <w:r w:rsidRPr="003F1A90">
        <w:rPr>
          <w:rFonts w:ascii="Arial" w:hAnsi="Arial" w:cs="Arial"/>
          <w:b/>
          <w:sz w:val="22"/>
          <w:szCs w:val="22"/>
          <w:lang w:val="es-CO"/>
        </w:rPr>
        <w:t>Actividad 7.1.2. Aclarar las deudas laborales canceladas al personal docente con recursos del SGP – Calidad de la vigencia 2017. En caso de que estos pagos se hayan realizado sin dar cumplimiento a lo establecido en el Artículo 148 de la Ley 1450 de 2011, compensar los recursos ejecutados.</w:t>
      </w:r>
    </w:p>
    <w:p w:rsidR="00746951" w:rsidRPr="003F1A90" w:rsidRDefault="00746951" w:rsidP="00CD63E3">
      <w:pPr>
        <w:jc w:val="both"/>
        <w:rPr>
          <w:rFonts w:ascii="Arial" w:hAnsi="Arial" w:cs="Arial"/>
          <w:b/>
          <w:sz w:val="22"/>
          <w:szCs w:val="22"/>
          <w:lang w:val="es-CO"/>
        </w:rPr>
      </w:pPr>
    </w:p>
    <w:p w:rsidR="00746951" w:rsidRPr="003F1A90" w:rsidRDefault="00746951" w:rsidP="003F1A90">
      <w:pPr>
        <w:pStyle w:val="Prrafodelista"/>
        <w:numPr>
          <w:ilvl w:val="0"/>
          <w:numId w:val="12"/>
        </w:numPr>
        <w:ind w:left="284" w:hanging="284"/>
        <w:jc w:val="both"/>
        <w:rPr>
          <w:rFonts w:ascii="Arial" w:hAnsi="Arial" w:cs="Arial"/>
          <w:bCs/>
          <w:sz w:val="22"/>
          <w:szCs w:val="22"/>
          <w:lang w:val="es-CO"/>
        </w:rPr>
      </w:pPr>
      <w:r w:rsidRPr="003F1A90">
        <w:rPr>
          <w:rFonts w:ascii="Arial" w:hAnsi="Arial" w:cs="Arial"/>
          <w:bCs/>
          <w:i/>
          <w:iCs/>
          <w:sz w:val="22"/>
          <w:szCs w:val="22"/>
          <w:lang w:val="es-CO"/>
        </w:rPr>
        <w:t>Productos:</w:t>
      </w:r>
      <w:r w:rsidRPr="003F1A90">
        <w:rPr>
          <w:rFonts w:ascii="Arial" w:hAnsi="Arial" w:cs="Arial"/>
          <w:bCs/>
          <w:sz w:val="22"/>
          <w:szCs w:val="22"/>
          <w:lang w:val="es-CO"/>
        </w:rPr>
        <w:t xml:space="preserve"> Informe de ejecución presupuestal ajustado y detallado. En caso de que los pagos por concepto de deuda se hayan realizado sin dar cumplimiento a lo establecido en el Artículo 148 de la Ley 1450 de 2011, evidenciar la compensación de los recursos a través de la ejecución de los proyectos de inversión en el sector educativo, financiado con fuentes diferentes al SGP por lo menos por el valor del pago realizado en la vigencia 2017.</w:t>
      </w:r>
    </w:p>
    <w:p w:rsidR="00746951" w:rsidRPr="003F1A90" w:rsidRDefault="00746951" w:rsidP="00CD63E3">
      <w:pPr>
        <w:jc w:val="both"/>
        <w:rPr>
          <w:rFonts w:ascii="Arial" w:hAnsi="Arial" w:cs="Arial"/>
          <w:sz w:val="22"/>
          <w:szCs w:val="22"/>
          <w:lang w:val="es-CO"/>
        </w:rPr>
      </w:pPr>
    </w:p>
    <w:p w:rsidR="00746951" w:rsidRDefault="00746951" w:rsidP="00CD63E3">
      <w:pPr>
        <w:jc w:val="both"/>
        <w:rPr>
          <w:rFonts w:ascii="Arial" w:hAnsi="Arial" w:cs="Arial"/>
          <w:bCs/>
          <w:sz w:val="22"/>
          <w:szCs w:val="22"/>
          <w:lang w:val="es-CO"/>
        </w:rPr>
      </w:pPr>
      <w:r w:rsidRPr="003F1A90">
        <w:rPr>
          <w:rFonts w:ascii="Arial" w:hAnsi="Arial" w:cs="Arial"/>
          <w:bCs/>
          <w:sz w:val="22"/>
          <w:szCs w:val="22"/>
          <w:lang w:val="es-CO"/>
        </w:rPr>
        <w:t>Mediante la revisión de la información allegada a través del radicado No. 1-2019-045070 del 16 de mayo de 2019 por parte de la Entidad Territorial, no se evidencia documentación alguna que permita</w:t>
      </w:r>
      <w:r>
        <w:rPr>
          <w:rFonts w:ascii="Arial" w:hAnsi="Arial" w:cs="Arial"/>
          <w:bCs/>
          <w:sz w:val="22"/>
          <w:szCs w:val="22"/>
          <w:lang w:val="es-CO"/>
        </w:rPr>
        <w:t xml:space="preserve"> identificar que las deudas laborales canceladas en la vigencia 2017 con recursos SGP</w:t>
      </w:r>
      <w:r w:rsidR="003F1A90">
        <w:rPr>
          <w:rFonts w:ascii="Arial" w:hAnsi="Arial" w:cs="Arial"/>
          <w:bCs/>
          <w:sz w:val="22"/>
          <w:szCs w:val="22"/>
          <w:lang w:val="es-CO"/>
        </w:rPr>
        <w:t xml:space="preserve"> </w:t>
      </w:r>
      <w:r>
        <w:rPr>
          <w:rFonts w:ascii="Arial" w:hAnsi="Arial" w:cs="Arial"/>
          <w:bCs/>
          <w:sz w:val="22"/>
          <w:szCs w:val="22"/>
          <w:lang w:val="es-CO"/>
        </w:rPr>
        <w:t>-</w:t>
      </w:r>
      <w:r w:rsidR="003F1A90">
        <w:rPr>
          <w:rFonts w:ascii="Arial" w:hAnsi="Arial" w:cs="Arial"/>
          <w:bCs/>
          <w:sz w:val="22"/>
          <w:szCs w:val="22"/>
          <w:lang w:val="es-CO"/>
        </w:rPr>
        <w:t xml:space="preserve"> </w:t>
      </w:r>
      <w:r>
        <w:rPr>
          <w:rFonts w:ascii="Arial" w:hAnsi="Arial" w:cs="Arial"/>
          <w:bCs/>
          <w:sz w:val="22"/>
          <w:szCs w:val="22"/>
          <w:lang w:val="es-CO"/>
        </w:rPr>
        <w:t xml:space="preserve">Calidad hayan sido certificadas a partir de lo descrito por el artículo 148 de la Ley 1450 de 2011.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Así mismo, para la vigencia 2018 no se evidencia compensación alguna realizada por la Entidad por el pago de estas deudas laborales; sin embargo, para la vigencia 2019, en el reporte FUT, se identifican compromisos, obligaciones y pagos por $1.743 millones por concepto de Pago de déficit de Inversión en Educación, pero, no se cuenta con la documentación necesaria que permita la trazabilidad y correspondencia de estos pagos presupuestales con la compensación de los recursos solicitada.</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sz w:val="22"/>
          <w:szCs w:val="22"/>
          <w:lang w:val="es-CO"/>
        </w:rPr>
      </w:pPr>
      <w:r>
        <w:rPr>
          <w:rFonts w:ascii="Arial" w:hAnsi="Arial" w:cs="Arial"/>
          <w:bCs/>
          <w:sz w:val="22"/>
          <w:szCs w:val="22"/>
          <w:lang w:val="es-CO"/>
        </w:rPr>
        <w:t xml:space="preserve">Por lo anterior, en el siguiente informe de seguimiento se realizará la solicitud de </w:t>
      </w:r>
      <w:r w:rsidR="003F1A90">
        <w:rPr>
          <w:rFonts w:ascii="Arial" w:hAnsi="Arial" w:cs="Arial"/>
          <w:bCs/>
          <w:sz w:val="22"/>
          <w:szCs w:val="22"/>
          <w:lang w:val="es-CO"/>
        </w:rPr>
        <w:t>la información pertinente</w:t>
      </w:r>
      <w:r>
        <w:rPr>
          <w:rFonts w:ascii="Arial" w:hAnsi="Arial" w:cs="Arial"/>
          <w:bCs/>
          <w:sz w:val="22"/>
          <w:szCs w:val="22"/>
          <w:lang w:val="es-CO"/>
        </w:rPr>
        <w:t>, con el propósito de reconocer si la Entidad efectivamente realizó la compensación solicitada de recursos.</w:t>
      </w:r>
    </w:p>
    <w:p w:rsidR="00746951" w:rsidRDefault="00746951" w:rsidP="00CD63E3">
      <w:pPr>
        <w:pStyle w:val="Sinespaciado"/>
        <w:jc w:val="both"/>
        <w:rPr>
          <w:rFonts w:ascii="Arial" w:hAnsi="Arial" w:cs="Arial"/>
          <w:b/>
          <w:bCs/>
        </w:rPr>
      </w:pPr>
    </w:p>
    <w:p w:rsidR="00746951" w:rsidRDefault="00746951" w:rsidP="00CD63E3">
      <w:pPr>
        <w:pStyle w:val="Prrafodelista"/>
        <w:numPr>
          <w:ilvl w:val="0"/>
          <w:numId w:val="9"/>
        </w:numPr>
        <w:jc w:val="both"/>
        <w:rPr>
          <w:rFonts w:ascii="Arial" w:hAnsi="Arial" w:cs="Arial"/>
          <w:b/>
          <w:sz w:val="22"/>
          <w:szCs w:val="22"/>
          <w:lang w:val="es-CO"/>
        </w:rPr>
      </w:pPr>
      <w:r>
        <w:rPr>
          <w:rFonts w:ascii="Arial" w:hAnsi="Arial" w:cs="Arial"/>
          <w:b/>
          <w:sz w:val="22"/>
          <w:szCs w:val="22"/>
          <w:lang w:val="es-CO"/>
        </w:rPr>
        <w:t xml:space="preserve">Avances: </w:t>
      </w:r>
    </w:p>
    <w:p w:rsidR="00746951" w:rsidRDefault="00746951" w:rsidP="00CD63E3">
      <w:pPr>
        <w:rPr>
          <w:rFonts w:ascii="Arial" w:hAnsi="Arial" w:cs="Arial"/>
          <w:sz w:val="22"/>
          <w:szCs w:val="22"/>
          <w:lang w:val="es-CO"/>
        </w:rPr>
      </w:pPr>
    </w:p>
    <w:p w:rsidR="00746951" w:rsidRPr="003F1A90" w:rsidRDefault="00746951" w:rsidP="00CD63E3">
      <w:pPr>
        <w:jc w:val="both"/>
        <w:rPr>
          <w:rFonts w:ascii="Arial" w:hAnsi="Arial" w:cs="Arial"/>
          <w:b/>
          <w:sz w:val="22"/>
          <w:szCs w:val="22"/>
          <w:lang w:val="es-CO"/>
        </w:rPr>
      </w:pPr>
      <w:r>
        <w:rPr>
          <w:rFonts w:ascii="Arial" w:hAnsi="Arial" w:cs="Arial"/>
          <w:b/>
          <w:sz w:val="22"/>
          <w:szCs w:val="22"/>
          <w:lang w:val="es-CO"/>
        </w:rPr>
        <w:t xml:space="preserve">Actividad 3.1.1. </w:t>
      </w:r>
      <w:r w:rsidRPr="003F1A90">
        <w:rPr>
          <w:rFonts w:ascii="Arial" w:hAnsi="Arial" w:cs="Arial"/>
          <w:b/>
          <w:sz w:val="22"/>
          <w:szCs w:val="22"/>
          <w:lang w:val="es-CO"/>
        </w:rPr>
        <w:t>Reconocer oportunamente las Zonas de Difícil Acceso, así como, apropiar, ejecutar y pagar, las obligaciones por este concepto a los docentes y directivos docentes, que durante el año lectivo, laboren permanentemente en Zonas de Difícil Acceso.</w:t>
      </w:r>
    </w:p>
    <w:p w:rsidR="00746951" w:rsidRPr="003F1A90" w:rsidRDefault="00746951" w:rsidP="00CD63E3">
      <w:pPr>
        <w:jc w:val="both"/>
        <w:rPr>
          <w:rFonts w:ascii="Arial" w:hAnsi="Arial" w:cs="Arial"/>
          <w:b/>
          <w:sz w:val="22"/>
          <w:szCs w:val="22"/>
          <w:lang w:val="es-CO"/>
        </w:rPr>
      </w:pPr>
    </w:p>
    <w:p w:rsidR="00746951" w:rsidRPr="003F1A90" w:rsidRDefault="00746951" w:rsidP="003F1A90">
      <w:pPr>
        <w:pStyle w:val="Prrafodelista"/>
        <w:numPr>
          <w:ilvl w:val="0"/>
          <w:numId w:val="12"/>
        </w:numPr>
        <w:ind w:left="284" w:hanging="284"/>
        <w:jc w:val="both"/>
        <w:rPr>
          <w:rFonts w:ascii="Arial" w:hAnsi="Arial" w:cs="Arial"/>
          <w:bCs/>
          <w:sz w:val="22"/>
          <w:szCs w:val="22"/>
          <w:lang w:val="es-CO"/>
        </w:rPr>
      </w:pPr>
      <w:r w:rsidRPr="003F1A90">
        <w:rPr>
          <w:rFonts w:ascii="Arial" w:hAnsi="Arial" w:cs="Arial"/>
          <w:bCs/>
          <w:i/>
          <w:iCs/>
          <w:sz w:val="22"/>
          <w:szCs w:val="22"/>
          <w:lang w:val="es-CO"/>
        </w:rPr>
        <w:t>Productos</w:t>
      </w:r>
      <w:r w:rsidRPr="003F1A90">
        <w:rPr>
          <w:rFonts w:ascii="Arial" w:hAnsi="Arial" w:cs="Arial"/>
          <w:bCs/>
          <w:sz w:val="22"/>
          <w:szCs w:val="22"/>
          <w:lang w:val="es-CO"/>
        </w:rPr>
        <w:t xml:space="preserve">: Acto administrativo de definición de instituciones ubicadas en Zonas de Difícil Acceso expedido conforme a la normatividad vigente. Reportes de nómina que </w:t>
      </w:r>
      <w:r w:rsidRPr="003F1A90">
        <w:rPr>
          <w:rFonts w:ascii="Arial" w:hAnsi="Arial" w:cs="Arial"/>
          <w:bCs/>
          <w:sz w:val="22"/>
          <w:szCs w:val="22"/>
          <w:lang w:val="es-CO"/>
        </w:rPr>
        <w:lastRenderedPageBreak/>
        <w:t>evidencien el pago de ZDA conforme el calendario académico y las instituciones referencias en el decreto correspondiente.</w:t>
      </w:r>
    </w:p>
    <w:p w:rsidR="00746951" w:rsidRPr="003F1A90"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sidRPr="003F1A90">
        <w:rPr>
          <w:rFonts w:ascii="Arial" w:hAnsi="Arial" w:cs="Arial"/>
          <w:bCs/>
          <w:sz w:val="22"/>
          <w:szCs w:val="22"/>
          <w:lang w:val="es-CO"/>
        </w:rPr>
        <w:t>Mediante el radicado No. 1-2019-045070 del 16 de mayo de 2019, la Entidad remitió la información soporte asociada</w:t>
      </w:r>
      <w:r>
        <w:rPr>
          <w:rFonts w:ascii="Arial" w:hAnsi="Arial" w:cs="Arial"/>
          <w:bCs/>
          <w:sz w:val="22"/>
          <w:szCs w:val="22"/>
          <w:lang w:val="es-CO"/>
        </w:rPr>
        <w:t xml:space="preserve"> al reconocimiento de las Zonas de Difícil Acceso mediante la Resolución No. 1240 del 01 de noviembre de 2018 para la vigencia 2019, dando cumplimiento a lo estipulado por el artículo 2.4.4.1.2., el cual señala que dicho acto administrativo debe emitirse antes del 01 de noviembre de la vigencia anterior y la determinación de las Zonas de Difícil Acceso deben considerar las siguientes situaciones: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“1. Que sea necesaria la utilización habitual de dos o más medios de transporte para un desplazamiento hasta el perímetro urbano.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 xml:space="preserve">2. Que no existan vías de comunicación que permitan el tránsito motorizado durante la mayor parte del año lectivo.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3. Que la prestación del servicio público de transporte terrestre, fluvial o marítimo, tenga una sola frecuencia, ida o vuelta, diaria “</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En este sentido, dicha Resolución reconoce 35 sedes educativas ubicadas en 9 Instituciones. Al revisar las nóminas asociadas a la vigencia 2019, se reconocen pagos a 70 docentes y a 19 directivos docentes por reconocimiento de Zonas de Difícil Acceso, sin embargo, en la información allegada no fue posible identificar el detalle de los docentes y directivos docentes asignados a estas sedes, toda vez que el Decreto No. 0101 del 20 de marzo de 2019 no determina la distribución del personal docente y directivo docente a nivel de sede educativa.</w:t>
      </w:r>
    </w:p>
    <w:p w:rsidR="00746951" w:rsidRDefault="00746951" w:rsidP="00CD63E3">
      <w:pPr>
        <w:jc w:val="both"/>
        <w:rPr>
          <w:rFonts w:ascii="Arial" w:hAnsi="Arial" w:cs="Arial"/>
          <w:bCs/>
          <w:sz w:val="22"/>
          <w:szCs w:val="22"/>
          <w:lang w:val="es-CO"/>
        </w:rPr>
      </w:pPr>
    </w:p>
    <w:p w:rsidR="00746951" w:rsidRDefault="00746951" w:rsidP="00CD63E3">
      <w:pPr>
        <w:jc w:val="both"/>
        <w:rPr>
          <w:rFonts w:ascii="Arial" w:hAnsi="Arial" w:cs="Arial"/>
          <w:bCs/>
          <w:sz w:val="22"/>
          <w:szCs w:val="22"/>
          <w:lang w:val="es-CO"/>
        </w:rPr>
      </w:pPr>
      <w:r>
        <w:rPr>
          <w:rFonts w:ascii="Arial" w:hAnsi="Arial" w:cs="Arial"/>
          <w:bCs/>
          <w:sz w:val="22"/>
          <w:szCs w:val="22"/>
          <w:lang w:val="es-CO"/>
        </w:rPr>
        <w:t>Por lo anterior, se identifica que la Entidad implementó acciones para dar cumplimiento a la emisión del decreto de determinación de Zonas de Difícil Acceso en la vigencia 2018 para la vigencia 2019.</w:t>
      </w:r>
    </w:p>
    <w:p w:rsidR="00746951" w:rsidRDefault="00746951" w:rsidP="00CD63E3">
      <w:pPr>
        <w:rPr>
          <w:rFonts w:ascii="Arial" w:hAnsi="Arial" w:cs="Arial"/>
          <w:sz w:val="22"/>
          <w:szCs w:val="22"/>
          <w:lang w:val="es-CO"/>
        </w:rPr>
      </w:pPr>
    </w:p>
    <w:p w:rsidR="00746951" w:rsidRDefault="00746951" w:rsidP="00CD63E3">
      <w:pPr>
        <w:pStyle w:val="Prrafodelista"/>
        <w:numPr>
          <w:ilvl w:val="0"/>
          <w:numId w:val="8"/>
        </w:numPr>
        <w:jc w:val="both"/>
        <w:rPr>
          <w:rFonts w:ascii="Arial" w:hAnsi="Arial" w:cs="Arial"/>
          <w:b/>
          <w:sz w:val="22"/>
          <w:szCs w:val="22"/>
          <w:lang w:val="es-CO"/>
        </w:rPr>
      </w:pPr>
      <w:r>
        <w:rPr>
          <w:rFonts w:ascii="Arial" w:hAnsi="Arial" w:cs="Arial"/>
          <w:b/>
          <w:sz w:val="22"/>
          <w:szCs w:val="22"/>
          <w:lang w:val="es-CO"/>
        </w:rPr>
        <w:t>Conclusiones y Recomendaciones:</w:t>
      </w:r>
    </w:p>
    <w:p w:rsidR="00746951" w:rsidRDefault="00746951" w:rsidP="00CD63E3">
      <w:pPr>
        <w:jc w:val="both"/>
        <w:rPr>
          <w:rFonts w:ascii="Arial" w:hAnsi="Arial" w:cs="Arial"/>
          <w:sz w:val="22"/>
          <w:szCs w:val="22"/>
          <w:lang w:val="es-CO"/>
        </w:rPr>
      </w:pPr>
    </w:p>
    <w:p w:rsidR="00746951" w:rsidRDefault="00746951" w:rsidP="00CD63E3">
      <w:pPr>
        <w:jc w:val="both"/>
        <w:rPr>
          <w:rFonts w:ascii="Arial" w:hAnsi="Arial" w:cs="Arial"/>
          <w:sz w:val="22"/>
          <w:szCs w:val="22"/>
          <w:lang w:val="es-CO"/>
        </w:rPr>
      </w:pPr>
      <w:r>
        <w:rPr>
          <w:rFonts w:ascii="Arial" w:hAnsi="Arial" w:cs="Arial"/>
          <w:sz w:val="22"/>
          <w:szCs w:val="22"/>
          <w:lang w:val="es-CO"/>
        </w:rPr>
        <w:t xml:space="preserve">Como resultado de la evaluación se concluye que el </w:t>
      </w:r>
      <w:r>
        <w:fldChar w:fldCharType="begin"/>
      </w:r>
      <w:r>
        <w:rPr>
          <w:rFonts w:ascii="Arial" w:hAnsi="Arial" w:cs="Arial"/>
          <w:sz w:val="22"/>
          <w:szCs w:val="22"/>
          <w:lang w:val="es-CO"/>
        </w:rPr>
        <w:instrText xml:space="preserve"> LINK Excel.SheetMacroEnabled.12 \\\\MH-EXMOSSSA01.MHEXT.RED\\EncuestasPSFF_Archivos\\Decreto028\\BD\\Excel\\Matriz_2019_PlanDesempeño_Municipio_Villavicencio_Meta_Sector_Educación.xlsm Principal!R6C7 \a \t  \* MERGEFORMAT </w:instrText>
      </w:r>
      <w:r>
        <w:fldChar w:fldCharType="separate"/>
      </w:r>
      <w:r>
        <w:rPr>
          <w:rFonts w:ascii="Arial" w:hAnsi="Arial" w:cs="Arial"/>
          <w:sz w:val="22"/>
          <w:szCs w:val="22"/>
          <w:lang w:val="es-CO"/>
        </w:rPr>
        <w:t>municipio de Jamundí - Valle del Cauca,</w:t>
      </w:r>
      <w:r>
        <w:fldChar w:fldCharType="end"/>
      </w:r>
      <w:r>
        <w:rPr>
          <w:rFonts w:ascii="Arial" w:hAnsi="Arial" w:cs="Arial"/>
          <w:sz w:val="22"/>
          <w:szCs w:val="22"/>
          <w:lang w:val="es-CO"/>
        </w:rPr>
        <w:t xml:space="preserve"> ha cumplido 1 de 19 actividades contempladas en la </w:t>
      </w:r>
      <w:r>
        <w:fldChar w:fldCharType="begin"/>
      </w:r>
      <w:r>
        <w:rPr>
          <w:rFonts w:ascii="Arial" w:hAnsi="Arial" w:cs="Arial"/>
          <w:sz w:val="22"/>
          <w:szCs w:val="22"/>
          <w:lang w:val="es-CO"/>
        </w:rPr>
        <w:instrText xml:space="preserve"> LINK Excel.SheetMacroEnabled.12 \\\\MH-EXMOSSSA01.MHEXT.RED\\EncuestasPSFF_Archivos\\Decreto028\\BD\\Excel\\Matriz_2019_PlanDesempeño_Municipio_Villavicencio_Meta_Sector_Educación.xlsm Principal!R18C8 \a \t  \* MERGEFORMAT </w:instrText>
      </w:r>
      <w:r>
        <w:fldChar w:fldCharType="separate"/>
      </w:r>
      <w:r>
        <w:rPr>
          <w:rFonts w:ascii="Arial" w:hAnsi="Arial" w:cs="Arial"/>
          <w:sz w:val="22"/>
          <w:szCs w:val="22"/>
          <w:lang w:val="es-CO"/>
        </w:rPr>
        <w:t>Medida Preventiva de Plan de Desempeño</w:t>
      </w:r>
      <w:r>
        <w:fldChar w:fldCharType="end"/>
      </w:r>
      <w:r>
        <w:rPr>
          <w:rFonts w:ascii="Arial" w:hAnsi="Arial" w:cs="Arial"/>
          <w:sz w:val="22"/>
          <w:szCs w:val="22"/>
          <w:lang w:val="es-CO"/>
        </w:rPr>
        <w:t>, para un cumplimiento del 5%</w:t>
      </w:r>
      <w:r>
        <w:rPr>
          <w:rFonts w:ascii="Arial" w:hAnsi="Arial" w:cs="Arial"/>
          <w:sz w:val="22"/>
          <w:szCs w:val="22"/>
          <w:lang w:val="es-CO" w:eastAsia="es-CO"/>
        </w:rPr>
        <w:t>. Por lo anterior, se solicitará información actualizada con el propósito de evaluar el cumplimiento de las actividades planteadas en la medida.</w:t>
      </w:r>
    </w:p>
    <w:p w:rsidR="00746951" w:rsidRDefault="00746951" w:rsidP="00CD63E3">
      <w:pPr>
        <w:tabs>
          <w:tab w:val="left" w:pos="3206"/>
          <w:tab w:val="left" w:pos="6338"/>
        </w:tabs>
        <w:rPr>
          <w:rFonts w:ascii="Arial" w:hAnsi="Arial" w:cs="Arial"/>
          <w:sz w:val="22"/>
          <w:szCs w:val="22"/>
          <w:lang w:val="es-CO"/>
        </w:rPr>
      </w:pPr>
    </w:p>
    <w:p w:rsidR="00746951" w:rsidRDefault="00746951" w:rsidP="00CD63E3">
      <w:pPr>
        <w:rPr>
          <w:rFonts w:ascii="Arial" w:hAnsi="Arial" w:cs="Arial"/>
          <w:sz w:val="16"/>
          <w:szCs w:val="16"/>
          <w:lang w:val="es-CO"/>
        </w:rPr>
      </w:pPr>
      <w:r>
        <w:rPr>
          <w:rFonts w:ascii="Arial" w:hAnsi="Arial" w:cs="Arial"/>
          <w:sz w:val="16"/>
          <w:szCs w:val="16"/>
          <w:lang w:val="es-CO"/>
        </w:rPr>
        <w:t>Aprobó: Fernando Olivera</w:t>
      </w:r>
    </w:p>
    <w:p w:rsidR="00746951" w:rsidRDefault="00746951" w:rsidP="00CD63E3">
      <w:pPr>
        <w:rPr>
          <w:rFonts w:ascii="Arial" w:hAnsi="Arial" w:cs="Arial"/>
          <w:sz w:val="16"/>
          <w:szCs w:val="16"/>
          <w:lang w:val="es-CO"/>
        </w:rPr>
      </w:pPr>
      <w:r>
        <w:rPr>
          <w:rFonts w:ascii="Arial" w:hAnsi="Arial" w:cs="Arial"/>
          <w:sz w:val="16"/>
          <w:szCs w:val="16"/>
          <w:lang w:val="es-CO"/>
        </w:rPr>
        <w:t>Revisión Jurídica: Natalia Espitia</w:t>
      </w:r>
    </w:p>
    <w:p w:rsidR="00746951" w:rsidRDefault="00746951" w:rsidP="00CD63E3">
      <w:pPr>
        <w:rPr>
          <w:rFonts w:ascii="Arial" w:hAnsi="Arial" w:cs="Arial"/>
          <w:sz w:val="16"/>
          <w:szCs w:val="16"/>
          <w:lang w:val="es-CO"/>
        </w:rPr>
      </w:pPr>
      <w:r>
        <w:rPr>
          <w:rFonts w:ascii="Arial" w:hAnsi="Arial" w:cs="Arial"/>
          <w:sz w:val="16"/>
          <w:szCs w:val="16"/>
          <w:lang w:val="es-CO"/>
        </w:rPr>
        <w:t xml:space="preserve">Revisó: Yesika Sánchez. </w:t>
      </w:r>
    </w:p>
    <w:p w:rsidR="00746951" w:rsidRDefault="00746951" w:rsidP="00CD63E3">
      <w:pPr>
        <w:rPr>
          <w:rFonts w:ascii="Arial" w:hAnsi="Arial" w:cs="Arial"/>
          <w:sz w:val="16"/>
          <w:szCs w:val="16"/>
          <w:lang w:val="es-CO"/>
        </w:rPr>
      </w:pPr>
      <w:r>
        <w:rPr>
          <w:rFonts w:ascii="Arial" w:hAnsi="Arial" w:cs="Arial"/>
          <w:sz w:val="16"/>
          <w:szCs w:val="16"/>
          <w:lang w:val="es-CO"/>
        </w:rPr>
        <w:t>Elaboró: Cristian Bonilla</w:t>
      </w:r>
    </w:p>
    <w:p w:rsidR="00746951" w:rsidRDefault="00746951" w:rsidP="00CD63E3">
      <w:pPr>
        <w:rPr>
          <w:rFonts w:cs="Arial"/>
          <w:sz w:val="22"/>
          <w:lang w:val="es-CO"/>
        </w:rPr>
      </w:pPr>
    </w:p>
    <w:p w:rsidR="00746951" w:rsidRDefault="00746951" w:rsidP="00CD63E3">
      <w:pPr>
        <w:rPr>
          <w:lang w:val="es-CO"/>
        </w:rPr>
      </w:pPr>
    </w:p>
    <w:p w:rsidR="00746951" w:rsidRDefault="00746951" w:rsidP="00CD63E3">
      <w:pPr>
        <w:rPr>
          <w:lang w:val="es-CO"/>
        </w:rPr>
      </w:pPr>
    </w:p>
    <w:p w:rsidR="00F01F75" w:rsidRPr="00C01FE5" w:rsidRDefault="00F01F75" w:rsidP="00CD63E3">
      <w:pPr>
        <w:pStyle w:val="Textocomentario"/>
      </w:pPr>
      <w:bookmarkStart w:id="1" w:name="AVANCES"/>
      <w:bookmarkEnd w:id="1"/>
    </w:p>
    <w:sectPr w:rsidR="00F01F75" w:rsidRPr="00C01FE5" w:rsidSect="004E432F">
      <w:headerReference w:type="default" r:id="rId13"/>
      <w:footerReference w:type="default" r:id="rId14"/>
      <w:headerReference w:type="first" r:id="rId15"/>
      <w:footerReference w:type="first" r:id="rId16"/>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AEE" w:rsidRDefault="00EB0AEE" w:rsidP="00F71345">
      <w:r>
        <w:separator/>
      </w:r>
    </w:p>
  </w:endnote>
  <w:endnote w:type="continuationSeparator" w:id="0">
    <w:p w:rsidR="00EB0AEE" w:rsidRDefault="00EB0AEE"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B3" w:rsidRPr="00F01F75" w:rsidRDefault="006236B3" w:rsidP="00F01F75">
    <w:pPr>
      <w:pStyle w:val="Piedepgina"/>
    </w:pPr>
    <w:r>
      <w:rPr>
        <w:noProof/>
        <w:lang w:eastAsia="es-CO"/>
      </w:rPr>
      <w:drawing>
        <wp:inline distT="0" distB="0" distL="0" distR="0">
          <wp:extent cx="3399155" cy="101409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B3" w:rsidRPr="00F01F75" w:rsidRDefault="006236B3" w:rsidP="00F01F75">
    <w:pPr>
      <w:pStyle w:val="Piedepgina"/>
    </w:pPr>
    <w:r>
      <w:rPr>
        <w:noProof/>
        <w:lang w:eastAsia="es-CO"/>
      </w:rPr>
      <w:drawing>
        <wp:inline distT="0" distB="0" distL="0" distR="0">
          <wp:extent cx="3399155" cy="101409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AEE" w:rsidRDefault="00EB0AEE" w:rsidP="00F71345">
      <w:r>
        <w:separator/>
      </w:r>
    </w:p>
  </w:footnote>
  <w:footnote w:type="continuationSeparator" w:id="0">
    <w:p w:rsidR="00EB0AEE" w:rsidRDefault="00EB0AEE" w:rsidP="00F71345">
      <w:r>
        <w:continuationSeparator/>
      </w:r>
    </w:p>
  </w:footnote>
  <w:footnote w:id="1">
    <w:p w:rsidR="006236B3" w:rsidRDefault="006236B3" w:rsidP="00746951">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Concepto de viabilización emitido durante la vigencia 2020 a través del radicado No. 2020EE12967 del 18 de mayo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B3" w:rsidRDefault="006236B3" w:rsidP="00A82889">
    <w:pPr>
      <w:jc w:val="right"/>
      <w:rPr>
        <w:rFonts w:ascii="Arial" w:hAnsi="Arial" w:cs="Arial"/>
        <w:sz w:val="16"/>
        <w:szCs w:val="16"/>
      </w:rPr>
    </w:pPr>
  </w:p>
  <w:p w:rsidR="006236B3" w:rsidRDefault="006236B3" w:rsidP="00A82889">
    <w:pPr>
      <w:jc w:val="right"/>
      <w:rPr>
        <w:rFonts w:ascii="Arial" w:hAnsi="Arial" w:cs="Arial"/>
        <w:sz w:val="16"/>
        <w:szCs w:val="16"/>
      </w:rPr>
    </w:pPr>
  </w:p>
  <w:p w:rsidR="006236B3" w:rsidRDefault="006236B3" w:rsidP="00F01F75">
    <w:pPr>
      <w:pStyle w:val="Encabezado"/>
      <w:rPr>
        <w:rFonts w:ascii="Arial" w:hAnsi="Arial" w:cs="Arial"/>
        <w:sz w:val="16"/>
        <w:szCs w:val="16"/>
      </w:rPr>
    </w:pPr>
    <w:r>
      <w:rPr>
        <w:noProof/>
        <w:lang w:eastAsia="es-CO"/>
      </w:rPr>
      <w:drawing>
        <wp:inline distT="0" distB="0" distL="0" distR="0">
          <wp:extent cx="5612130" cy="435610"/>
          <wp:effectExtent l="0" t="0" r="7620" b="2540"/>
          <wp:docPr id="5" name="Imagen 5" descr="Papelería-Institucional---Plantilla"/>
          <wp:cNvGraphicFramePr/>
          <a:graphic xmlns:a="http://schemas.openxmlformats.org/drawingml/2006/main">
            <a:graphicData uri="http://schemas.openxmlformats.org/drawingml/2006/picture">
              <pic:pic xmlns:pic="http://schemas.openxmlformats.org/drawingml/2006/picture">
                <pic:nvPicPr>
                  <pic:cNvPr id="37" name="Imagen 37" descr="Papelería-Institucional---Plantilla"/>
                  <pic:cNvPicPr/>
                </pic:nvPicPr>
                <pic:blipFill rotWithShape="1">
                  <a:blip r:embed="rId1">
                    <a:extLst>
                      <a:ext uri="{28A0092B-C50C-407E-A947-70E740481C1C}">
                        <a14:useLocalDpi xmlns:a14="http://schemas.microsoft.com/office/drawing/2010/main" val="0"/>
                      </a:ext>
                    </a:extLst>
                  </a:blip>
                  <a:srcRect t="7901" b="86103"/>
                  <a:stretch/>
                </pic:blipFill>
                <pic:spPr bwMode="auto">
                  <a:xfrm>
                    <a:off x="0" y="0"/>
                    <a:ext cx="5612130" cy="435610"/>
                  </a:xfrm>
                  <a:prstGeom prst="rect">
                    <a:avLst/>
                  </a:prstGeom>
                  <a:noFill/>
                  <a:ln>
                    <a:noFill/>
                  </a:ln>
                  <a:extLst>
                    <a:ext uri="{53640926-AAD7-44D8-BBD7-CCE9431645EC}">
                      <a14:shadowObscured xmlns:a14="http://schemas.microsoft.com/office/drawing/2010/main"/>
                    </a:ext>
                  </a:extLst>
                </pic:spPr>
              </pic:pic>
            </a:graphicData>
          </a:graphic>
        </wp:inline>
      </w:drawing>
    </w:r>
  </w:p>
  <w:p w:rsidR="006236B3" w:rsidRDefault="006236B3" w:rsidP="00F01F75">
    <w:pPr>
      <w:pStyle w:val="Encabezado"/>
      <w:rPr>
        <w:rFonts w:ascii="Arial" w:hAnsi="Arial" w:cs="Arial"/>
        <w:sz w:val="16"/>
        <w:szCs w:val="16"/>
      </w:rPr>
    </w:pPr>
  </w:p>
  <w:p w:rsidR="006236B3" w:rsidRPr="00F01F75" w:rsidRDefault="006236B3" w:rsidP="00F01F75">
    <w:pPr>
      <w:pStyle w:val="Encabezado"/>
      <w:rPr>
        <w:rFonts w:ascii="Arial" w:hAnsi="Arial" w:cs="Arial"/>
        <w:sz w:val="16"/>
        <w:szCs w:val="16"/>
      </w:rPr>
    </w:pPr>
    <w:r w:rsidRPr="00F01F75">
      <w:rPr>
        <w:rFonts w:ascii="Arial" w:hAnsi="Arial" w:cs="Arial"/>
        <w:sz w:val="16"/>
        <w:szCs w:val="16"/>
      </w:rPr>
      <w:t xml:space="preserve">Continuación oficio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437D35">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437D35">
      <w:rPr>
        <w:rStyle w:val="Nmerodepgina"/>
        <w:rFonts w:ascii="Arial" w:hAnsi="Arial" w:cs="Arial"/>
        <w:noProof/>
        <w:sz w:val="16"/>
        <w:szCs w:val="16"/>
      </w:rPr>
      <w:t>24</w:t>
    </w:r>
    <w:r w:rsidRPr="00F01F75">
      <w:rPr>
        <w:rStyle w:val="Nmerodepgina"/>
        <w:rFonts w:ascii="Arial" w:hAnsi="Arial" w:cs="Arial"/>
        <w:sz w:val="16"/>
        <w:szCs w:val="16"/>
      </w:rPr>
      <w:fldChar w:fldCharType="end"/>
    </w:r>
  </w:p>
  <w:p w:rsidR="006236B3" w:rsidRPr="00F01F75" w:rsidRDefault="006236B3">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B3" w:rsidRDefault="006236B3" w:rsidP="001339E2">
    <w:pPr>
      <w:pStyle w:val="Encabezado"/>
      <w:jc w:val="right"/>
    </w:pPr>
    <w:r>
      <w:rPr>
        <w:noProof/>
        <w:lang w:eastAsia="es-CO"/>
      </w:rPr>
      <w:drawing>
        <wp:inline distT="0" distB="0" distL="0" distR="0">
          <wp:extent cx="5612130" cy="435610"/>
          <wp:effectExtent l="0" t="0" r="7620" b="2540"/>
          <wp:docPr id="37" name="Imagen 37" descr="Papelería-Institucional---Plantilla"/>
          <wp:cNvGraphicFramePr/>
          <a:graphic xmlns:a="http://schemas.openxmlformats.org/drawingml/2006/main">
            <a:graphicData uri="http://schemas.openxmlformats.org/drawingml/2006/picture">
              <pic:pic xmlns:pic="http://schemas.openxmlformats.org/drawingml/2006/picture">
                <pic:nvPicPr>
                  <pic:cNvPr id="37" name="Imagen 37" descr="Papelería-Institucional---Plantilla"/>
                  <pic:cNvPicPr/>
                </pic:nvPicPr>
                <pic:blipFill rotWithShape="1">
                  <a:blip r:embed="rId1">
                    <a:extLst>
                      <a:ext uri="{28A0092B-C50C-407E-A947-70E740481C1C}">
                        <a14:useLocalDpi xmlns:a14="http://schemas.microsoft.com/office/drawing/2010/main" val="0"/>
                      </a:ext>
                    </a:extLst>
                  </a:blip>
                  <a:srcRect t="7901" b="86103"/>
                  <a:stretch/>
                </pic:blipFill>
                <pic:spPr bwMode="auto">
                  <a:xfrm>
                    <a:off x="0" y="0"/>
                    <a:ext cx="5612130" cy="4356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8C7C09"/>
    <w:multiLevelType w:val="hybridMultilevel"/>
    <w:tmpl w:val="6C1AB32C"/>
    <w:lvl w:ilvl="0" w:tplc="3C10A3B2">
      <w:start w:val="1"/>
      <w:numFmt w:val="bullet"/>
      <w:lvlText w:val="-"/>
      <w:lvlJc w:val="left"/>
      <w:pPr>
        <w:ind w:left="720" w:hanging="360"/>
      </w:pPr>
      <w:rPr>
        <w:rFonts w:ascii="Arial" w:eastAsia="MS Mincho"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5"/>
  </w:num>
  <w:num w:numId="5">
    <w:abstractNumId w:val="0"/>
  </w:num>
  <w:num w:numId="6">
    <w:abstractNumId w:val="6"/>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73A1F"/>
    <w:rsid w:val="000877D1"/>
    <w:rsid w:val="0011263A"/>
    <w:rsid w:val="00120D0B"/>
    <w:rsid w:val="001339E2"/>
    <w:rsid w:val="0013472A"/>
    <w:rsid w:val="00153C65"/>
    <w:rsid w:val="00165C4F"/>
    <w:rsid w:val="00184875"/>
    <w:rsid w:val="001976D2"/>
    <w:rsid w:val="001F7009"/>
    <w:rsid w:val="0022264A"/>
    <w:rsid w:val="0024487B"/>
    <w:rsid w:val="002A6351"/>
    <w:rsid w:val="002B2E03"/>
    <w:rsid w:val="002C4777"/>
    <w:rsid w:val="0033289D"/>
    <w:rsid w:val="0034312A"/>
    <w:rsid w:val="003B4DD5"/>
    <w:rsid w:val="003C6D25"/>
    <w:rsid w:val="003D798F"/>
    <w:rsid w:val="003E632D"/>
    <w:rsid w:val="003F1A90"/>
    <w:rsid w:val="00410C94"/>
    <w:rsid w:val="004119CD"/>
    <w:rsid w:val="00437D35"/>
    <w:rsid w:val="0044344C"/>
    <w:rsid w:val="00452CAE"/>
    <w:rsid w:val="00472DB8"/>
    <w:rsid w:val="00473B82"/>
    <w:rsid w:val="00474CB1"/>
    <w:rsid w:val="00475D44"/>
    <w:rsid w:val="0049387A"/>
    <w:rsid w:val="004A2D09"/>
    <w:rsid w:val="004B16C1"/>
    <w:rsid w:val="004E432F"/>
    <w:rsid w:val="004E7B18"/>
    <w:rsid w:val="00504C0C"/>
    <w:rsid w:val="005119A7"/>
    <w:rsid w:val="00511F40"/>
    <w:rsid w:val="00557242"/>
    <w:rsid w:val="00561999"/>
    <w:rsid w:val="005B2D9A"/>
    <w:rsid w:val="005C6301"/>
    <w:rsid w:val="005E1133"/>
    <w:rsid w:val="006236B3"/>
    <w:rsid w:val="006252FE"/>
    <w:rsid w:val="00625FC7"/>
    <w:rsid w:val="0063188F"/>
    <w:rsid w:val="00652E33"/>
    <w:rsid w:val="006701D8"/>
    <w:rsid w:val="00687E5C"/>
    <w:rsid w:val="006A29E0"/>
    <w:rsid w:val="006C2B4A"/>
    <w:rsid w:val="006E18DB"/>
    <w:rsid w:val="00700DAA"/>
    <w:rsid w:val="00702037"/>
    <w:rsid w:val="00736096"/>
    <w:rsid w:val="00746951"/>
    <w:rsid w:val="00774DC9"/>
    <w:rsid w:val="007760F2"/>
    <w:rsid w:val="007D7427"/>
    <w:rsid w:val="00804184"/>
    <w:rsid w:val="008540DC"/>
    <w:rsid w:val="00862A45"/>
    <w:rsid w:val="00870E09"/>
    <w:rsid w:val="00872BB5"/>
    <w:rsid w:val="00874628"/>
    <w:rsid w:val="00893EBC"/>
    <w:rsid w:val="008A0267"/>
    <w:rsid w:val="008A2D0E"/>
    <w:rsid w:val="008C234E"/>
    <w:rsid w:val="008C705B"/>
    <w:rsid w:val="00931D87"/>
    <w:rsid w:val="0097586E"/>
    <w:rsid w:val="00996E4F"/>
    <w:rsid w:val="009A14D9"/>
    <w:rsid w:val="009B361A"/>
    <w:rsid w:val="009C57BA"/>
    <w:rsid w:val="009F1853"/>
    <w:rsid w:val="00A070FD"/>
    <w:rsid w:val="00A13D52"/>
    <w:rsid w:val="00A15DB4"/>
    <w:rsid w:val="00A45C91"/>
    <w:rsid w:val="00A65459"/>
    <w:rsid w:val="00A82889"/>
    <w:rsid w:val="00AD0830"/>
    <w:rsid w:val="00B038F3"/>
    <w:rsid w:val="00B12358"/>
    <w:rsid w:val="00B22F0D"/>
    <w:rsid w:val="00B44184"/>
    <w:rsid w:val="00B51957"/>
    <w:rsid w:val="00B55E28"/>
    <w:rsid w:val="00B74688"/>
    <w:rsid w:val="00B7605D"/>
    <w:rsid w:val="00BB5205"/>
    <w:rsid w:val="00BC1762"/>
    <w:rsid w:val="00BD357D"/>
    <w:rsid w:val="00BE440E"/>
    <w:rsid w:val="00C01FE5"/>
    <w:rsid w:val="00C30590"/>
    <w:rsid w:val="00C447A9"/>
    <w:rsid w:val="00C668DD"/>
    <w:rsid w:val="00C9205E"/>
    <w:rsid w:val="00CA5028"/>
    <w:rsid w:val="00CA7B53"/>
    <w:rsid w:val="00CB4A2C"/>
    <w:rsid w:val="00CD63E3"/>
    <w:rsid w:val="00CE1A3B"/>
    <w:rsid w:val="00D05662"/>
    <w:rsid w:val="00D2162C"/>
    <w:rsid w:val="00D45F04"/>
    <w:rsid w:val="00D62145"/>
    <w:rsid w:val="00D84032"/>
    <w:rsid w:val="00DA0548"/>
    <w:rsid w:val="00DC25D3"/>
    <w:rsid w:val="00DD3C5C"/>
    <w:rsid w:val="00DD4C14"/>
    <w:rsid w:val="00DF13EB"/>
    <w:rsid w:val="00E543C2"/>
    <w:rsid w:val="00E61E67"/>
    <w:rsid w:val="00E81E8B"/>
    <w:rsid w:val="00E962A5"/>
    <w:rsid w:val="00E97BFD"/>
    <w:rsid w:val="00EB0AEE"/>
    <w:rsid w:val="00EB5584"/>
    <w:rsid w:val="00ED750B"/>
    <w:rsid w:val="00EE231F"/>
    <w:rsid w:val="00EF523B"/>
    <w:rsid w:val="00EF71AC"/>
    <w:rsid w:val="00F01F75"/>
    <w:rsid w:val="00F04D0A"/>
    <w:rsid w:val="00F12AF4"/>
    <w:rsid w:val="00F17232"/>
    <w:rsid w:val="00F229AE"/>
    <w:rsid w:val="00F267C1"/>
    <w:rsid w:val="00F65748"/>
    <w:rsid w:val="00F71345"/>
    <w:rsid w:val="00F970D0"/>
    <w:rsid w:val="00FB58C7"/>
    <w:rsid w:val="00FC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7E6B5-9D99-4F31-84DE-5224556A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Textonotapie">
    <w:name w:val="footnote text"/>
    <w:basedOn w:val="Normal"/>
    <w:link w:val="TextonotapieCar"/>
    <w:uiPriority w:val="99"/>
    <w:semiHidden/>
    <w:unhideWhenUsed/>
    <w:rsid w:val="00165C4F"/>
    <w:rPr>
      <w:rFonts w:asciiTheme="minorHAnsi" w:eastAsiaTheme="minorEastAsia" w:hAnsiTheme="minorHAnsi"/>
      <w:sz w:val="20"/>
      <w:szCs w:val="20"/>
      <w:lang w:val="es-CO" w:eastAsia="es-CO"/>
    </w:rPr>
  </w:style>
  <w:style w:type="character" w:customStyle="1" w:styleId="TextonotapieCar">
    <w:name w:val="Texto nota pie Car"/>
    <w:basedOn w:val="Fuentedeprrafopredeter"/>
    <w:link w:val="Textonotapie"/>
    <w:uiPriority w:val="99"/>
    <w:semiHidden/>
    <w:rsid w:val="00165C4F"/>
    <w:rPr>
      <w:rFonts w:eastAsiaTheme="minorEastAsia" w:cs="Times New Roman"/>
      <w:sz w:val="20"/>
      <w:szCs w:val="20"/>
      <w:lang w:eastAsia="es-CO"/>
    </w:rPr>
  </w:style>
  <w:style w:type="paragraph" w:styleId="Textocomentario">
    <w:name w:val="annotation text"/>
    <w:basedOn w:val="Normal"/>
    <w:link w:val="TextocomentarioCar"/>
    <w:uiPriority w:val="99"/>
    <w:unhideWhenUsed/>
    <w:rsid w:val="00165C4F"/>
    <w:rPr>
      <w:rFonts w:eastAsia="Times New Roman"/>
      <w:sz w:val="20"/>
      <w:szCs w:val="20"/>
      <w:lang w:val="es-CO" w:eastAsia="en-US"/>
    </w:rPr>
  </w:style>
  <w:style w:type="character" w:customStyle="1" w:styleId="TextocomentarioCar">
    <w:name w:val="Texto comentario Car"/>
    <w:basedOn w:val="Fuentedeprrafopredeter"/>
    <w:link w:val="Textocomentario"/>
    <w:uiPriority w:val="99"/>
    <w:rsid w:val="00165C4F"/>
    <w:rPr>
      <w:rFonts w:ascii="Times New Roman" w:eastAsia="Times New Roman" w:hAnsi="Times New Roman" w:cs="Times New Roman"/>
      <w:sz w:val="20"/>
      <w:szCs w:val="20"/>
    </w:rPr>
  </w:style>
  <w:style w:type="paragraph" w:styleId="Sinespaciado">
    <w:name w:val="No Spacing"/>
    <w:uiPriority w:val="1"/>
    <w:qFormat/>
    <w:rsid w:val="00165C4F"/>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165C4F"/>
    <w:rPr>
      <w:rFonts w:ascii="Times New Roman" w:eastAsia="MS Mincho" w:hAnsi="Times New Roman" w:cs="Times New Roman"/>
      <w:sz w:val="24"/>
      <w:szCs w:val="24"/>
      <w:lang w:val="es-ES" w:eastAsia="es-ES"/>
    </w:rPr>
  </w:style>
  <w:style w:type="character" w:customStyle="1" w:styleId="EncabezadoDocCar">
    <w:name w:val="EncabezadoDoc Car"/>
    <w:basedOn w:val="Fuentedeprrafopredeter"/>
    <w:link w:val="EncabezadoDoc"/>
    <w:semiHidden/>
    <w:locked/>
    <w:rsid w:val="00165C4F"/>
    <w:rPr>
      <w:rFonts w:ascii="Arial" w:eastAsia="MS Mincho" w:hAnsi="Arial" w:cs="Arial"/>
      <w:b/>
      <w:lang w:val="es-ES" w:eastAsia="es-ES"/>
    </w:rPr>
  </w:style>
  <w:style w:type="paragraph" w:customStyle="1" w:styleId="EncabezadoDoc">
    <w:name w:val="EncabezadoDoc"/>
    <w:basedOn w:val="Normal"/>
    <w:link w:val="EncabezadoDocCar"/>
    <w:semiHidden/>
    <w:qFormat/>
    <w:rsid w:val="00165C4F"/>
    <w:pPr>
      <w:keepNext/>
      <w:keepLines/>
      <w:jc w:val="center"/>
    </w:pPr>
    <w:rPr>
      <w:rFonts w:ascii="Arial" w:hAnsi="Arial" w:cs="Arial"/>
      <w:b/>
      <w:sz w:val="22"/>
      <w:szCs w:val="22"/>
    </w:rPr>
  </w:style>
  <w:style w:type="paragraph" w:customStyle="1" w:styleId="Default">
    <w:name w:val="Default"/>
    <w:rsid w:val="00165C4F"/>
    <w:pPr>
      <w:autoSpaceDE w:val="0"/>
      <w:autoSpaceDN w:val="0"/>
      <w:adjustRightInd w:val="0"/>
    </w:pPr>
    <w:rPr>
      <w:rFonts w:ascii="Arial" w:hAnsi="Arial" w:cs="Arial"/>
      <w:color w:val="000000"/>
      <w:sz w:val="24"/>
      <w:szCs w:val="24"/>
    </w:rPr>
  </w:style>
  <w:style w:type="character" w:styleId="Refdenotaalpie">
    <w:name w:val="footnote reference"/>
    <w:basedOn w:val="Fuentedeprrafopredeter"/>
    <w:uiPriority w:val="99"/>
    <w:semiHidden/>
    <w:unhideWhenUsed/>
    <w:rsid w:val="00165C4F"/>
    <w:rPr>
      <w:vertAlign w:val="superscript"/>
    </w:rPr>
  </w:style>
  <w:style w:type="character" w:styleId="Refdecomentario">
    <w:name w:val="annotation reference"/>
    <w:basedOn w:val="Fuentedeprrafopredeter"/>
    <w:uiPriority w:val="99"/>
    <w:semiHidden/>
    <w:unhideWhenUsed/>
    <w:rsid w:val="00165C4F"/>
    <w:rPr>
      <w:sz w:val="16"/>
      <w:szCs w:val="16"/>
    </w:rPr>
  </w:style>
  <w:style w:type="paragraph" w:styleId="Asuntodelcomentario">
    <w:name w:val="annotation subject"/>
    <w:basedOn w:val="Textocomentario"/>
    <w:next w:val="Textocomentario"/>
    <w:link w:val="AsuntodelcomentarioCar"/>
    <w:uiPriority w:val="99"/>
    <w:semiHidden/>
    <w:unhideWhenUsed/>
    <w:rsid w:val="00872BB5"/>
    <w:rPr>
      <w:rFonts w:eastAsia="MS Mincho"/>
      <w:b/>
      <w:bCs/>
      <w:lang w:val="es-ES" w:eastAsia="es-ES"/>
    </w:rPr>
  </w:style>
  <w:style w:type="character" w:customStyle="1" w:styleId="AsuntodelcomentarioCar">
    <w:name w:val="Asunto del comentario Car"/>
    <w:basedOn w:val="TextocomentarioCar"/>
    <w:link w:val="Asuntodelcomentario"/>
    <w:uiPriority w:val="99"/>
    <w:semiHidden/>
    <w:rsid w:val="00872BB5"/>
    <w:rPr>
      <w:rFonts w:ascii="Times New Roman" w:eastAsia="MS Mincho"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746951"/>
    <w:rPr>
      <w:color w:val="800080" w:themeColor="followedHyperlink"/>
      <w:u w:val="single"/>
    </w:rPr>
  </w:style>
  <w:style w:type="paragraph" w:customStyle="1" w:styleId="msonormal0">
    <w:name w:val="msonormal"/>
    <w:basedOn w:val="Normal"/>
    <w:rsid w:val="00746951"/>
    <w:pPr>
      <w:spacing w:before="100" w:beforeAutospacing="1" w:after="100" w:afterAutospacing="1"/>
    </w:pPr>
    <w:rPr>
      <w:rFonts w:eastAsia="Times New Roman"/>
      <w:lang w:val="es-CO" w:eastAsia="es-CO"/>
    </w:rPr>
  </w:style>
  <w:style w:type="character" w:customStyle="1" w:styleId="SubttuloCar1">
    <w:name w:val="Subtítulo Car1"/>
    <w:aliases w:val="Tablas Car1"/>
    <w:basedOn w:val="Fuentedeprrafopredeter"/>
    <w:uiPriority w:val="11"/>
    <w:rsid w:val="00746951"/>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26610">
      <w:bodyDiv w:val="1"/>
      <w:marLeft w:val="0"/>
      <w:marRight w:val="0"/>
      <w:marTop w:val="0"/>
      <w:marBottom w:val="0"/>
      <w:divBdr>
        <w:top w:val="none" w:sz="0" w:space="0" w:color="auto"/>
        <w:left w:val="none" w:sz="0" w:space="0" w:color="auto"/>
        <w:bottom w:val="none" w:sz="0" w:space="0" w:color="auto"/>
        <w:right w:val="none" w:sz="0" w:space="0" w:color="auto"/>
      </w:divBdr>
      <w:divsChild>
        <w:div w:id="1233078449">
          <w:marLeft w:val="0"/>
          <w:marRight w:val="0"/>
          <w:marTop w:val="0"/>
          <w:marBottom w:val="0"/>
          <w:divBdr>
            <w:top w:val="none" w:sz="0" w:space="0" w:color="auto"/>
            <w:left w:val="none" w:sz="0" w:space="0" w:color="auto"/>
            <w:bottom w:val="none" w:sz="0" w:space="0" w:color="auto"/>
            <w:right w:val="none" w:sz="0" w:space="0" w:color="auto"/>
          </w:divBdr>
          <w:divsChild>
            <w:div w:id="851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352">
      <w:bodyDiv w:val="1"/>
      <w:marLeft w:val="0"/>
      <w:marRight w:val="0"/>
      <w:marTop w:val="0"/>
      <w:marBottom w:val="0"/>
      <w:divBdr>
        <w:top w:val="none" w:sz="0" w:space="0" w:color="auto"/>
        <w:left w:val="none" w:sz="0" w:space="0" w:color="auto"/>
        <w:bottom w:val="none" w:sz="0" w:space="0" w:color="auto"/>
        <w:right w:val="none" w:sz="0" w:space="0" w:color="auto"/>
      </w:divBdr>
    </w:div>
    <w:div w:id="2032144173">
      <w:bodyDiv w:val="1"/>
      <w:marLeft w:val="0"/>
      <w:marRight w:val="0"/>
      <w:marTop w:val="0"/>
      <w:marBottom w:val="0"/>
      <w:divBdr>
        <w:top w:val="none" w:sz="0" w:space="0" w:color="auto"/>
        <w:left w:val="none" w:sz="0" w:space="0" w:color="auto"/>
        <w:bottom w:val="none" w:sz="0" w:space="0" w:color="auto"/>
        <w:right w:val="none" w:sz="0" w:space="0" w:color="auto"/>
      </w:divBdr>
    </w:div>
    <w:div w:id="203268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EEAF1-A12A-4948-A987-D3487DF5EF76}"/>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5.xml><?xml version="1.0" encoding="utf-8"?>
<ds:datastoreItem xmlns:ds="http://schemas.openxmlformats.org/officeDocument/2006/customXml" ds:itemID="{927CA9A7-07CD-4E6C-A5EC-417951B3E02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24</Pages>
  <Words>10789</Words>
  <Characters>59345</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69995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2022-06-18T15:36:00Z</dcterms:created>
  <dcterms:modified xsi:type="dcterms:W3CDTF">2022-06-18T15:36:00Z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