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61BB" w14:textId="77777777" w:rsidR="00BA3CB2" w:rsidRDefault="00BA3CB2" w:rsidP="00505A5F">
      <w:pPr>
        <w:rPr>
          <w:rFonts w:ascii="Verdana" w:hAnsi="Verdana"/>
          <w:sz w:val="16"/>
          <w:szCs w:val="16"/>
        </w:rPr>
      </w:pPr>
    </w:p>
    <w:p w14:paraId="126830EE" w14:textId="77777777" w:rsidR="00BA3CB2" w:rsidRDefault="00BA3CB2" w:rsidP="00505A5F">
      <w:pPr>
        <w:rPr>
          <w:rFonts w:ascii="Verdana" w:hAnsi="Verdana"/>
          <w:sz w:val="16"/>
          <w:szCs w:val="16"/>
        </w:rPr>
      </w:pPr>
    </w:p>
    <w:p w14:paraId="4229E6D0" w14:textId="77777777" w:rsidR="00BA3CB2" w:rsidRDefault="00BA3CB2" w:rsidP="00505A5F">
      <w:pPr>
        <w:rPr>
          <w:rFonts w:ascii="Verdana" w:hAnsi="Verdana"/>
          <w:sz w:val="16"/>
          <w:szCs w:val="16"/>
        </w:rPr>
      </w:pPr>
    </w:p>
    <w:p w14:paraId="5C8896EC" w14:textId="77777777" w:rsidR="00BA3CB2" w:rsidRDefault="00BA3CB2" w:rsidP="00BA3CB2">
      <w:pPr>
        <w:pStyle w:val="Sinespaciado"/>
        <w:jc w:val="center"/>
        <w:rPr>
          <w:rFonts w:ascii="Verdana" w:hAnsi="Verdana" w:cs="Arial"/>
          <w:b/>
        </w:rPr>
      </w:pPr>
      <w:r>
        <w:rPr>
          <w:rFonts w:ascii="Verdana" w:hAnsi="Verdana" w:cs="Arial"/>
          <w:b/>
        </w:rPr>
        <w:t>INFORME DE SEGUIMIENTO</w:t>
      </w:r>
    </w:p>
    <w:p w14:paraId="7F12C202" w14:textId="77777777" w:rsidR="00BA3CB2" w:rsidRDefault="00BA3CB2" w:rsidP="00BA3CB2">
      <w:pPr>
        <w:pStyle w:val="Sinespaciado"/>
        <w:jc w:val="center"/>
        <w:rPr>
          <w:rFonts w:ascii="Verdana" w:hAnsi="Verdana" w:cs="Arial"/>
          <w:b/>
        </w:rPr>
      </w:pPr>
    </w:p>
    <w:p w14:paraId="0DA9C49C" w14:textId="77777777" w:rsidR="00BA3CB2" w:rsidRDefault="00BA3CB2" w:rsidP="00BA3CB2">
      <w:pPr>
        <w:pStyle w:val="Sinespaciado"/>
        <w:jc w:val="center"/>
        <w:rPr>
          <w:rFonts w:ascii="Verdana" w:hAnsi="Verdana" w:cs="Arial"/>
          <w:b/>
        </w:rPr>
      </w:pPr>
      <w:r>
        <w:rPr>
          <w:rFonts w:ascii="Verdana" w:hAnsi="Verdana" w:cs="Arial"/>
          <w:b/>
        </w:rPr>
        <w:t>TABLA 1. Expediente E.T.</w:t>
      </w:r>
    </w:p>
    <w:tbl>
      <w:tblPr>
        <w:tblStyle w:val="Tablaconcuadrcula"/>
        <w:tblW w:w="6534" w:type="dxa"/>
        <w:jc w:val="center"/>
        <w:tblBorders>
          <w:insideH w:val="single" w:sz="6" w:space="0" w:color="auto"/>
          <w:insideV w:val="single" w:sz="6" w:space="0" w:color="auto"/>
        </w:tblBorders>
        <w:tblLook w:val="04A0" w:firstRow="1" w:lastRow="0" w:firstColumn="1" w:lastColumn="0" w:noHBand="0" w:noVBand="1"/>
      </w:tblPr>
      <w:tblGrid>
        <w:gridCol w:w="1859"/>
        <w:gridCol w:w="4675"/>
      </w:tblGrid>
      <w:tr w:rsidR="00BA3CB2" w14:paraId="75D457F6" w14:textId="77777777" w:rsidTr="00BA3CB2">
        <w:trPr>
          <w:trHeight w:val="281"/>
          <w:jc w:val="center"/>
        </w:trPr>
        <w:tc>
          <w:tcPr>
            <w:tcW w:w="1859" w:type="dxa"/>
            <w:tcBorders>
              <w:top w:val="single" w:sz="4" w:space="0" w:color="auto"/>
              <w:left w:val="single" w:sz="4" w:space="0" w:color="auto"/>
              <w:bottom w:val="single" w:sz="6" w:space="0" w:color="auto"/>
              <w:right w:val="single" w:sz="6" w:space="0" w:color="auto"/>
            </w:tcBorders>
            <w:hideMark/>
          </w:tcPr>
          <w:p w14:paraId="44E84E24" w14:textId="77777777" w:rsidR="00BA3CB2" w:rsidRDefault="00BA3CB2">
            <w:pPr>
              <w:rPr>
                <w:rFonts w:ascii="Verdana" w:hAnsi="Verdana" w:cs="Arial"/>
                <w:i/>
                <w:sz w:val="22"/>
                <w:szCs w:val="22"/>
                <w:lang w:val="es-ES_tradnl"/>
              </w:rPr>
            </w:pPr>
            <w:r>
              <w:rPr>
                <w:rFonts w:ascii="Verdana" w:hAnsi="Verdana" w:cs="Arial"/>
                <w:bCs/>
                <w:i/>
                <w:sz w:val="22"/>
                <w:szCs w:val="22"/>
                <w:lang w:val="es-ES_tradnl"/>
              </w:rPr>
              <w:t>Número de Expediente</w:t>
            </w:r>
          </w:p>
        </w:tc>
        <w:tc>
          <w:tcPr>
            <w:tcW w:w="4675" w:type="dxa"/>
            <w:tcBorders>
              <w:top w:val="single" w:sz="4" w:space="0" w:color="auto"/>
              <w:left w:val="single" w:sz="6" w:space="0" w:color="auto"/>
              <w:bottom w:val="single" w:sz="6" w:space="0" w:color="auto"/>
              <w:right w:val="single" w:sz="4" w:space="0" w:color="auto"/>
            </w:tcBorders>
            <w:hideMark/>
          </w:tcPr>
          <w:p w14:paraId="1F0AA122" w14:textId="77777777" w:rsidR="00BA3CB2" w:rsidRDefault="00BA3CB2">
            <w:pPr>
              <w:rPr>
                <w:rFonts w:ascii="Verdana" w:hAnsi="Verdana" w:cs="Arial"/>
                <w:b/>
                <w:bCs/>
                <w:sz w:val="22"/>
                <w:szCs w:val="22"/>
                <w:lang w:val="es-ES_tradnl"/>
              </w:rPr>
            </w:pPr>
            <w:r>
              <w:rPr>
                <w:rFonts w:ascii="Verdana" w:hAnsi="Verdana" w:cs="Arial"/>
                <w:b/>
                <w:bCs/>
                <w:sz w:val="22"/>
                <w:szCs w:val="22"/>
                <w:lang w:val="es-ES_tradnl"/>
              </w:rPr>
              <w:t>14/2020/D028-PREDI</w:t>
            </w:r>
          </w:p>
        </w:tc>
      </w:tr>
      <w:tr w:rsidR="00BA3CB2" w14:paraId="0D2B90C7" w14:textId="77777777" w:rsidTr="00BA3CB2">
        <w:trPr>
          <w:trHeight w:val="281"/>
          <w:jc w:val="center"/>
        </w:trPr>
        <w:tc>
          <w:tcPr>
            <w:tcW w:w="1859" w:type="dxa"/>
            <w:tcBorders>
              <w:top w:val="single" w:sz="6" w:space="0" w:color="auto"/>
              <w:left w:val="single" w:sz="4" w:space="0" w:color="auto"/>
              <w:bottom w:val="single" w:sz="6" w:space="0" w:color="auto"/>
              <w:right w:val="single" w:sz="6" w:space="0" w:color="auto"/>
            </w:tcBorders>
            <w:hideMark/>
          </w:tcPr>
          <w:p w14:paraId="6E3F6490" w14:textId="77777777" w:rsidR="00BA3CB2" w:rsidRDefault="00BA3CB2">
            <w:pPr>
              <w:rPr>
                <w:rFonts w:ascii="Verdana" w:hAnsi="Verdana" w:cs="Arial"/>
                <w:bCs/>
                <w:i/>
                <w:sz w:val="22"/>
                <w:szCs w:val="22"/>
                <w:lang w:val="es-ES_tradnl"/>
              </w:rPr>
            </w:pPr>
            <w:r>
              <w:rPr>
                <w:rFonts w:ascii="Verdana" w:hAnsi="Verdana" w:cs="Arial"/>
                <w:bCs/>
                <w:i/>
                <w:sz w:val="22"/>
                <w:szCs w:val="22"/>
                <w:lang w:val="es-ES_tradnl"/>
              </w:rPr>
              <w:t>Sector</w:t>
            </w:r>
          </w:p>
        </w:tc>
        <w:tc>
          <w:tcPr>
            <w:tcW w:w="4675" w:type="dxa"/>
            <w:tcBorders>
              <w:top w:val="single" w:sz="6" w:space="0" w:color="auto"/>
              <w:left w:val="single" w:sz="6" w:space="0" w:color="auto"/>
              <w:bottom w:val="single" w:sz="6" w:space="0" w:color="auto"/>
              <w:right w:val="single" w:sz="4" w:space="0" w:color="auto"/>
            </w:tcBorders>
            <w:hideMark/>
          </w:tcPr>
          <w:p w14:paraId="1101CD3E" w14:textId="77777777" w:rsidR="00BA3CB2" w:rsidRDefault="00BA3CB2">
            <w:pPr>
              <w:rPr>
                <w:rFonts w:ascii="Verdana" w:hAnsi="Verdana" w:cs="Arial"/>
                <w:b/>
                <w:bCs/>
                <w:sz w:val="22"/>
                <w:szCs w:val="22"/>
                <w:lang w:val="es-ES_tradnl"/>
              </w:rPr>
            </w:pPr>
            <w:r>
              <w:rPr>
                <w:rFonts w:ascii="Verdana" w:hAnsi="Verdana" w:cs="Arial"/>
                <w:b/>
                <w:bCs/>
                <w:sz w:val="22"/>
                <w:szCs w:val="22"/>
                <w:lang w:val="es-ES_tradnl"/>
              </w:rPr>
              <w:t xml:space="preserve">Agua Potable y Saneamiento Básico </w:t>
            </w:r>
          </w:p>
        </w:tc>
      </w:tr>
      <w:tr w:rsidR="00BA3CB2" w14:paraId="108A545B" w14:textId="77777777" w:rsidTr="00BA3CB2">
        <w:trPr>
          <w:trHeight w:val="305"/>
          <w:jc w:val="center"/>
        </w:trPr>
        <w:tc>
          <w:tcPr>
            <w:tcW w:w="1859" w:type="dxa"/>
            <w:tcBorders>
              <w:top w:val="single" w:sz="6" w:space="0" w:color="auto"/>
              <w:left w:val="single" w:sz="4" w:space="0" w:color="auto"/>
              <w:bottom w:val="single" w:sz="6" w:space="0" w:color="auto"/>
              <w:right w:val="single" w:sz="6" w:space="0" w:color="auto"/>
            </w:tcBorders>
            <w:hideMark/>
          </w:tcPr>
          <w:p w14:paraId="5B5DE02F" w14:textId="77777777" w:rsidR="00BA3CB2" w:rsidRDefault="00BA3CB2">
            <w:pPr>
              <w:rPr>
                <w:rFonts w:ascii="Verdana" w:hAnsi="Verdana" w:cs="Arial"/>
                <w:bCs/>
                <w:i/>
                <w:sz w:val="22"/>
                <w:szCs w:val="22"/>
                <w:lang w:val="es-ES_tradnl"/>
              </w:rPr>
            </w:pPr>
            <w:r>
              <w:rPr>
                <w:rFonts w:ascii="Verdana" w:hAnsi="Verdana" w:cs="Arial"/>
                <w:bCs/>
                <w:i/>
                <w:sz w:val="22"/>
                <w:szCs w:val="22"/>
                <w:lang w:val="es-ES_tradnl"/>
              </w:rPr>
              <w:t>Tipo de Entidad</w:t>
            </w:r>
          </w:p>
        </w:tc>
        <w:tc>
          <w:tcPr>
            <w:tcW w:w="4675" w:type="dxa"/>
            <w:tcBorders>
              <w:top w:val="single" w:sz="6" w:space="0" w:color="auto"/>
              <w:left w:val="single" w:sz="6" w:space="0" w:color="auto"/>
              <w:bottom w:val="single" w:sz="6" w:space="0" w:color="auto"/>
              <w:right w:val="single" w:sz="4" w:space="0" w:color="auto"/>
            </w:tcBorders>
            <w:hideMark/>
          </w:tcPr>
          <w:p w14:paraId="3B6E4643" w14:textId="77777777" w:rsidR="00BA3CB2" w:rsidRDefault="00BA3CB2">
            <w:pPr>
              <w:jc w:val="both"/>
              <w:rPr>
                <w:rFonts w:ascii="Verdana" w:hAnsi="Verdana" w:cs="Arial"/>
                <w:sz w:val="22"/>
                <w:szCs w:val="22"/>
                <w:lang w:val="es-ES_tradnl"/>
              </w:rPr>
            </w:pPr>
            <w:r>
              <w:rPr>
                <w:rFonts w:ascii="Verdana" w:hAnsi="Verdana" w:cs="Arial"/>
                <w:sz w:val="22"/>
                <w:szCs w:val="22"/>
                <w:lang w:val="es-ES_tradnl"/>
              </w:rPr>
              <w:t>Departamento</w:t>
            </w:r>
          </w:p>
        </w:tc>
      </w:tr>
      <w:tr w:rsidR="00BA3CB2" w14:paraId="7CA3DC60" w14:textId="77777777" w:rsidTr="00BA3CB2">
        <w:trPr>
          <w:trHeight w:val="281"/>
          <w:jc w:val="center"/>
        </w:trPr>
        <w:tc>
          <w:tcPr>
            <w:tcW w:w="1859" w:type="dxa"/>
            <w:tcBorders>
              <w:top w:val="single" w:sz="6" w:space="0" w:color="auto"/>
              <w:left w:val="single" w:sz="4" w:space="0" w:color="auto"/>
              <w:bottom w:val="single" w:sz="4" w:space="0" w:color="auto"/>
              <w:right w:val="single" w:sz="6" w:space="0" w:color="auto"/>
            </w:tcBorders>
            <w:hideMark/>
          </w:tcPr>
          <w:p w14:paraId="25D2DCA2" w14:textId="77777777" w:rsidR="00BA3CB2" w:rsidRDefault="00BA3CB2">
            <w:pPr>
              <w:rPr>
                <w:rFonts w:ascii="Verdana" w:hAnsi="Verdana" w:cs="Arial"/>
                <w:bCs/>
                <w:i/>
                <w:sz w:val="22"/>
                <w:szCs w:val="22"/>
                <w:lang w:val="es-ES_tradnl"/>
              </w:rPr>
            </w:pPr>
            <w:r>
              <w:rPr>
                <w:rFonts w:ascii="Verdana" w:hAnsi="Verdana" w:cs="Arial"/>
                <w:bCs/>
                <w:i/>
                <w:sz w:val="22"/>
                <w:szCs w:val="22"/>
                <w:lang w:val="es-ES_tradnl"/>
              </w:rPr>
              <w:t>Entidad</w:t>
            </w:r>
          </w:p>
        </w:tc>
        <w:tc>
          <w:tcPr>
            <w:tcW w:w="4675" w:type="dxa"/>
            <w:tcBorders>
              <w:top w:val="single" w:sz="6" w:space="0" w:color="auto"/>
              <w:left w:val="single" w:sz="6" w:space="0" w:color="auto"/>
              <w:bottom w:val="single" w:sz="4" w:space="0" w:color="auto"/>
              <w:right w:val="single" w:sz="4" w:space="0" w:color="auto"/>
            </w:tcBorders>
            <w:hideMark/>
          </w:tcPr>
          <w:p w14:paraId="256707D2" w14:textId="77777777" w:rsidR="00BA3CB2" w:rsidRDefault="00BA3CB2">
            <w:pPr>
              <w:jc w:val="both"/>
              <w:rPr>
                <w:rFonts w:ascii="Verdana" w:hAnsi="Verdana" w:cs="Arial"/>
                <w:sz w:val="22"/>
                <w:szCs w:val="22"/>
                <w:lang w:val="es-ES_tradnl"/>
              </w:rPr>
            </w:pPr>
            <w:r>
              <w:rPr>
                <w:rFonts w:ascii="Verdana" w:hAnsi="Verdana" w:cs="Arial"/>
                <w:sz w:val="22"/>
                <w:szCs w:val="22"/>
                <w:lang w:val="es-ES_tradnl"/>
              </w:rPr>
              <w:t xml:space="preserve">Archipiélago de San Andrés, Providencia y Santa Catalina   </w:t>
            </w:r>
          </w:p>
        </w:tc>
      </w:tr>
    </w:tbl>
    <w:p w14:paraId="354A4DF4" w14:textId="77777777" w:rsidR="00BA3CB2" w:rsidRDefault="00BA3CB2" w:rsidP="00BA3CB2">
      <w:pPr>
        <w:pStyle w:val="Sinespaciado"/>
        <w:jc w:val="center"/>
        <w:rPr>
          <w:rFonts w:ascii="Verdana" w:hAnsi="Verdana" w:cs="Arial"/>
          <w:b/>
          <w:lang w:val="es-ES"/>
        </w:rPr>
      </w:pPr>
    </w:p>
    <w:p w14:paraId="7E9D65E0" w14:textId="77777777" w:rsidR="00BA3CB2" w:rsidRDefault="00BA3CB2" w:rsidP="00BA3CB2">
      <w:pPr>
        <w:jc w:val="both"/>
        <w:rPr>
          <w:rFonts w:ascii="Verdana" w:hAnsi="Verdana" w:cs="Arial"/>
          <w:sz w:val="22"/>
          <w:szCs w:val="22"/>
          <w:lang w:val="es-CO"/>
        </w:rPr>
      </w:pPr>
    </w:p>
    <w:p w14:paraId="775A3337" w14:textId="77777777" w:rsidR="00BA3CB2" w:rsidRDefault="00BA3CB2" w:rsidP="00BA3CB2">
      <w:pPr>
        <w:pStyle w:val="Ttulo1"/>
        <w:numPr>
          <w:ilvl w:val="0"/>
          <w:numId w:val="3"/>
        </w:numPr>
        <w:spacing w:before="0"/>
        <w:jc w:val="both"/>
        <w:rPr>
          <w:rFonts w:ascii="Verdana" w:hAnsi="Verdana" w:cs="Arial"/>
          <w:b/>
          <w:color w:val="auto"/>
          <w:sz w:val="22"/>
          <w:szCs w:val="22"/>
          <w:lang w:val="es-CO"/>
        </w:rPr>
      </w:pPr>
      <w:r>
        <w:rPr>
          <w:rFonts w:ascii="Verdana" w:hAnsi="Verdana" w:cs="Arial"/>
          <w:b/>
          <w:color w:val="auto"/>
          <w:sz w:val="22"/>
          <w:szCs w:val="22"/>
          <w:lang w:val="es-CO"/>
        </w:rPr>
        <w:t xml:space="preserve">ANTECEDENTES </w:t>
      </w:r>
    </w:p>
    <w:p w14:paraId="5A6BB419" w14:textId="77777777" w:rsidR="00BA3CB2" w:rsidRDefault="00BA3CB2" w:rsidP="00BA3CB2">
      <w:pPr>
        <w:jc w:val="both"/>
        <w:rPr>
          <w:rFonts w:ascii="Verdana" w:hAnsi="Verdana" w:cs="Arial"/>
          <w:sz w:val="22"/>
          <w:szCs w:val="22"/>
          <w:lang w:val="es-CO"/>
        </w:rPr>
      </w:pPr>
    </w:p>
    <w:p w14:paraId="70E90B4E" w14:textId="77777777" w:rsidR="00BA3CB2" w:rsidRDefault="00BA3CB2" w:rsidP="00BA3CB2">
      <w:pPr>
        <w:jc w:val="both"/>
        <w:rPr>
          <w:rFonts w:ascii="Verdana" w:hAnsi="Verdana" w:cs="Arial"/>
          <w:sz w:val="22"/>
          <w:szCs w:val="22"/>
          <w:lang w:val="es-CO"/>
        </w:rPr>
      </w:pPr>
    </w:p>
    <w:p w14:paraId="3763A294" w14:textId="77777777" w:rsidR="00BA3CB2" w:rsidRDefault="00BA3CB2" w:rsidP="00BA3CB2">
      <w:pPr>
        <w:jc w:val="both"/>
        <w:rPr>
          <w:rFonts w:ascii="Verdana" w:hAnsi="Verdana"/>
          <w:sz w:val="22"/>
          <w:szCs w:val="22"/>
        </w:rPr>
      </w:pPr>
      <w:r>
        <w:rPr>
          <w:rFonts w:ascii="Verdana" w:hAnsi="Verdana"/>
          <w:sz w:val="22"/>
          <w:szCs w:val="22"/>
        </w:rPr>
        <w:t>En ejercicio de las funciones establecidas en el Decreto 028 de 2008 y sus normas reglamentarias, la Dirección General de Apoyo Fiscal del Ministerio de Hacienda y Crédito Público, expidió la Resolución No. 714 del 23 de marzo de 2022, por medio de la cual ordenó la adopción de la Medida Preventiva de Plan de Desempeño en el Sector Agua Potable y Saneamiento Básico al Departamento Archipiélago de San Andrés y Providencia.</w:t>
      </w:r>
    </w:p>
    <w:p w14:paraId="0460C955" w14:textId="77777777" w:rsidR="00BA3CB2" w:rsidRDefault="00BA3CB2" w:rsidP="00BA3CB2">
      <w:pPr>
        <w:jc w:val="both"/>
        <w:rPr>
          <w:rFonts w:ascii="Verdana" w:hAnsi="Verdana"/>
          <w:sz w:val="22"/>
          <w:szCs w:val="22"/>
        </w:rPr>
      </w:pPr>
    </w:p>
    <w:p w14:paraId="101872E3" w14:textId="77777777" w:rsidR="00BA3CB2" w:rsidRDefault="00BA3CB2" w:rsidP="00BA3CB2">
      <w:pPr>
        <w:jc w:val="both"/>
        <w:rPr>
          <w:rFonts w:ascii="Verdana" w:hAnsi="Verdana"/>
          <w:sz w:val="22"/>
          <w:szCs w:val="22"/>
        </w:rPr>
      </w:pPr>
      <w:r>
        <w:rPr>
          <w:rFonts w:ascii="Verdana" w:hAnsi="Verdana"/>
          <w:sz w:val="22"/>
          <w:szCs w:val="22"/>
        </w:rPr>
        <w:t>En atención a lo dispuesto por el artículo 11 del Decreto 028 de 2008 y el inciso segundo del artículo 2.6.3.4.1.2. del Decreto 1068 de 2015, el señor Gobernador del Departamento Archipiélago de San Andrés y Providencia, presentó el Decreto 0216 del fecha 17 de mayo de 2022, “</w:t>
      </w:r>
      <w:r>
        <w:rPr>
          <w:rFonts w:ascii="Verdana" w:hAnsi="Verdana"/>
          <w:i/>
          <w:iCs/>
          <w:sz w:val="22"/>
          <w:szCs w:val="22"/>
        </w:rPr>
        <w:t>Por medio del cual se adoptó el Plan de Desempeño en el Sector de Agua Potable y Saneamiento Básico presentado por el Departamento Archipiélago de San Andrés y Providencia, en cumplimiento de la medida preventiva de Plan de Desempeño, impuesta mediante resolución 0714 de fecha 23 de marzo de 2022, por la cual se ordena la adopción de la medida preventiva de plan de desempeño en el sector de Agua Potable y Saneamiento Básico al Departamento Archipiélago de San Andrés y Providencia, de acuerdo con el artículo 11 del Decreto 028 de 2008 y los artículos 2.6.3.4.1. y 2.6.3.4.1.1. del Decreto 028 1068 de 2015, de la Dirección General de Apoyo Fiscal del Ministerio de Hacienda y Crédito Público en aplicación del Decreto 028 de 2008”,</w:t>
      </w:r>
      <w:r>
        <w:rPr>
          <w:rFonts w:ascii="Verdana" w:hAnsi="Verdana"/>
          <w:sz w:val="22"/>
          <w:szCs w:val="22"/>
        </w:rPr>
        <w:t xml:space="preserve"> mediante oficio de radicado No.1-2022-038096 del 18 de mayo de 2022.</w:t>
      </w:r>
    </w:p>
    <w:p w14:paraId="14FC1A00" w14:textId="77777777" w:rsidR="00BA3CB2" w:rsidRDefault="00BA3CB2" w:rsidP="00BA3CB2">
      <w:pPr>
        <w:jc w:val="both"/>
        <w:rPr>
          <w:rFonts w:ascii="Verdana" w:hAnsi="Verdana"/>
          <w:sz w:val="22"/>
          <w:szCs w:val="22"/>
        </w:rPr>
      </w:pPr>
    </w:p>
    <w:p w14:paraId="267E39EF" w14:textId="77777777" w:rsidR="00BA3CB2" w:rsidRDefault="00BA3CB2" w:rsidP="00BA3CB2">
      <w:pPr>
        <w:jc w:val="both"/>
        <w:rPr>
          <w:rFonts w:ascii="Verdana" w:hAnsi="Verdana"/>
          <w:sz w:val="22"/>
          <w:szCs w:val="22"/>
        </w:rPr>
      </w:pPr>
      <w:r>
        <w:rPr>
          <w:rFonts w:ascii="Verdana" w:hAnsi="Verdana"/>
          <w:sz w:val="22"/>
          <w:szCs w:val="22"/>
        </w:rPr>
        <w:t xml:space="preserve">El día 05 de julio de 2022 la DAF expidió la RESOLUCIÓN 1687 </w:t>
      </w:r>
      <w:r>
        <w:rPr>
          <w:rFonts w:ascii="Verdana" w:hAnsi="Verdana"/>
          <w:i/>
          <w:iCs/>
          <w:sz w:val="22"/>
          <w:szCs w:val="22"/>
        </w:rPr>
        <w:t xml:space="preserve">“por la cual se aprobó el Plan de Desempeño adoptado en el Sector de Agua Potable y </w:t>
      </w:r>
      <w:r>
        <w:rPr>
          <w:rFonts w:ascii="Verdana" w:hAnsi="Verdana"/>
          <w:i/>
          <w:iCs/>
          <w:sz w:val="22"/>
          <w:szCs w:val="22"/>
        </w:rPr>
        <w:lastRenderedPageBreak/>
        <w:t xml:space="preserve">Saneamiento Básico por el Departamento Archipiélago de San Andrés y Providencia mediante el Decreto 216 del 17 de mayo de 2022 y se designa su Coordinador, de acuerdo con lo establecido en los artículos 12 del Decreto 028 de 2008 y 2.6.3.4.1.2. del Decreto 1068 de 2015”, </w:t>
      </w:r>
      <w:proofErr w:type="gramStart"/>
      <w:r>
        <w:rPr>
          <w:rFonts w:ascii="Verdana" w:hAnsi="Verdana"/>
          <w:sz w:val="22"/>
          <w:szCs w:val="22"/>
        </w:rPr>
        <w:t>dando inicio a</w:t>
      </w:r>
      <w:proofErr w:type="gramEnd"/>
      <w:r>
        <w:rPr>
          <w:rFonts w:ascii="Verdana" w:hAnsi="Verdana"/>
          <w:sz w:val="22"/>
          <w:szCs w:val="22"/>
        </w:rPr>
        <w:t xml:space="preserve"> los términos de la ejecución de la medida.</w:t>
      </w:r>
    </w:p>
    <w:p w14:paraId="538147AF" w14:textId="77777777" w:rsidR="00BA3CB2" w:rsidRDefault="00BA3CB2" w:rsidP="00BA3CB2">
      <w:pPr>
        <w:jc w:val="both"/>
        <w:rPr>
          <w:rFonts w:ascii="Verdana" w:hAnsi="Verdana"/>
          <w:sz w:val="22"/>
          <w:szCs w:val="22"/>
        </w:rPr>
      </w:pPr>
    </w:p>
    <w:p w14:paraId="21A7F7D1" w14:textId="77777777" w:rsidR="00BA3CB2" w:rsidRDefault="00BA3CB2" w:rsidP="00BA3CB2">
      <w:pPr>
        <w:jc w:val="both"/>
        <w:rPr>
          <w:rFonts w:ascii="Verdana" w:hAnsi="Verdana"/>
          <w:b/>
          <w:bCs/>
          <w:sz w:val="22"/>
          <w:szCs w:val="22"/>
        </w:rPr>
      </w:pPr>
      <w:r>
        <w:rPr>
          <w:rFonts w:ascii="Verdana" w:hAnsi="Verdana"/>
          <w:b/>
          <w:bCs/>
          <w:sz w:val="22"/>
          <w:szCs w:val="22"/>
        </w:rPr>
        <w:t>SITUACION SECTORIAL</w:t>
      </w:r>
    </w:p>
    <w:p w14:paraId="43DACE57" w14:textId="77777777" w:rsidR="00BA3CB2" w:rsidRDefault="00BA3CB2" w:rsidP="00BA3CB2">
      <w:pPr>
        <w:jc w:val="both"/>
        <w:rPr>
          <w:rFonts w:ascii="Verdana" w:hAnsi="Verdana"/>
          <w:sz w:val="22"/>
          <w:szCs w:val="22"/>
        </w:rPr>
      </w:pPr>
    </w:p>
    <w:p w14:paraId="3C2AA909" w14:textId="77777777" w:rsidR="00BA3CB2" w:rsidRDefault="00BA3CB2" w:rsidP="00BA3CB2">
      <w:pPr>
        <w:jc w:val="both"/>
        <w:rPr>
          <w:rFonts w:ascii="Verdana" w:hAnsi="Verdana"/>
          <w:sz w:val="22"/>
          <w:szCs w:val="22"/>
        </w:rPr>
      </w:pPr>
      <w:r>
        <w:rPr>
          <w:rFonts w:ascii="Verdana" w:hAnsi="Verdana"/>
          <w:sz w:val="22"/>
          <w:szCs w:val="22"/>
        </w:rPr>
        <w:t>De acuerdo con las conclusiones del informe de reconocimiento elaborador por la Dirección de Apoyo Fiscal, a través de la implementación de la medida preventiva se pretende gestionar para fortalecer lo siguiente:</w:t>
      </w:r>
    </w:p>
    <w:p w14:paraId="4BA39868" w14:textId="77777777" w:rsidR="00BA3CB2" w:rsidRDefault="00BA3CB2" w:rsidP="00BA3CB2">
      <w:pPr>
        <w:jc w:val="both"/>
        <w:rPr>
          <w:rFonts w:ascii="Verdana" w:hAnsi="Verdana" w:cs="Arial"/>
          <w:sz w:val="22"/>
          <w:szCs w:val="22"/>
          <w:lang w:val="es-ES_tradnl"/>
        </w:rPr>
      </w:pPr>
    </w:p>
    <w:p w14:paraId="5E1ABB53" w14:textId="77777777" w:rsidR="00BA3CB2" w:rsidRDefault="00BA3CB2" w:rsidP="00BA3CB2">
      <w:pPr>
        <w:jc w:val="both"/>
        <w:rPr>
          <w:rFonts w:ascii="Verdana" w:hAnsi="Verdana" w:cs="Arial"/>
          <w:i/>
          <w:iCs/>
          <w:sz w:val="22"/>
          <w:szCs w:val="22"/>
          <w:lang w:val="es-ES_tradnl"/>
        </w:rPr>
      </w:pPr>
      <w:r>
        <w:rPr>
          <w:rFonts w:ascii="Verdana" w:hAnsi="Verdana" w:cs="Arial"/>
          <w:i/>
          <w:iCs/>
          <w:sz w:val="22"/>
          <w:szCs w:val="22"/>
          <w:lang w:val="es-ES_tradnl"/>
        </w:rPr>
        <w:t>“La cobertura de la prestación de los Servicios de Acueducto y Alcantarillado es baja, la ejecución de recursos sectoriales es deficiente, la herramienta de focalización de usuarios en condición de subsidiaridad está desactualizada. Las ejecuciones presupuestales no reflejan la totalidad de los recursos recaudados por la Entidad Territorial del SGP - APSB. Las tarifas deben contener información exacta sobre consumos, estratos, porcentajes de subsidios y contribuciones. La Administración Territorial no entregó información requerida por el Ministerio Sectorial en la visita de monitoreo. No reportaron información sectorial al Sistema Único de Información - SUI. Se realizaron contratos que no tuvieron en cuenta las destinaciones contenidas en la Ley 1176 de 2007. La continuidad en la prestación del Servicio de Acueducto es deficiente. El Índice de Agua No Contabilizada es superior al 30 %. La gente es renuente a conectarse a los Servicios por sus costos. Los productores marginales no están formalizados. Se ha dejado de pagar subsidio en los Servicios AAA desde la vigencia 2014.”</w:t>
      </w:r>
    </w:p>
    <w:p w14:paraId="42914E6C" w14:textId="77777777" w:rsidR="00BA3CB2" w:rsidRDefault="00BA3CB2" w:rsidP="00BA3CB2">
      <w:pPr>
        <w:jc w:val="both"/>
        <w:rPr>
          <w:rFonts w:ascii="Verdana" w:hAnsi="Verdana"/>
          <w:i/>
          <w:iCs/>
          <w:sz w:val="22"/>
          <w:szCs w:val="22"/>
        </w:rPr>
      </w:pPr>
    </w:p>
    <w:p w14:paraId="5B7A54F5"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 xml:space="preserve">En este sentido los eventos de riesgo </w:t>
      </w:r>
      <w:r>
        <w:rPr>
          <w:rFonts w:ascii="Verdana" w:hAnsi="Verdana"/>
          <w:sz w:val="22"/>
          <w:szCs w:val="22"/>
        </w:rPr>
        <w:t>de conformidad con el artículo 9 del Decreto 028 de 2008 identificados fueron: 9.1, 9.2, 9.4, 9.12, 9.17 y 9.18.</w:t>
      </w:r>
    </w:p>
    <w:p w14:paraId="7F1A1F08" w14:textId="77777777" w:rsidR="00BA3CB2" w:rsidRDefault="00BA3CB2" w:rsidP="00BA3CB2">
      <w:pPr>
        <w:jc w:val="both"/>
        <w:rPr>
          <w:rFonts w:ascii="Verdana" w:hAnsi="Verdana" w:cs="Arial"/>
          <w:sz w:val="22"/>
          <w:szCs w:val="22"/>
          <w:lang w:val="es-CO"/>
        </w:rPr>
      </w:pPr>
    </w:p>
    <w:p w14:paraId="2825628E"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 xml:space="preserve">Teniendo en cuenta lo anterior el </w:t>
      </w:r>
      <w:r>
        <w:rPr>
          <w:rFonts w:ascii="Verdana" w:hAnsi="Verdana"/>
          <w:sz w:val="22"/>
          <w:szCs w:val="22"/>
        </w:rPr>
        <w:t>artículo 2º de la resolución 714 del 23 de marzo de 2022, definió el término de la ejecución de la medida de la siguiente manera: Establézcase la vigencia del Plan de Desempeño hasta la superación de los eventos de riesgo identificados, previa verificación por parte de la Dirección de Apoyo Fiscal del Ministerio de Hacienda y Crédito Público de su cumplimiento.</w:t>
      </w:r>
    </w:p>
    <w:p w14:paraId="3D42A3C0" w14:textId="77777777" w:rsidR="00BA3CB2" w:rsidRDefault="00BA3CB2" w:rsidP="00BA3CB2">
      <w:pPr>
        <w:pStyle w:val="NormalWeb"/>
        <w:jc w:val="both"/>
        <w:rPr>
          <w:rFonts w:ascii="Verdana" w:eastAsia="Times New Roman" w:hAnsi="Verdana"/>
          <w:sz w:val="22"/>
          <w:szCs w:val="22"/>
          <w:lang w:val="es-CO" w:eastAsia="es-CO"/>
        </w:rPr>
      </w:pPr>
      <w:r>
        <w:rPr>
          <w:rFonts w:ascii="Verdana" w:hAnsi="Verdana"/>
          <w:sz w:val="22"/>
          <w:szCs w:val="22"/>
        </w:rPr>
        <w:t xml:space="preserve">El día 19 de abril de 2023, se brindó asistencia técnica </w:t>
      </w:r>
      <w:r>
        <w:rPr>
          <w:rFonts w:ascii="Verdana" w:eastAsia="Times New Roman" w:hAnsi="Verdana"/>
          <w:sz w:val="22"/>
          <w:szCs w:val="22"/>
          <w:lang w:val="es-CO" w:eastAsia="es-CO"/>
        </w:rPr>
        <w:t xml:space="preserve">con la participación de las Secretarías de Servicios Públicos y Medio Ambiente, Planeación, Hacienda y Control Interno </w:t>
      </w:r>
      <w:r>
        <w:rPr>
          <w:rFonts w:ascii="Verdana" w:hAnsi="Verdana"/>
          <w:sz w:val="22"/>
          <w:szCs w:val="22"/>
        </w:rPr>
        <w:t>a través de la Plataforma TEAMS (</w:t>
      </w:r>
      <w:hyperlink r:id="rId10" w:history="1">
        <w:r>
          <w:rPr>
            <w:rStyle w:val="Hipervnculo"/>
            <w:rFonts w:ascii="Verdana" w:hAnsi="Verdana"/>
            <w:sz w:val="22"/>
            <w:szCs w:val="22"/>
          </w:rPr>
          <w:t>https://teams.microsoft.com/l/meetupjoin/19%3a5def86f21d3147069e5dfe8cd1d9ffaa%40thread.skype/1681402747411?context=%7b%22Tid%22%3a%2</w:t>
        </w:r>
        <w:r>
          <w:rPr>
            <w:rStyle w:val="Hipervnculo"/>
            <w:rFonts w:ascii="Verdana" w:hAnsi="Verdana"/>
            <w:sz w:val="22"/>
            <w:szCs w:val="22"/>
          </w:rPr>
          <w:lastRenderedPageBreak/>
          <w:t>2b4ea60d8-be49- 40bc98c418c43bfd721e%22%2c%22Oid%22%3a%224cbad6ac-9f02-45d0-be6c-27093650aa19%22%7d</w:t>
        </w:r>
      </w:hyperlink>
      <w:r>
        <w:rPr>
          <w:rFonts w:ascii="Verdana" w:hAnsi="Verdana"/>
          <w:sz w:val="22"/>
          <w:szCs w:val="22"/>
        </w:rPr>
        <w:t xml:space="preserve">), </w:t>
      </w:r>
      <w:r>
        <w:rPr>
          <w:rFonts w:ascii="Verdana" w:eastAsia="Times New Roman" w:hAnsi="Verdana"/>
          <w:sz w:val="22"/>
          <w:szCs w:val="22"/>
          <w:lang w:val="es-CO" w:eastAsia="es-CO"/>
        </w:rPr>
        <w:t>con el propósito de</w:t>
      </w:r>
      <w:r>
        <w:rPr>
          <w:rFonts w:ascii="Verdana" w:eastAsia="Times New Roman" w:hAnsi="Verdana"/>
          <w:b/>
          <w:bCs/>
          <w:sz w:val="22"/>
          <w:szCs w:val="22"/>
          <w:lang w:val="es-CO" w:eastAsia="es-CO"/>
        </w:rPr>
        <w:t> </w:t>
      </w:r>
      <w:r>
        <w:rPr>
          <w:rFonts w:ascii="Verdana" w:eastAsia="Times New Roman" w:hAnsi="Verdana"/>
          <w:sz w:val="22"/>
          <w:szCs w:val="22"/>
          <w:lang w:val="es-CO" w:eastAsia="es-CO"/>
        </w:rPr>
        <w:t>verificar el estado de la ejecución del plan de desempeño, de conformidad con la resolución 1687 de julio de 2022.</w:t>
      </w:r>
    </w:p>
    <w:p w14:paraId="4090BF23" w14:textId="77777777" w:rsidR="00BA3CB2" w:rsidRDefault="00BA3CB2" w:rsidP="00BA3CB2">
      <w:pPr>
        <w:pStyle w:val="NormalWeb"/>
        <w:jc w:val="both"/>
        <w:rPr>
          <w:rFonts w:ascii="Verdana" w:eastAsia="Times New Roman" w:hAnsi="Verdana"/>
          <w:sz w:val="22"/>
          <w:szCs w:val="22"/>
          <w:lang w:val="es-CO" w:eastAsia="es-CO"/>
        </w:rPr>
      </w:pPr>
      <w:r>
        <w:rPr>
          <w:rFonts w:ascii="Verdana" w:eastAsia="Times New Roman" w:hAnsi="Verdana"/>
          <w:sz w:val="22"/>
          <w:szCs w:val="22"/>
          <w:lang w:val="es-CO" w:eastAsia="es-CO"/>
        </w:rPr>
        <w:t>Los temas tratados fueron:</w:t>
      </w:r>
    </w:p>
    <w:p w14:paraId="0C017903" w14:textId="77777777" w:rsidR="00BA3CB2" w:rsidRDefault="00BA3CB2" w:rsidP="00BA3CB2">
      <w:pPr>
        <w:numPr>
          <w:ilvl w:val="0"/>
          <w:numId w:val="4"/>
        </w:numPr>
        <w:spacing w:before="100" w:beforeAutospacing="1" w:after="100" w:afterAutospacing="1"/>
        <w:jc w:val="both"/>
        <w:rPr>
          <w:rFonts w:ascii="Verdana" w:eastAsia="Times New Roman" w:hAnsi="Verdana"/>
          <w:sz w:val="22"/>
          <w:szCs w:val="22"/>
          <w:lang w:val="es-CO" w:eastAsia="es-CO"/>
        </w:rPr>
      </w:pPr>
      <w:r>
        <w:rPr>
          <w:rFonts w:ascii="Verdana" w:eastAsia="Times New Roman" w:hAnsi="Verdana"/>
          <w:sz w:val="22"/>
          <w:szCs w:val="22"/>
          <w:lang w:val="es-CO" w:eastAsia="es-CO"/>
        </w:rPr>
        <w:t>Actividades de seguimiento a la ejecución del Plan de Desempeño</w:t>
      </w:r>
    </w:p>
    <w:p w14:paraId="2F8C0CA8" w14:textId="77777777" w:rsidR="00BA3CB2" w:rsidRDefault="00BA3CB2" w:rsidP="00BA3CB2">
      <w:pPr>
        <w:numPr>
          <w:ilvl w:val="0"/>
          <w:numId w:val="4"/>
        </w:numPr>
        <w:spacing w:before="100" w:beforeAutospacing="1" w:after="100" w:afterAutospacing="1"/>
        <w:jc w:val="both"/>
        <w:rPr>
          <w:rFonts w:ascii="Verdana" w:eastAsia="Times New Roman" w:hAnsi="Verdana"/>
          <w:sz w:val="22"/>
          <w:szCs w:val="22"/>
          <w:lang w:val="es-CO" w:eastAsia="es-CO"/>
        </w:rPr>
      </w:pPr>
      <w:r>
        <w:rPr>
          <w:rFonts w:ascii="Verdana" w:eastAsia="Times New Roman" w:hAnsi="Verdana"/>
          <w:sz w:val="22"/>
          <w:szCs w:val="22"/>
          <w:lang w:val="es-CO" w:eastAsia="es-CO"/>
        </w:rPr>
        <w:t>Dificultades en su ejecución.</w:t>
      </w:r>
    </w:p>
    <w:p w14:paraId="2ACE5516" w14:textId="77777777" w:rsidR="00BA3CB2" w:rsidRDefault="00BA3CB2" w:rsidP="00BA3CB2">
      <w:pPr>
        <w:numPr>
          <w:ilvl w:val="0"/>
          <w:numId w:val="4"/>
        </w:numPr>
        <w:spacing w:before="100" w:beforeAutospacing="1" w:after="100" w:afterAutospacing="1"/>
        <w:jc w:val="both"/>
        <w:rPr>
          <w:rFonts w:ascii="Verdana" w:eastAsia="Times New Roman" w:hAnsi="Verdana"/>
          <w:sz w:val="22"/>
          <w:szCs w:val="22"/>
          <w:lang w:val="es-CO" w:eastAsia="es-CO"/>
        </w:rPr>
      </w:pPr>
      <w:r>
        <w:rPr>
          <w:rFonts w:ascii="Verdana" w:eastAsia="Times New Roman" w:hAnsi="Verdana"/>
          <w:sz w:val="22"/>
          <w:szCs w:val="22"/>
          <w:lang w:val="es-CO" w:eastAsia="es-CO"/>
        </w:rPr>
        <w:t>Estratificación.</w:t>
      </w:r>
    </w:p>
    <w:p w14:paraId="48A2EE7B" w14:textId="77777777" w:rsidR="00BA3CB2" w:rsidRDefault="00BA3CB2" w:rsidP="00BA3CB2">
      <w:pPr>
        <w:numPr>
          <w:ilvl w:val="0"/>
          <w:numId w:val="4"/>
        </w:numPr>
        <w:spacing w:before="100" w:beforeAutospacing="1" w:after="100" w:afterAutospacing="1"/>
        <w:jc w:val="both"/>
        <w:rPr>
          <w:rFonts w:ascii="Verdana" w:eastAsia="Times New Roman" w:hAnsi="Verdana"/>
          <w:sz w:val="22"/>
          <w:szCs w:val="22"/>
          <w:lang w:val="es-CO" w:eastAsia="es-CO"/>
        </w:rPr>
      </w:pPr>
      <w:r>
        <w:rPr>
          <w:rFonts w:ascii="Verdana" w:eastAsia="Times New Roman" w:hAnsi="Verdana"/>
          <w:sz w:val="22"/>
          <w:szCs w:val="22"/>
          <w:lang w:val="es-CO" w:eastAsia="es-CO"/>
        </w:rPr>
        <w:t>Estado del producto de “Propuesta de prestación de servicio diferencial”</w:t>
      </w:r>
    </w:p>
    <w:p w14:paraId="2DA3B515" w14:textId="77777777" w:rsidR="00BA3CB2" w:rsidRDefault="00BA3CB2" w:rsidP="00BA3CB2">
      <w:pPr>
        <w:numPr>
          <w:ilvl w:val="0"/>
          <w:numId w:val="4"/>
        </w:numPr>
        <w:spacing w:before="100" w:beforeAutospacing="1" w:after="100" w:afterAutospacing="1"/>
        <w:jc w:val="both"/>
        <w:rPr>
          <w:rFonts w:ascii="Verdana" w:eastAsia="Times New Roman" w:hAnsi="Verdana"/>
          <w:sz w:val="22"/>
          <w:szCs w:val="22"/>
          <w:lang w:val="es-CO" w:eastAsia="es-CO"/>
        </w:rPr>
      </w:pPr>
      <w:r>
        <w:rPr>
          <w:rFonts w:ascii="Verdana" w:eastAsia="Times New Roman" w:hAnsi="Verdana"/>
          <w:sz w:val="22"/>
          <w:szCs w:val="22"/>
          <w:lang w:val="es-CO" w:eastAsia="es-CO"/>
        </w:rPr>
        <w:t>Ordenanza sancionada por la Asamblea donde se ajustan las asignaciones de subsidios mínimos y máximos establecidos en el artículo 125 de la Ley 1450 de 2011.</w:t>
      </w:r>
    </w:p>
    <w:p w14:paraId="7C66BCA5" w14:textId="77777777" w:rsidR="00BA3CB2" w:rsidRDefault="00BA3CB2" w:rsidP="00BA3CB2">
      <w:pPr>
        <w:numPr>
          <w:ilvl w:val="0"/>
          <w:numId w:val="4"/>
        </w:numPr>
        <w:spacing w:before="100" w:beforeAutospacing="1" w:after="100" w:afterAutospacing="1"/>
        <w:jc w:val="both"/>
        <w:rPr>
          <w:rFonts w:ascii="Verdana" w:eastAsia="Times New Roman" w:hAnsi="Verdana"/>
          <w:sz w:val="22"/>
          <w:szCs w:val="22"/>
          <w:lang w:val="es-CO" w:eastAsia="es-CO"/>
        </w:rPr>
      </w:pPr>
      <w:r>
        <w:rPr>
          <w:rFonts w:ascii="Verdana" w:eastAsia="Times New Roman" w:hAnsi="Verdana"/>
          <w:sz w:val="22"/>
          <w:szCs w:val="22"/>
          <w:lang w:val="es-CO" w:eastAsia="es-CO"/>
        </w:rPr>
        <w:t>Avance en la ejecución de cada actividad y producto.</w:t>
      </w:r>
    </w:p>
    <w:p w14:paraId="0C5FF3DD"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Por su parte el informe preventivo de monitoreo elaborado por el MVCT a septiembre de 2022 muestra al Archipiélago de San Andrés en alto riesgo.</w:t>
      </w:r>
    </w:p>
    <w:p w14:paraId="581B2ABE" w14:textId="77777777" w:rsidR="00BA3CB2" w:rsidRDefault="00BA3CB2" w:rsidP="00BA3CB2">
      <w:pPr>
        <w:pStyle w:val="NormalWeb"/>
        <w:jc w:val="both"/>
        <w:rPr>
          <w:rFonts w:ascii="Verdana" w:hAnsi="Verdana"/>
          <w:sz w:val="22"/>
          <w:szCs w:val="22"/>
        </w:rPr>
      </w:pPr>
      <w:r>
        <w:rPr>
          <w:rFonts w:ascii="Verdana" w:hAnsi="Verdana" w:cs="Arial"/>
          <w:sz w:val="22"/>
          <w:szCs w:val="22"/>
          <w:lang w:val="es-CO"/>
        </w:rPr>
        <w:t>La presente evaluación corresponde al primer informe del año y en él se evalúa la información entregada por la Entidad Territorial el día 3 de mayo bajo radicado 1-2023-036912 y 1-2023-039355 del 10 de mayo de 2023.</w:t>
      </w:r>
      <w:r>
        <w:rPr>
          <w:rFonts w:ascii="Verdana" w:hAnsi="Verdana"/>
          <w:sz w:val="22"/>
          <w:szCs w:val="22"/>
        </w:rPr>
        <w:t xml:space="preserve"> </w:t>
      </w:r>
    </w:p>
    <w:p w14:paraId="2543A37A" w14:textId="77777777" w:rsidR="00BA3CB2" w:rsidRDefault="00BA3CB2" w:rsidP="00BA3CB2">
      <w:pPr>
        <w:pStyle w:val="NormalWeb"/>
        <w:jc w:val="both"/>
        <w:rPr>
          <w:rFonts w:ascii="Verdana" w:hAnsi="Verdana"/>
          <w:sz w:val="22"/>
          <w:szCs w:val="22"/>
        </w:rPr>
      </w:pPr>
      <w:r>
        <w:rPr>
          <w:rFonts w:ascii="Verdana" w:hAnsi="Verdana"/>
          <w:sz w:val="22"/>
          <w:szCs w:val="22"/>
        </w:rPr>
        <w:t>También se revisan indicadores y resultados del informe de monitoreo de la vigencia 2022 elaborado por el MVCT, de acuerdo con radicado del 24 de julio de 2023 número 1-2023-062531 y las ejecuciones presupuestales de la Entidad.</w:t>
      </w:r>
    </w:p>
    <w:p w14:paraId="2EE33ABD" w14:textId="77777777" w:rsidR="00BA3CB2" w:rsidRDefault="00BA3CB2" w:rsidP="00BA3CB2">
      <w:pPr>
        <w:pStyle w:val="NormalWeb"/>
        <w:jc w:val="both"/>
        <w:rPr>
          <w:rFonts w:ascii="Verdana" w:hAnsi="Verdana"/>
          <w:sz w:val="22"/>
          <w:szCs w:val="22"/>
        </w:rPr>
      </w:pPr>
      <w:r>
        <w:rPr>
          <w:rFonts w:ascii="Verdana" w:hAnsi="Verdana"/>
          <w:sz w:val="22"/>
          <w:szCs w:val="22"/>
        </w:rPr>
        <w:t xml:space="preserve"> </w:t>
      </w:r>
    </w:p>
    <w:p w14:paraId="5E514012" w14:textId="77777777" w:rsidR="00BA3CB2" w:rsidRDefault="00BA3CB2" w:rsidP="00BA3CB2">
      <w:pPr>
        <w:jc w:val="both"/>
        <w:rPr>
          <w:rFonts w:ascii="Verdana" w:hAnsi="Verdana" w:cs="Arial"/>
          <w:sz w:val="22"/>
          <w:szCs w:val="22"/>
        </w:rPr>
      </w:pPr>
    </w:p>
    <w:p w14:paraId="6E13E374" w14:textId="77777777" w:rsidR="00BA3CB2" w:rsidRDefault="00BA3CB2" w:rsidP="00BA3CB2">
      <w:pPr>
        <w:pStyle w:val="Ttulo1"/>
        <w:numPr>
          <w:ilvl w:val="0"/>
          <w:numId w:val="3"/>
        </w:numPr>
        <w:spacing w:before="0"/>
        <w:jc w:val="both"/>
        <w:rPr>
          <w:rFonts w:ascii="Verdana" w:hAnsi="Verdana" w:cs="Arial"/>
          <w:b/>
          <w:color w:val="auto"/>
          <w:sz w:val="22"/>
          <w:szCs w:val="22"/>
          <w:lang w:val="es-CO"/>
        </w:rPr>
      </w:pPr>
      <w:r>
        <w:rPr>
          <w:rFonts w:ascii="Verdana" w:hAnsi="Verdana" w:cs="Arial"/>
          <w:b/>
          <w:color w:val="auto"/>
          <w:sz w:val="22"/>
          <w:szCs w:val="22"/>
          <w:lang w:val="es-CO"/>
        </w:rPr>
        <w:t xml:space="preserve">CARACTERIZACIÓN </w:t>
      </w:r>
    </w:p>
    <w:p w14:paraId="0C09CF15" w14:textId="77777777" w:rsidR="00BA3CB2" w:rsidRDefault="00BA3CB2" w:rsidP="00BA3CB2">
      <w:pPr>
        <w:jc w:val="both"/>
        <w:rPr>
          <w:rFonts w:ascii="Verdana" w:hAnsi="Verdana" w:cs="Arial"/>
          <w:sz w:val="22"/>
          <w:szCs w:val="22"/>
          <w:lang w:val="es-CO"/>
        </w:rPr>
      </w:pPr>
    </w:p>
    <w:p w14:paraId="6F5A0881" w14:textId="77777777" w:rsidR="00BA3CB2" w:rsidRDefault="00BA3CB2" w:rsidP="00BA3CB2">
      <w:pPr>
        <w:pStyle w:val="Prrafodelista"/>
        <w:numPr>
          <w:ilvl w:val="0"/>
          <w:numId w:val="5"/>
        </w:numPr>
        <w:jc w:val="both"/>
        <w:rPr>
          <w:rFonts w:ascii="Verdana" w:hAnsi="Verdana" w:cs="Arial"/>
          <w:sz w:val="22"/>
          <w:szCs w:val="22"/>
          <w:lang w:val="es-CO"/>
        </w:rPr>
      </w:pPr>
      <w:r>
        <w:rPr>
          <w:rFonts w:ascii="Verdana" w:hAnsi="Verdana" w:cs="Arial"/>
          <w:sz w:val="22"/>
          <w:szCs w:val="22"/>
          <w:lang w:val="es-CO"/>
        </w:rPr>
        <w:t>Infografía.</w:t>
      </w:r>
    </w:p>
    <w:p w14:paraId="6C053FB0" w14:textId="77777777" w:rsidR="00BA3CB2" w:rsidRDefault="00BA3CB2" w:rsidP="00BA3CB2">
      <w:pPr>
        <w:shd w:val="clear" w:color="auto" w:fill="FFFFFF" w:themeFill="background1"/>
        <w:jc w:val="both"/>
        <w:rPr>
          <w:rFonts w:ascii="Verdana" w:hAnsi="Verdana" w:cs="Arial"/>
          <w:sz w:val="22"/>
          <w:szCs w:val="22"/>
          <w:lang w:val="es-CO"/>
        </w:rPr>
      </w:pPr>
    </w:p>
    <w:p w14:paraId="20692279" w14:textId="77777777" w:rsidR="00BA3CB2" w:rsidRDefault="00BA3CB2" w:rsidP="00BA3CB2">
      <w:pPr>
        <w:shd w:val="clear" w:color="auto" w:fill="FFFFFF" w:themeFill="background1"/>
        <w:jc w:val="center"/>
        <w:rPr>
          <w:rFonts w:ascii="Verdana" w:hAnsi="Verdana" w:cs="Arial"/>
          <w:b/>
          <w:bCs/>
          <w:sz w:val="22"/>
          <w:szCs w:val="22"/>
          <w:lang w:val="es-CO"/>
        </w:rPr>
      </w:pPr>
      <w:r>
        <w:rPr>
          <w:rFonts w:ascii="Verdana" w:hAnsi="Verdana" w:cs="Arial"/>
          <w:b/>
          <w:bCs/>
          <w:sz w:val="22"/>
          <w:szCs w:val="22"/>
          <w:lang w:val="es-CO"/>
        </w:rPr>
        <w:t>TABLA 2: GENERALIDADES</w:t>
      </w:r>
    </w:p>
    <w:tbl>
      <w:tblPr>
        <w:tblStyle w:val="Tablaconcuadrcula1"/>
        <w:tblW w:w="46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top w:w="39" w:type="dxa"/>
          <w:left w:w="107" w:type="dxa"/>
          <w:right w:w="65" w:type="dxa"/>
        </w:tblCellMar>
        <w:tblLook w:val="04A0" w:firstRow="1" w:lastRow="0" w:firstColumn="1" w:lastColumn="0" w:noHBand="0" w:noVBand="1"/>
      </w:tblPr>
      <w:tblGrid>
        <w:gridCol w:w="1926"/>
        <w:gridCol w:w="2747"/>
      </w:tblGrid>
      <w:tr w:rsidR="00BA3CB2" w14:paraId="7AFE5FAE" w14:textId="77777777" w:rsidTr="00BA3CB2">
        <w:trPr>
          <w:trHeight w:val="276"/>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5C4635" w14:textId="77777777" w:rsidR="00BA3CB2" w:rsidRDefault="00BA3CB2">
            <w:pPr>
              <w:shd w:val="clear" w:color="auto" w:fill="FFFFFF" w:themeFill="background1"/>
              <w:ind w:right="45"/>
              <w:contextualSpacing/>
              <w:jc w:val="center"/>
              <w:rPr>
                <w:rFonts w:ascii="Verdana" w:hAnsi="Verdana" w:cs="Arial"/>
                <w:sz w:val="18"/>
                <w:szCs w:val="18"/>
                <w:lang w:val="es-ES_tradnl"/>
              </w:rPr>
            </w:pPr>
            <w:r>
              <w:rPr>
                <w:rFonts w:ascii="Verdana" w:hAnsi="Verdana" w:cs="Arial"/>
                <w:b/>
                <w:sz w:val="18"/>
                <w:szCs w:val="18"/>
                <w:lang w:val="es-ES_tradnl"/>
              </w:rPr>
              <w:t xml:space="preserve">Generalidades </w:t>
            </w:r>
          </w:p>
        </w:tc>
      </w:tr>
      <w:tr w:rsidR="00BA3CB2" w14:paraId="079C2526" w14:textId="77777777" w:rsidTr="00BA3CB2">
        <w:trPr>
          <w:trHeight w:val="286"/>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A97CF1" w14:textId="77777777" w:rsidR="00BA3CB2" w:rsidRDefault="00BA3CB2">
            <w:pPr>
              <w:shd w:val="clear" w:color="auto" w:fill="FFFFFF" w:themeFill="background1"/>
              <w:rPr>
                <w:rFonts w:ascii="Verdana" w:hAnsi="Verdana" w:cs="Arial"/>
                <w:sz w:val="18"/>
                <w:szCs w:val="18"/>
                <w:lang w:val="es-ES_tradnl"/>
              </w:rPr>
            </w:pPr>
            <w:r>
              <w:rPr>
                <w:rFonts w:ascii="Verdana" w:hAnsi="Verdana" w:cs="Arial"/>
                <w:sz w:val="18"/>
                <w:szCs w:val="18"/>
                <w:lang w:val="es-ES_tradnl"/>
              </w:rPr>
              <w:t xml:space="preserve">Gobernador </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2ADE3B" w14:textId="77777777" w:rsidR="00BA3CB2" w:rsidRDefault="00BA3CB2">
            <w:pPr>
              <w:shd w:val="clear" w:color="auto" w:fill="FFFFFF" w:themeFill="background1"/>
              <w:rPr>
                <w:rFonts w:ascii="Verdana" w:hAnsi="Verdana" w:cs="Arial"/>
                <w:bCs/>
                <w:sz w:val="18"/>
                <w:szCs w:val="18"/>
                <w:lang w:val="en-US"/>
              </w:rPr>
            </w:pPr>
            <w:r>
              <w:rPr>
                <w:rFonts w:ascii="Verdana" w:hAnsi="Verdana" w:cs="Arial"/>
                <w:bCs/>
                <w:sz w:val="18"/>
                <w:szCs w:val="18"/>
                <w:lang w:val="en-US"/>
              </w:rPr>
              <w:t xml:space="preserve">Everth Julio Hawkins </w:t>
            </w:r>
            <w:proofErr w:type="spellStart"/>
            <w:r>
              <w:rPr>
                <w:rFonts w:ascii="Verdana" w:hAnsi="Verdana" w:cs="Arial"/>
                <w:bCs/>
                <w:sz w:val="18"/>
                <w:szCs w:val="18"/>
                <w:lang w:val="en-US"/>
              </w:rPr>
              <w:t>Sjogreen</w:t>
            </w:r>
            <w:proofErr w:type="spellEnd"/>
          </w:p>
        </w:tc>
      </w:tr>
      <w:tr w:rsidR="00BA3CB2" w14:paraId="3AD59381" w14:textId="77777777" w:rsidTr="00BA3CB2">
        <w:trPr>
          <w:trHeight w:val="278"/>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49E0A0" w14:textId="77777777" w:rsidR="00BA3CB2" w:rsidRDefault="00BA3CB2">
            <w:pPr>
              <w:shd w:val="clear" w:color="auto" w:fill="FFFFFF" w:themeFill="background1"/>
              <w:rPr>
                <w:rFonts w:ascii="Verdana" w:hAnsi="Verdana" w:cs="Arial"/>
                <w:sz w:val="18"/>
                <w:szCs w:val="18"/>
                <w:lang w:val="es-ES_tradnl"/>
              </w:rPr>
            </w:pPr>
            <w:r>
              <w:rPr>
                <w:rFonts w:ascii="Verdana" w:hAnsi="Verdana" w:cs="Arial"/>
                <w:sz w:val="18"/>
                <w:szCs w:val="18"/>
                <w:lang w:val="es-ES_tradnl"/>
              </w:rPr>
              <w:t>DIVIPOLA</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93B165D" w14:textId="77777777" w:rsidR="00BA3CB2" w:rsidRDefault="00BA3CB2">
            <w:pPr>
              <w:shd w:val="clear" w:color="auto" w:fill="FFFFFF" w:themeFill="background1"/>
              <w:jc w:val="center"/>
              <w:rPr>
                <w:rFonts w:ascii="Verdana" w:hAnsi="Verdana" w:cs="Arial"/>
                <w:sz w:val="18"/>
                <w:szCs w:val="18"/>
                <w:lang w:val="es-ES_tradnl"/>
              </w:rPr>
            </w:pPr>
            <w:r>
              <w:rPr>
                <w:rFonts w:ascii="Verdana" w:hAnsi="Verdana" w:cs="Arial"/>
                <w:sz w:val="18"/>
                <w:szCs w:val="18"/>
                <w:lang w:val="es-ES_tradnl"/>
              </w:rPr>
              <w:t>88001</w:t>
            </w:r>
          </w:p>
        </w:tc>
      </w:tr>
      <w:tr w:rsidR="00BA3CB2" w14:paraId="02F09EBA" w14:textId="77777777" w:rsidTr="00BA3CB2">
        <w:trPr>
          <w:trHeight w:val="278"/>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8884C3" w14:textId="77777777" w:rsidR="00BA3CB2" w:rsidRDefault="00BA3CB2">
            <w:pPr>
              <w:shd w:val="clear" w:color="auto" w:fill="FFFFFF" w:themeFill="background1"/>
              <w:rPr>
                <w:rFonts w:ascii="Verdana" w:hAnsi="Verdana" w:cs="Arial"/>
                <w:sz w:val="18"/>
                <w:szCs w:val="18"/>
                <w:lang w:val="es-ES_tradnl"/>
              </w:rPr>
            </w:pPr>
            <w:r>
              <w:rPr>
                <w:rFonts w:ascii="Verdana" w:hAnsi="Verdana" w:cs="Arial"/>
                <w:sz w:val="18"/>
                <w:szCs w:val="18"/>
                <w:lang w:val="es-ES_tradnl"/>
              </w:rPr>
              <w:t>Región</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659ED47" w14:textId="77777777" w:rsidR="00BA3CB2" w:rsidRDefault="00BA3CB2">
            <w:pPr>
              <w:shd w:val="clear" w:color="auto" w:fill="FFFFFF" w:themeFill="background1"/>
              <w:jc w:val="center"/>
              <w:rPr>
                <w:rFonts w:ascii="Verdana" w:hAnsi="Verdana" w:cs="Arial"/>
                <w:sz w:val="18"/>
                <w:szCs w:val="18"/>
                <w:lang w:val="es-ES_tradnl"/>
              </w:rPr>
            </w:pPr>
            <w:r>
              <w:rPr>
                <w:rFonts w:ascii="Verdana" w:hAnsi="Verdana" w:cs="Arial"/>
                <w:sz w:val="18"/>
                <w:szCs w:val="18"/>
                <w:lang w:val="es-ES_tradnl"/>
              </w:rPr>
              <w:t>CARIBE</w:t>
            </w:r>
          </w:p>
        </w:tc>
      </w:tr>
      <w:tr w:rsidR="00BA3CB2" w14:paraId="7E46A9AA" w14:textId="77777777" w:rsidTr="00BA3CB2">
        <w:trPr>
          <w:trHeight w:val="278"/>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06088E" w14:textId="77777777" w:rsidR="00BA3CB2" w:rsidRDefault="00BA3CB2">
            <w:pPr>
              <w:shd w:val="clear" w:color="auto" w:fill="FFFFFF" w:themeFill="background1"/>
              <w:rPr>
                <w:rFonts w:ascii="Verdana" w:hAnsi="Verdana" w:cs="Arial"/>
                <w:sz w:val="18"/>
                <w:szCs w:val="18"/>
                <w:lang w:val="es-ES_tradnl"/>
              </w:rPr>
            </w:pPr>
            <w:r>
              <w:rPr>
                <w:rFonts w:ascii="Verdana" w:hAnsi="Verdana" w:cs="Arial"/>
                <w:sz w:val="18"/>
                <w:szCs w:val="18"/>
                <w:lang w:val="es-ES_tradnl"/>
              </w:rPr>
              <w:lastRenderedPageBreak/>
              <w:t>Categoría</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831843" w14:textId="77777777" w:rsidR="00BA3CB2" w:rsidRDefault="00BA3CB2">
            <w:pPr>
              <w:shd w:val="clear" w:color="auto" w:fill="FFFFFF" w:themeFill="background1"/>
              <w:jc w:val="center"/>
              <w:rPr>
                <w:rFonts w:ascii="Verdana" w:hAnsi="Verdana" w:cs="Arial"/>
                <w:sz w:val="18"/>
                <w:szCs w:val="18"/>
                <w:lang w:val="es-ES_tradnl"/>
              </w:rPr>
            </w:pPr>
            <w:r>
              <w:rPr>
                <w:rFonts w:ascii="Verdana" w:hAnsi="Verdana" w:cs="Arial"/>
                <w:sz w:val="18"/>
                <w:szCs w:val="18"/>
                <w:lang w:val="es-ES_tradnl"/>
              </w:rPr>
              <w:t>3</w:t>
            </w:r>
          </w:p>
        </w:tc>
      </w:tr>
      <w:tr w:rsidR="00BA3CB2" w14:paraId="2B2A5CD0" w14:textId="77777777" w:rsidTr="00BA3CB2">
        <w:trPr>
          <w:trHeight w:val="278"/>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E7CB1A" w14:textId="77777777" w:rsidR="00BA3CB2" w:rsidRDefault="00BA3CB2">
            <w:pPr>
              <w:shd w:val="clear" w:color="auto" w:fill="FFFFFF" w:themeFill="background1"/>
              <w:rPr>
                <w:rFonts w:ascii="Verdana" w:hAnsi="Verdana" w:cs="Arial"/>
                <w:sz w:val="18"/>
                <w:szCs w:val="18"/>
                <w:lang w:val="es-ES_tradnl"/>
              </w:rPr>
            </w:pPr>
            <w:r>
              <w:rPr>
                <w:rFonts w:ascii="Verdana" w:hAnsi="Verdana" w:cs="Arial"/>
                <w:sz w:val="18"/>
                <w:szCs w:val="18"/>
                <w:lang w:val="es-ES_tradnl"/>
              </w:rPr>
              <w:t>Altitud</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679777" w14:textId="77777777" w:rsidR="00BA3CB2" w:rsidRDefault="00BA3CB2">
            <w:pPr>
              <w:shd w:val="clear" w:color="auto" w:fill="FFFFFF" w:themeFill="background1"/>
              <w:jc w:val="center"/>
              <w:rPr>
                <w:rFonts w:ascii="Verdana" w:hAnsi="Verdana" w:cs="Arial"/>
                <w:sz w:val="18"/>
                <w:szCs w:val="18"/>
                <w:lang w:val="es-ES_tradnl"/>
              </w:rPr>
            </w:pPr>
            <w:r>
              <w:rPr>
                <w:rFonts w:ascii="Verdana" w:hAnsi="Verdana" w:cs="Arial"/>
                <w:sz w:val="18"/>
                <w:szCs w:val="18"/>
                <w:lang w:val="es-ES_tradnl"/>
              </w:rPr>
              <w:t>20 msnm</w:t>
            </w:r>
          </w:p>
        </w:tc>
      </w:tr>
      <w:tr w:rsidR="00BA3CB2" w14:paraId="46A8C37B" w14:textId="77777777" w:rsidTr="00BA3CB2">
        <w:trPr>
          <w:trHeight w:val="278"/>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377454" w14:textId="77777777" w:rsidR="00BA3CB2" w:rsidRDefault="00BA3CB2">
            <w:pPr>
              <w:shd w:val="clear" w:color="auto" w:fill="FFFFFF" w:themeFill="background1"/>
              <w:rPr>
                <w:rFonts w:ascii="Verdana" w:hAnsi="Verdana" w:cs="Arial"/>
                <w:sz w:val="18"/>
                <w:szCs w:val="18"/>
                <w:lang w:val="es-ES_tradnl"/>
              </w:rPr>
            </w:pPr>
            <w:r>
              <w:rPr>
                <w:rFonts w:ascii="Verdana" w:hAnsi="Verdana" w:cs="Arial"/>
                <w:sz w:val="18"/>
                <w:szCs w:val="18"/>
                <w:lang w:val="es-ES_tradnl"/>
              </w:rPr>
              <w:t xml:space="preserve">Población 2023 (Proyección DANE) </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176690C" w14:textId="77777777" w:rsidR="00BA3CB2" w:rsidRDefault="00BA3CB2">
            <w:pPr>
              <w:shd w:val="clear" w:color="auto" w:fill="FFFFFF" w:themeFill="background1"/>
              <w:jc w:val="center"/>
              <w:rPr>
                <w:rFonts w:ascii="Verdana" w:hAnsi="Verdana" w:cs="Arial"/>
                <w:sz w:val="18"/>
                <w:szCs w:val="18"/>
                <w:lang w:val="es-ES_tradnl"/>
              </w:rPr>
            </w:pPr>
            <w:r>
              <w:rPr>
                <w:rFonts w:ascii="Verdana" w:hAnsi="Verdana" w:cs="Arial"/>
                <w:sz w:val="18"/>
                <w:szCs w:val="18"/>
                <w:lang w:val="es-ES_tradnl"/>
              </w:rPr>
              <w:t>62.269</w:t>
            </w:r>
          </w:p>
        </w:tc>
      </w:tr>
      <w:tr w:rsidR="00BA3CB2" w14:paraId="218DC6B7" w14:textId="77777777" w:rsidTr="00BA3CB2">
        <w:trPr>
          <w:trHeight w:val="276"/>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602285" w14:textId="77777777" w:rsidR="00BA3CB2" w:rsidRDefault="00BA3CB2">
            <w:pPr>
              <w:tabs>
                <w:tab w:val="center" w:pos="387"/>
                <w:tab w:val="center" w:pos="1075"/>
              </w:tabs>
              <w:rPr>
                <w:rFonts w:ascii="Verdana" w:hAnsi="Verdana" w:cs="Arial"/>
                <w:sz w:val="18"/>
                <w:szCs w:val="18"/>
                <w:lang w:val="es-ES_tradnl"/>
              </w:rPr>
            </w:pPr>
            <w:r>
              <w:rPr>
                <w:rFonts w:ascii="Verdana" w:hAnsi="Verdana" w:cs="Arial"/>
                <w:sz w:val="18"/>
                <w:szCs w:val="18"/>
                <w:lang w:val="es-ES_tradnl"/>
              </w:rPr>
              <w:tab/>
              <w:t xml:space="preserve">- </w:t>
            </w:r>
            <w:r>
              <w:rPr>
                <w:rFonts w:ascii="Verdana" w:hAnsi="Verdana" w:cs="Arial"/>
                <w:sz w:val="18"/>
                <w:szCs w:val="18"/>
                <w:lang w:val="es-ES_tradnl"/>
              </w:rPr>
              <w:tab/>
              <w:t xml:space="preserve">Cabecera </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19242E" w14:textId="77777777" w:rsidR="00BA3CB2" w:rsidRDefault="00BA3CB2">
            <w:pPr>
              <w:jc w:val="center"/>
              <w:rPr>
                <w:rFonts w:ascii="Verdana" w:hAnsi="Verdana" w:cs="Arial"/>
                <w:sz w:val="18"/>
                <w:szCs w:val="18"/>
                <w:lang w:val="es-ES_tradnl"/>
              </w:rPr>
            </w:pPr>
            <w:r>
              <w:rPr>
                <w:rFonts w:ascii="Verdana" w:hAnsi="Verdana" w:cs="Arial"/>
                <w:sz w:val="18"/>
                <w:szCs w:val="18"/>
                <w:lang w:val="es-ES_tradnl"/>
              </w:rPr>
              <w:t>44.409</w:t>
            </w:r>
          </w:p>
        </w:tc>
      </w:tr>
      <w:tr w:rsidR="00BA3CB2" w14:paraId="678E0051" w14:textId="77777777" w:rsidTr="00BA3CB2">
        <w:trPr>
          <w:trHeight w:val="276"/>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70D1154" w14:textId="77777777" w:rsidR="00BA3CB2" w:rsidRDefault="00BA3CB2">
            <w:pPr>
              <w:tabs>
                <w:tab w:val="center" w:pos="387"/>
                <w:tab w:val="center" w:pos="934"/>
              </w:tabs>
              <w:rPr>
                <w:rFonts w:ascii="Verdana" w:hAnsi="Verdana" w:cs="Arial"/>
                <w:sz w:val="18"/>
                <w:szCs w:val="18"/>
                <w:lang w:val="es-ES_tradnl"/>
              </w:rPr>
            </w:pPr>
            <w:r>
              <w:rPr>
                <w:rFonts w:ascii="Verdana" w:hAnsi="Verdana" w:cs="Arial"/>
                <w:sz w:val="18"/>
                <w:szCs w:val="18"/>
                <w:lang w:val="es-ES_tradnl"/>
              </w:rPr>
              <w:tab/>
              <w:t xml:space="preserve">- </w:t>
            </w:r>
            <w:r>
              <w:rPr>
                <w:rFonts w:ascii="Verdana" w:hAnsi="Verdana" w:cs="Arial"/>
                <w:sz w:val="18"/>
                <w:szCs w:val="18"/>
                <w:lang w:val="es-ES_tradnl"/>
              </w:rPr>
              <w:tab/>
              <w:t xml:space="preserve">Resto </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5E9BDC" w14:textId="77777777" w:rsidR="00BA3CB2" w:rsidRDefault="00BA3CB2">
            <w:pPr>
              <w:jc w:val="center"/>
              <w:rPr>
                <w:rFonts w:ascii="Verdana" w:hAnsi="Verdana" w:cs="Arial"/>
                <w:sz w:val="18"/>
                <w:szCs w:val="18"/>
                <w:lang w:val="es-ES_tradnl"/>
              </w:rPr>
            </w:pPr>
            <w:r>
              <w:rPr>
                <w:rFonts w:ascii="Verdana" w:hAnsi="Verdana" w:cs="Arial"/>
                <w:sz w:val="18"/>
                <w:szCs w:val="18"/>
                <w:lang w:val="es-ES_tradnl"/>
              </w:rPr>
              <w:t>17.860</w:t>
            </w:r>
          </w:p>
        </w:tc>
      </w:tr>
      <w:tr w:rsidR="00BA3CB2" w14:paraId="76318F9C" w14:textId="77777777" w:rsidTr="00BA3CB2">
        <w:trPr>
          <w:trHeight w:val="277"/>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AF0282" w14:textId="77777777" w:rsidR="00BA3CB2" w:rsidRDefault="00BA3CB2">
            <w:pPr>
              <w:rPr>
                <w:rFonts w:ascii="Verdana" w:hAnsi="Verdana" w:cs="Arial"/>
                <w:sz w:val="18"/>
                <w:szCs w:val="18"/>
                <w:lang w:val="es-ES_tradnl"/>
              </w:rPr>
            </w:pPr>
            <w:r>
              <w:rPr>
                <w:rFonts w:ascii="Verdana" w:hAnsi="Verdana" w:cs="Arial"/>
                <w:sz w:val="18"/>
                <w:szCs w:val="18"/>
                <w:lang w:val="es-ES_tradnl"/>
              </w:rPr>
              <w:t xml:space="preserve">Superficie </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002252" w14:textId="77777777" w:rsidR="00BA3CB2" w:rsidRDefault="00BA3CB2">
            <w:pPr>
              <w:jc w:val="center"/>
              <w:rPr>
                <w:rFonts w:ascii="Verdana" w:hAnsi="Verdana" w:cs="Arial"/>
                <w:sz w:val="18"/>
                <w:szCs w:val="18"/>
                <w:lang w:val="es-ES_tradnl"/>
              </w:rPr>
            </w:pPr>
            <w:r>
              <w:rPr>
                <w:rFonts w:ascii="Verdana" w:hAnsi="Verdana" w:cs="Arial"/>
                <w:sz w:val="18"/>
                <w:szCs w:val="18"/>
                <w:lang w:val="es-ES_tradnl"/>
              </w:rPr>
              <w:t>52.5 Km</w:t>
            </w:r>
            <w:r>
              <w:rPr>
                <w:rFonts w:ascii="Verdana" w:hAnsi="Verdana" w:cs="Arial"/>
                <w:sz w:val="18"/>
                <w:szCs w:val="18"/>
                <w:vertAlign w:val="superscript"/>
                <w:lang w:val="es-ES_tradnl"/>
              </w:rPr>
              <w:t>2</w:t>
            </w:r>
          </w:p>
        </w:tc>
      </w:tr>
      <w:tr w:rsidR="00BA3CB2" w14:paraId="7E8E6825" w14:textId="77777777" w:rsidTr="00BA3CB2">
        <w:trPr>
          <w:trHeight w:val="277"/>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5F3C1F" w14:textId="77777777" w:rsidR="00BA3CB2" w:rsidRDefault="00BA3CB2">
            <w:pPr>
              <w:rPr>
                <w:rFonts w:ascii="Verdana" w:hAnsi="Verdana" w:cs="Arial"/>
                <w:sz w:val="18"/>
                <w:szCs w:val="18"/>
                <w:lang w:val="es-ES_tradnl"/>
              </w:rPr>
            </w:pPr>
            <w:r>
              <w:rPr>
                <w:rFonts w:ascii="Verdana" w:hAnsi="Verdana" w:cs="Arial"/>
                <w:sz w:val="18"/>
                <w:szCs w:val="18"/>
                <w:lang w:val="es-ES_tradnl"/>
              </w:rPr>
              <w:t>Ubicación</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925331" w14:textId="77777777" w:rsidR="00BA3CB2" w:rsidRDefault="00BA3CB2">
            <w:pPr>
              <w:jc w:val="center"/>
              <w:rPr>
                <w:rFonts w:ascii="Verdana" w:hAnsi="Verdana" w:cs="Arial"/>
                <w:sz w:val="18"/>
                <w:szCs w:val="18"/>
                <w:lang w:val="es-ES_tradnl"/>
              </w:rPr>
            </w:pPr>
            <w:r>
              <w:rPr>
                <w:rFonts w:ascii="Verdana" w:hAnsi="Verdana" w:cs="Arial"/>
                <w:sz w:val="18"/>
                <w:szCs w:val="18"/>
                <w:lang w:val="es-ES_tradnl"/>
              </w:rPr>
              <w:t>12°35′00″N 81°42′00″O</w:t>
            </w:r>
            <w:r>
              <w:rPr>
                <w:rFonts w:ascii="Tahoma" w:hAnsi="Tahoma" w:cs="Tahoma"/>
                <w:sz w:val="18"/>
                <w:szCs w:val="18"/>
                <w:lang w:val="es-ES_tradnl"/>
              </w:rPr>
              <w:t>﻿</w:t>
            </w:r>
            <w:r>
              <w:rPr>
                <w:rFonts w:ascii="Verdana" w:hAnsi="Verdana" w:cs="Arial"/>
                <w:sz w:val="18"/>
                <w:szCs w:val="18"/>
                <w:lang w:val="es-ES_tradnl"/>
              </w:rPr>
              <w:t xml:space="preserve"> / </w:t>
            </w:r>
            <w:r>
              <w:rPr>
                <w:rFonts w:ascii="Tahoma" w:hAnsi="Tahoma" w:cs="Tahoma"/>
                <w:sz w:val="18"/>
                <w:szCs w:val="18"/>
                <w:lang w:val="es-ES_tradnl"/>
              </w:rPr>
              <w:t>﻿</w:t>
            </w:r>
            <w:r>
              <w:rPr>
                <w:rFonts w:ascii="Verdana" w:hAnsi="Verdana" w:cs="Arial"/>
                <w:sz w:val="18"/>
                <w:szCs w:val="18"/>
                <w:lang w:val="es-ES_tradnl"/>
              </w:rPr>
              <w:t>12.58333333, -81.7</w:t>
            </w:r>
          </w:p>
        </w:tc>
      </w:tr>
      <w:tr w:rsidR="00BA3CB2" w14:paraId="4AA5A46D" w14:textId="77777777" w:rsidTr="00BA3CB2">
        <w:trPr>
          <w:trHeight w:val="277"/>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3E62A1" w14:textId="77777777" w:rsidR="00BA3CB2" w:rsidRDefault="00BA3CB2">
            <w:pPr>
              <w:rPr>
                <w:rFonts w:ascii="Verdana" w:hAnsi="Verdana" w:cs="Arial"/>
                <w:sz w:val="18"/>
                <w:szCs w:val="18"/>
                <w:lang w:val="es-ES_tradnl"/>
              </w:rPr>
            </w:pPr>
            <w:r>
              <w:rPr>
                <w:rFonts w:ascii="Verdana" w:hAnsi="Verdana" w:cs="Arial"/>
                <w:sz w:val="18"/>
                <w:szCs w:val="18"/>
                <w:lang w:val="es-ES_tradnl"/>
              </w:rPr>
              <w:t>Distancia a tierra</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5A98D3" w14:textId="77777777" w:rsidR="00BA3CB2" w:rsidRDefault="00BA3CB2">
            <w:pPr>
              <w:jc w:val="center"/>
              <w:rPr>
                <w:rFonts w:ascii="Verdana" w:hAnsi="Verdana" w:cs="Arial"/>
                <w:sz w:val="18"/>
                <w:szCs w:val="18"/>
                <w:lang w:val="es-ES_tradnl"/>
              </w:rPr>
            </w:pPr>
            <w:r>
              <w:rPr>
                <w:rFonts w:ascii="Verdana" w:hAnsi="Verdana" w:cs="Arial"/>
                <w:sz w:val="18"/>
                <w:szCs w:val="18"/>
                <w:lang w:val="es-ES_tradnl"/>
              </w:rPr>
              <w:t xml:space="preserve">775 </w:t>
            </w:r>
            <w:proofErr w:type="gramStart"/>
            <w:r>
              <w:rPr>
                <w:rFonts w:ascii="Verdana" w:hAnsi="Verdana" w:cs="Arial"/>
                <w:sz w:val="18"/>
                <w:szCs w:val="18"/>
                <w:lang w:val="es-ES_tradnl"/>
              </w:rPr>
              <w:t>Km</w:t>
            </w:r>
            <w:proofErr w:type="gramEnd"/>
            <w:r>
              <w:rPr>
                <w:rFonts w:ascii="Verdana" w:hAnsi="Verdana" w:cs="Arial"/>
                <w:sz w:val="18"/>
                <w:szCs w:val="18"/>
                <w:lang w:val="es-ES_tradnl"/>
              </w:rPr>
              <w:t xml:space="preserve"> NO</w:t>
            </w:r>
          </w:p>
        </w:tc>
      </w:tr>
      <w:tr w:rsidR="00BA3CB2" w14:paraId="0A27AD6B" w14:textId="77777777" w:rsidTr="00BA3CB2">
        <w:trPr>
          <w:trHeight w:val="277"/>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A1D844" w14:textId="77777777" w:rsidR="00BA3CB2" w:rsidRDefault="00BA3CB2">
            <w:pPr>
              <w:rPr>
                <w:rFonts w:ascii="Verdana" w:hAnsi="Verdana" w:cs="Arial"/>
                <w:sz w:val="18"/>
                <w:szCs w:val="18"/>
                <w:lang w:val="es-ES_tradnl"/>
              </w:rPr>
            </w:pPr>
            <w:r>
              <w:rPr>
                <w:rFonts w:ascii="Verdana" w:hAnsi="Verdana" w:cs="Arial"/>
                <w:sz w:val="18"/>
                <w:szCs w:val="18"/>
                <w:lang w:val="es-ES_tradnl"/>
              </w:rPr>
              <w:t>Costo tarjeta de turismo</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F28D69" w14:textId="77777777" w:rsidR="00BA3CB2" w:rsidRDefault="00BA3CB2">
            <w:pPr>
              <w:jc w:val="center"/>
              <w:rPr>
                <w:rFonts w:ascii="Verdana" w:hAnsi="Verdana" w:cs="Arial"/>
                <w:sz w:val="18"/>
                <w:szCs w:val="18"/>
                <w:lang w:val="es-ES_tradnl"/>
              </w:rPr>
            </w:pPr>
            <w:r>
              <w:rPr>
                <w:rFonts w:ascii="Verdana" w:hAnsi="Verdana" w:cs="Arial"/>
                <w:sz w:val="18"/>
                <w:szCs w:val="18"/>
                <w:lang w:val="es-ES_tradnl"/>
              </w:rPr>
              <w:t>$116.800 hasta 2025</w:t>
            </w:r>
          </w:p>
        </w:tc>
      </w:tr>
    </w:tbl>
    <w:p w14:paraId="2F34A528" w14:textId="77777777" w:rsidR="00BA3CB2" w:rsidRDefault="00BA3CB2" w:rsidP="00BA3CB2">
      <w:pPr>
        <w:jc w:val="both"/>
        <w:rPr>
          <w:rFonts w:ascii="Verdana" w:hAnsi="Verdana" w:cs="Arial"/>
          <w:sz w:val="22"/>
          <w:szCs w:val="22"/>
          <w:lang w:val="es-CO"/>
        </w:rPr>
      </w:pPr>
    </w:p>
    <w:p w14:paraId="11B0CDB8" w14:textId="77777777" w:rsidR="00BA3CB2" w:rsidRDefault="00BA3CB2" w:rsidP="00BA3CB2">
      <w:pPr>
        <w:jc w:val="both"/>
        <w:rPr>
          <w:rFonts w:ascii="Verdana" w:hAnsi="Verdana" w:cs="Arial"/>
          <w:b/>
          <w:bCs/>
          <w:sz w:val="22"/>
          <w:szCs w:val="22"/>
          <w:lang w:val="es-CO"/>
        </w:rPr>
      </w:pPr>
    </w:p>
    <w:p w14:paraId="46D0CBAF" w14:textId="77777777" w:rsidR="00BA3CB2" w:rsidRDefault="00BA3CB2" w:rsidP="00BA3CB2">
      <w:pPr>
        <w:pStyle w:val="Prrafodelista"/>
        <w:numPr>
          <w:ilvl w:val="0"/>
          <w:numId w:val="5"/>
        </w:numPr>
        <w:jc w:val="both"/>
        <w:rPr>
          <w:rFonts w:ascii="Verdana" w:hAnsi="Verdana" w:cs="Arial"/>
          <w:b/>
          <w:bCs/>
          <w:sz w:val="22"/>
          <w:szCs w:val="22"/>
          <w:lang w:val="es-CO"/>
        </w:rPr>
      </w:pPr>
      <w:r>
        <w:rPr>
          <w:rFonts w:ascii="Verdana" w:hAnsi="Verdana" w:cs="Arial"/>
          <w:b/>
          <w:bCs/>
          <w:sz w:val="22"/>
          <w:szCs w:val="22"/>
          <w:lang w:val="es-CO"/>
        </w:rPr>
        <w:t>Componentes sectoriales</w:t>
      </w:r>
    </w:p>
    <w:p w14:paraId="5322C91F" w14:textId="77777777" w:rsidR="00BA3CB2" w:rsidRDefault="00BA3CB2" w:rsidP="00BA3CB2">
      <w:pPr>
        <w:pStyle w:val="Prrafodelista"/>
        <w:jc w:val="both"/>
        <w:rPr>
          <w:rFonts w:ascii="Verdana" w:hAnsi="Verdana" w:cs="Arial"/>
          <w:sz w:val="22"/>
          <w:szCs w:val="22"/>
          <w:lang w:val="es-CO"/>
        </w:rPr>
      </w:pPr>
    </w:p>
    <w:p w14:paraId="788A8E37"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Con respecto a la cobertura, calidad y continuidad en la prestación de los servicios, el informe de diagnóstico sectorial remitido por la Entidad Territorial mostró lo siguiente:</w:t>
      </w:r>
    </w:p>
    <w:p w14:paraId="767EB9A8" w14:textId="77777777" w:rsidR="00BA3CB2" w:rsidRDefault="00BA3CB2" w:rsidP="00BA3CB2">
      <w:pPr>
        <w:jc w:val="both"/>
        <w:rPr>
          <w:rFonts w:ascii="Verdana" w:hAnsi="Verdana" w:cs="Arial"/>
          <w:sz w:val="22"/>
          <w:szCs w:val="22"/>
          <w:lang w:val="es-CO"/>
        </w:rPr>
      </w:pPr>
    </w:p>
    <w:p w14:paraId="76A54E99"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 xml:space="preserve">Por otro lado, se evidencia que </w:t>
      </w:r>
      <w:r w:rsidR="000C007C">
        <w:rPr>
          <w:rFonts w:ascii="Verdana" w:hAnsi="Verdana" w:cs="Arial"/>
          <w:sz w:val="22"/>
          <w:szCs w:val="22"/>
          <w:lang w:val="es-CO"/>
        </w:rPr>
        <w:t>la entidad</w:t>
      </w:r>
      <w:r>
        <w:rPr>
          <w:rFonts w:ascii="Verdana" w:hAnsi="Verdana" w:cs="Arial"/>
          <w:sz w:val="22"/>
          <w:szCs w:val="22"/>
          <w:lang w:val="es-CO"/>
        </w:rPr>
        <w:t xml:space="preserve">, durante las vigencias 2021 y 2022 no reportó información al </w:t>
      </w:r>
      <w:r>
        <w:rPr>
          <w:rFonts w:ascii="Verdana" w:hAnsi="Verdana" w:cs="Arial"/>
          <w:i/>
          <w:iCs/>
          <w:sz w:val="22"/>
          <w:szCs w:val="22"/>
          <w:lang w:val="es-CO"/>
        </w:rPr>
        <w:t>Reporte de Estratificación y Coberturas - REC</w:t>
      </w:r>
      <w:r>
        <w:rPr>
          <w:rFonts w:ascii="Verdana" w:hAnsi="Verdana" w:cs="Arial"/>
          <w:sz w:val="22"/>
          <w:szCs w:val="22"/>
          <w:lang w:val="es-CO"/>
        </w:rPr>
        <w:t xml:space="preserve"> del Sistema Único de Información - SUI de la Superintendencia de Servicios Públicos Domiciliarios – SSPD, de acuerdo con el informe de Monitoreo 2021 y 2022 del MVCT:</w:t>
      </w:r>
    </w:p>
    <w:p w14:paraId="3EC54B6D" w14:textId="77777777" w:rsidR="00BA3CB2" w:rsidRDefault="00BA3CB2" w:rsidP="00BA3CB2">
      <w:pPr>
        <w:jc w:val="both"/>
        <w:rPr>
          <w:rFonts w:ascii="Verdana" w:hAnsi="Verdana" w:cs="Arial"/>
          <w:sz w:val="22"/>
          <w:szCs w:val="22"/>
          <w:highlight w:val="yellow"/>
          <w:lang w:val="es-CO"/>
        </w:rPr>
      </w:pPr>
    </w:p>
    <w:p w14:paraId="31EB7A94" w14:textId="77777777" w:rsidR="00BA3CB2" w:rsidRDefault="00BA3CB2" w:rsidP="00BA3CB2">
      <w:pPr>
        <w:jc w:val="center"/>
        <w:rPr>
          <w:rFonts w:ascii="Verdana" w:hAnsi="Verdana" w:cs="Arial"/>
          <w:b/>
          <w:bCs/>
          <w:sz w:val="22"/>
          <w:szCs w:val="22"/>
          <w:lang w:val="es-CO"/>
        </w:rPr>
      </w:pPr>
      <w:r>
        <w:rPr>
          <w:rFonts w:ascii="Verdana" w:hAnsi="Verdana" w:cs="Arial"/>
          <w:b/>
          <w:bCs/>
          <w:sz w:val="22"/>
          <w:szCs w:val="22"/>
          <w:lang w:val="es-CO"/>
        </w:rPr>
        <w:t>TABLA 3: Indicadores Sectoriales</w:t>
      </w:r>
    </w:p>
    <w:tbl>
      <w:tblPr>
        <w:tblStyle w:val="Tablaconcuadrcula"/>
        <w:tblW w:w="0" w:type="auto"/>
        <w:jc w:val="center"/>
        <w:tblLook w:val="04A0" w:firstRow="1" w:lastRow="0" w:firstColumn="1" w:lastColumn="0" w:noHBand="0" w:noVBand="1"/>
      </w:tblPr>
      <w:tblGrid>
        <w:gridCol w:w="1710"/>
        <w:gridCol w:w="754"/>
        <w:gridCol w:w="996"/>
        <w:gridCol w:w="1332"/>
        <w:gridCol w:w="1332"/>
      </w:tblGrid>
      <w:tr w:rsidR="00BA3CB2" w14:paraId="52C0D1E9" w14:textId="77777777" w:rsidTr="00BA3CB2">
        <w:trPr>
          <w:jc w:val="center"/>
        </w:trPr>
        <w:tc>
          <w:tcPr>
            <w:tcW w:w="1710" w:type="dxa"/>
            <w:vMerge w:val="restart"/>
            <w:tcBorders>
              <w:top w:val="single" w:sz="4" w:space="0" w:color="auto"/>
              <w:left w:val="single" w:sz="4" w:space="0" w:color="auto"/>
              <w:bottom w:val="single" w:sz="4" w:space="0" w:color="auto"/>
              <w:right w:val="single" w:sz="4" w:space="0" w:color="auto"/>
            </w:tcBorders>
            <w:hideMark/>
          </w:tcPr>
          <w:p w14:paraId="31CA3B69" w14:textId="77777777" w:rsidR="00BA3CB2" w:rsidRDefault="00BA3CB2">
            <w:pPr>
              <w:jc w:val="both"/>
              <w:rPr>
                <w:rFonts w:ascii="Verdana" w:hAnsi="Verdana" w:cs="Arial"/>
                <w:b/>
                <w:bCs/>
                <w:sz w:val="18"/>
                <w:szCs w:val="18"/>
                <w:lang w:val="es-CO"/>
              </w:rPr>
            </w:pPr>
            <w:r>
              <w:rPr>
                <w:rFonts w:ascii="Verdana" w:hAnsi="Verdana" w:cs="Arial"/>
                <w:b/>
                <w:bCs/>
                <w:sz w:val="18"/>
                <w:szCs w:val="18"/>
                <w:lang w:val="es-CO"/>
              </w:rPr>
              <w:t>Servicio/ Indicador</w:t>
            </w:r>
          </w:p>
        </w:tc>
        <w:tc>
          <w:tcPr>
            <w:tcW w:w="3082" w:type="dxa"/>
            <w:gridSpan w:val="3"/>
            <w:tcBorders>
              <w:top w:val="single" w:sz="4" w:space="0" w:color="auto"/>
              <w:left w:val="single" w:sz="4" w:space="0" w:color="auto"/>
              <w:bottom w:val="single" w:sz="4" w:space="0" w:color="auto"/>
              <w:right w:val="single" w:sz="4" w:space="0" w:color="auto"/>
            </w:tcBorders>
            <w:hideMark/>
          </w:tcPr>
          <w:p w14:paraId="3655F51A" w14:textId="77777777" w:rsidR="00BA3CB2" w:rsidRDefault="00BA3CB2">
            <w:pPr>
              <w:jc w:val="center"/>
              <w:rPr>
                <w:rFonts w:ascii="Verdana" w:hAnsi="Verdana" w:cs="Arial"/>
                <w:b/>
                <w:bCs/>
                <w:sz w:val="18"/>
                <w:szCs w:val="18"/>
                <w:lang w:val="es-CO"/>
              </w:rPr>
            </w:pPr>
            <w:r>
              <w:rPr>
                <w:rFonts w:ascii="Verdana" w:hAnsi="Verdana" w:cs="Arial"/>
                <w:b/>
                <w:bCs/>
                <w:sz w:val="18"/>
                <w:szCs w:val="18"/>
                <w:lang w:val="es-CO"/>
              </w:rPr>
              <w:t>Cobertura</w:t>
            </w:r>
          </w:p>
        </w:tc>
        <w:tc>
          <w:tcPr>
            <w:tcW w:w="1332" w:type="dxa"/>
            <w:tcBorders>
              <w:top w:val="single" w:sz="4" w:space="0" w:color="auto"/>
              <w:left w:val="single" w:sz="4" w:space="0" w:color="auto"/>
              <w:bottom w:val="single" w:sz="4" w:space="0" w:color="auto"/>
              <w:right w:val="single" w:sz="4" w:space="0" w:color="auto"/>
            </w:tcBorders>
            <w:hideMark/>
          </w:tcPr>
          <w:p w14:paraId="1AA8A4A3" w14:textId="77777777" w:rsidR="00BA3CB2" w:rsidRDefault="00BA3CB2">
            <w:pPr>
              <w:jc w:val="center"/>
              <w:rPr>
                <w:rFonts w:ascii="Verdana" w:hAnsi="Verdana" w:cs="Arial"/>
                <w:b/>
                <w:bCs/>
                <w:sz w:val="18"/>
                <w:szCs w:val="18"/>
                <w:lang w:val="es-CO"/>
              </w:rPr>
            </w:pPr>
            <w:r>
              <w:rPr>
                <w:rFonts w:ascii="Verdana" w:hAnsi="Verdana" w:cs="Arial"/>
                <w:b/>
                <w:bCs/>
                <w:sz w:val="18"/>
                <w:szCs w:val="18"/>
                <w:lang w:val="es-CO"/>
              </w:rPr>
              <w:t>Calidad (*)</w:t>
            </w:r>
          </w:p>
        </w:tc>
      </w:tr>
      <w:tr w:rsidR="00BA3CB2" w14:paraId="410639C5" w14:textId="77777777" w:rsidTr="00BA3C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1C989" w14:textId="77777777" w:rsidR="00BA3CB2" w:rsidRDefault="00BA3CB2">
            <w:pPr>
              <w:rPr>
                <w:rFonts w:ascii="Verdana" w:hAnsi="Verdana" w:cs="Arial"/>
                <w:b/>
                <w:bCs/>
                <w:sz w:val="18"/>
                <w:szCs w:val="18"/>
                <w:lang w:val="es-CO"/>
              </w:rPr>
            </w:pPr>
          </w:p>
        </w:tc>
        <w:tc>
          <w:tcPr>
            <w:tcW w:w="754" w:type="dxa"/>
            <w:tcBorders>
              <w:top w:val="single" w:sz="4" w:space="0" w:color="auto"/>
              <w:left w:val="single" w:sz="4" w:space="0" w:color="auto"/>
              <w:bottom w:val="single" w:sz="4" w:space="0" w:color="auto"/>
              <w:right w:val="single" w:sz="4" w:space="0" w:color="auto"/>
            </w:tcBorders>
            <w:hideMark/>
          </w:tcPr>
          <w:p w14:paraId="58DD6A34" w14:textId="77777777" w:rsidR="00BA3CB2" w:rsidRDefault="00BA3CB2">
            <w:pPr>
              <w:jc w:val="center"/>
              <w:rPr>
                <w:rFonts w:ascii="Verdana" w:hAnsi="Verdana" w:cs="Arial"/>
                <w:b/>
                <w:bCs/>
                <w:sz w:val="18"/>
                <w:szCs w:val="18"/>
                <w:lang w:val="es-CO"/>
              </w:rPr>
            </w:pPr>
            <w:r>
              <w:rPr>
                <w:rFonts w:ascii="Verdana" w:hAnsi="Verdana" w:cs="Arial"/>
                <w:b/>
                <w:bCs/>
                <w:sz w:val="18"/>
                <w:szCs w:val="18"/>
                <w:lang w:val="es-CO"/>
              </w:rPr>
              <w:t>2018</w:t>
            </w:r>
          </w:p>
        </w:tc>
        <w:tc>
          <w:tcPr>
            <w:tcW w:w="996" w:type="dxa"/>
            <w:tcBorders>
              <w:top w:val="single" w:sz="4" w:space="0" w:color="auto"/>
              <w:left w:val="single" w:sz="4" w:space="0" w:color="auto"/>
              <w:bottom w:val="single" w:sz="4" w:space="0" w:color="auto"/>
              <w:right w:val="single" w:sz="4" w:space="0" w:color="auto"/>
            </w:tcBorders>
            <w:hideMark/>
          </w:tcPr>
          <w:p w14:paraId="41403A23" w14:textId="77777777" w:rsidR="00BA3CB2" w:rsidRDefault="00BA3CB2">
            <w:pPr>
              <w:jc w:val="center"/>
              <w:rPr>
                <w:rFonts w:ascii="Verdana" w:hAnsi="Verdana" w:cs="Arial"/>
                <w:b/>
                <w:bCs/>
                <w:sz w:val="18"/>
                <w:szCs w:val="18"/>
                <w:lang w:val="es-CO"/>
              </w:rPr>
            </w:pPr>
            <w:r>
              <w:rPr>
                <w:rFonts w:ascii="Verdana" w:hAnsi="Verdana" w:cs="Arial"/>
                <w:b/>
                <w:bCs/>
                <w:sz w:val="18"/>
                <w:szCs w:val="18"/>
                <w:lang w:val="es-CO"/>
              </w:rPr>
              <w:t>2021</w:t>
            </w:r>
          </w:p>
        </w:tc>
        <w:tc>
          <w:tcPr>
            <w:tcW w:w="1332" w:type="dxa"/>
            <w:tcBorders>
              <w:top w:val="single" w:sz="4" w:space="0" w:color="auto"/>
              <w:left w:val="single" w:sz="4" w:space="0" w:color="auto"/>
              <w:bottom w:val="single" w:sz="4" w:space="0" w:color="auto"/>
              <w:right w:val="single" w:sz="4" w:space="0" w:color="auto"/>
            </w:tcBorders>
            <w:hideMark/>
          </w:tcPr>
          <w:p w14:paraId="5803241C" w14:textId="77777777" w:rsidR="00BA3CB2" w:rsidRDefault="00BA3CB2">
            <w:pPr>
              <w:jc w:val="center"/>
              <w:rPr>
                <w:rFonts w:ascii="Verdana" w:hAnsi="Verdana" w:cs="Arial"/>
                <w:b/>
                <w:bCs/>
                <w:sz w:val="18"/>
                <w:szCs w:val="18"/>
                <w:lang w:val="es-CO"/>
              </w:rPr>
            </w:pPr>
            <w:r>
              <w:rPr>
                <w:rFonts w:ascii="Verdana" w:hAnsi="Verdana" w:cs="Arial"/>
                <w:b/>
                <w:bCs/>
                <w:sz w:val="18"/>
                <w:szCs w:val="18"/>
                <w:lang w:val="es-CO"/>
              </w:rPr>
              <w:t>2022</w:t>
            </w:r>
          </w:p>
        </w:tc>
        <w:tc>
          <w:tcPr>
            <w:tcW w:w="1332" w:type="dxa"/>
            <w:tcBorders>
              <w:top w:val="single" w:sz="4" w:space="0" w:color="auto"/>
              <w:left w:val="single" w:sz="4" w:space="0" w:color="auto"/>
              <w:bottom w:val="single" w:sz="4" w:space="0" w:color="auto"/>
              <w:right w:val="single" w:sz="4" w:space="0" w:color="auto"/>
            </w:tcBorders>
            <w:hideMark/>
          </w:tcPr>
          <w:p w14:paraId="0B8D2662" w14:textId="77777777" w:rsidR="00BA3CB2" w:rsidRDefault="00BA3CB2">
            <w:pPr>
              <w:jc w:val="center"/>
              <w:rPr>
                <w:rFonts w:ascii="Verdana" w:hAnsi="Verdana" w:cs="Arial"/>
                <w:b/>
                <w:bCs/>
                <w:sz w:val="18"/>
                <w:szCs w:val="18"/>
                <w:lang w:val="es-CO"/>
              </w:rPr>
            </w:pPr>
            <w:r>
              <w:rPr>
                <w:rFonts w:ascii="Verdana" w:hAnsi="Verdana" w:cs="Arial"/>
                <w:b/>
                <w:bCs/>
                <w:sz w:val="18"/>
                <w:szCs w:val="18"/>
                <w:lang w:val="es-CO"/>
              </w:rPr>
              <w:t>2022</w:t>
            </w:r>
          </w:p>
        </w:tc>
      </w:tr>
      <w:tr w:rsidR="00BA3CB2" w14:paraId="4219251E" w14:textId="77777777" w:rsidTr="00BA3CB2">
        <w:trPr>
          <w:jc w:val="center"/>
        </w:trPr>
        <w:tc>
          <w:tcPr>
            <w:tcW w:w="1710" w:type="dxa"/>
            <w:tcBorders>
              <w:top w:val="single" w:sz="4" w:space="0" w:color="auto"/>
              <w:left w:val="single" w:sz="4" w:space="0" w:color="auto"/>
              <w:bottom w:val="single" w:sz="4" w:space="0" w:color="auto"/>
              <w:right w:val="single" w:sz="4" w:space="0" w:color="auto"/>
            </w:tcBorders>
            <w:hideMark/>
          </w:tcPr>
          <w:p w14:paraId="26E30EF0" w14:textId="77777777" w:rsidR="00BA3CB2" w:rsidRDefault="00BA3CB2">
            <w:pPr>
              <w:jc w:val="both"/>
              <w:rPr>
                <w:rFonts w:ascii="Verdana" w:hAnsi="Verdana" w:cs="Arial"/>
                <w:sz w:val="18"/>
                <w:szCs w:val="18"/>
                <w:lang w:val="es-CO"/>
              </w:rPr>
            </w:pPr>
            <w:r>
              <w:rPr>
                <w:rFonts w:ascii="Verdana" w:hAnsi="Verdana" w:cs="Arial"/>
                <w:sz w:val="18"/>
                <w:szCs w:val="18"/>
                <w:lang w:val="es-CO"/>
              </w:rPr>
              <w:t>Acueducto Urbano</w:t>
            </w:r>
          </w:p>
        </w:tc>
        <w:tc>
          <w:tcPr>
            <w:tcW w:w="754" w:type="dxa"/>
            <w:tcBorders>
              <w:top w:val="single" w:sz="4" w:space="0" w:color="auto"/>
              <w:left w:val="single" w:sz="4" w:space="0" w:color="auto"/>
              <w:bottom w:val="single" w:sz="4" w:space="0" w:color="auto"/>
              <w:right w:val="single" w:sz="4" w:space="0" w:color="auto"/>
            </w:tcBorders>
            <w:hideMark/>
          </w:tcPr>
          <w:p w14:paraId="6FC0D4E4" w14:textId="77777777" w:rsidR="00BA3CB2" w:rsidRDefault="00BA3CB2">
            <w:pPr>
              <w:jc w:val="center"/>
              <w:rPr>
                <w:rFonts w:ascii="Verdana" w:hAnsi="Verdana" w:cs="Arial"/>
                <w:sz w:val="18"/>
                <w:szCs w:val="18"/>
                <w:lang w:val="es-CO"/>
              </w:rPr>
            </w:pPr>
            <w:r>
              <w:rPr>
                <w:rFonts w:ascii="Verdana" w:hAnsi="Verdana" w:cs="Arial"/>
                <w:sz w:val="18"/>
                <w:szCs w:val="18"/>
                <w:lang w:val="es-CO"/>
              </w:rPr>
              <w:t>27%</w:t>
            </w:r>
          </w:p>
        </w:tc>
        <w:tc>
          <w:tcPr>
            <w:tcW w:w="996" w:type="dxa"/>
            <w:tcBorders>
              <w:top w:val="single" w:sz="4" w:space="0" w:color="auto"/>
              <w:left w:val="single" w:sz="4" w:space="0" w:color="auto"/>
              <w:bottom w:val="single" w:sz="4" w:space="0" w:color="auto"/>
              <w:right w:val="single" w:sz="4" w:space="0" w:color="auto"/>
            </w:tcBorders>
            <w:hideMark/>
          </w:tcPr>
          <w:p w14:paraId="53B42883" w14:textId="77777777" w:rsidR="00BA3CB2" w:rsidRDefault="00BA3CB2">
            <w:pPr>
              <w:jc w:val="both"/>
              <w:rPr>
                <w:rFonts w:ascii="Verdana" w:hAnsi="Verdana" w:cs="Arial"/>
                <w:sz w:val="18"/>
                <w:szCs w:val="18"/>
                <w:lang w:val="es-CO"/>
              </w:rPr>
            </w:pPr>
            <w:r>
              <w:rPr>
                <w:rFonts w:ascii="Verdana" w:hAnsi="Verdana" w:cs="Arial"/>
                <w:sz w:val="18"/>
                <w:szCs w:val="18"/>
                <w:lang w:val="es-CO"/>
              </w:rPr>
              <w:t>No reportó</w:t>
            </w:r>
          </w:p>
        </w:tc>
        <w:tc>
          <w:tcPr>
            <w:tcW w:w="1332" w:type="dxa"/>
            <w:tcBorders>
              <w:top w:val="single" w:sz="4" w:space="0" w:color="auto"/>
              <w:left w:val="single" w:sz="4" w:space="0" w:color="auto"/>
              <w:bottom w:val="single" w:sz="4" w:space="0" w:color="auto"/>
              <w:right w:val="single" w:sz="4" w:space="0" w:color="auto"/>
            </w:tcBorders>
            <w:hideMark/>
          </w:tcPr>
          <w:p w14:paraId="418302D4" w14:textId="77777777" w:rsidR="00BA3CB2" w:rsidRDefault="00BA3CB2">
            <w:pPr>
              <w:jc w:val="both"/>
              <w:rPr>
                <w:rFonts w:ascii="Verdana" w:hAnsi="Verdana" w:cs="Arial"/>
                <w:sz w:val="18"/>
                <w:szCs w:val="18"/>
                <w:lang w:val="es-CO"/>
              </w:rPr>
            </w:pPr>
            <w:r>
              <w:rPr>
                <w:rFonts w:ascii="Verdana" w:hAnsi="Verdana" w:cs="Arial"/>
                <w:sz w:val="18"/>
                <w:szCs w:val="18"/>
                <w:lang w:val="es-CO"/>
              </w:rPr>
              <w:t>Sin información</w:t>
            </w:r>
          </w:p>
        </w:tc>
        <w:tc>
          <w:tcPr>
            <w:tcW w:w="1332" w:type="dxa"/>
            <w:tcBorders>
              <w:top w:val="single" w:sz="4" w:space="0" w:color="auto"/>
              <w:left w:val="single" w:sz="4" w:space="0" w:color="auto"/>
              <w:bottom w:val="single" w:sz="4" w:space="0" w:color="auto"/>
              <w:right w:val="single" w:sz="4" w:space="0" w:color="auto"/>
            </w:tcBorders>
            <w:hideMark/>
          </w:tcPr>
          <w:p w14:paraId="5A1065AB" w14:textId="77777777" w:rsidR="00BA3CB2" w:rsidRDefault="00BA3CB2">
            <w:pPr>
              <w:jc w:val="both"/>
              <w:rPr>
                <w:rFonts w:ascii="Verdana" w:hAnsi="Verdana" w:cs="Arial"/>
                <w:sz w:val="18"/>
                <w:szCs w:val="18"/>
                <w:lang w:val="es-CO"/>
              </w:rPr>
            </w:pPr>
            <w:r>
              <w:rPr>
                <w:rFonts w:ascii="Verdana" w:hAnsi="Verdana" w:cs="Arial"/>
                <w:sz w:val="18"/>
                <w:szCs w:val="18"/>
                <w:lang w:val="es-CO"/>
              </w:rPr>
              <w:t>0,3% Sin riesgo</w:t>
            </w:r>
          </w:p>
        </w:tc>
      </w:tr>
      <w:tr w:rsidR="00BA3CB2" w14:paraId="6CAB8E38" w14:textId="77777777" w:rsidTr="00BA3CB2">
        <w:trPr>
          <w:jc w:val="center"/>
        </w:trPr>
        <w:tc>
          <w:tcPr>
            <w:tcW w:w="1710" w:type="dxa"/>
            <w:tcBorders>
              <w:top w:val="single" w:sz="4" w:space="0" w:color="auto"/>
              <w:left w:val="single" w:sz="4" w:space="0" w:color="auto"/>
              <w:bottom w:val="single" w:sz="4" w:space="0" w:color="auto"/>
              <w:right w:val="single" w:sz="4" w:space="0" w:color="auto"/>
            </w:tcBorders>
            <w:hideMark/>
          </w:tcPr>
          <w:p w14:paraId="59B1BB20" w14:textId="77777777" w:rsidR="00BA3CB2" w:rsidRDefault="00BA3CB2">
            <w:pPr>
              <w:jc w:val="both"/>
              <w:rPr>
                <w:rFonts w:ascii="Verdana" w:hAnsi="Verdana" w:cs="Arial"/>
                <w:sz w:val="18"/>
                <w:szCs w:val="18"/>
                <w:lang w:val="es-CO"/>
              </w:rPr>
            </w:pPr>
            <w:r>
              <w:rPr>
                <w:rFonts w:ascii="Verdana" w:hAnsi="Verdana" w:cs="Arial"/>
                <w:sz w:val="18"/>
                <w:szCs w:val="18"/>
                <w:lang w:val="es-CO"/>
              </w:rPr>
              <w:t>Acueducto Rural</w:t>
            </w:r>
          </w:p>
        </w:tc>
        <w:tc>
          <w:tcPr>
            <w:tcW w:w="754" w:type="dxa"/>
            <w:tcBorders>
              <w:top w:val="single" w:sz="4" w:space="0" w:color="auto"/>
              <w:left w:val="single" w:sz="4" w:space="0" w:color="auto"/>
              <w:bottom w:val="single" w:sz="4" w:space="0" w:color="auto"/>
              <w:right w:val="single" w:sz="4" w:space="0" w:color="auto"/>
            </w:tcBorders>
            <w:hideMark/>
          </w:tcPr>
          <w:p w14:paraId="1264A28E" w14:textId="77777777" w:rsidR="00BA3CB2" w:rsidRDefault="00BA3CB2">
            <w:pPr>
              <w:jc w:val="center"/>
              <w:rPr>
                <w:rFonts w:ascii="Verdana" w:hAnsi="Verdana" w:cs="Arial"/>
                <w:sz w:val="18"/>
                <w:szCs w:val="18"/>
                <w:lang w:val="es-CO"/>
              </w:rPr>
            </w:pPr>
            <w:r>
              <w:rPr>
                <w:rFonts w:ascii="Verdana" w:hAnsi="Verdana" w:cs="Arial"/>
                <w:sz w:val="18"/>
                <w:szCs w:val="18"/>
                <w:lang w:val="es-CO"/>
              </w:rPr>
              <w:t>39%</w:t>
            </w:r>
          </w:p>
        </w:tc>
        <w:tc>
          <w:tcPr>
            <w:tcW w:w="996" w:type="dxa"/>
            <w:tcBorders>
              <w:top w:val="single" w:sz="4" w:space="0" w:color="auto"/>
              <w:left w:val="single" w:sz="4" w:space="0" w:color="auto"/>
              <w:bottom w:val="single" w:sz="4" w:space="0" w:color="auto"/>
              <w:right w:val="single" w:sz="4" w:space="0" w:color="auto"/>
            </w:tcBorders>
            <w:hideMark/>
          </w:tcPr>
          <w:p w14:paraId="39BCD297" w14:textId="77777777" w:rsidR="00BA3CB2" w:rsidRDefault="00BA3CB2">
            <w:pPr>
              <w:jc w:val="both"/>
              <w:rPr>
                <w:rFonts w:ascii="Verdana" w:hAnsi="Verdana" w:cs="Arial"/>
                <w:sz w:val="18"/>
                <w:szCs w:val="18"/>
                <w:lang w:val="es-CO"/>
              </w:rPr>
            </w:pPr>
            <w:r>
              <w:rPr>
                <w:rFonts w:ascii="Verdana" w:hAnsi="Verdana" w:cs="Arial"/>
                <w:sz w:val="18"/>
                <w:szCs w:val="18"/>
                <w:lang w:val="es-CO"/>
              </w:rPr>
              <w:t>No reportó</w:t>
            </w:r>
          </w:p>
        </w:tc>
        <w:tc>
          <w:tcPr>
            <w:tcW w:w="1332" w:type="dxa"/>
            <w:tcBorders>
              <w:top w:val="single" w:sz="4" w:space="0" w:color="auto"/>
              <w:left w:val="single" w:sz="4" w:space="0" w:color="auto"/>
              <w:bottom w:val="single" w:sz="4" w:space="0" w:color="auto"/>
              <w:right w:val="single" w:sz="4" w:space="0" w:color="auto"/>
            </w:tcBorders>
            <w:hideMark/>
          </w:tcPr>
          <w:p w14:paraId="1BE7BCC1" w14:textId="77777777" w:rsidR="00BA3CB2" w:rsidRDefault="00BA3CB2">
            <w:pPr>
              <w:jc w:val="both"/>
              <w:rPr>
                <w:rFonts w:ascii="Verdana" w:hAnsi="Verdana" w:cs="Arial"/>
                <w:sz w:val="18"/>
                <w:szCs w:val="18"/>
                <w:lang w:val="es-CO"/>
              </w:rPr>
            </w:pPr>
            <w:r>
              <w:rPr>
                <w:rFonts w:ascii="Verdana" w:hAnsi="Verdana" w:cs="Arial"/>
                <w:sz w:val="18"/>
                <w:szCs w:val="18"/>
                <w:lang w:val="es-CO"/>
              </w:rPr>
              <w:t>Sin información</w:t>
            </w:r>
          </w:p>
        </w:tc>
        <w:tc>
          <w:tcPr>
            <w:tcW w:w="1332" w:type="dxa"/>
            <w:tcBorders>
              <w:top w:val="single" w:sz="4" w:space="0" w:color="auto"/>
              <w:left w:val="single" w:sz="4" w:space="0" w:color="auto"/>
              <w:bottom w:val="single" w:sz="4" w:space="0" w:color="auto"/>
              <w:right w:val="single" w:sz="4" w:space="0" w:color="auto"/>
            </w:tcBorders>
            <w:hideMark/>
          </w:tcPr>
          <w:p w14:paraId="2441000C" w14:textId="77777777" w:rsidR="00BA3CB2" w:rsidRDefault="00BA3CB2">
            <w:pPr>
              <w:jc w:val="both"/>
              <w:rPr>
                <w:rFonts w:ascii="Verdana" w:hAnsi="Verdana" w:cs="Arial"/>
                <w:sz w:val="18"/>
                <w:szCs w:val="18"/>
                <w:lang w:val="es-CO"/>
              </w:rPr>
            </w:pPr>
            <w:r>
              <w:rPr>
                <w:rFonts w:ascii="Verdana" w:hAnsi="Verdana" w:cs="Arial"/>
                <w:sz w:val="18"/>
                <w:szCs w:val="18"/>
                <w:lang w:val="es-CO"/>
              </w:rPr>
              <w:t>4% % Sin riesgo</w:t>
            </w:r>
          </w:p>
        </w:tc>
      </w:tr>
      <w:tr w:rsidR="00BA3CB2" w14:paraId="6F703089" w14:textId="77777777" w:rsidTr="00BA3CB2">
        <w:trPr>
          <w:jc w:val="center"/>
        </w:trPr>
        <w:tc>
          <w:tcPr>
            <w:tcW w:w="1710" w:type="dxa"/>
            <w:tcBorders>
              <w:top w:val="single" w:sz="4" w:space="0" w:color="auto"/>
              <w:left w:val="single" w:sz="4" w:space="0" w:color="auto"/>
              <w:bottom w:val="single" w:sz="4" w:space="0" w:color="auto"/>
              <w:right w:val="single" w:sz="4" w:space="0" w:color="auto"/>
            </w:tcBorders>
            <w:hideMark/>
          </w:tcPr>
          <w:p w14:paraId="0C7BED96" w14:textId="77777777" w:rsidR="00BA3CB2" w:rsidRDefault="00BA3CB2">
            <w:pPr>
              <w:jc w:val="both"/>
              <w:rPr>
                <w:rFonts w:ascii="Verdana" w:hAnsi="Verdana" w:cs="Arial"/>
                <w:sz w:val="18"/>
                <w:szCs w:val="18"/>
                <w:lang w:val="es-CO"/>
              </w:rPr>
            </w:pPr>
            <w:r>
              <w:rPr>
                <w:rFonts w:ascii="Verdana" w:hAnsi="Verdana" w:cs="Arial"/>
                <w:sz w:val="18"/>
                <w:szCs w:val="18"/>
                <w:lang w:val="es-CO"/>
              </w:rPr>
              <w:t>Alcantarillado Urbano</w:t>
            </w:r>
          </w:p>
        </w:tc>
        <w:tc>
          <w:tcPr>
            <w:tcW w:w="754" w:type="dxa"/>
            <w:tcBorders>
              <w:top w:val="single" w:sz="4" w:space="0" w:color="auto"/>
              <w:left w:val="single" w:sz="4" w:space="0" w:color="auto"/>
              <w:bottom w:val="single" w:sz="4" w:space="0" w:color="auto"/>
              <w:right w:val="single" w:sz="4" w:space="0" w:color="auto"/>
            </w:tcBorders>
            <w:hideMark/>
          </w:tcPr>
          <w:p w14:paraId="0956550F" w14:textId="77777777" w:rsidR="00BA3CB2" w:rsidRDefault="00BA3CB2">
            <w:pPr>
              <w:jc w:val="center"/>
              <w:rPr>
                <w:rFonts w:ascii="Verdana" w:hAnsi="Verdana" w:cs="Arial"/>
                <w:sz w:val="18"/>
                <w:szCs w:val="18"/>
                <w:lang w:val="es-CO"/>
              </w:rPr>
            </w:pPr>
            <w:r>
              <w:rPr>
                <w:rFonts w:ascii="Verdana" w:hAnsi="Verdana" w:cs="Arial"/>
                <w:sz w:val="18"/>
                <w:szCs w:val="18"/>
                <w:lang w:val="es-CO"/>
              </w:rPr>
              <w:t>23%</w:t>
            </w:r>
          </w:p>
        </w:tc>
        <w:tc>
          <w:tcPr>
            <w:tcW w:w="996" w:type="dxa"/>
            <w:tcBorders>
              <w:top w:val="single" w:sz="4" w:space="0" w:color="auto"/>
              <w:left w:val="single" w:sz="4" w:space="0" w:color="auto"/>
              <w:bottom w:val="single" w:sz="4" w:space="0" w:color="auto"/>
              <w:right w:val="single" w:sz="4" w:space="0" w:color="auto"/>
            </w:tcBorders>
            <w:hideMark/>
          </w:tcPr>
          <w:p w14:paraId="5009D174" w14:textId="77777777" w:rsidR="00BA3CB2" w:rsidRDefault="00BA3CB2">
            <w:pPr>
              <w:jc w:val="both"/>
              <w:rPr>
                <w:rFonts w:ascii="Verdana" w:hAnsi="Verdana" w:cs="Arial"/>
                <w:sz w:val="18"/>
                <w:szCs w:val="18"/>
                <w:lang w:val="es-CO"/>
              </w:rPr>
            </w:pPr>
            <w:r>
              <w:rPr>
                <w:rFonts w:ascii="Verdana" w:hAnsi="Verdana" w:cs="Arial"/>
                <w:sz w:val="18"/>
                <w:szCs w:val="18"/>
                <w:lang w:val="es-CO"/>
              </w:rPr>
              <w:t>No reportó</w:t>
            </w:r>
          </w:p>
        </w:tc>
        <w:tc>
          <w:tcPr>
            <w:tcW w:w="1332" w:type="dxa"/>
            <w:tcBorders>
              <w:top w:val="single" w:sz="4" w:space="0" w:color="auto"/>
              <w:left w:val="single" w:sz="4" w:space="0" w:color="auto"/>
              <w:bottom w:val="single" w:sz="4" w:space="0" w:color="auto"/>
              <w:right w:val="single" w:sz="4" w:space="0" w:color="auto"/>
            </w:tcBorders>
            <w:hideMark/>
          </w:tcPr>
          <w:p w14:paraId="23B5210A" w14:textId="77777777" w:rsidR="00BA3CB2" w:rsidRDefault="00BA3CB2">
            <w:pPr>
              <w:jc w:val="both"/>
              <w:rPr>
                <w:rFonts w:ascii="Verdana" w:hAnsi="Verdana" w:cs="Arial"/>
                <w:sz w:val="18"/>
                <w:szCs w:val="18"/>
                <w:lang w:val="es-CO"/>
              </w:rPr>
            </w:pPr>
            <w:r>
              <w:rPr>
                <w:rFonts w:ascii="Verdana" w:hAnsi="Verdana" w:cs="Arial"/>
                <w:sz w:val="18"/>
                <w:szCs w:val="18"/>
                <w:lang w:val="es-CO"/>
              </w:rPr>
              <w:t>Sin información</w:t>
            </w:r>
          </w:p>
        </w:tc>
        <w:tc>
          <w:tcPr>
            <w:tcW w:w="1332" w:type="dxa"/>
            <w:tcBorders>
              <w:top w:val="single" w:sz="4" w:space="0" w:color="auto"/>
              <w:left w:val="single" w:sz="4" w:space="0" w:color="auto"/>
              <w:bottom w:val="single" w:sz="4" w:space="0" w:color="auto"/>
              <w:right w:val="single" w:sz="4" w:space="0" w:color="auto"/>
            </w:tcBorders>
          </w:tcPr>
          <w:p w14:paraId="76C14490" w14:textId="77777777" w:rsidR="00BA3CB2" w:rsidRDefault="00BA3CB2">
            <w:pPr>
              <w:jc w:val="both"/>
              <w:rPr>
                <w:rFonts w:ascii="Verdana" w:hAnsi="Verdana" w:cs="Arial"/>
                <w:sz w:val="18"/>
                <w:szCs w:val="18"/>
                <w:lang w:val="es-CO"/>
              </w:rPr>
            </w:pPr>
          </w:p>
        </w:tc>
      </w:tr>
      <w:tr w:rsidR="00BA3CB2" w14:paraId="1A6325DC" w14:textId="77777777" w:rsidTr="00BA3CB2">
        <w:trPr>
          <w:jc w:val="center"/>
        </w:trPr>
        <w:tc>
          <w:tcPr>
            <w:tcW w:w="1710" w:type="dxa"/>
            <w:tcBorders>
              <w:top w:val="single" w:sz="4" w:space="0" w:color="auto"/>
              <w:left w:val="single" w:sz="4" w:space="0" w:color="auto"/>
              <w:bottom w:val="single" w:sz="4" w:space="0" w:color="auto"/>
              <w:right w:val="single" w:sz="4" w:space="0" w:color="auto"/>
            </w:tcBorders>
            <w:hideMark/>
          </w:tcPr>
          <w:p w14:paraId="3E02EB16" w14:textId="77777777" w:rsidR="00BA3CB2" w:rsidRDefault="00BA3CB2">
            <w:pPr>
              <w:jc w:val="both"/>
              <w:rPr>
                <w:rFonts w:ascii="Verdana" w:hAnsi="Verdana" w:cs="Arial"/>
                <w:sz w:val="18"/>
                <w:szCs w:val="18"/>
                <w:lang w:val="es-CO"/>
              </w:rPr>
            </w:pPr>
            <w:r>
              <w:rPr>
                <w:rFonts w:ascii="Verdana" w:hAnsi="Verdana" w:cs="Arial"/>
                <w:sz w:val="18"/>
                <w:szCs w:val="18"/>
                <w:lang w:val="es-CO"/>
              </w:rPr>
              <w:t>Alcantarillado Rural</w:t>
            </w:r>
          </w:p>
        </w:tc>
        <w:tc>
          <w:tcPr>
            <w:tcW w:w="754" w:type="dxa"/>
            <w:tcBorders>
              <w:top w:val="single" w:sz="4" w:space="0" w:color="auto"/>
              <w:left w:val="single" w:sz="4" w:space="0" w:color="auto"/>
              <w:bottom w:val="single" w:sz="4" w:space="0" w:color="auto"/>
              <w:right w:val="single" w:sz="4" w:space="0" w:color="auto"/>
            </w:tcBorders>
            <w:hideMark/>
          </w:tcPr>
          <w:p w14:paraId="11017373" w14:textId="77777777" w:rsidR="00BA3CB2" w:rsidRDefault="00BA3CB2">
            <w:pPr>
              <w:jc w:val="center"/>
              <w:rPr>
                <w:rFonts w:ascii="Verdana" w:hAnsi="Verdana" w:cs="Arial"/>
                <w:sz w:val="18"/>
                <w:szCs w:val="18"/>
                <w:lang w:val="es-CO"/>
              </w:rPr>
            </w:pPr>
            <w:r>
              <w:rPr>
                <w:rFonts w:ascii="Verdana" w:hAnsi="Verdana" w:cs="Arial"/>
                <w:sz w:val="18"/>
                <w:szCs w:val="18"/>
                <w:lang w:val="es-CO"/>
              </w:rPr>
              <w:t>5%</w:t>
            </w:r>
          </w:p>
        </w:tc>
        <w:tc>
          <w:tcPr>
            <w:tcW w:w="996" w:type="dxa"/>
            <w:tcBorders>
              <w:top w:val="single" w:sz="4" w:space="0" w:color="auto"/>
              <w:left w:val="single" w:sz="4" w:space="0" w:color="auto"/>
              <w:bottom w:val="single" w:sz="4" w:space="0" w:color="auto"/>
              <w:right w:val="single" w:sz="4" w:space="0" w:color="auto"/>
            </w:tcBorders>
            <w:hideMark/>
          </w:tcPr>
          <w:p w14:paraId="7FB6CF0D" w14:textId="77777777" w:rsidR="00BA3CB2" w:rsidRDefault="00BA3CB2">
            <w:pPr>
              <w:jc w:val="both"/>
              <w:rPr>
                <w:rFonts w:ascii="Verdana" w:hAnsi="Verdana" w:cs="Arial"/>
                <w:sz w:val="18"/>
                <w:szCs w:val="18"/>
                <w:lang w:val="es-CO"/>
              </w:rPr>
            </w:pPr>
            <w:r>
              <w:rPr>
                <w:rFonts w:ascii="Verdana" w:hAnsi="Verdana" w:cs="Arial"/>
                <w:sz w:val="18"/>
                <w:szCs w:val="18"/>
                <w:lang w:val="es-CO"/>
              </w:rPr>
              <w:t>No reportó</w:t>
            </w:r>
          </w:p>
        </w:tc>
        <w:tc>
          <w:tcPr>
            <w:tcW w:w="1332" w:type="dxa"/>
            <w:tcBorders>
              <w:top w:val="single" w:sz="4" w:space="0" w:color="auto"/>
              <w:left w:val="single" w:sz="4" w:space="0" w:color="auto"/>
              <w:bottom w:val="single" w:sz="4" w:space="0" w:color="auto"/>
              <w:right w:val="single" w:sz="4" w:space="0" w:color="auto"/>
            </w:tcBorders>
            <w:hideMark/>
          </w:tcPr>
          <w:p w14:paraId="2332227B" w14:textId="77777777" w:rsidR="00BA3CB2" w:rsidRDefault="00BA3CB2">
            <w:pPr>
              <w:jc w:val="both"/>
              <w:rPr>
                <w:rFonts w:ascii="Verdana" w:hAnsi="Verdana" w:cs="Arial"/>
                <w:sz w:val="18"/>
                <w:szCs w:val="18"/>
                <w:lang w:val="es-CO"/>
              </w:rPr>
            </w:pPr>
            <w:r>
              <w:rPr>
                <w:rFonts w:ascii="Verdana" w:hAnsi="Verdana" w:cs="Arial"/>
                <w:sz w:val="18"/>
                <w:szCs w:val="18"/>
                <w:lang w:val="es-CO"/>
              </w:rPr>
              <w:t>Sin información</w:t>
            </w:r>
          </w:p>
        </w:tc>
        <w:tc>
          <w:tcPr>
            <w:tcW w:w="1332" w:type="dxa"/>
            <w:tcBorders>
              <w:top w:val="single" w:sz="4" w:space="0" w:color="auto"/>
              <w:left w:val="single" w:sz="4" w:space="0" w:color="auto"/>
              <w:bottom w:val="single" w:sz="4" w:space="0" w:color="auto"/>
              <w:right w:val="single" w:sz="4" w:space="0" w:color="auto"/>
            </w:tcBorders>
          </w:tcPr>
          <w:p w14:paraId="55618CCB" w14:textId="77777777" w:rsidR="00BA3CB2" w:rsidRDefault="00BA3CB2">
            <w:pPr>
              <w:jc w:val="both"/>
              <w:rPr>
                <w:rFonts w:ascii="Verdana" w:hAnsi="Verdana" w:cs="Arial"/>
                <w:sz w:val="18"/>
                <w:szCs w:val="18"/>
                <w:lang w:val="es-CO"/>
              </w:rPr>
            </w:pPr>
          </w:p>
        </w:tc>
      </w:tr>
      <w:tr w:rsidR="00BA3CB2" w14:paraId="2D57F8B3" w14:textId="77777777" w:rsidTr="00BA3CB2">
        <w:trPr>
          <w:jc w:val="center"/>
        </w:trPr>
        <w:tc>
          <w:tcPr>
            <w:tcW w:w="1710" w:type="dxa"/>
            <w:tcBorders>
              <w:top w:val="single" w:sz="4" w:space="0" w:color="auto"/>
              <w:left w:val="single" w:sz="4" w:space="0" w:color="auto"/>
              <w:bottom w:val="single" w:sz="4" w:space="0" w:color="auto"/>
              <w:right w:val="single" w:sz="4" w:space="0" w:color="auto"/>
            </w:tcBorders>
            <w:hideMark/>
          </w:tcPr>
          <w:p w14:paraId="68B021CA" w14:textId="77777777" w:rsidR="00BA3CB2" w:rsidRDefault="00BA3CB2">
            <w:pPr>
              <w:jc w:val="both"/>
              <w:rPr>
                <w:rFonts w:ascii="Verdana" w:hAnsi="Verdana" w:cs="Arial"/>
                <w:sz w:val="18"/>
                <w:szCs w:val="18"/>
                <w:lang w:val="es-CO"/>
              </w:rPr>
            </w:pPr>
            <w:r>
              <w:rPr>
                <w:rFonts w:ascii="Verdana" w:hAnsi="Verdana" w:cs="Arial"/>
                <w:sz w:val="18"/>
                <w:szCs w:val="18"/>
                <w:lang w:val="es-CO"/>
              </w:rPr>
              <w:t>Aseo Urbano</w:t>
            </w:r>
          </w:p>
        </w:tc>
        <w:tc>
          <w:tcPr>
            <w:tcW w:w="754" w:type="dxa"/>
            <w:tcBorders>
              <w:top w:val="single" w:sz="4" w:space="0" w:color="auto"/>
              <w:left w:val="single" w:sz="4" w:space="0" w:color="auto"/>
              <w:bottom w:val="single" w:sz="4" w:space="0" w:color="auto"/>
              <w:right w:val="single" w:sz="4" w:space="0" w:color="auto"/>
            </w:tcBorders>
            <w:hideMark/>
          </w:tcPr>
          <w:p w14:paraId="480D3D6A" w14:textId="77777777" w:rsidR="00BA3CB2" w:rsidRDefault="00BA3CB2">
            <w:pPr>
              <w:jc w:val="center"/>
              <w:rPr>
                <w:rFonts w:ascii="Verdana" w:hAnsi="Verdana" w:cs="Arial"/>
                <w:sz w:val="18"/>
                <w:szCs w:val="18"/>
                <w:lang w:val="es-CO"/>
              </w:rPr>
            </w:pPr>
            <w:r>
              <w:rPr>
                <w:rFonts w:ascii="Verdana" w:hAnsi="Verdana" w:cs="Arial"/>
                <w:sz w:val="18"/>
                <w:szCs w:val="18"/>
                <w:lang w:val="es-CO"/>
              </w:rPr>
              <w:t>100%</w:t>
            </w:r>
          </w:p>
        </w:tc>
        <w:tc>
          <w:tcPr>
            <w:tcW w:w="996" w:type="dxa"/>
            <w:tcBorders>
              <w:top w:val="single" w:sz="4" w:space="0" w:color="auto"/>
              <w:left w:val="single" w:sz="4" w:space="0" w:color="auto"/>
              <w:bottom w:val="single" w:sz="4" w:space="0" w:color="auto"/>
              <w:right w:val="single" w:sz="4" w:space="0" w:color="auto"/>
            </w:tcBorders>
            <w:hideMark/>
          </w:tcPr>
          <w:p w14:paraId="3EF9EF17" w14:textId="77777777" w:rsidR="00BA3CB2" w:rsidRDefault="00BA3CB2">
            <w:pPr>
              <w:jc w:val="both"/>
              <w:rPr>
                <w:rFonts w:ascii="Verdana" w:hAnsi="Verdana" w:cs="Arial"/>
                <w:sz w:val="18"/>
                <w:szCs w:val="18"/>
                <w:lang w:val="es-CO"/>
              </w:rPr>
            </w:pPr>
            <w:r>
              <w:rPr>
                <w:rFonts w:ascii="Verdana" w:hAnsi="Verdana" w:cs="Arial"/>
                <w:sz w:val="18"/>
                <w:szCs w:val="18"/>
                <w:lang w:val="es-CO"/>
              </w:rPr>
              <w:t>No reportó</w:t>
            </w:r>
          </w:p>
        </w:tc>
        <w:tc>
          <w:tcPr>
            <w:tcW w:w="1332" w:type="dxa"/>
            <w:tcBorders>
              <w:top w:val="single" w:sz="4" w:space="0" w:color="auto"/>
              <w:left w:val="single" w:sz="4" w:space="0" w:color="auto"/>
              <w:bottom w:val="single" w:sz="4" w:space="0" w:color="auto"/>
              <w:right w:val="single" w:sz="4" w:space="0" w:color="auto"/>
            </w:tcBorders>
            <w:hideMark/>
          </w:tcPr>
          <w:p w14:paraId="15560832" w14:textId="77777777" w:rsidR="00BA3CB2" w:rsidRDefault="00BA3CB2">
            <w:pPr>
              <w:jc w:val="both"/>
              <w:rPr>
                <w:rFonts w:ascii="Verdana" w:hAnsi="Verdana" w:cs="Arial"/>
                <w:sz w:val="18"/>
                <w:szCs w:val="18"/>
                <w:lang w:val="es-CO"/>
              </w:rPr>
            </w:pPr>
            <w:r>
              <w:rPr>
                <w:rFonts w:ascii="Verdana" w:hAnsi="Verdana" w:cs="Arial"/>
                <w:sz w:val="18"/>
                <w:szCs w:val="18"/>
                <w:lang w:val="es-CO"/>
              </w:rPr>
              <w:t>Sin información</w:t>
            </w:r>
          </w:p>
        </w:tc>
        <w:tc>
          <w:tcPr>
            <w:tcW w:w="1332" w:type="dxa"/>
            <w:tcBorders>
              <w:top w:val="single" w:sz="4" w:space="0" w:color="auto"/>
              <w:left w:val="single" w:sz="4" w:space="0" w:color="auto"/>
              <w:bottom w:val="single" w:sz="4" w:space="0" w:color="auto"/>
              <w:right w:val="single" w:sz="4" w:space="0" w:color="auto"/>
            </w:tcBorders>
          </w:tcPr>
          <w:p w14:paraId="20851A8B" w14:textId="77777777" w:rsidR="00BA3CB2" w:rsidRDefault="00BA3CB2">
            <w:pPr>
              <w:jc w:val="both"/>
              <w:rPr>
                <w:rFonts w:ascii="Verdana" w:hAnsi="Verdana" w:cs="Arial"/>
                <w:sz w:val="18"/>
                <w:szCs w:val="18"/>
                <w:lang w:val="es-CO"/>
              </w:rPr>
            </w:pPr>
          </w:p>
        </w:tc>
      </w:tr>
    </w:tbl>
    <w:p w14:paraId="22ECB954" w14:textId="77777777" w:rsidR="00BA3CB2" w:rsidRDefault="00BA3CB2" w:rsidP="00BA3CB2">
      <w:pPr>
        <w:jc w:val="center"/>
        <w:rPr>
          <w:rFonts w:ascii="Verdana" w:hAnsi="Verdana" w:cs="Arial"/>
          <w:sz w:val="16"/>
          <w:szCs w:val="16"/>
          <w:lang w:val="es-CO"/>
        </w:rPr>
      </w:pPr>
      <w:r>
        <w:rPr>
          <w:rFonts w:ascii="Verdana" w:hAnsi="Verdana" w:cs="Arial"/>
          <w:sz w:val="16"/>
          <w:szCs w:val="16"/>
          <w:lang w:val="es-CO"/>
        </w:rPr>
        <w:t>Fuente: MVCT - Informe de Monitoreo. (*) Información reportada por la E.T. al SINAS</w:t>
      </w:r>
    </w:p>
    <w:p w14:paraId="6E8E9E3C" w14:textId="77777777" w:rsidR="00BA3CB2" w:rsidRDefault="00BA3CB2" w:rsidP="00BA3CB2">
      <w:pPr>
        <w:jc w:val="both"/>
        <w:rPr>
          <w:rFonts w:ascii="Verdana" w:hAnsi="Verdana" w:cs="Arial"/>
          <w:sz w:val="22"/>
          <w:szCs w:val="22"/>
          <w:highlight w:val="yellow"/>
          <w:lang w:val="es-CO"/>
        </w:rPr>
      </w:pPr>
    </w:p>
    <w:p w14:paraId="70595204"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lastRenderedPageBreak/>
        <w:t>La continuidad en la prestación del servicio de acueducto a nivel urbano para 2021 fue de 7.6 hora/día, siendo una continuidad insuficiente, para 2022 el informe de monitoreo está sin información. La meta de continuidad en el Plan de Desarrollo a 2023 fue de 9 horas/día.</w:t>
      </w:r>
    </w:p>
    <w:p w14:paraId="2DAC44C9" w14:textId="77777777" w:rsidR="00BA3CB2" w:rsidRDefault="00BA3CB2" w:rsidP="00BA3CB2">
      <w:pPr>
        <w:jc w:val="both"/>
        <w:rPr>
          <w:rFonts w:ascii="Verdana" w:hAnsi="Verdana" w:cs="Arial"/>
          <w:sz w:val="22"/>
          <w:szCs w:val="22"/>
          <w:lang w:val="es-CO"/>
        </w:rPr>
      </w:pPr>
    </w:p>
    <w:p w14:paraId="44D7AB0F"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En cuanto a la prestación del servicio de aseo, el informe de monitoreo 2022 manifestó que a 2021 se disponían en el relleno sanitario Magic Garden 74 ton/día.</w:t>
      </w:r>
    </w:p>
    <w:p w14:paraId="20CA48B3" w14:textId="77777777" w:rsidR="00BA3CB2" w:rsidRDefault="00BA3CB2" w:rsidP="00BA3CB2">
      <w:pPr>
        <w:jc w:val="both"/>
        <w:rPr>
          <w:rFonts w:ascii="Verdana" w:hAnsi="Verdana" w:cs="Arial"/>
          <w:sz w:val="22"/>
          <w:szCs w:val="22"/>
          <w:lang w:val="es-CO"/>
        </w:rPr>
      </w:pPr>
    </w:p>
    <w:p w14:paraId="0B53C43C" w14:textId="77777777" w:rsidR="00BA3CB2" w:rsidRDefault="00BA3CB2" w:rsidP="00BA3CB2">
      <w:pPr>
        <w:jc w:val="both"/>
        <w:rPr>
          <w:rFonts w:ascii="Verdana" w:hAnsi="Verdana" w:cs="Arial"/>
          <w:sz w:val="22"/>
          <w:szCs w:val="22"/>
          <w:lang w:val="es-CO"/>
        </w:rPr>
      </w:pPr>
    </w:p>
    <w:p w14:paraId="279BF708" w14:textId="77777777" w:rsidR="00BA3CB2" w:rsidRDefault="00BA3CB2" w:rsidP="00BA3CB2">
      <w:pPr>
        <w:jc w:val="both"/>
        <w:rPr>
          <w:rFonts w:ascii="Verdana" w:hAnsi="Verdana" w:cs="Arial"/>
          <w:sz w:val="22"/>
          <w:szCs w:val="22"/>
          <w:lang w:val="es-CO"/>
        </w:rPr>
      </w:pPr>
    </w:p>
    <w:p w14:paraId="2560C174" w14:textId="77777777" w:rsidR="00BA3CB2" w:rsidRDefault="00BA3CB2" w:rsidP="00BA3CB2">
      <w:pPr>
        <w:pStyle w:val="Ttulo1"/>
        <w:numPr>
          <w:ilvl w:val="0"/>
          <w:numId w:val="3"/>
        </w:numPr>
        <w:spacing w:before="0"/>
        <w:jc w:val="both"/>
        <w:rPr>
          <w:rFonts w:ascii="Verdana" w:hAnsi="Verdana" w:cs="Arial"/>
          <w:color w:val="auto"/>
          <w:sz w:val="22"/>
          <w:szCs w:val="22"/>
          <w:lang w:val="es-CO"/>
        </w:rPr>
      </w:pPr>
      <w:r>
        <w:rPr>
          <w:rFonts w:ascii="Verdana" w:hAnsi="Verdana" w:cs="Arial"/>
          <w:b/>
          <w:color w:val="auto"/>
          <w:sz w:val="22"/>
          <w:szCs w:val="22"/>
          <w:lang w:val="es-CO"/>
        </w:rPr>
        <w:t>ANÁLISIS FINANCIERO</w:t>
      </w:r>
    </w:p>
    <w:p w14:paraId="0BEA46ED" w14:textId="77777777" w:rsidR="00BA3CB2" w:rsidRDefault="00BA3CB2" w:rsidP="00BA3CB2">
      <w:pPr>
        <w:pStyle w:val="Ttulo2"/>
        <w:spacing w:before="0"/>
        <w:jc w:val="both"/>
        <w:rPr>
          <w:rFonts w:ascii="Verdana" w:hAnsi="Verdana" w:cs="Arial"/>
          <w:b/>
          <w:color w:val="auto"/>
          <w:sz w:val="22"/>
          <w:szCs w:val="22"/>
          <w:lang w:val="es-CO"/>
        </w:rPr>
      </w:pPr>
    </w:p>
    <w:p w14:paraId="35AFA606" w14:textId="77777777" w:rsidR="00BA3CB2" w:rsidRDefault="00BA3CB2" w:rsidP="00BA3CB2">
      <w:pPr>
        <w:pStyle w:val="Ttulo2"/>
        <w:spacing w:before="0"/>
        <w:jc w:val="both"/>
        <w:rPr>
          <w:rFonts w:ascii="Verdana" w:hAnsi="Verdana" w:cs="Arial"/>
          <w:b/>
          <w:color w:val="auto"/>
          <w:sz w:val="22"/>
          <w:szCs w:val="22"/>
          <w:lang w:val="es-CO"/>
        </w:rPr>
      </w:pPr>
      <w:r>
        <w:rPr>
          <w:rFonts w:ascii="Verdana" w:hAnsi="Verdana" w:cs="Arial"/>
          <w:b/>
          <w:color w:val="auto"/>
          <w:sz w:val="22"/>
          <w:szCs w:val="22"/>
          <w:lang w:val="es-CO"/>
        </w:rPr>
        <w:t>Ingresos.</w:t>
      </w:r>
    </w:p>
    <w:p w14:paraId="2E81094D" w14:textId="77777777" w:rsidR="00BA3CB2" w:rsidRDefault="00BA3CB2" w:rsidP="00BA3CB2">
      <w:pPr>
        <w:rPr>
          <w:rFonts w:ascii="Verdana" w:hAnsi="Verdana"/>
          <w:sz w:val="22"/>
          <w:szCs w:val="22"/>
          <w:lang w:val="es-CO"/>
        </w:rPr>
      </w:pPr>
    </w:p>
    <w:p w14:paraId="274E8FA3" w14:textId="77777777" w:rsidR="00BA3CB2" w:rsidRDefault="00BA3CB2" w:rsidP="00BA3CB2">
      <w:pPr>
        <w:rPr>
          <w:rFonts w:ascii="Verdana" w:hAnsi="Verdana"/>
          <w:sz w:val="22"/>
          <w:szCs w:val="22"/>
          <w:lang w:val="es-CO"/>
        </w:rPr>
      </w:pPr>
    </w:p>
    <w:p w14:paraId="0BE930B1" w14:textId="77777777" w:rsidR="00BA3CB2" w:rsidRDefault="00BA3CB2" w:rsidP="00BA3CB2">
      <w:pPr>
        <w:jc w:val="both"/>
        <w:rPr>
          <w:rFonts w:ascii="Verdana" w:hAnsi="Verdana" w:cs="Arial"/>
          <w:sz w:val="22"/>
          <w:szCs w:val="22"/>
          <w:lang w:val="es-ES_tradnl"/>
        </w:rPr>
      </w:pPr>
      <w:r>
        <w:rPr>
          <w:rFonts w:ascii="Verdana" w:hAnsi="Verdana" w:cs="Arial"/>
          <w:sz w:val="22"/>
          <w:szCs w:val="22"/>
          <w:lang w:val="es-ES_tradnl"/>
        </w:rPr>
        <w:t>A</w:t>
      </w:r>
      <w:r w:rsidR="000C007C">
        <w:rPr>
          <w:rFonts w:ascii="Verdana" w:hAnsi="Verdana" w:cs="Arial"/>
          <w:sz w:val="22"/>
          <w:szCs w:val="22"/>
          <w:lang w:val="es-ES_tradnl"/>
        </w:rPr>
        <w:t xml:space="preserve"> </w:t>
      </w:r>
      <w:r>
        <w:rPr>
          <w:rFonts w:ascii="Verdana" w:hAnsi="Verdana" w:cs="Arial"/>
          <w:sz w:val="22"/>
          <w:szCs w:val="22"/>
          <w:lang w:val="es-ES_tradnl"/>
        </w:rPr>
        <w:t>l</w:t>
      </w:r>
      <w:r w:rsidR="000C007C">
        <w:rPr>
          <w:rFonts w:ascii="Verdana" w:hAnsi="Verdana" w:cs="Arial"/>
          <w:sz w:val="22"/>
          <w:szCs w:val="22"/>
          <w:lang w:val="es-ES_tradnl"/>
        </w:rPr>
        <w:t>a entidad</w:t>
      </w:r>
      <w:r>
        <w:rPr>
          <w:rFonts w:ascii="Verdana" w:hAnsi="Verdana" w:cs="Arial"/>
          <w:sz w:val="22"/>
          <w:szCs w:val="22"/>
          <w:lang w:val="es-ES_tradnl"/>
        </w:rPr>
        <w:t xml:space="preserve"> le son asignados recursos del Sistema General de Participaciones para Agua Potable y Saneamiento Básico - SGP-APSB como departamento y como municipio.</w:t>
      </w:r>
    </w:p>
    <w:p w14:paraId="0BFDACED" w14:textId="77777777" w:rsidR="00BA3CB2" w:rsidRDefault="00BA3CB2" w:rsidP="00BA3CB2">
      <w:pPr>
        <w:jc w:val="both"/>
        <w:rPr>
          <w:rFonts w:ascii="Verdana" w:hAnsi="Verdana" w:cs="Arial"/>
          <w:sz w:val="22"/>
          <w:szCs w:val="22"/>
          <w:lang w:val="es-ES_tradnl"/>
        </w:rPr>
      </w:pPr>
    </w:p>
    <w:p w14:paraId="1DDFC389" w14:textId="77777777" w:rsidR="00BA3CB2" w:rsidRDefault="00BA3CB2" w:rsidP="00BA3CB2">
      <w:pPr>
        <w:jc w:val="center"/>
        <w:rPr>
          <w:rFonts w:ascii="Verdana" w:hAnsi="Verdana"/>
          <w:b/>
          <w:bCs/>
          <w:sz w:val="22"/>
          <w:szCs w:val="22"/>
          <w:lang w:val="es-ES_tradnl"/>
        </w:rPr>
      </w:pPr>
      <w:r>
        <w:rPr>
          <w:rFonts w:ascii="Verdana" w:hAnsi="Verdana"/>
          <w:b/>
          <w:bCs/>
          <w:sz w:val="22"/>
          <w:szCs w:val="22"/>
          <w:lang w:val="es-ES_tradnl"/>
        </w:rPr>
        <w:t>TABLA 4: INGRESOS SGP APSB</w:t>
      </w:r>
    </w:p>
    <w:tbl>
      <w:tblPr>
        <w:tblStyle w:val="Tablaconcuadrcula1"/>
        <w:tblW w:w="5388" w:type="dxa"/>
        <w:jc w:val="center"/>
        <w:tblInd w:w="0" w:type="dxa"/>
        <w:tblCellMar>
          <w:top w:w="37" w:type="dxa"/>
          <w:left w:w="67" w:type="dxa"/>
          <w:right w:w="29" w:type="dxa"/>
        </w:tblCellMar>
        <w:tblLook w:val="04A0" w:firstRow="1" w:lastRow="0" w:firstColumn="1" w:lastColumn="0" w:noHBand="0" w:noVBand="1"/>
      </w:tblPr>
      <w:tblGrid>
        <w:gridCol w:w="2566"/>
        <w:gridCol w:w="1411"/>
        <w:gridCol w:w="1411"/>
      </w:tblGrid>
      <w:tr w:rsidR="00BA3CB2" w14:paraId="0CE9404F" w14:textId="77777777" w:rsidTr="00BA3CB2">
        <w:trPr>
          <w:trHeight w:val="490"/>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vAlign w:val="center"/>
            <w:hideMark/>
          </w:tcPr>
          <w:p w14:paraId="2C5D2488" w14:textId="77777777" w:rsidR="00BA3CB2" w:rsidRDefault="00BA3CB2">
            <w:pPr>
              <w:rPr>
                <w:rFonts w:ascii="Verdana" w:hAnsi="Verdana" w:cs="Arial"/>
                <w:sz w:val="18"/>
                <w:szCs w:val="18"/>
                <w:lang w:val="es-ES_tradnl"/>
              </w:rPr>
            </w:pPr>
            <w:r>
              <w:rPr>
                <w:rFonts w:ascii="Verdana" w:hAnsi="Verdana" w:cs="Arial"/>
                <w:b/>
                <w:sz w:val="18"/>
                <w:szCs w:val="18"/>
                <w:lang w:val="es-ES_tradnl"/>
              </w:rPr>
              <w:t xml:space="preserve">  </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0C4F2D02" w14:textId="77777777" w:rsidR="00BA3CB2" w:rsidRDefault="00BA3CB2">
            <w:pPr>
              <w:jc w:val="center"/>
              <w:rPr>
                <w:rFonts w:ascii="Verdana" w:hAnsi="Verdana" w:cs="Arial"/>
                <w:b/>
                <w:sz w:val="18"/>
                <w:szCs w:val="18"/>
                <w:lang w:val="es-ES_tradnl"/>
              </w:rPr>
            </w:pPr>
            <w:r>
              <w:rPr>
                <w:rFonts w:ascii="Verdana" w:hAnsi="Verdana" w:cs="Arial"/>
                <w:b/>
                <w:sz w:val="18"/>
                <w:szCs w:val="18"/>
                <w:lang w:val="es-ES_tradnl"/>
              </w:rPr>
              <w:t>Ejecución presupuestal 2021</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547E50A9" w14:textId="77777777" w:rsidR="00BA3CB2" w:rsidRDefault="00BA3CB2">
            <w:pPr>
              <w:jc w:val="center"/>
              <w:rPr>
                <w:rFonts w:ascii="Verdana" w:hAnsi="Verdana" w:cs="Arial"/>
                <w:b/>
                <w:sz w:val="18"/>
                <w:szCs w:val="18"/>
                <w:lang w:val="es-ES_tradnl"/>
              </w:rPr>
            </w:pPr>
            <w:r>
              <w:rPr>
                <w:rFonts w:ascii="Verdana" w:hAnsi="Verdana" w:cs="Arial"/>
                <w:b/>
                <w:sz w:val="18"/>
                <w:szCs w:val="18"/>
                <w:lang w:val="es-ES_tradnl"/>
              </w:rPr>
              <w:t>Ejecución presupuestal 2022</w:t>
            </w:r>
          </w:p>
        </w:tc>
      </w:tr>
      <w:tr w:rsidR="00BA3CB2" w14:paraId="77AAAE8D" w14:textId="77777777" w:rsidTr="00BA3CB2">
        <w:trPr>
          <w:trHeight w:val="304"/>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hideMark/>
          </w:tcPr>
          <w:p w14:paraId="6B54D32A" w14:textId="77777777" w:rsidR="00BA3CB2" w:rsidRDefault="00BA3CB2">
            <w:pPr>
              <w:rPr>
                <w:rFonts w:ascii="Verdana" w:hAnsi="Verdana" w:cs="Arial"/>
                <w:sz w:val="18"/>
                <w:szCs w:val="18"/>
                <w:lang w:val="es-ES_tradnl"/>
              </w:rPr>
            </w:pPr>
            <w:r>
              <w:rPr>
                <w:rFonts w:ascii="Verdana" w:hAnsi="Verdana" w:cs="Arial"/>
                <w:b/>
                <w:sz w:val="18"/>
                <w:szCs w:val="18"/>
                <w:lang w:val="es-ES_tradnl"/>
              </w:rPr>
              <w:t xml:space="preserve">Ingresos Corrientes APSB </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3035E280" w14:textId="77777777" w:rsidR="00BA3CB2" w:rsidRDefault="00BA3CB2">
            <w:pPr>
              <w:ind w:left="46"/>
              <w:contextualSpacing/>
              <w:jc w:val="center"/>
              <w:rPr>
                <w:rFonts w:ascii="Verdana" w:hAnsi="Verdana" w:cs="Arial"/>
                <w:sz w:val="18"/>
                <w:szCs w:val="18"/>
                <w:lang w:val="es-ES_tradnl"/>
              </w:rPr>
            </w:pP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1E3F263D" w14:textId="77777777" w:rsidR="00BA3CB2" w:rsidRDefault="00BA3CB2">
            <w:pPr>
              <w:ind w:left="46"/>
              <w:contextualSpacing/>
              <w:jc w:val="center"/>
              <w:rPr>
                <w:rFonts w:ascii="Verdana" w:hAnsi="Verdana" w:cs="Arial"/>
                <w:b/>
                <w:bCs/>
                <w:sz w:val="18"/>
                <w:szCs w:val="18"/>
                <w:lang w:val="es-ES_tradnl"/>
              </w:rPr>
            </w:pPr>
          </w:p>
        </w:tc>
      </w:tr>
      <w:tr w:rsidR="00BA3CB2" w14:paraId="4C34A493" w14:textId="77777777" w:rsidTr="00BA3CB2">
        <w:trPr>
          <w:trHeight w:val="301"/>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hideMark/>
          </w:tcPr>
          <w:p w14:paraId="69F7407F" w14:textId="77777777" w:rsidR="00BA3CB2" w:rsidRDefault="00BA3CB2">
            <w:pPr>
              <w:rPr>
                <w:rFonts w:ascii="Verdana" w:hAnsi="Verdana" w:cs="Arial"/>
                <w:sz w:val="18"/>
                <w:szCs w:val="18"/>
                <w:lang w:val="es-ES_tradnl"/>
              </w:rPr>
            </w:pPr>
            <w:r>
              <w:rPr>
                <w:rFonts w:ascii="Verdana" w:hAnsi="Verdana" w:cs="Arial"/>
                <w:sz w:val="18"/>
                <w:szCs w:val="18"/>
                <w:lang w:val="es-ES_tradnl"/>
              </w:rPr>
              <w:t xml:space="preserve">Participación APSB Municipio </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4D7229EB" w14:textId="77777777" w:rsidR="00BA3CB2" w:rsidRDefault="00BA3CB2">
            <w:pPr>
              <w:ind w:left="3"/>
              <w:contextualSpacing/>
              <w:jc w:val="center"/>
              <w:rPr>
                <w:rFonts w:ascii="Verdana" w:hAnsi="Verdana" w:cs="Arial"/>
                <w:sz w:val="18"/>
                <w:szCs w:val="18"/>
                <w:lang w:val="es-ES_tradnl"/>
              </w:rPr>
            </w:pPr>
            <w:r>
              <w:rPr>
                <w:rFonts w:ascii="Verdana" w:hAnsi="Verdana" w:cs="Arial"/>
                <w:sz w:val="18"/>
                <w:szCs w:val="18"/>
                <w:lang w:val="es-ES_tradnl"/>
              </w:rPr>
              <w:t>3.269</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2FBEF7C9" w14:textId="77777777" w:rsidR="00BA3CB2" w:rsidRDefault="00BA3CB2">
            <w:pPr>
              <w:ind w:left="3"/>
              <w:contextualSpacing/>
              <w:jc w:val="center"/>
              <w:rPr>
                <w:rFonts w:ascii="Verdana" w:hAnsi="Verdana" w:cs="Arial"/>
                <w:sz w:val="18"/>
                <w:szCs w:val="18"/>
                <w:lang w:val="es-ES_tradnl"/>
              </w:rPr>
            </w:pPr>
            <w:r>
              <w:rPr>
                <w:rFonts w:ascii="Verdana" w:hAnsi="Verdana" w:cs="Arial"/>
                <w:sz w:val="18"/>
                <w:szCs w:val="18"/>
                <w:lang w:val="es-ES_tradnl"/>
              </w:rPr>
              <w:t>3.009</w:t>
            </w:r>
          </w:p>
        </w:tc>
      </w:tr>
      <w:tr w:rsidR="00BA3CB2" w14:paraId="4D0D0A08" w14:textId="77777777" w:rsidTr="00BA3CB2">
        <w:trPr>
          <w:trHeight w:val="293"/>
          <w:jc w:val="center"/>
        </w:trPr>
        <w:tc>
          <w:tcPr>
            <w:tcW w:w="2566" w:type="dxa"/>
            <w:tcBorders>
              <w:top w:val="nil"/>
              <w:left w:val="single" w:sz="8" w:space="0" w:color="666699"/>
              <w:bottom w:val="single" w:sz="8" w:space="0" w:color="666699"/>
              <w:right w:val="single" w:sz="8" w:space="0" w:color="000000"/>
            </w:tcBorders>
            <w:shd w:val="clear" w:color="auto" w:fill="FFFFFF" w:themeFill="background1"/>
            <w:hideMark/>
          </w:tcPr>
          <w:p w14:paraId="1A9A6AFB" w14:textId="77777777" w:rsidR="00BA3CB2" w:rsidRDefault="00BA3CB2">
            <w:pPr>
              <w:rPr>
                <w:rFonts w:ascii="Verdana" w:hAnsi="Verdana" w:cs="Arial"/>
                <w:sz w:val="18"/>
                <w:szCs w:val="18"/>
                <w:lang w:val="es-ES_tradnl"/>
              </w:rPr>
            </w:pPr>
            <w:r>
              <w:rPr>
                <w:rFonts w:ascii="Verdana" w:hAnsi="Verdana" w:cs="Arial"/>
                <w:sz w:val="18"/>
                <w:szCs w:val="18"/>
                <w:lang w:val="es-ES_tradnl"/>
              </w:rPr>
              <w:t xml:space="preserve">Participación APSB Departamento </w:t>
            </w:r>
          </w:p>
        </w:tc>
        <w:tc>
          <w:tcPr>
            <w:tcW w:w="1411" w:type="dxa"/>
            <w:tcBorders>
              <w:top w:val="nil"/>
              <w:left w:val="single" w:sz="8" w:space="0" w:color="000000"/>
              <w:bottom w:val="single" w:sz="8" w:space="0" w:color="60497A"/>
              <w:right w:val="single" w:sz="8" w:space="0" w:color="000000"/>
            </w:tcBorders>
            <w:shd w:val="clear" w:color="auto" w:fill="FFFFFF" w:themeFill="background1"/>
            <w:hideMark/>
          </w:tcPr>
          <w:p w14:paraId="3106CEEA" w14:textId="77777777" w:rsidR="00BA3CB2" w:rsidRDefault="00BA3CB2">
            <w:pPr>
              <w:ind w:left="4"/>
              <w:contextualSpacing/>
              <w:jc w:val="center"/>
              <w:rPr>
                <w:rFonts w:ascii="Verdana" w:hAnsi="Verdana" w:cs="Arial"/>
                <w:sz w:val="18"/>
                <w:szCs w:val="18"/>
                <w:lang w:val="es-ES_tradnl"/>
              </w:rPr>
            </w:pPr>
            <w:r>
              <w:rPr>
                <w:rFonts w:ascii="Verdana" w:hAnsi="Verdana" w:cs="Arial"/>
                <w:sz w:val="18"/>
                <w:szCs w:val="18"/>
                <w:lang w:val="es-ES_tradnl"/>
              </w:rPr>
              <w:t>778</w:t>
            </w:r>
          </w:p>
        </w:tc>
        <w:tc>
          <w:tcPr>
            <w:tcW w:w="1411" w:type="dxa"/>
            <w:tcBorders>
              <w:top w:val="nil"/>
              <w:left w:val="single" w:sz="8" w:space="0" w:color="000000"/>
              <w:bottom w:val="single" w:sz="8" w:space="0" w:color="60497A"/>
              <w:right w:val="single" w:sz="8" w:space="0" w:color="000000"/>
            </w:tcBorders>
            <w:shd w:val="clear" w:color="auto" w:fill="FFFFFF" w:themeFill="background1"/>
            <w:hideMark/>
          </w:tcPr>
          <w:p w14:paraId="6D3CB588" w14:textId="77777777" w:rsidR="00BA3CB2" w:rsidRDefault="00BA3CB2">
            <w:pPr>
              <w:ind w:left="4"/>
              <w:contextualSpacing/>
              <w:jc w:val="center"/>
              <w:rPr>
                <w:rFonts w:ascii="Verdana" w:hAnsi="Verdana" w:cs="Arial"/>
                <w:sz w:val="18"/>
                <w:szCs w:val="18"/>
                <w:lang w:val="es-ES_tradnl"/>
              </w:rPr>
            </w:pPr>
            <w:r>
              <w:rPr>
                <w:rFonts w:ascii="Verdana" w:hAnsi="Verdana" w:cs="Arial"/>
                <w:sz w:val="18"/>
                <w:szCs w:val="18"/>
                <w:lang w:val="es-ES_tradnl"/>
              </w:rPr>
              <w:t>1.019</w:t>
            </w:r>
          </w:p>
        </w:tc>
      </w:tr>
      <w:tr w:rsidR="00BA3CB2" w14:paraId="17B2B33B" w14:textId="77777777" w:rsidTr="00BA3CB2">
        <w:trPr>
          <w:trHeight w:val="304"/>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hideMark/>
          </w:tcPr>
          <w:p w14:paraId="0846B6D7" w14:textId="77777777" w:rsidR="00BA3CB2" w:rsidRDefault="00BA3CB2">
            <w:pPr>
              <w:rPr>
                <w:rFonts w:ascii="Verdana" w:hAnsi="Verdana" w:cs="Arial"/>
                <w:sz w:val="18"/>
                <w:szCs w:val="18"/>
                <w:lang w:val="es-ES_tradnl"/>
              </w:rPr>
            </w:pPr>
            <w:r>
              <w:rPr>
                <w:rFonts w:ascii="Verdana" w:hAnsi="Verdana" w:cs="Arial"/>
                <w:b/>
                <w:sz w:val="18"/>
                <w:szCs w:val="18"/>
                <w:lang w:val="es-ES_tradnl"/>
              </w:rPr>
              <w:t xml:space="preserve">Recursos de Capital APSB </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1BE11918" w14:textId="77777777" w:rsidR="00BA3CB2" w:rsidRDefault="00BA3CB2">
            <w:pPr>
              <w:ind w:left="4"/>
              <w:contextualSpacing/>
              <w:jc w:val="center"/>
              <w:rPr>
                <w:rFonts w:ascii="Verdana" w:hAnsi="Verdana" w:cs="Arial"/>
                <w:sz w:val="18"/>
                <w:szCs w:val="18"/>
                <w:lang w:val="es-ES_tradnl"/>
              </w:rPr>
            </w:pP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258C7008" w14:textId="77777777" w:rsidR="00BA3CB2" w:rsidRDefault="00BA3CB2">
            <w:pPr>
              <w:ind w:left="4"/>
              <w:contextualSpacing/>
              <w:jc w:val="center"/>
              <w:rPr>
                <w:rFonts w:ascii="Verdana" w:hAnsi="Verdana" w:cs="Arial"/>
                <w:sz w:val="18"/>
                <w:szCs w:val="18"/>
                <w:lang w:val="es-ES_tradnl"/>
              </w:rPr>
            </w:pPr>
          </w:p>
        </w:tc>
      </w:tr>
      <w:tr w:rsidR="00BA3CB2" w14:paraId="78C667C4" w14:textId="77777777" w:rsidTr="00BA3CB2">
        <w:trPr>
          <w:trHeight w:val="304"/>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hideMark/>
          </w:tcPr>
          <w:p w14:paraId="3D92AD7C" w14:textId="77777777" w:rsidR="00BA3CB2" w:rsidRDefault="00BA3CB2">
            <w:pPr>
              <w:rPr>
                <w:rFonts w:ascii="Verdana" w:hAnsi="Verdana" w:cs="Arial"/>
                <w:b/>
                <w:bCs/>
                <w:sz w:val="18"/>
                <w:szCs w:val="18"/>
                <w:lang w:val="es-ES_tradnl"/>
              </w:rPr>
            </w:pPr>
            <w:r>
              <w:rPr>
                <w:rFonts w:ascii="Verdana" w:hAnsi="Verdana" w:cs="Arial"/>
                <w:sz w:val="18"/>
                <w:szCs w:val="18"/>
                <w:lang w:val="es-ES_tradnl"/>
              </w:rPr>
              <w:t>Rendimientos financieros</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3F1639BA" w14:textId="77777777" w:rsidR="00BA3CB2" w:rsidRDefault="00BA3CB2">
            <w:pPr>
              <w:ind w:right="39"/>
              <w:contextualSpacing/>
              <w:jc w:val="center"/>
              <w:rPr>
                <w:rFonts w:ascii="Verdana" w:hAnsi="Verdana" w:cs="Arial"/>
                <w:sz w:val="18"/>
                <w:szCs w:val="18"/>
                <w:lang w:val="es-ES_tradnl"/>
              </w:rPr>
            </w:pPr>
            <w:r>
              <w:rPr>
                <w:rFonts w:ascii="Verdana" w:hAnsi="Verdana" w:cs="Arial"/>
                <w:sz w:val="18"/>
                <w:szCs w:val="18"/>
                <w:lang w:val="es-ES_tradnl"/>
              </w:rPr>
              <w:t>26</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52B15994" w14:textId="77777777" w:rsidR="00BA3CB2" w:rsidRDefault="00BA3CB2">
            <w:pPr>
              <w:ind w:right="39"/>
              <w:contextualSpacing/>
              <w:jc w:val="center"/>
              <w:rPr>
                <w:rFonts w:ascii="Verdana" w:hAnsi="Verdana" w:cs="Arial"/>
                <w:sz w:val="18"/>
                <w:szCs w:val="18"/>
                <w:lang w:val="es-ES_tradnl"/>
              </w:rPr>
            </w:pPr>
          </w:p>
        </w:tc>
      </w:tr>
      <w:tr w:rsidR="00BA3CB2" w14:paraId="3C4EE9FC" w14:textId="77777777" w:rsidTr="00BA3CB2">
        <w:trPr>
          <w:trHeight w:val="304"/>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hideMark/>
          </w:tcPr>
          <w:p w14:paraId="6E87C4B5" w14:textId="77777777" w:rsidR="00BA3CB2" w:rsidRDefault="00BA3CB2">
            <w:pPr>
              <w:rPr>
                <w:rFonts w:ascii="Verdana" w:hAnsi="Verdana" w:cs="Arial"/>
                <w:sz w:val="18"/>
                <w:szCs w:val="18"/>
                <w:lang w:val="es-ES_tradnl"/>
              </w:rPr>
            </w:pPr>
            <w:r>
              <w:rPr>
                <w:rFonts w:ascii="Verdana" w:hAnsi="Verdana" w:cs="Arial"/>
                <w:sz w:val="18"/>
                <w:szCs w:val="18"/>
                <w:lang w:val="es-ES_tradnl"/>
              </w:rPr>
              <w:t>Recursos del Balance</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6992535B" w14:textId="77777777" w:rsidR="00BA3CB2" w:rsidRDefault="00BA3CB2">
            <w:pPr>
              <w:ind w:right="39"/>
              <w:contextualSpacing/>
              <w:jc w:val="center"/>
              <w:rPr>
                <w:rFonts w:ascii="Verdana" w:hAnsi="Verdana" w:cs="Arial"/>
                <w:sz w:val="18"/>
                <w:szCs w:val="18"/>
                <w:lang w:val="es-ES_tradnl"/>
              </w:rPr>
            </w:pPr>
            <w:r>
              <w:rPr>
                <w:rFonts w:ascii="Verdana" w:hAnsi="Verdana" w:cs="Arial"/>
                <w:sz w:val="18"/>
                <w:szCs w:val="18"/>
                <w:lang w:val="es-ES_tradnl"/>
              </w:rPr>
              <w:t>7.414</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2D94B0C9" w14:textId="77777777" w:rsidR="00BA3CB2" w:rsidRDefault="00BA3CB2">
            <w:pPr>
              <w:ind w:right="39"/>
              <w:contextualSpacing/>
              <w:jc w:val="center"/>
              <w:rPr>
                <w:rFonts w:ascii="Verdana" w:hAnsi="Verdana" w:cs="Arial"/>
                <w:sz w:val="18"/>
                <w:szCs w:val="18"/>
                <w:lang w:val="es-ES_tradnl"/>
              </w:rPr>
            </w:pPr>
          </w:p>
        </w:tc>
      </w:tr>
      <w:tr w:rsidR="00BA3CB2" w14:paraId="295D8CEB" w14:textId="77777777" w:rsidTr="00BA3CB2">
        <w:trPr>
          <w:trHeight w:val="304"/>
          <w:jc w:val="center"/>
        </w:trPr>
        <w:tc>
          <w:tcPr>
            <w:tcW w:w="2566" w:type="dxa"/>
            <w:tcBorders>
              <w:top w:val="single" w:sz="8" w:space="0" w:color="666699"/>
              <w:left w:val="single" w:sz="8" w:space="0" w:color="666699"/>
              <w:bottom w:val="single" w:sz="8" w:space="0" w:color="666699"/>
              <w:right w:val="single" w:sz="8" w:space="0" w:color="000000"/>
            </w:tcBorders>
            <w:shd w:val="clear" w:color="auto" w:fill="FFFFFF" w:themeFill="background1"/>
            <w:hideMark/>
          </w:tcPr>
          <w:p w14:paraId="3A732FA8" w14:textId="77777777" w:rsidR="00BA3CB2" w:rsidRDefault="00BA3CB2">
            <w:pPr>
              <w:rPr>
                <w:rFonts w:ascii="Verdana" w:hAnsi="Verdana" w:cs="Arial"/>
                <w:sz w:val="18"/>
                <w:szCs w:val="18"/>
                <w:lang w:val="es-ES_tradnl"/>
              </w:rPr>
            </w:pPr>
            <w:r>
              <w:rPr>
                <w:rFonts w:ascii="Verdana" w:hAnsi="Verdana" w:cs="Arial"/>
                <w:sz w:val="18"/>
                <w:szCs w:val="18"/>
                <w:lang w:val="es-ES_tradnl"/>
              </w:rPr>
              <w:t xml:space="preserve">    Superávit Fiscal</w:t>
            </w: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tcPr>
          <w:p w14:paraId="6FF801F7" w14:textId="77777777" w:rsidR="00BA3CB2" w:rsidRDefault="00BA3CB2">
            <w:pPr>
              <w:ind w:right="39"/>
              <w:contextualSpacing/>
              <w:jc w:val="center"/>
              <w:rPr>
                <w:rFonts w:ascii="Verdana" w:hAnsi="Verdana" w:cs="Arial"/>
                <w:sz w:val="18"/>
                <w:szCs w:val="18"/>
                <w:lang w:val="es-ES_tradnl"/>
              </w:rPr>
            </w:pPr>
          </w:p>
        </w:tc>
        <w:tc>
          <w:tcPr>
            <w:tcW w:w="1411" w:type="dxa"/>
            <w:tcBorders>
              <w:top w:val="single" w:sz="8" w:space="0" w:color="60497A"/>
              <w:left w:val="single" w:sz="8" w:space="0" w:color="000000"/>
              <w:bottom w:val="single" w:sz="8" w:space="0" w:color="60497A"/>
              <w:right w:val="single" w:sz="8" w:space="0" w:color="000000"/>
            </w:tcBorders>
            <w:shd w:val="clear" w:color="auto" w:fill="FFFFFF" w:themeFill="background1"/>
            <w:hideMark/>
          </w:tcPr>
          <w:p w14:paraId="18705AF1" w14:textId="77777777" w:rsidR="00BA3CB2" w:rsidRDefault="00BA3CB2">
            <w:pPr>
              <w:ind w:right="39"/>
              <w:contextualSpacing/>
              <w:jc w:val="center"/>
              <w:rPr>
                <w:rFonts w:ascii="Verdana" w:hAnsi="Verdana" w:cs="Arial"/>
                <w:sz w:val="18"/>
                <w:szCs w:val="18"/>
                <w:lang w:val="es-ES_tradnl"/>
              </w:rPr>
            </w:pPr>
            <w:r>
              <w:rPr>
                <w:rFonts w:ascii="Verdana" w:hAnsi="Verdana" w:cs="Arial"/>
                <w:sz w:val="18"/>
                <w:szCs w:val="18"/>
                <w:lang w:val="es-ES_tradnl"/>
              </w:rPr>
              <w:t>7.204</w:t>
            </w:r>
          </w:p>
        </w:tc>
      </w:tr>
      <w:tr w:rsidR="00BA3CB2" w14:paraId="7CB3251E" w14:textId="77777777" w:rsidTr="00BA3CB2">
        <w:trPr>
          <w:trHeight w:val="300"/>
          <w:jc w:val="center"/>
        </w:trPr>
        <w:tc>
          <w:tcPr>
            <w:tcW w:w="2566" w:type="dxa"/>
            <w:tcBorders>
              <w:top w:val="single" w:sz="8" w:space="0" w:color="666699"/>
              <w:left w:val="single" w:sz="8" w:space="0" w:color="000000"/>
              <w:bottom w:val="single" w:sz="8" w:space="0" w:color="000000"/>
              <w:right w:val="single" w:sz="8" w:space="0" w:color="000000"/>
            </w:tcBorders>
            <w:shd w:val="clear" w:color="auto" w:fill="FFFFFF" w:themeFill="background1"/>
            <w:hideMark/>
          </w:tcPr>
          <w:p w14:paraId="04F3E426" w14:textId="77777777" w:rsidR="00BA3CB2" w:rsidRDefault="00BA3CB2">
            <w:pPr>
              <w:rPr>
                <w:rFonts w:ascii="Verdana" w:hAnsi="Verdana" w:cs="Arial"/>
                <w:sz w:val="18"/>
                <w:szCs w:val="18"/>
                <w:lang w:val="es-ES_tradnl"/>
              </w:rPr>
            </w:pPr>
            <w:r>
              <w:rPr>
                <w:rFonts w:ascii="Verdana" w:hAnsi="Verdana" w:cs="Arial"/>
                <w:b/>
                <w:sz w:val="18"/>
                <w:szCs w:val="18"/>
                <w:lang w:val="es-ES_tradnl"/>
              </w:rPr>
              <w:t xml:space="preserve">INGRESOS TOTALES APSB </w:t>
            </w:r>
          </w:p>
        </w:tc>
        <w:tc>
          <w:tcPr>
            <w:tcW w:w="1411" w:type="dxa"/>
            <w:tcBorders>
              <w:top w:val="single" w:sz="8" w:space="0" w:color="60497A"/>
              <w:left w:val="single" w:sz="8" w:space="0" w:color="000000"/>
              <w:bottom w:val="single" w:sz="8" w:space="0" w:color="000000"/>
              <w:right w:val="single" w:sz="8" w:space="0" w:color="000000"/>
            </w:tcBorders>
            <w:shd w:val="clear" w:color="auto" w:fill="FFFFFF" w:themeFill="background1"/>
            <w:hideMark/>
          </w:tcPr>
          <w:p w14:paraId="1B8431F1" w14:textId="77777777" w:rsidR="00BA3CB2" w:rsidRDefault="00BA3CB2">
            <w:pPr>
              <w:ind w:right="39"/>
              <w:contextualSpacing/>
              <w:jc w:val="center"/>
              <w:rPr>
                <w:rFonts w:ascii="Verdana" w:hAnsi="Verdana" w:cs="Arial"/>
                <w:b/>
                <w:bCs/>
                <w:sz w:val="18"/>
                <w:szCs w:val="18"/>
                <w:lang w:val="es-ES_tradnl"/>
              </w:rPr>
            </w:pPr>
            <w:r>
              <w:rPr>
                <w:rFonts w:ascii="Verdana" w:hAnsi="Verdana" w:cs="Arial"/>
                <w:b/>
                <w:bCs/>
                <w:sz w:val="18"/>
                <w:szCs w:val="18"/>
                <w:lang w:val="es-ES_tradnl"/>
              </w:rPr>
              <w:t>11.487</w:t>
            </w:r>
          </w:p>
        </w:tc>
        <w:tc>
          <w:tcPr>
            <w:tcW w:w="1411" w:type="dxa"/>
            <w:tcBorders>
              <w:top w:val="single" w:sz="8" w:space="0" w:color="60497A"/>
              <w:left w:val="single" w:sz="8" w:space="0" w:color="000000"/>
              <w:bottom w:val="single" w:sz="8" w:space="0" w:color="000000"/>
              <w:right w:val="single" w:sz="8" w:space="0" w:color="000000"/>
            </w:tcBorders>
            <w:shd w:val="clear" w:color="auto" w:fill="FFFFFF" w:themeFill="background1"/>
            <w:hideMark/>
          </w:tcPr>
          <w:p w14:paraId="397C9D81" w14:textId="77777777" w:rsidR="00BA3CB2" w:rsidRDefault="00BA3CB2">
            <w:pPr>
              <w:ind w:right="39"/>
              <w:contextualSpacing/>
              <w:jc w:val="center"/>
              <w:rPr>
                <w:rFonts w:ascii="Verdana" w:hAnsi="Verdana" w:cs="Arial"/>
                <w:b/>
                <w:bCs/>
                <w:sz w:val="18"/>
                <w:szCs w:val="18"/>
                <w:lang w:val="es-ES_tradnl"/>
              </w:rPr>
            </w:pPr>
            <w:r>
              <w:rPr>
                <w:rFonts w:ascii="Verdana" w:hAnsi="Verdana" w:cs="Arial"/>
                <w:b/>
                <w:bCs/>
                <w:sz w:val="18"/>
                <w:szCs w:val="18"/>
                <w:lang w:val="es-ES_tradnl"/>
              </w:rPr>
              <w:t>11.232</w:t>
            </w:r>
          </w:p>
        </w:tc>
      </w:tr>
    </w:tbl>
    <w:p w14:paraId="7FA3E622" w14:textId="77777777" w:rsidR="00BA3CB2" w:rsidRDefault="00BA3CB2" w:rsidP="00BA3CB2">
      <w:pPr>
        <w:jc w:val="center"/>
        <w:rPr>
          <w:rFonts w:ascii="Verdana" w:hAnsi="Verdana"/>
          <w:sz w:val="16"/>
          <w:szCs w:val="16"/>
          <w:lang w:val="es-CO"/>
        </w:rPr>
      </w:pPr>
      <w:r>
        <w:rPr>
          <w:rFonts w:ascii="Verdana" w:hAnsi="Verdana"/>
          <w:sz w:val="16"/>
          <w:szCs w:val="16"/>
          <w:lang w:val="es-CO"/>
        </w:rPr>
        <w:t>Fuente: Entidad Territorial - Ejecución de ingresos</w:t>
      </w:r>
    </w:p>
    <w:p w14:paraId="4DC09878" w14:textId="77777777" w:rsidR="00BA3CB2" w:rsidRDefault="00BA3CB2" w:rsidP="00BA3CB2">
      <w:pPr>
        <w:jc w:val="center"/>
        <w:rPr>
          <w:rFonts w:ascii="Verdana" w:hAnsi="Verdana"/>
          <w:sz w:val="22"/>
          <w:szCs w:val="22"/>
          <w:lang w:val="es-CO"/>
        </w:rPr>
      </w:pPr>
    </w:p>
    <w:p w14:paraId="70A5FFA5" w14:textId="77777777" w:rsidR="00BA3CB2" w:rsidRDefault="00BA3CB2" w:rsidP="00BA3CB2">
      <w:pPr>
        <w:jc w:val="both"/>
        <w:rPr>
          <w:rFonts w:ascii="Verdana" w:hAnsi="Verdana"/>
          <w:sz w:val="22"/>
          <w:szCs w:val="22"/>
          <w:lang w:val="es-CO"/>
        </w:rPr>
      </w:pPr>
    </w:p>
    <w:p w14:paraId="2B4D44CB" w14:textId="77777777" w:rsidR="00BA3CB2" w:rsidRDefault="00BA3CB2" w:rsidP="00BA3CB2">
      <w:pPr>
        <w:jc w:val="both"/>
        <w:rPr>
          <w:rFonts w:ascii="Verdana" w:hAnsi="Verdana"/>
          <w:sz w:val="22"/>
          <w:szCs w:val="22"/>
          <w:lang w:val="es-CO"/>
        </w:rPr>
      </w:pPr>
      <w:r>
        <w:rPr>
          <w:rFonts w:ascii="Verdana" w:hAnsi="Verdana"/>
          <w:sz w:val="22"/>
          <w:szCs w:val="22"/>
          <w:lang w:val="es-CO"/>
        </w:rPr>
        <w:lastRenderedPageBreak/>
        <w:t>Para la vigencia 2021, de acuerdo con la ejecución presupuestal radicada el día 17 de febrero de 2022 bajo el número 1-2022-012388 los recaudos sectoriales del SGP APSB fueron $11.487 millones de los cuales $4.047 millones correspondieron a la transferencia, $7.414 millones a recursos del balance y $26 millones a rendimientos financieros.</w:t>
      </w:r>
    </w:p>
    <w:p w14:paraId="4E54F04B" w14:textId="77777777" w:rsidR="00BA3CB2" w:rsidRDefault="00BA3CB2" w:rsidP="00BA3CB2">
      <w:pPr>
        <w:jc w:val="both"/>
        <w:rPr>
          <w:rFonts w:ascii="Verdana" w:hAnsi="Verdana"/>
          <w:sz w:val="22"/>
          <w:szCs w:val="22"/>
          <w:lang w:val="es-CO"/>
        </w:rPr>
      </w:pPr>
    </w:p>
    <w:p w14:paraId="2B935134" w14:textId="77777777" w:rsidR="00BA3CB2" w:rsidRDefault="00BA3CB2" w:rsidP="00BA3CB2">
      <w:pPr>
        <w:jc w:val="both"/>
        <w:rPr>
          <w:rFonts w:ascii="Verdana" w:hAnsi="Verdana"/>
          <w:sz w:val="22"/>
          <w:szCs w:val="22"/>
          <w:lang w:val="es-CO"/>
        </w:rPr>
      </w:pPr>
      <w:r>
        <w:rPr>
          <w:rFonts w:ascii="Verdana" w:hAnsi="Verdana"/>
          <w:sz w:val="22"/>
          <w:szCs w:val="22"/>
          <w:lang w:val="es-CO"/>
        </w:rPr>
        <w:t>En la ejecución presupuestal, la identificación presupuestal del recaudo del SGP es el 03-0102020102-760 (departamento) y 03-0102020102-761(Municipio).</w:t>
      </w:r>
    </w:p>
    <w:p w14:paraId="4D9EF734" w14:textId="77777777" w:rsidR="00BA3CB2" w:rsidRDefault="00BA3CB2" w:rsidP="00BA3CB2">
      <w:pPr>
        <w:jc w:val="both"/>
        <w:rPr>
          <w:rFonts w:ascii="Verdana" w:hAnsi="Verdana"/>
          <w:sz w:val="22"/>
          <w:szCs w:val="22"/>
          <w:lang w:val="es-CO"/>
        </w:rPr>
      </w:pPr>
    </w:p>
    <w:p w14:paraId="667E7263" w14:textId="77777777" w:rsidR="00BA3CB2" w:rsidRDefault="00BA3CB2" w:rsidP="00BA3CB2">
      <w:pPr>
        <w:jc w:val="both"/>
        <w:rPr>
          <w:rFonts w:ascii="Verdana" w:hAnsi="Verdana"/>
          <w:sz w:val="22"/>
          <w:szCs w:val="22"/>
          <w:lang w:val="es-CO"/>
        </w:rPr>
      </w:pPr>
      <w:r>
        <w:rPr>
          <w:rFonts w:ascii="Verdana" w:hAnsi="Verdana"/>
          <w:sz w:val="22"/>
          <w:szCs w:val="22"/>
          <w:lang w:val="es-CO"/>
        </w:rPr>
        <w:t xml:space="preserve">La información reportada al CUIPO es coherente con la ejecución presupuestal. </w:t>
      </w:r>
    </w:p>
    <w:p w14:paraId="1BF71A68" w14:textId="77777777" w:rsidR="00BA3CB2" w:rsidRDefault="00BA3CB2" w:rsidP="00BA3CB2">
      <w:pPr>
        <w:jc w:val="both"/>
        <w:rPr>
          <w:rFonts w:ascii="Verdana" w:hAnsi="Verdana"/>
          <w:sz w:val="22"/>
          <w:szCs w:val="22"/>
          <w:lang w:val="es-CO"/>
        </w:rPr>
      </w:pPr>
    </w:p>
    <w:p w14:paraId="71BCC478" w14:textId="77777777" w:rsidR="00BA3CB2" w:rsidRDefault="00BA3CB2" w:rsidP="00BA3CB2">
      <w:pPr>
        <w:jc w:val="both"/>
        <w:rPr>
          <w:rFonts w:ascii="Verdana" w:hAnsi="Verdana"/>
          <w:sz w:val="22"/>
          <w:szCs w:val="22"/>
          <w:lang w:val="es-CO"/>
        </w:rPr>
      </w:pPr>
      <w:r>
        <w:rPr>
          <w:rFonts w:ascii="Verdana" w:hAnsi="Verdana"/>
          <w:sz w:val="22"/>
          <w:szCs w:val="22"/>
          <w:lang w:val="es-CO"/>
        </w:rPr>
        <w:t>Para la vigencia 2022, de acuerdo con la ejecución presupuestal radicada en la DAF el 31 de marzo de 2023 bajo el numero 1-2023-027192, se recaudaron recursos sectoriales por $11.232 millones correspondientes a $4.028 millones de la transferencia sectorial y $7.294 millones al Superávit fiscal.</w:t>
      </w:r>
    </w:p>
    <w:p w14:paraId="71CA34BD" w14:textId="77777777" w:rsidR="00BA3CB2" w:rsidRDefault="00BA3CB2" w:rsidP="00BA3CB2">
      <w:pPr>
        <w:jc w:val="both"/>
        <w:rPr>
          <w:rFonts w:ascii="Verdana" w:hAnsi="Verdana"/>
          <w:sz w:val="22"/>
          <w:szCs w:val="22"/>
          <w:lang w:val="es-CO"/>
        </w:rPr>
      </w:pPr>
    </w:p>
    <w:p w14:paraId="75562E51" w14:textId="77777777" w:rsidR="00BA3CB2" w:rsidRDefault="00BA3CB2" w:rsidP="00BA3CB2">
      <w:pPr>
        <w:jc w:val="both"/>
        <w:rPr>
          <w:rFonts w:ascii="Verdana" w:hAnsi="Verdana"/>
          <w:sz w:val="22"/>
          <w:szCs w:val="22"/>
          <w:lang w:val="es-CO"/>
        </w:rPr>
      </w:pPr>
      <w:r>
        <w:rPr>
          <w:rFonts w:ascii="Verdana" w:hAnsi="Verdana"/>
          <w:sz w:val="22"/>
          <w:szCs w:val="22"/>
          <w:lang w:val="es-CO"/>
        </w:rPr>
        <w:t xml:space="preserve">Los reportes de la información de la ejecución de ingresos al CUIPO son coherentes con lo consignado en la ejecución presupuestal de la Entidad, con recaudos totales por $11.232 millones. </w:t>
      </w:r>
    </w:p>
    <w:p w14:paraId="063BDCC7" w14:textId="77777777" w:rsidR="00BA3CB2" w:rsidRDefault="00BA3CB2" w:rsidP="00BA3CB2">
      <w:pPr>
        <w:jc w:val="both"/>
        <w:rPr>
          <w:rFonts w:ascii="Verdana" w:hAnsi="Verdana"/>
          <w:sz w:val="22"/>
          <w:szCs w:val="22"/>
          <w:lang w:val="es-CO"/>
        </w:rPr>
      </w:pPr>
    </w:p>
    <w:p w14:paraId="419181CE" w14:textId="77777777" w:rsidR="00BA3CB2" w:rsidRDefault="00BA3CB2" w:rsidP="00BA3CB2">
      <w:pPr>
        <w:jc w:val="both"/>
        <w:rPr>
          <w:rFonts w:ascii="Verdana" w:hAnsi="Verdana" w:cs="Arial"/>
          <w:sz w:val="22"/>
          <w:szCs w:val="22"/>
          <w:lang w:val="es-CO"/>
        </w:rPr>
      </w:pPr>
    </w:p>
    <w:p w14:paraId="062D8891" w14:textId="77777777" w:rsidR="00BA3CB2" w:rsidRDefault="00BA3CB2" w:rsidP="00BA3CB2">
      <w:pPr>
        <w:pStyle w:val="Ttulo2"/>
        <w:spacing w:before="0"/>
        <w:jc w:val="both"/>
        <w:rPr>
          <w:rFonts w:ascii="Verdana" w:hAnsi="Verdana" w:cs="Arial"/>
          <w:b/>
          <w:color w:val="auto"/>
          <w:sz w:val="22"/>
          <w:szCs w:val="22"/>
          <w:lang w:val="es-CO"/>
        </w:rPr>
      </w:pPr>
      <w:r>
        <w:rPr>
          <w:rFonts w:ascii="Verdana" w:hAnsi="Verdana" w:cs="Arial"/>
          <w:b/>
          <w:color w:val="auto"/>
          <w:sz w:val="22"/>
          <w:szCs w:val="22"/>
          <w:lang w:val="es-CO"/>
        </w:rPr>
        <w:t>Gastos.</w:t>
      </w:r>
    </w:p>
    <w:p w14:paraId="1BDCD627" w14:textId="77777777" w:rsidR="00BA3CB2" w:rsidRDefault="00BA3CB2" w:rsidP="00BA3CB2">
      <w:pPr>
        <w:jc w:val="both"/>
        <w:rPr>
          <w:rFonts w:ascii="Verdana" w:hAnsi="Verdana" w:cs="Arial"/>
          <w:sz w:val="22"/>
          <w:szCs w:val="22"/>
          <w:lang w:val="es-CO"/>
        </w:rPr>
      </w:pPr>
    </w:p>
    <w:p w14:paraId="021067D8" w14:textId="77777777" w:rsidR="00BA3CB2" w:rsidRDefault="00BA3CB2" w:rsidP="00BA3CB2">
      <w:pPr>
        <w:jc w:val="both"/>
        <w:rPr>
          <w:rFonts w:ascii="Verdana" w:hAnsi="Verdana" w:cs="Arial"/>
          <w:sz w:val="22"/>
          <w:szCs w:val="22"/>
          <w:lang w:val="es-CO"/>
        </w:rPr>
      </w:pPr>
    </w:p>
    <w:p w14:paraId="4A6C7C7F"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De acuerdo con la Entidad Territorial, para la vigencia 2021 existieron compromisos por $4.154 millones de los cuales $2.012 financiaron los subsidios, que en mayor proporción fueron para la prestación del servicio de aseo por $1.895 millones; $105 millones para acueducto y $12 millones para alcantarillado.</w:t>
      </w:r>
    </w:p>
    <w:p w14:paraId="3EF0E25D" w14:textId="77777777" w:rsidR="00BA3CB2" w:rsidRDefault="00BA3CB2" w:rsidP="00BA3CB2">
      <w:pPr>
        <w:jc w:val="both"/>
        <w:rPr>
          <w:rFonts w:ascii="Verdana" w:hAnsi="Verdana" w:cs="Arial"/>
          <w:sz w:val="22"/>
          <w:szCs w:val="22"/>
          <w:lang w:val="es-CO"/>
        </w:rPr>
      </w:pPr>
    </w:p>
    <w:p w14:paraId="3A28EC8B"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La transferencia al PDA fue por $2.142 millones. No existieron más compromisos en esta vigencia.</w:t>
      </w:r>
    </w:p>
    <w:p w14:paraId="4F075368" w14:textId="77777777" w:rsidR="00BA3CB2" w:rsidRDefault="00BA3CB2" w:rsidP="00BA3CB2">
      <w:pPr>
        <w:jc w:val="both"/>
        <w:rPr>
          <w:rFonts w:ascii="Verdana" w:hAnsi="Verdana" w:cs="Arial"/>
          <w:sz w:val="22"/>
          <w:szCs w:val="22"/>
          <w:lang w:val="es-CO"/>
        </w:rPr>
      </w:pPr>
    </w:p>
    <w:p w14:paraId="67179E7C" w14:textId="77777777" w:rsidR="00BA3CB2" w:rsidRDefault="00BA3CB2" w:rsidP="00BA3CB2">
      <w:pPr>
        <w:jc w:val="center"/>
        <w:rPr>
          <w:rFonts w:ascii="Verdana" w:hAnsi="Verdana" w:cs="Arial"/>
          <w:b/>
          <w:bCs/>
          <w:sz w:val="22"/>
          <w:szCs w:val="22"/>
          <w:lang w:val="es-CO"/>
        </w:rPr>
      </w:pPr>
      <w:r>
        <w:rPr>
          <w:rFonts w:ascii="Verdana" w:hAnsi="Verdana" w:cs="Arial"/>
          <w:b/>
          <w:bCs/>
          <w:sz w:val="22"/>
          <w:szCs w:val="22"/>
          <w:lang w:val="es-CO"/>
        </w:rPr>
        <w:t>TABLA 5. GASTOS SGP APSB</w:t>
      </w:r>
    </w:p>
    <w:tbl>
      <w:tblPr>
        <w:tblStyle w:val="Tablaconcuadrcula1"/>
        <w:tblW w:w="76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bottom w:w="20" w:type="dxa"/>
          <w:right w:w="63" w:type="dxa"/>
        </w:tblCellMar>
        <w:tblLook w:val="04A0" w:firstRow="1" w:lastRow="0" w:firstColumn="1" w:lastColumn="0" w:noHBand="0" w:noVBand="1"/>
      </w:tblPr>
      <w:tblGrid>
        <w:gridCol w:w="1339"/>
        <w:gridCol w:w="1236"/>
        <w:gridCol w:w="1085"/>
        <w:gridCol w:w="730"/>
        <w:gridCol w:w="1245"/>
        <w:gridCol w:w="1173"/>
        <w:gridCol w:w="842"/>
      </w:tblGrid>
      <w:tr w:rsidR="00BA3CB2" w14:paraId="0B889541" w14:textId="77777777" w:rsidTr="00BA3CB2">
        <w:trPr>
          <w:trHeight w:val="269"/>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27F5DC" w14:textId="77777777" w:rsidR="00BA3CB2" w:rsidRDefault="00BA3CB2">
            <w:pPr>
              <w:rPr>
                <w:rFonts w:ascii="Verdana" w:hAnsi="Verdana" w:cs="Arial"/>
                <w:b/>
                <w:sz w:val="16"/>
                <w:szCs w:val="16"/>
                <w:lang w:val="es-ES_tradnl"/>
              </w:rPr>
            </w:pPr>
          </w:p>
        </w:tc>
        <w:tc>
          <w:tcPr>
            <w:tcW w:w="305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FA13B"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2021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949FF"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2022</w:t>
            </w:r>
          </w:p>
        </w:tc>
      </w:tr>
      <w:tr w:rsidR="00BA3CB2" w14:paraId="616304C1" w14:textId="77777777" w:rsidTr="00BA3CB2">
        <w:trPr>
          <w:trHeight w:val="269"/>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D29B62" w14:textId="77777777" w:rsidR="00BA3CB2" w:rsidRDefault="00BA3CB2">
            <w:pPr>
              <w:rPr>
                <w:rFonts w:ascii="Verdana" w:hAnsi="Verdana" w:cs="Arial"/>
                <w:sz w:val="16"/>
                <w:szCs w:val="16"/>
                <w:lang w:val="es-ES_tradnl"/>
              </w:rPr>
            </w:pPr>
            <w:r>
              <w:rPr>
                <w:rFonts w:ascii="Verdana" w:hAnsi="Verdana" w:cs="Arial"/>
                <w:b/>
                <w:sz w:val="16"/>
                <w:szCs w:val="16"/>
                <w:lang w:val="es-ES_tradnl"/>
              </w:rPr>
              <w:t xml:space="preserve">Descripción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FBDFD"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Compromiso</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8660"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Obligación</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7E731"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Pago</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D263C"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Compromiso</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C080B2"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Obligación</w:t>
            </w: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60FA5" w14:textId="77777777" w:rsidR="00BA3CB2" w:rsidRDefault="00BA3CB2">
            <w:pPr>
              <w:ind w:right="1"/>
              <w:contextualSpacing/>
              <w:jc w:val="center"/>
              <w:rPr>
                <w:rFonts w:ascii="Verdana" w:hAnsi="Verdana" w:cs="Arial"/>
                <w:b/>
                <w:sz w:val="16"/>
                <w:szCs w:val="16"/>
                <w:lang w:val="es-ES_tradnl"/>
              </w:rPr>
            </w:pPr>
            <w:r>
              <w:rPr>
                <w:rFonts w:ascii="Verdana" w:hAnsi="Verdana" w:cs="Arial"/>
                <w:b/>
                <w:sz w:val="16"/>
                <w:szCs w:val="16"/>
                <w:lang w:val="es-ES_tradnl"/>
              </w:rPr>
              <w:t>Pago</w:t>
            </w:r>
          </w:p>
        </w:tc>
      </w:tr>
      <w:tr w:rsidR="00BA3CB2" w14:paraId="3CC69A08" w14:textId="77777777" w:rsidTr="00BA3CB2">
        <w:trPr>
          <w:trHeight w:val="260"/>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EBA5BD2" w14:textId="77777777" w:rsidR="00BA3CB2" w:rsidRDefault="00BA3CB2">
            <w:pPr>
              <w:rPr>
                <w:rFonts w:ascii="Verdana" w:hAnsi="Verdana" w:cs="Arial"/>
                <w:b/>
                <w:bCs/>
                <w:sz w:val="16"/>
                <w:szCs w:val="16"/>
                <w:lang w:val="es-ES_tradnl"/>
              </w:rPr>
            </w:pPr>
            <w:r>
              <w:rPr>
                <w:rFonts w:ascii="Verdana" w:hAnsi="Verdana" w:cs="Arial"/>
                <w:b/>
                <w:bCs/>
                <w:sz w:val="16"/>
                <w:szCs w:val="16"/>
                <w:lang w:val="es-ES_tradnl"/>
              </w:rPr>
              <w:t xml:space="preserve">Subsidios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15CDC" w14:textId="77777777" w:rsidR="00BA3CB2" w:rsidRDefault="00BA3CB2">
            <w:pPr>
              <w:ind w:left="38"/>
              <w:contextualSpacing/>
              <w:jc w:val="center"/>
              <w:rPr>
                <w:rFonts w:ascii="Verdana" w:hAnsi="Verdana" w:cs="Arial"/>
                <w:b/>
                <w:bCs/>
                <w:sz w:val="16"/>
                <w:szCs w:val="16"/>
                <w:lang w:val="es-ES_tradnl"/>
              </w:rPr>
            </w:pPr>
            <w:r>
              <w:rPr>
                <w:rFonts w:ascii="Verdana" w:hAnsi="Verdana" w:cs="Arial"/>
                <w:b/>
                <w:bCs/>
                <w:sz w:val="16"/>
                <w:szCs w:val="16"/>
                <w:lang w:val="es-ES_tradnl"/>
              </w:rPr>
              <w:t>2.012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342808" w14:textId="77777777" w:rsidR="00BA3CB2" w:rsidRDefault="00BA3CB2">
            <w:pPr>
              <w:ind w:left="38"/>
              <w:contextualSpacing/>
              <w:jc w:val="center"/>
              <w:rPr>
                <w:rFonts w:ascii="Verdana" w:hAnsi="Verdana" w:cs="Arial"/>
                <w:b/>
                <w:bCs/>
                <w:sz w:val="16"/>
                <w:szCs w:val="16"/>
                <w:lang w:val="es-ES_tradnl"/>
              </w:rPr>
            </w:pPr>
            <w:r>
              <w:rPr>
                <w:rFonts w:ascii="Verdana" w:hAnsi="Verdana" w:cs="Arial"/>
                <w:b/>
                <w:bCs/>
                <w:sz w:val="16"/>
                <w:szCs w:val="16"/>
                <w:lang w:val="es-ES_tradnl"/>
              </w:rPr>
              <w:t>2.012</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09904" w14:textId="77777777" w:rsidR="00BA3CB2" w:rsidRDefault="00BA3CB2">
            <w:pPr>
              <w:ind w:left="38"/>
              <w:contextualSpacing/>
              <w:jc w:val="center"/>
              <w:rPr>
                <w:rFonts w:ascii="Verdana" w:hAnsi="Verdana" w:cs="Arial"/>
                <w:b/>
                <w:bCs/>
                <w:sz w:val="16"/>
                <w:szCs w:val="16"/>
                <w:lang w:val="es-ES_tradnl"/>
              </w:rPr>
            </w:pPr>
            <w:r>
              <w:rPr>
                <w:rFonts w:ascii="Verdana" w:hAnsi="Verdana" w:cs="Arial"/>
                <w:b/>
                <w:bCs/>
                <w:sz w:val="16"/>
                <w:szCs w:val="16"/>
                <w:lang w:val="es-ES_tradnl"/>
              </w:rPr>
              <w:t>2.012</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B0DB1" w14:textId="77777777" w:rsidR="00BA3CB2" w:rsidRDefault="00BA3CB2">
            <w:pPr>
              <w:ind w:left="38"/>
              <w:contextualSpacing/>
              <w:jc w:val="center"/>
              <w:rPr>
                <w:rFonts w:ascii="Verdana" w:hAnsi="Verdana" w:cs="Arial"/>
                <w:b/>
                <w:bCs/>
                <w:sz w:val="16"/>
                <w:szCs w:val="16"/>
                <w:lang w:val="es-ES_tradnl"/>
              </w:rPr>
            </w:pPr>
            <w:r>
              <w:rPr>
                <w:rFonts w:ascii="Verdana" w:hAnsi="Verdana" w:cs="Arial"/>
                <w:b/>
                <w:bCs/>
                <w:sz w:val="16"/>
                <w:szCs w:val="16"/>
                <w:lang w:val="es-ES_tradnl"/>
              </w:rPr>
              <w:t>1.321</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8ED9C" w14:textId="77777777" w:rsidR="00BA3CB2" w:rsidRDefault="00BA3CB2">
            <w:pPr>
              <w:ind w:left="38"/>
              <w:contextualSpacing/>
              <w:jc w:val="center"/>
              <w:rPr>
                <w:rFonts w:ascii="Verdana" w:hAnsi="Verdana" w:cs="Arial"/>
                <w:b/>
                <w:bCs/>
                <w:sz w:val="16"/>
                <w:szCs w:val="16"/>
                <w:lang w:val="es-ES_tradnl"/>
              </w:rPr>
            </w:pPr>
            <w:r>
              <w:rPr>
                <w:rFonts w:ascii="Verdana" w:hAnsi="Verdana" w:cs="Arial"/>
                <w:b/>
                <w:bCs/>
                <w:sz w:val="16"/>
                <w:szCs w:val="16"/>
                <w:lang w:val="es-ES_tradnl"/>
              </w:rPr>
              <w:t>1.321</w:t>
            </w: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036E3" w14:textId="77777777" w:rsidR="00BA3CB2" w:rsidRDefault="00BA3CB2">
            <w:pPr>
              <w:ind w:left="38"/>
              <w:contextualSpacing/>
              <w:jc w:val="center"/>
              <w:rPr>
                <w:rFonts w:ascii="Verdana" w:hAnsi="Verdana" w:cs="Arial"/>
                <w:b/>
                <w:bCs/>
                <w:sz w:val="16"/>
                <w:szCs w:val="16"/>
                <w:lang w:val="es-ES_tradnl"/>
              </w:rPr>
            </w:pPr>
            <w:r>
              <w:rPr>
                <w:rFonts w:ascii="Verdana" w:hAnsi="Verdana" w:cs="Arial"/>
                <w:b/>
                <w:bCs/>
                <w:sz w:val="16"/>
                <w:szCs w:val="16"/>
                <w:lang w:val="es-ES_tradnl"/>
              </w:rPr>
              <w:t>1.321</w:t>
            </w:r>
          </w:p>
        </w:tc>
      </w:tr>
      <w:tr w:rsidR="00BA3CB2" w14:paraId="3D9BD100" w14:textId="77777777" w:rsidTr="00BA3CB2">
        <w:trPr>
          <w:trHeight w:val="260"/>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1002B8" w14:textId="77777777" w:rsidR="00BA3CB2" w:rsidRDefault="00BA3CB2">
            <w:pPr>
              <w:rPr>
                <w:rFonts w:ascii="Verdana" w:hAnsi="Verdana" w:cs="Arial"/>
                <w:sz w:val="16"/>
                <w:szCs w:val="16"/>
                <w:lang w:val="es-ES_tradnl"/>
              </w:rPr>
            </w:pPr>
            <w:r>
              <w:rPr>
                <w:rFonts w:ascii="Verdana" w:hAnsi="Verdana" w:cs="Arial"/>
                <w:sz w:val="16"/>
                <w:szCs w:val="16"/>
                <w:lang w:val="es-ES_tradnl"/>
              </w:rPr>
              <w:t xml:space="preserve">   Sub- Acu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51034"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105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B800B"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105</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C0814"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105</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58EB830" w14:textId="77777777" w:rsidR="00BA3CB2" w:rsidRDefault="00BA3CB2">
            <w:pPr>
              <w:ind w:left="38"/>
              <w:contextualSpacing/>
              <w:jc w:val="center"/>
              <w:rPr>
                <w:rFonts w:ascii="Verdana" w:hAnsi="Verdana" w:cs="Arial"/>
                <w:sz w:val="16"/>
                <w:szCs w:val="16"/>
                <w:lang w:val="es-ES_tradnl"/>
              </w:rPr>
            </w:pP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3CE9DF" w14:textId="77777777" w:rsidR="00BA3CB2" w:rsidRDefault="00BA3CB2">
            <w:pPr>
              <w:ind w:left="38"/>
              <w:contextualSpacing/>
              <w:jc w:val="center"/>
              <w:rPr>
                <w:rFonts w:ascii="Verdana" w:hAnsi="Verdana" w:cs="Arial"/>
                <w:sz w:val="16"/>
                <w:szCs w:val="16"/>
                <w:lang w:val="es-ES_tradnl"/>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E4E115" w14:textId="77777777" w:rsidR="00BA3CB2" w:rsidRDefault="00BA3CB2">
            <w:pPr>
              <w:ind w:left="38"/>
              <w:contextualSpacing/>
              <w:jc w:val="center"/>
              <w:rPr>
                <w:rFonts w:ascii="Verdana" w:hAnsi="Verdana" w:cs="Arial"/>
                <w:sz w:val="16"/>
                <w:szCs w:val="16"/>
                <w:lang w:val="es-ES_tradnl"/>
              </w:rPr>
            </w:pPr>
          </w:p>
        </w:tc>
      </w:tr>
      <w:tr w:rsidR="00BA3CB2" w14:paraId="352780A6" w14:textId="77777777" w:rsidTr="00BA3CB2">
        <w:trPr>
          <w:trHeight w:val="260"/>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ADB5D5" w14:textId="77777777" w:rsidR="00BA3CB2" w:rsidRDefault="00BA3CB2">
            <w:pPr>
              <w:rPr>
                <w:rFonts w:ascii="Verdana" w:hAnsi="Verdana" w:cs="Arial"/>
                <w:sz w:val="16"/>
                <w:szCs w:val="16"/>
                <w:lang w:val="es-ES_tradnl"/>
              </w:rPr>
            </w:pPr>
            <w:r>
              <w:rPr>
                <w:rFonts w:ascii="Verdana" w:hAnsi="Verdana" w:cs="Arial"/>
                <w:sz w:val="16"/>
                <w:szCs w:val="16"/>
                <w:lang w:val="es-ES_tradnl"/>
              </w:rPr>
              <w:t xml:space="preserve">   Sub- </w:t>
            </w:r>
            <w:proofErr w:type="spellStart"/>
            <w:r>
              <w:rPr>
                <w:rFonts w:ascii="Verdana" w:hAnsi="Verdana" w:cs="Arial"/>
                <w:sz w:val="16"/>
                <w:szCs w:val="16"/>
                <w:lang w:val="es-ES_tradnl"/>
              </w:rPr>
              <w:t>Alc</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57523"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B8181"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12</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3F7C6"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12</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F52C76"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634</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B79A48"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634</w:t>
            </w: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6C02E"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634</w:t>
            </w:r>
          </w:p>
        </w:tc>
      </w:tr>
      <w:tr w:rsidR="00BA3CB2" w14:paraId="4132289A" w14:textId="77777777" w:rsidTr="00BA3CB2">
        <w:trPr>
          <w:trHeight w:val="260"/>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7F3546" w14:textId="77777777" w:rsidR="00BA3CB2" w:rsidRDefault="00BA3CB2">
            <w:pPr>
              <w:rPr>
                <w:rFonts w:ascii="Verdana" w:hAnsi="Verdana" w:cs="Arial"/>
                <w:sz w:val="16"/>
                <w:szCs w:val="16"/>
                <w:lang w:val="es-ES_tradnl"/>
              </w:rPr>
            </w:pPr>
            <w:r>
              <w:rPr>
                <w:rFonts w:ascii="Verdana" w:hAnsi="Verdana" w:cs="Arial"/>
                <w:sz w:val="16"/>
                <w:szCs w:val="16"/>
                <w:lang w:val="es-ES_tradnl"/>
              </w:rPr>
              <w:t xml:space="preserve">   Sub – Aseo</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2B9784"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1.895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0A209"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1.895</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E924"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1.895</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E0FAEC"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687</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0703E2"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687</w:t>
            </w: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2CA7E6" w14:textId="77777777" w:rsidR="00BA3CB2" w:rsidRDefault="00BA3CB2">
            <w:pPr>
              <w:ind w:left="38"/>
              <w:contextualSpacing/>
              <w:jc w:val="center"/>
              <w:rPr>
                <w:rFonts w:ascii="Verdana" w:hAnsi="Verdana" w:cs="Arial"/>
                <w:sz w:val="16"/>
                <w:szCs w:val="16"/>
                <w:lang w:val="es-ES_tradnl"/>
              </w:rPr>
            </w:pPr>
            <w:r>
              <w:rPr>
                <w:rFonts w:ascii="Verdana" w:hAnsi="Verdana" w:cs="Arial"/>
                <w:sz w:val="16"/>
                <w:szCs w:val="16"/>
                <w:lang w:val="es-ES_tradnl"/>
              </w:rPr>
              <w:t>687</w:t>
            </w:r>
          </w:p>
        </w:tc>
      </w:tr>
      <w:tr w:rsidR="00BA3CB2" w14:paraId="7B9522E2" w14:textId="77777777" w:rsidTr="00BA3CB2">
        <w:trPr>
          <w:trHeight w:val="260"/>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4C7423" w14:textId="77777777" w:rsidR="00BA3CB2" w:rsidRDefault="00BA3CB2">
            <w:pPr>
              <w:rPr>
                <w:rFonts w:ascii="Verdana" w:hAnsi="Verdana" w:cs="Arial"/>
                <w:sz w:val="16"/>
                <w:szCs w:val="16"/>
                <w:lang w:val="es-ES_tradnl"/>
              </w:rPr>
            </w:pPr>
            <w:r>
              <w:rPr>
                <w:rFonts w:ascii="Verdana" w:hAnsi="Verdana" w:cs="Arial"/>
                <w:sz w:val="16"/>
                <w:szCs w:val="16"/>
                <w:lang w:val="es-ES_tradnl"/>
              </w:rPr>
              <w:lastRenderedPageBreak/>
              <w:t xml:space="preserve">Transferencia PDA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03489" w14:textId="77777777" w:rsidR="00BA3CB2" w:rsidRDefault="00BA3CB2">
            <w:pPr>
              <w:jc w:val="center"/>
              <w:rPr>
                <w:rFonts w:ascii="Verdana" w:hAnsi="Verdana" w:cs="Arial"/>
                <w:sz w:val="16"/>
                <w:szCs w:val="16"/>
                <w:lang w:val="es-ES_tradnl"/>
              </w:rPr>
            </w:pPr>
            <w:r>
              <w:rPr>
                <w:rFonts w:ascii="Verdana" w:hAnsi="Verdana" w:cs="Arial"/>
                <w:sz w:val="16"/>
                <w:szCs w:val="16"/>
                <w:lang w:val="es-ES_tradnl"/>
              </w:rPr>
              <w:t>2.142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C5318" w14:textId="77777777" w:rsidR="00BA3CB2" w:rsidRDefault="00BA3CB2">
            <w:pPr>
              <w:jc w:val="center"/>
              <w:rPr>
                <w:rFonts w:ascii="Verdana" w:hAnsi="Verdana" w:cs="Arial"/>
                <w:sz w:val="16"/>
                <w:szCs w:val="16"/>
                <w:lang w:val="es-ES_tradnl"/>
              </w:rPr>
            </w:pPr>
            <w:r>
              <w:rPr>
                <w:rFonts w:ascii="Verdana" w:hAnsi="Verdana" w:cs="Arial"/>
                <w:sz w:val="16"/>
                <w:szCs w:val="16"/>
                <w:lang w:val="es-ES_tradnl"/>
              </w:rPr>
              <w:t>2.015</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CAC10" w14:textId="77777777" w:rsidR="00BA3CB2" w:rsidRDefault="00BA3CB2">
            <w:pPr>
              <w:jc w:val="center"/>
              <w:rPr>
                <w:rFonts w:ascii="Verdana" w:hAnsi="Verdana" w:cs="Arial"/>
                <w:sz w:val="16"/>
                <w:szCs w:val="16"/>
                <w:lang w:val="es-ES_tradnl"/>
              </w:rPr>
            </w:pPr>
            <w:r>
              <w:rPr>
                <w:rFonts w:ascii="Verdana" w:hAnsi="Verdana" w:cs="Arial"/>
                <w:sz w:val="16"/>
                <w:szCs w:val="16"/>
                <w:lang w:val="es-ES_tradnl"/>
              </w:rPr>
              <w:t>2.015</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1D4D5" w14:textId="77777777" w:rsidR="00BA3CB2" w:rsidRDefault="00BA3CB2">
            <w:pPr>
              <w:jc w:val="center"/>
              <w:rPr>
                <w:rFonts w:ascii="Verdana" w:hAnsi="Verdana" w:cs="Arial"/>
                <w:sz w:val="16"/>
                <w:szCs w:val="16"/>
                <w:lang w:val="es-ES_tradnl"/>
              </w:rPr>
            </w:pPr>
            <w:r>
              <w:rPr>
                <w:rFonts w:ascii="Verdana" w:hAnsi="Verdana" w:cs="Arial"/>
                <w:sz w:val="16"/>
                <w:szCs w:val="16"/>
                <w:lang w:val="es-ES_tradnl"/>
              </w:rPr>
              <w:t>2.113</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E9BF6" w14:textId="77777777" w:rsidR="00BA3CB2" w:rsidRDefault="00BA3CB2">
            <w:pPr>
              <w:ind w:right="3"/>
              <w:contextualSpacing/>
              <w:jc w:val="center"/>
              <w:rPr>
                <w:rFonts w:ascii="Verdana" w:hAnsi="Verdana" w:cs="Arial"/>
                <w:sz w:val="16"/>
                <w:szCs w:val="16"/>
                <w:lang w:val="es-ES_tradnl"/>
              </w:rPr>
            </w:pPr>
            <w:r>
              <w:rPr>
                <w:rFonts w:ascii="Verdana" w:hAnsi="Verdana" w:cs="Arial"/>
                <w:sz w:val="16"/>
                <w:szCs w:val="16"/>
                <w:lang w:val="es-ES_tradnl"/>
              </w:rPr>
              <w:t>2.113</w:t>
            </w: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20921" w14:textId="77777777" w:rsidR="00BA3CB2" w:rsidRDefault="00BA3CB2">
            <w:pPr>
              <w:ind w:right="3"/>
              <w:contextualSpacing/>
              <w:jc w:val="center"/>
              <w:rPr>
                <w:rFonts w:ascii="Verdana" w:hAnsi="Verdana" w:cs="Arial"/>
                <w:sz w:val="16"/>
                <w:szCs w:val="16"/>
                <w:lang w:val="es-ES_tradnl"/>
              </w:rPr>
            </w:pPr>
            <w:r>
              <w:rPr>
                <w:rFonts w:ascii="Verdana" w:hAnsi="Verdana" w:cs="Arial"/>
                <w:sz w:val="16"/>
                <w:szCs w:val="16"/>
                <w:lang w:val="es-ES_tradnl"/>
              </w:rPr>
              <w:t>2.113</w:t>
            </w:r>
          </w:p>
        </w:tc>
      </w:tr>
      <w:tr w:rsidR="00BA3CB2" w14:paraId="6A7BFDEB" w14:textId="77777777" w:rsidTr="00BA3CB2">
        <w:trPr>
          <w:trHeight w:val="208"/>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682786" w14:textId="77777777" w:rsidR="00BA3CB2" w:rsidRDefault="00BA3CB2">
            <w:pPr>
              <w:rPr>
                <w:rFonts w:ascii="Verdana" w:hAnsi="Verdana" w:cs="Arial"/>
                <w:sz w:val="16"/>
                <w:szCs w:val="16"/>
                <w:lang w:val="es-ES_tradnl"/>
              </w:rPr>
            </w:pPr>
            <w:r>
              <w:rPr>
                <w:rFonts w:ascii="Verdana" w:hAnsi="Verdana" w:cs="Arial"/>
                <w:b/>
                <w:sz w:val="16"/>
                <w:szCs w:val="16"/>
                <w:lang w:val="es-ES_tradnl"/>
              </w:rPr>
              <w:t xml:space="preserve">Total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C0F70D" w14:textId="77777777" w:rsidR="00BA3CB2" w:rsidRDefault="00BA3CB2">
            <w:pPr>
              <w:ind w:left="38"/>
              <w:contextualSpacing/>
              <w:jc w:val="center"/>
              <w:rPr>
                <w:rFonts w:ascii="Verdana" w:hAnsi="Verdana" w:cs="Arial"/>
                <w:b/>
                <w:sz w:val="16"/>
                <w:szCs w:val="16"/>
                <w:lang w:val="es-ES_tradnl"/>
              </w:rPr>
            </w:pPr>
            <w:r>
              <w:rPr>
                <w:rFonts w:ascii="Verdana" w:hAnsi="Verdana" w:cs="Arial"/>
                <w:b/>
                <w:sz w:val="16"/>
                <w:szCs w:val="16"/>
                <w:lang w:val="es-ES_tradnl"/>
              </w:rPr>
              <w:t>4.154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2907B" w14:textId="77777777" w:rsidR="00BA3CB2" w:rsidRDefault="00BA3CB2">
            <w:pPr>
              <w:ind w:left="38"/>
              <w:contextualSpacing/>
              <w:jc w:val="center"/>
              <w:rPr>
                <w:rFonts w:ascii="Verdana" w:hAnsi="Verdana" w:cs="Arial"/>
                <w:b/>
                <w:sz w:val="16"/>
                <w:szCs w:val="16"/>
                <w:lang w:val="es-ES_tradnl"/>
              </w:rPr>
            </w:pPr>
            <w:r>
              <w:rPr>
                <w:rFonts w:ascii="Verdana" w:hAnsi="Verdana" w:cs="Arial"/>
                <w:b/>
                <w:sz w:val="16"/>
                <w:szCs w:val="16"/>
                <w:lang w:val="es-ES_tradnl"/>
              </w:rPr>
              <w:t>4.027</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D81BF" w14:textId="77777777" w:rsidR="00BA3CB2" w:rsidRDefault="00BA3CB2">
            <w:pPr>
              <w:ind w:left="38"/>
              <w:contextualSpacing/>
              <w:jc w:val="center"/>
              <w:rPr>
                <w:rFonts w:ascii="Verdana" w:hAnsi="Verdana" w:cs="Arial"/>
                <w:b/>
                <w:sz w:val="16"/>
                <w:szCs w:val="16"/>
                <w:lang w:val="es-ES_tradnl"/>
              </w:rPr>
            </w:pPr>
            <w:r>
              <w:rPr>
                <w:rFonts w:ascii="Verdana" w:hAnsi="Verdana" w:cs="Arial"/>
                <w:b/>
                <w:sz w:val="16"/>
                <w:szCs w:val="16"/>
                <w:lang w:val="es-ES_tradnl"/>
              </w:rPr>
              <w:t>4.027</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6745AB" w14:textId="77777777" w:rsidR="00BA3CB2" w:rsidRDefault="00BA3CB2">
            <w:pPr>
              <w:ind w:left="38"/>
              <w:contextualSpacing/>
              <w:jc w:val="center"/>
              <w:rPr>
                <w:rFonts w:ascii="Verdana" w:hAnsi="Verdana" w:cs="Arial"/>
                <w:b/>
                <w:sz w:val="16"/>
                <w:szCs w:val="16"/>
                <w:lang w:val="es-ES_tradnl"/>
              </w:rPr>
            </w:pPr>
            <w:r>
              <w:rPr>
                <w:rFonts w:ascii="Verdana" w:hAnsi="Verdana" w:cs="Arial"/>
                <w:b/>
                <w:sz w:val="16"/>
                <w:szCs w:val="16"/>
                <w:lang w:val="es-ES_tradnl"/>
              </w:rPr>
              <w:t>3.434</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87D53" w14:textId="77777777" w:rsidR="00BA3CB2" w:rsidRDefault="00BA3CB2">
            <w:pPr>
              <w:ind w:left="38"/>
              <w:contextualSpacing/>
              <w:jc w:val="center"/>
              <w:rPr>
                <w:rFonts w:ascii="Verdana" w:hAnsi="Verdana" w:cs="Arial"/>
                <w:b/>
                <w:sz w:val="16"/>
                <w:szCs w:val="16"/>
                <w:lang w:val="es-ES_tradnl"/>
              </w:rPr>
            </w:pPr>
            <w:r>
              <w:rPr>
                <w:rFonts w:ascii="Verdana" w:hAnsi="Verdana" w:cs="Arial"/>
                <w:b/>
                <w:sz w:val="16"/>
                <w:szCs w:val="16"/>
                <w:lang w:val="es-ES_tradnl"/>
              </w:rPr>
              <w:t>3.434</w:t>
            </w: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CA893" w14:textId="77777777" w:rsidR="00BA3CB2" w:rsidRDefault="00BA3CB2">
            <w:pPr>
              <w:ind w:left="38"/>
              <w:contextualSpacing/>
              <w:jc w:val="center"/>
              <w:rPr>
                <w:rFonts w:ascii="Verdana" w:hAnsi="Verdana" w:cs="Arial"/>
                <w:b/>
                <w:sz w:val="16"/>
                <w:szCs w:val="16"/>
                <w:lang w:val="es-ES_tradnl"/>
              </w:rPr>
            </w:pPr>
            <w:r>
              <w:rPr>
                <w:rFonts w:ascii="Verdana" w:hAnsi="Verdana" w:cs="Arial"/>
                <w:b/>
                <w:sz w:val="16"/>
                <w:szCs w:val="16"/>
                <w:lang w:val="es-ES_tradnl"/>
              </w:rPr>
              <w:t>3.434</w:t>
            </w:r>
          </w:p>
        </w:tc>
      </w:tr>
    </w:tbl>
    <w:p w14:paraId="31C91D81" w14:textId="77777777" w:rsidR="00BA3CB2" w:rsidRDefault="00BA3CB2" w:rsidP="00BA3CB2">
      <w:pPr>
        <w:jc w:val="center"/>
        <w:rPr>
          <w:rFonts w:ascii="Verdana" w:hAnsi="Verdana" w:cs="Arial"/>
          <w:sz w:val="18"/>
          <w:szCs w:val="18"/>
          <w:lang w:val="es-CO"/>
        </w:rPr>
      </w:pPr>
      <w:r>
        <w:rPr>
          <w:rFonts w:ascii="Verdana" w:hAnsi="Verdana" w:cs="Arial"/>
          <w:b/>
          <w:bCs/>
          <w:sz w:val="18"/>
          <w:szCs w:val="18"/>
          <w:lang w:val="es-CO"/>
        </w:rPr>
        <w:t>Fuente:</w:t>
      </w:r>
      <w:r>
        <w:rPr>
          <w:rFonts w:ascii="Verdana" w:hAnsi="Verdana" w:cs="Arial"/>
          <w:sz w:val="18"/>
          <w:szCs w:val="18"/>
          <w:lang w:val="es-CO"/>
        </w:rPr>
        <w:t xml:space="preserve"> Entidad Territorial – Ejecuciones presupuestales 2021 y 2022</w:t>
      </w:r>
    </w:p>
    <w:p w14:paraId="0B7D9E61" w14:textId="77777777" w:rsidR="00BA3CB2" w:rsidRDefault="00BA3CB2" w:rsidP="00BA3CB2">
      <w:pPr>
        <w:jc w:val="both"/>
        <w:rPr>
          <w:rFonts w:ascii="Verdana" w:hAnsi="Verdana" w:cs="Arial"/>
          <w:sz w:val="22"/>
          <w:szCs w:val="22"/>
          <w:lang w:val="es-CO"/>
        </w:rPr>
      </w:pPr>
    </w:p>
    <w:p w14:paraId="6D31B1C6"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 xml:space="preserve">Para la vigencia 2022, </w:t>
      </w:r>
      <w:r>
        <w:rPr>
          <w:rFonts w:ascii="Verdana" w:hAnsi="Verdana"/>
          <w:sz w:val="22"/>
          <w:szCs w:val="22"/>
          <w:lang w:val="es-CO"/>
        </w:rPr>
        <w:t xml:space="preserve">de acuerdo con la ejecución presupuestal radicada en la DAF el 31 de marzo de 2023 bajo el numero 1-2023-027192 </w:t>
      </w:r>
      <w:r>
        <w:rPr>
          <w:rFonts w:ascii="Verdana" w:hAnsi="Verdana" w:cs="Arial"/>
          <w:sz w:val="22"/>
          <w:szCs w:val="22"/>
          <w:lang w:val="es-CO"/>
        </w:rPr>
        <w:t>los compromisos, obligaciones y pagos fueron $3.434 millones, con los cuales existieron compromisos por subsidios de $1.321 millones ($634 millones para alcantarillado y $687 millones para aseo). No existieron compromisos para la financiación de los subsidios en la prestación del servicio de acueducto.</w:t>
      </w:r>
    </w:p>
    <w:p w14:paraId="267DDE29" w14:textId="77777777" w:rsidR="00BA3CB2" w:rsidRDefault="00BA3CB2" w:rsidP="00BA3CB2">
      <w:pPr>
        <w:jc w:val="both"/>
        <w:rPr>
          <w:rFonts w:ascii="Verdana" w:hAnsi="Verdana" w:cs="Arial"/>
          <w:sz w:val="22"/>
          <w:szCs w:val="22"/>
          <w:lang w:val="es-CO"/>
        </w:rPr>
      </w:pPr>
    </w:p>
    <w:p w14:paraId="45C08DA8"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La transferencia al PDA fue por $2.113 millones (</w:t>
      </w:r>
      <w:r>
        <w:rPr>
          <w:rFonts w:ascii="Verdana" w:hAnsi="Verdana" w:cs="Arial"/>
          <w:i/>
          <w:iCs/>
          <w:sz w:val="22"/>
          <w:szCs w:val="22"/>
          <w:lang w:val="es-CO"/>
        </w:rPr>
        <w:t>$891 millones Departamento y $1.222 millones Municipio</w:t>
      </w:r>
      <w:r>
        <w:rPr>
          <w:rFonts w:ascii="Verdana" w:hAnsi="Verdana" w:cs="Arial"/>
          <w:sz w:val="22"/>
          <w:szCs w:val="22"/>
          <w:lang w:val="es-CO"/>
        </w:rPr>
        <w:t>).</w:t>
      </w:r>
    </w:p>
    <w:p w14:paraId="070739CE" w14:textId="77777777" w:rsidR="00BA3CB2" w:rsidRDefault="00BA3CB2" w:rsidP="00BA3CB2">
      <w:pPr>
        <w:jc w:val="both"/>
        <w:rPr>
          <w:rFonts w:ascii="Verdana" w:hAnsi="Verdana" w:cs="Arial"/>
          <w:sz w:val="22"/>
          <w:szCs w:val="22"/>
          <w:lang w:val="es-CO"/>
        </w:rPr>
      </w:pPr>
    </w:p>
    <w:p w14:paraId="3B414A29"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Los reportes de los registros presupuestales al CHIP, de las vigencias 2021 y 2022 fueron realizados de manera coherente con la ejecución de gastos del CUIPO.</w:t>
      </w:r>
    </w:p>
    <w:p w14:paraId="52C6D4D2" w14:textId="77777777" w:rsidR="00BA3CB2" w:rsidRDefault="00BA3CB2" w:rsidP="00BA3CB2">
      <w:pPr>
        <w:jc w:val="both"/>
        <w:rPr>
          <w:rFonts w:ascii="Verdana" w:hAnsi="Verdana" w:cs="Arial"/>
          <w:sz w:val="22"/>
          <w:szCs w:val="22"/>
          <w:lang w:val="es-CO"/>
        </w:rPr>
      </w:pPr>
    </w:p>
    <w:p w14:paraId="30DF5288" w14:textId="77777777" w:rsidR="00BA3CB2" w:rsidRDefault="00BA3CB2" w:rsidP="00BA3CB2">
      <w:pPr>
        <w:pStyle w:val="Ttulo2"/>
        <w:spacing w:before="0"/>
        <w:jc w:val="both"/>
        <w:rPr>
          <w:rFonts w:ascii="Verdana" w:hAnsi="Verdana" w:cs="Arial"/>
          <w:b/>
          <w:color w:val="auto"/>
          <w:sz w:val="22"/>
          <w:szCs w:val="22"/>
          <w:lang w:val="es-CO"/>
        </w:rPr>
      </w:pPr>
      <w:r>
        <w:rPr>
          <w:rFonts w:ascii="Verdana" w:hAnsi="Verdana" w:cs="Arial"/>
          <w:b/>
          <w:color w:val="auto"/>
          <w:sz w:val="22"/>
          <w:szCs w:val="22"/>
          <w:lang w:val="es-CO"/>
        </w:rPr>
        <w:t>Cierre Fiscal</w:t>
      </w:r>
    </w:p>
    <w:p w14:paraId="026E07DF" w14:textId="77777777" w:rsidR="00BA3CB2" w:rsidRDefault="00BA3CB2" w:rsidP="00BA3CB2">
      <w:pPr>
        <w:rPr>
          <w:rFonts w:ascii="Verdana" w:hAnsi="Verdana"/>
          <w:sz w:val="22"/>
          <w:szCs w:val="22"/>
          <w:lang w:val="es-CO"/>
        </w:rPr>
      </w:pPr>
    </w:p>
    <w:p w14:paraId="5230AF08" w14:textId="77777777" w:rsidR="00BA3CB2" w:rsidRDefault="00BA3CB2" w:rsidP="00BA3CB2">
      <w:pPr>
        <w:jc w:val="both"/>
        <w:rPr>
          <w:rFonts w:ascii="Verdana" w:hAnsi="Verdana" w:cs="Arial"/>
          <w:sz w:val="22"/>
          <w:szCs w:val="22"/>
          <w:lang w:val="es-CO"/>
        </w:rPr>
      </w:pPr>
      <w:r>
        <w:rPr>
          <w:rFonts w:ascii="Verdana" w:hAnsi="Verdana" w:cs="Arial"/>
          <w:sz w:val="22"/>
          <w:szCs w:val="22"/>
          <w:lang w:val="es-CO"/>
        </w:rPr>
        <w:t>Durante las vigencias 2021 y 2022 el sector fue superavitario en más de $7 mil millones de pesos, lo que sugiere una revisión de las metodologías de planeación sectorial y presupuestal que hagan eficiente la ejecución del recurso.</w:t>
      </w:r>
    </w:p>
    <w:p w14:paraId="30B7A884" w14:textId="77777777" w:rsidR="00BA3CB2" w:rsidRDefault="00BA3CB2" w:rsidP="00BA3CB2">
      <w:pPr>
        <w:rPr>
          <w:rFonts w:ascii="Verdana" w:hAnsi="Verdana" w:cs="Arial"/>
          <w:b/>
          <w:sz w:val="22"/>
          <w:szCs w:val="22"/>
          <w:lang w:val="es-ES_tradnl"/>
        </w:rPr>
      </w:pPr>
    </w:p>
    <w:p w14:paraId="10C89BEF" w14:textId="77777777" w:rsidR="00BA3CB2" w:rsidRDefault="00BA3CB2" w:rsidP="00BA3CB2">
      <w:pPr>
        <w:ind w:firstLine="709"/>
        <w:jc w:val="center"/>
        <w:rPr>
          <w:rFonts w:ascii="Verdana" w:hAnsi="Verdana" w:cs="Arial"/>
          <w:b/>
          <w:sz w:val="22"/>
          <w:szCs w:val="22"/>
          <w:lang w:val="es-ES_tradnl"/>
        </w:rPr>
      </w:pPr>
      <w:r>
        <w:rPr>
          <w:rFonts w:ascii="Verdana" w:hAnsi="Verdana" w:cs="Arial"/>
          <w:b/>
          <w:sz w:val="22"/>
          <w:szCs w:val="22"/>
          <w:lang w:val="es-ES_tradnl"/>
        </w:rPr>
        <w:t>TABLA 6 INFORME DE CIERRE DE VIGENCIA.</w:t>
      </w:r>
    </w:p>
    <w:p w14:paraId="7B12DA57" w14:textId="77777777" w:rsidR="00BA3CB2" w:rsidRDefault="00BA3CB2" w:rsidP="00BA3CB2">
      <w:pPr>
        <w:ind w:firstLine="709"/>
        <w:jc w:val="center"/>
        <w:rPr>
          <w:rFonts w:ascii="Verdana" w:hAnsi="Verdana" w:cs="Arial"/>
          <w:b/>
          <w:sz w:val="20"/>
          <w:szCs w:val="20"/>
          <w:lang w:val="es-ES_tradnl"/>
        </w:rPr>
      </w:pPr>
      <w:r>
        <w:rPr>
          <w:rFonts w:ascii="Verdana" w:hAnsi="Verdana" w:cs="Arial"/>
          <w:b/>
          <w:sz w:val="20"/>
          <w:szCs w:val="20"/>
          <w:lang w:val="es-ES_tradnl"/>
        </w:rPr>
        <w:t>(Cifras en millones de pesos)</w:t>
      </w:r>
    </w:p>
    <w:tbl>
      <w:tblPr>
        <w:tblStyle w:val="Tablaconcuadrcula1"/>
        <w:tblW w:w="552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left w:w="68" w:type="dxa"/>
          <w:right w:w="24" w:type="dxa"/>
        </w:tblCellMar>
        <w:tblLook w:val="04A0" w:firstRow="1" w:lastRow="0" w:firstColumn="1" w:lastColumn="0" w:noHBand="0" w:noVBand="1"/>
      </w:tblPr>
      <w:tblGrid>
        <w:gridCol w:w="2936"/>
        <w:gridCol w:w="1303"/>
        <w:gridCol w:w="1285"/>
      </w:tblGrid>
      <w:tr w:rsidR="00BA3CB2" w14:paraId="64E5E03F" w14:textId="77777777" w:rsidTr="00BA3CB2">
        <w:trPr>
          <w:trHeight w:val="387"/>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F367E" w14:textId="77777777" w:rsidR="00BA3CB2" w:rsidRDefault="00BA3CB2">
            <w:pPr>
              <w:rPr>
                <w:rFonts w:ascii="Verdana" w:hAnsi="Verdana" w:cs="Arial"/>
                <w:sz w:val="20"/>
                <w:szCs w:val="20"/>
                <w:lang w:val="es-ES_tradnl"/>
              </w:rPr>
            </w:pPr>
            <w:r>
              <w:rPr>
                <w:rFonts w:ascii="Verdana" w:hAnsi="Verdana" w:cs="Arial"/>
                <w:b/>
                <w:sz w:val="20"/>
                <w:szCs w:val="20"/>
                <w:lang w:val="es-ES_tradnl"/>
              </w:rPr>
              <w:t xml:space="preserve">CONCEPTO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EA2F0F" w14:textId="77777777" w:rsidR="00BA3CB2" w:rsidRDefault="00BA3CB2">
            <w:pPr>
              <w:ind w:left="2"/>
              <w:contextualSpacing/>
              <w:jc w:val="center"/>
              <w:rPr>
                <w:rFonts w:ascii="Verdana" w:hAnsi="Verdana" w:cs="Arial"/>
                <w:b/>
                <w:sz w:val="20"/>
                <w:szCs w:val="20"/>
                <w:lang w:val="es-ES_tradnl"/>
              </w:rPr>
            </w:pPr>
            <w:r>
              <w:rPr>
                <w:rFonts w:ascii="Verdana" w:hAnsi="Verdana" w:cs="Arial"/>
                <w:b/>
                <w:sz w:val="20"/>
                <w:szCs w:val="20"/>
                <w:lang w:val="es-ES_tradnl"/>
              </w:rPr>
              <w:t>2021</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BF729" w14:textId="77777777" w:rsidR="00BA3CB2" w:rsidRDefault="00BA3CB2">
            <w:pPr>
              <w:ind w:left="2"/>
              <w:contextualSpacing/>
              <w:jc w:val="center"/>
              <w:rPr>
                <w:rFonts w:ascii="Verdana" w:hAnsi="Verdana" w:cs="Arial"/>
                <w:b/>
                <w:sz w:val="20"/>
                <w:szCs w:val="20"/>
                <w:lang w:val="es-ES_tradnl"/>
              </w:rPr>
            </w:pPr>
            <w:r>
              <w:rPr>
                <w:rFonts w:ascii="Verdana" w:hAnsi="Verdana" w:cs="Arial"/>
                <w:b/>
                <w:sz w:val="20"/>
                <w:szCs w:val="20"/>
                <w:lang w:val="es-ES_tradnl"/>
              </w:rPr>
              <w:t>2022</w:t>
            </w:r>
          </w:p>
        </w:tc>
      </w:tr>
      <w:tr w:rsidR="00BA3CB2" w14:paraId="66902F18" w14:textId="77777777" w:rsidTr="00BA3CB2">
        <w:trPr>
          <w:trHeight w:val="281"/>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8C77F" w14:textId="77777777" w:rsidR="00BA3CB2" w:rsidRDefault="00BA3CB2">
            <w:pPr>
              <w:rPr>
                <w:rFonts w:ascii="Verdana" w:hAnsi="Verdana" w:cs="Arial"/>
                <w:sz w:val="20"/>
                <w:szCs w:val="20"/>
                <w:lang w:val="es-ES_tradnl"/>
              </w:rPr>
            </w:pPr>
            <w:r>
              <w:rPr>
                <w:rFonts w:ascii="Verdana" w:hAnsi="Verdana" w:cs="Arial"/>
                <w:sz w:val="20"/>
                <w:szCs w:val="20"/>
                <w:lang w:val="es-ES_tradnl"/>
              </w:rPr>
              <w:t xml:space="preserve"> 1. Ingresos (Recaudados)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A4195" w14:textId="77777777" w:rsidR="00BA3CB2" w:rsidRDefault="00BA3CB2">
            <w:pPr>
              <w:ind w:right="41"/>
              <w:contextualSpacing/>
              <w:jc w:val="center"/>
              <w:rPr>
                <w:rFonts w:ascii="Verdana" w:hAnsi="Verdana" w:cs="Arial"/>
                <w:sz w:val="20"/>
                <w:szCs w:val="20"/>
                <w:lang w:val="es-ES_tradnl"/>
              </w:rPr>
            </w:pPr>
            <w:r>
              <w:rPr>
                <w:rFonts w:ascii="Verdana" w:hAnsi="Verdana" w:cs="Arial"/>
                <w:sz w:val="20"/>
                <w:szCs w:val="20"/>
                <w:lang w:val="es-ES_tradnl"/>
              </w:rPr>
              <w:t>11.487</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62C0EE" w14:textId="77777777" w:rsidR="00BA3CB2" w:rsidRDefault="00BA3CB2">
            <w:pPr>
              <w:ind w:right="41"/>
              <w:contextualSpacing/>
              <w:jc w:val="center"/>
              <w:rPr>
                <w:rFonts w:ascii="Verdana" w:hAnsi="Verdana" w:cs="Arial"/>
                <w:sz w:val="20"/>
                <w:szCs w:val="20"/>
                <w:lang w:val="es-ES_tradnl"/>
              </w:rPr>
            </w:pPr>
            <w:r>
              <w:rPr>
                <w:rFonts w:ascii="Verdana" w:hAnsi="Verdana" w:cs="Arial"/>
                <w:sz w:val="20"/>
                <w:szCs w:val="20"/>
                <w:lang w:val="es-ES_tradnl"/>
              </w:rPr>
              <w:t>11.232</w:t>
            </w:r>
          </w:p>
        </w:tc>
      </w:tr>
      <w:tr w:rsidR="00BA3CB2" w14:paraId="7BE8F735" w14:textId="77777777" w:rsidTr="00BA3CB2">
        <w:trPr>
          <w:trHeight w:val="281"/>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B943E" w14:textId="77777777" w:rsidR="00BA3CB2" w:rsidRDefault="00BA3CB2">
            <w:pPr>
              <w:rPr>
                <w:rFonts w:ascii="Verdana" w:hAnsi="Verdana" w:cs="Arial"/>
                <w:sz w:val="20"/>
                <w:szCs w:val="20"/>
                <w:lang w:val="es-ES_tradnl"/>
              </w:rPr>
            </w:pPr>
            <w:r>
              <w:rPr>
                <w:rFonts w:ascii="Verdana" w:hAnsi="Verdana" w:cs="Arial"/>
                <w:sz w:val="20"/>
                <w:szCs w:val="20"/>
                <w:lang w:val="es-ES_tradnl"/>
              </w:rPr>
              <w:t xml:space="preserve"> 2. Gastos (Comprometidos)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22F745" w14:textId="77777777" w:rsidR="00BA3CB2" w:rsidRDefault="00BA3CB2">
            <w:pPr>
              <w:ind w:right="41"/>
              <w:contextualSpacing/>
              <w:jc w:val="center"/>
              <w:rPr>
                <w:rFonts w:ascii="Verdana" w:hAnsi="Verdana" w:cs="Arial"/>
                <w:sz w:val="20"/>
                <w:szCs w:val="20"/>
                <w:lang w:val="es-ES_tradnl"/>
              </w:rPr>
            </w:pPr>
            <w:r>
              <w:rPr>
                <w:rFonts w:ascii="Verdana" w:hAnsi="Verdana" w:cs="Arial"/>
                <w:sz w:val="20"/>
                <w:szCs w:val="20"/>
                <w:lang w:val="es-ES_tradnl"/>
              </w:rPr>
              <w:t>4.154</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50FB8" w14:textId="77777777" w:rsidR="00BA3CB2" w:rsidRDefault="00BA3CB2">
            <w:pPr>
              <w:ind w:right="41"/>
              <w:contextualSpacing/>
              <w:jc w:val="center"/>
              <w:rPr>
                <w:rFonts w:ascii="Verdana" w:hAnsi="Verdana" w:cs="Arial"/>
                <w:sz w:val="20"/>
                <w:szCs w:val="20"/>
                <w:lang w:val="es-ES_tradnl"/>
              </w:rPr>
            </w:pPr>
            <w:r>
              <w:rPr>
                <w:rFonts w:ascii="Verdana" w:hAnsi="Verdana" w:cs="Arial"/>
                <w:sz w:val="20"/>
                <w:szCs w:val="20"/>
                <w:lang w:val="es-ES_tradnl"/>
              </w:rPr>
              <w:t>3.434</w:t>
            </w:r>
          </w:p>
        </w:tc>
      </w:tr>
      <w:tr w:rsidR="00BA3CB2" w14:paraId="521A7F6F" w14:textId="77777777" w:rsidTr="00BA3CB2">
        <w:trPr>
          <w:trHeight w:val="278"/>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0A5A4" w14:textId="77777777" w:rsidR="00BA3CB2" w:rsidRDefault="00BA3CB2">
            <w:pPr>
              <w:rPr>
                <w:rFonts w:ascii="Verdana" w:hAnsi="Verdana" w:cs="Arial"/>
                <w:sz w:val="20"/>
                <w:szCs w:val="20"/>
                <w:lang w:val="es-ES_tradnl"/>
              </w:rPr>
            </w:pPr>
            <w:r>
              <w:rPr>
                <w:rFonts w:ascii="Verdana" w:hAnsi="Verdana" w:cs="Arial"/>
                <w:sz w:val="20"/>
                <w:szCs w:val="20"/>
                <w:lang w:val="es-ES_tradnl"/>
              </w:rPr>
              <w:t xml:space="preserve"> 3. Gastos (Obligados)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F41F2" w14:textId="77777777" w:rsidR="00BA3CB2" w:rsidRDefault="00BA3CB2">
            <w:pPr>
              <w:ind w:right="41"/>
              <w:contextualSpacing/>
              <w:jc w:val="center"/>
              <w:rPr>
                <w:rFonts w:ascii="Verdana" w:hAnsi="Verdana" w:cs="Arial"/>
                <w:sz w:val="20"/>
                <w:szCs w:val="20"/>
                <w:lang w:val="es-ES_tradnl"/>
              </w:rPr>
            </w:pPr>
            <w:r>
              <w:rPr>
                <w:rFonts w:ascii="Verdana" w:hAnsi="Verdana" w:cs="Arial"/>
                <w:sz w:val="20"/>
                <w:szCs w:val="20"/>
                <w:lang w:val="es-ES_tradnl"/>
              </w:rPr>
              <w:t>4.027</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1B1B0" w14:textId="77777777" w:rsidR="00BA3CB2" w:rsidRDefault="00BA3CB2">
            <w:pPr>
              <w:ind w:right="41"/>
              <w:contextualSpacing/>
              <w:jc w:val="center"/>
              <w:rPr>
                <w:rFonts w:ascii="Verdana" w:hAnsi="Verdana" w:cs="Arial"/>
                <w:sz w:val="20"/>
                <w:szCs w:val="20"/>
                <w:lang w:val="es-ES_tradnl"/>
              </w:rPr>
            </w:pPr>
            <w:r>
              <w:rPr>
                <w:rFonts w:ascii="Verdana" w:hAnsi="Verdana" w:cs="Arial"/>
                <w:sz w:val="20"/>
                <w:szCs w:val="20"/>
                <w:lang w:val="es-ES_tradnl"/>
              </w:rPr>
              <w:t>3.434</w:t>
            </w:r>
          </w:p>
        </w:tc>
      </w:tr>
      <w:tr w:rsidR="00BA3CB2" w14:paraId="2F03F601" w14:textId="77777777" w:rsidTr="00BA3CB2">
        <w:trPr>
          <w:trHeight w:val="272"/>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79EA3" w14:textId="77777777" w:rsidR="00BA3CB2" w:rsidRDefault="00BA3CB2">
            <w:pPr>
              <w:rPr>
                <w:rFonts w:ascii="Verdana" w:hAnsi="Verdana" w:cs="Arial"/>
                <w:sz w:val="20"/>
                <w:szCs w:val="20"/>
                <w:lang w:val="es-ES_tradnl"/>
              </w:rPr>
            </w:pPr>
            <w:r>
              <w:rPr>
                <w:rFonts w:ascii="Verdana" w:hAnsi="Verdana" w:cs="Arial"/>
                <w:sz w:val="20"/>
                <w:szCs w:val="20"/>
                <w:lang w:val="es-ES_tradnl"/>
              </w:rPr>
              <w:t xml:space="preserve"> 4. Pagos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DC0D6" w14:textId="77777777" w:rsidR="00BA3CB2" w:rsidRDefault="00BA3CB2">
            <w:pPr>
              <w:ind w:left="46"/>
              <w:contextualSpacing/>
              <w:jc w:val="center"/>
              <w:rPr>
                <w:rFonts w:ascii="Verdana" w:hAnsi="Verdana" w:cs="Arial"/>
                <w:sz w:val="20"/>
                <w:szCs w:val="20"/>
                <w:lang w:val="es-ES_tradnl"/>
              </w:rPr>
            </w:pPr>
            <w:r>
              <w:rPr>
                <w:rFonts w:ascii="Verdana" w:hAnsi="Verdana" w:cs="Arial"/>
                <w:sz w:val="20"/>
                <w:szCs w:val="20"/>
                <w:lang w:val="es-ES_tradnl"/>
              </w:rPr>
              <w:t>4.027</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BA19D" w14:textId="77777777" w:rsidR="00BA3CB2" w:rsidRDefault="00BA3CB2">
            <w:pPr>
              <w:ind w:left="46"/>
              <w:contextualSpacing/>
              <w:jc w:val="center"/>
              <w:rPr>
                <w:rFonts w:ascii="Verdana" w:hAnsi="Verdana" w:cs="Arial"/>
                <w:sz w:val="20"/>
                <w:szCs w:val="20"/>
                <w:lang w:val="es-ES_tradnl"/>
              </w:rPr>
            </w:pPr>
            <w:r>
              <w:rPr>
                <w:rFonts w:ascii="Verdana" w:hAnsi="Verdana" w:cs="Arial"/>
                <w:sz w:val="20"/>
                <w:szCs w:val="20"/>
                <w:lang w:val="es-ES_tradnl"/>
              </w:rPr>
              <w:t>3.434</w:t>
            </w:r>
          </w:p>
        </w:tc>
      </w:tr>
      <w:tr w:rsidR="00BA3CB2" w14:paraId="13107764" w14:textId="77777777" w:rsidTr="00BA3CB2">
        <w:trPr>
          <w:trHeight w:val="281"/>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014267" w14:textId="77777777" w:rsidR="00BA3CB2" w:rsidRDefault="00BA3CB2">
            <w:pPr>
              <w:rPr>
                <w:rFonts w:ascii="Verdana" w:hAnsi="Verdana" w:cs="Arial"/>
                <w:b/>
                <w:bCs/>
                <w:sz w:val="20"/>
                <w:szCs w:val="20"/>
                <w:lang w:val="es-ES_tradnl"/>
              </w:rPr>
            </w:pPr>
            <w:r>
              <w:rPr>
                <w:rFonts w:ascii="Verdana" w:hAnsi="Verdana" w:cs="Arial"/>
                <w:b/>
                <w:bCs/>
                <w:sz w:val="20"/>
                <w:szCs w:val="20"/>
                <w:lang w:val="es-ES_tradnl"/>
              </w:rPr>
              <w:t xml:space="preserve"> Déficit o superávit (1) - (2)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D528B" w14:textId="77777777" w:rsidR="00BA3CB2" w:rsidRDefault="00BA3CB2">
            <w:pPr>
              <w:ind w:left="49"/>
              <w:contextualSpacing/>
              <w:jc w:val="center"/>
              <w:rPr>
                <w:rFonts w:ascii="Verdana" w:hAnsi="Verdana" w:cs="Arial"/>
                <w:b/>
                <w:bCs/>
                <w:sz w:val="20"/>
                <w:szCs w:val="20"/>
                <w:lang w:val="es-ES_tradnl"/>
              </w:rPr>
            </w:pPr>
            <w:r>
              <w:rPr>
                <w:rFonts w:ascii="Verdana" w:hAnsi="Verdana" w:cs="Arial"/>
                <w:b/>
                <w:bCs/>
                <w:sz w:val="20"/>
                <w:szCs w:val="20"/>
                <w:lang w:val="es-ES_tradnl"/>
              </w:rPr>
              <w:t>7.333</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47244" w14:textId="77777777" w:rsidR="00BA3CB2" w:rsidRDefault="00BA3CB2">
            <w:pPr>
              <w:ind w:left="49"/>
              <w:contextualSpacing/>
              <w:jc w:val="center"/>
              <w:rPr>
                <w:rFonts w:ascii="Verdana" w:hAnsi="Verdana" w:cs="Arial"/>
                <w:b/>
                <w:bCs/>
                <w:sz w:val="20"/>
                <w:szCs w:val="20"/>
                <w:lang w:val="es-ES_tradnl"/>
              </w:rPr>
            </w:pPr>
            <w:r>
              <w:rPr>
                <w:rFonts w:ascii="Verdana" w:hAnsi="Verdana" w:cs="Arial"/>
                <w:b/>
                <w:bCs/>
                <w:sz w:val="20"/>
                <w:szCs w:val="20"/>
                <w:lang w:val="es-ES_tradnl"/>
              </w:rPr>
              <w:t>7.798</w:t>
            </w:r>
          </w:p>
        </w:tc>
      </w:tr>
      <w:tr w:rsidR="00BA3CB2" w14:paraId="2A6A3926" w14:textId="77777777" w:rsidTr="00BA3CB2">
        <w:trPr>
          <w:trHeight w:val="281"/>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10540" w14:textId="77777777" w:rsidR="00BA3CB2" w:rsidRDefault="00BA3CB2">
            <w:pPr>
              <w:rPr>
                <w:rFonts w:ascii="Verdana" w:hAnsi="Verdana" w:cs="Arial"/>
                <w:sz w:val="20"/>
                <w:szCs w:val="20"/>
                <w:lang w:val="es-ES_tradnl"/>
              </w:rPr>
            </w:pPr>
            <w:r>
              <w:rPr>
                <w:rFonts w:ascii="Verdana" w:hAnsi="Verdana" w:cs="Arial"/>
                <w:sz w:val="20"/>
                <w:szCs w:val="20"/>
                <w:lang w:val="es-ES_tradnl"/>
              </w:rPr>
              <w:t xml:space="preserve"> Reservas (2) - (3)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364DA" w14:textId="77777777" w:rsidR="00BA3CB2" w:rsidRDefault="00BA3CB2">
            <w:pPr>
              <w:ind w:left="51"/>
              <w:contextualSpacing/>
              <w:jc w:val="center"/>
              <w:rPr>
                <w:rFonts w:ascii="Verdana" w:hAnsi="Verdana" w:cs="Arial"/>
                <w:sz w:val="20"/>
                <w:szCs w:val="20"/>
                <w:lang w:val="es-ES_tradnl"/>
              </w:rPr>
            </w:pPr>
            <w:r>
              <w:rPr>
                <w:rFonts w:ascii="Verdana" w:hAnsi="Verdana" w:cs="Arial"/>
                <w:sz w:val="20"/>
                <w:szCs w:val="20"/>
                <w:lang w:val="es-ES_tradnl"/>
              </w:rPr>
              <w:t>127</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710219" w14:textId="77777777" w:rsidR="00BA3CB2" w:rsidRDefault="00BA3CB2">
            <w:pPr>
              <w:ind w:left="51"/>
              <w:contextualSpacing/>
              <w:jc w:val="center"/>
              <w:rPr>
                <w:rFonts w:ascii="Verdana" w:hAnsi="Verdana" w:cs="Arial"/>
                <w:sz w:val="20"/>
                <w:szCs w:val="20"/>
                <w:lang w:val="es-ES_tradnl"/>
              </w:rPr>
            </w:pPr>
            <w:r>
              <w:rPr>
                <w:rFonts w:ascii="Verdana" w:hAnsi="Verdana" w:cs="Arial"/>
                <w:sz w:val="20"/>
                <w:szCs w:val="20"/>
                <w:lang w:val="es-ES_tradnl"/>
              </w:rPr>
              <w:t>0</w:t>
            </w:r>
          </w:p>
        </w:tc>
      </w:tr>
      <w:tr w:rsidR="00BA3CB2" w14:paraId="13DD8E70" w14:textId="77777777" w:rsidTr="00BA3CB2">
        <w:trPr>
          <w:trHeight w:val="281"/>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F25E5" w14:textId="77777777" w:rsidR="00BA3CB2" w:rsidRDefault="00BA3CB2">
            <w:pPr>
              <w:rPr>
                <w:rFonts w:ascii="Verdana" w:hAnsi="Verdana" w:cs="Arial"/>
                <w:sz w:val="20"/>
                <w:szCs w:val="20"/>
                <w:lang w:val="es-ES_tradnl"/>
              </w:rPr>
            </w:pPr>
            <w:r>
              <w:rPr>
                <w:rFonts w:ascii="Verdana" w:hAnsi="Verdana" w:cs="Arial"/>
                <w:sz w:val="20"/>
                <w:szCs w:val="20"/>
                <w:lang w:val="es-ES_tradnl"/>
              </w:rPr>
              <w:t xml:space="preserve"> Cuentas por pagar (3) - (4)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FD99C8" w14:textId="77777777" w:rsidR="00BA3CB2" w:rsidRDefault="00BA3CB2">
            <w:pPr>
              <w:ind w:left="49"/>
              <w:contextualSpacing/>
              <w:jc w:val="center"/>
              <w:rPr>
                <w:rFonts w:ascii="Verdana" w:hAnsi="Verdana" w:cs="Arial"/>
                <w:sz w:val="20"/>
                <w:szCs w:val="20"/>
                <w:lang w:val="es-ES_tradnl"/>
              </w:rPr>
            </w:pPr>
            <w:r>
              <w:rPr>
                <w:rFonts w:ascii="Verdana" w:hAnsi="Verdana" w:cs="Arial"/>
                <w:sz w:val="20"/>
                <w:szCs w:val="20"/>
                <w:lang w:val="es-ES_tradnl"/>
              </w:rPr>
              <w:t>0</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017475" w14:textId="77777777" w:rsidR="00BA3CB2" w:rsidRDefault="00BA3CB2">
            <w:pPr>
              <w:ind w:left="49"/>
              <w:contextualSpacing/>
              <w:jc w:val="center"/>
              <w:rPr>
                <w:rFonts w:ascii="Verdana" w:hAnsi="Verdana" w:cs="Arial"/>
                <w:sz w:val="20"/>
                <w:szCs w:val="20"/>
                <w:lang w:val="es-ES_tradnl"/>
              </w:rPr>
            </w:pPr>
            <w:r>
              <w:rPr>
                <w:rFonts w:ascii="Verdana" w:hAnsi="Verdana" w:cs="Arial"/>
                <w:sz w:val="20"/>
                <w:szCs w:val="20"/>
                <w:lang w:val="es-ES_tradnl"/>
              </w:rPr>
              <w:t>0</w:t>
            </w:r>
          </w:p>
        </w:tc>
      </w:tr>
      <w:tr w:rsidR="00BA3CB2" w14:paraId="7C174064" w14:textId="77777777" w:rsidTr="00BA3CB2">
        <w:trPr>
          <w:trHeight w:val="280"/>
          <w:jc w:val="center"/>
        </w:trPr>
        <w:tc>
          <w:tcPr>
            <w:tcW w:w="2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E21AD" w14:textId="77777777" w:rsidR="00BA3CB2" w:rsidRDefault="00BA3CB2">
            <w:pPr>
              <w:rPr>
                <w:rFonts w:ascii="Verdana" w:hAnsi="Verdana" w:cs="Arial"/>
                <w:sz w:val="20"/>
                <w:szCs w:val="20"/>
                <w:lang w:val="es-ES_tradnl"/>
              </w:rPr>
            </w:pPr>
            <w:r>
              <w:rPr>
                <w:rFonts w:ascii="Verdana" w:hAnsi="Verdana" w:cs="Arial"/>
                <w:sz w:val="20"/>
                <w:szCs w:val="20"/>
                <w:lang w:val="es-ES_tradnl"/>
              </w:rPr>
              <w:lastRenderedPageBreak/>
              <w:t xml:space="preserve"> Saldo mínimo en </w:t>
            </w:r>
            <w:proofErr w:type="gramStart"/>
            <w:r>
              <w:rPr>
                <w:rFonts w:ascii="Verdana" w:hAnsi="Verdana" w:cs="Arial"/>
                <w:sz w:val="20"/>
                <w:szCs w:val="20"/>
                <w:lang w:val="es-ES_tradnl"/>
              </w:rPr>
              <w:t>Caja</w:t>
            </w:r>
            <w:proofErr w:type="gramEnd"/>
            <w:r>
              <w:rPr>
                <w:rFonts w:ascii="Verdana" w:hAnsi="Verdana" w:cs="Arial"/>
                <w:sz w:val="20"/>
                <w:szCs w:val="20"/>
                <w:lang w:val="es-ES_tradnl"/>
              </w:rPr>
              <w:t xml:space="preserve"> y Bancos (1) - (4)  </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4EAC28" w14:textId="77777777" w:rsidR="00BA3CB2" w:rsidRDefault="00BA3CB2">
            <w:pPr>
              <w:ind w:left="49"/>
              <w:contextualSpacing/>
              <w:jc w:val="center"/>
              <w:rPr>
                <w:rFonts w:ascii="Verdana" w:hAnsi="Verdana" w:cs="Arial"/>
                <w:sz w:val="20"/>
                <w:szCs w:val="20"/>
                <w:lang w:val="es-ES_tradnl"/>
              </w:rPr>
            </w:pPr>
            <w:r>
              <w:rPr>
                <w:rFonts w:ascii="Verdana" w:hAnsi="Verdana" w:cs="Arial"/>
                <w:sz w:val="20"/>
                <w:szCs w:val="20"/>
                <w:lang w:val="es-ES_tradnl"/>
              </w:rPr>
              <w:t>7.460</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F7139" w14:textId="77777777" w:rsidR="00BA3CB2" w:rsidRDefault="00BA3CB2">
            <w:pPr>
              <w:ind w:left="49"/>
              <w:contextualSpacing/>
              <w:jc w:val="center"/>
              <w:rPr>
                <w:rFonts w:ascii="Verdana" w:hAnsi="Verdana" w:cs="Arial"/>
                <w:sz w:val="20"/>
                <w:szCs w:val="20"/>
                <w:lang w:val="es-ES_tradnl"/>
              </w:rPr>
            </w:pPr>
            <w:r>
              <w:rPr>
                <w:rFonts w:ascii="Verdana" w:hAnsi="Verdana" w:cs="Arial"/>
                <w:sz w:val="20"/>
                <w:szCs w:val="20"/>
                <w:lang w:val="es-ES_tradnl"/>
              </w:rPr>
              <w:t>7.798</w:t>
            </w:r>
          </w:p>
        </w:tc>
      </w:tr>
    </w:tbl>
    <w:p w14:paraId="230E2E5F" w14:textId="77777777" w:rsidR="00BA3CB2" w:rsidRDefault="00BA3CB2" w:rsidP="00BA3CB2">
      <w:pPr>
        <w:jc w:val="center"/>
        <w:rPr>
          <w:rFonts w:ascii="Verdana" w:hAnsi="Verdana"/>
          <w:sz w:val="18"/>
          <w:szCs w:val="18"/>
          <w:lang w:val="es-CO"/>
        </w:rPr>
      </w:pPr>
      <w:r>
        <w:rPr>
          <w:rFonts w:ascii="Verdana" w:hAnsi="Verdana"/>
          <w:b/>
          <w:bCs/>
          <w:sz w:val="18"/>
          <w:szCs w:val="18"/>
          <w:lang w:val="es-CO"/>
        </w:rPr>
        <w:t>Fuente:</w:t>
      </w:r>
      <w:r>
        <w:rPr>
          <w:rFonts w:ascii="Verdana" w:hAnsi="Verdana"/>
          <w:sz w:val="18"/>
          <w:szCs w:val="18"/>
          <w:lang w:val="es-CO"/>
        </w:rPr>
        <w:t xml:space="preserve"> Cálculos DAF con información de la Entidad Territorial</w:t>
      </w:r>
    </w:p>
    <w:p w14:paraId="7215B7AB" w14:textId="77777777" w:rsidR="00BA3CB2" w:rsidRDefault="00BA3CB2" w:rsidP="00BA3CB2">
      <w:pPr>
        <w:jc w:val="both"/>
        <w:rPr>
          <w:rFonts w:ascii="Verdana" w:hAnsi="Verdana"/>
          <w:sz w:val="22"/>
          <w:szCs w:val="22"/>
          <w:lang w:val="es-CO"/>
        </w:rPr>
      </w:pPr>
    </w:p>
    <w:p w14:paraId="46340E10" w14:textId="77777777" w:rsidR="00BA3CB2" w:rsidRDefault="00BA3CB2" w:rsidP="00BA3CB2">
      <w:pPr>
        <w:jc w:val="both"/>
        <w:rPr>
          <w:rFonts w:ascii="Verdana" w:hAnsi="Verdana"/>
          <w:sz w:val="22"/>
          <w:szCs w:val="22"/>
          <w:lang w:val="es-CO"/>
        </w:rPr>
      </w:pPr>
      <w:r>
        <w:rPr>
          <w:rFonts w:ascii="Verdana" w:hAnsi="Verdana"/>
          <w:sz w:val="22"/>
          <w:szCs w:val="22"/>
          <w:lang w:val="es-CO"/>
        </w:rPr>
        <w:t xml:space="preserve">En ambas vigencias, de acuerdo con los cálculos de la DAF, no se debieron constituir cuentas por pagar, pero si reservas por $127 millones en la vigencia 2021. El saldo mínimo en </w:t>
      </w:r>
      <w:proofErr w:type="gramStart"/>
      <w:r>
        <w:rPr>
          <w:rFonts w:ascii="Verdana" w:hAnsi="Verdana"/>
          <w:sz w:val="22"/>
          <w:szCs w:val="22"/>
          <w:lang w:val="es-CO"/>
        </w:rPr>
        <w:t>caja</w:t>
      </w:r>
      <w:proofErr w:type="gramEnd"/>
      <w:r>
        <w:rPr>
          <w:rFonts w:ascii="Verdana" w:hAnsi="Verdana"/>
          <w:sz w:val="22"/>
          <w:szCs w:val="22"/>
          <w:lang w:val="es-CO"/>
        </w:rPr>
        <w:t xml:space="preserve"> y bancos debió estar representado por $ 7.460 millones y $7.798 millones para las vigencias 2021 y 2022 respectivamente.</w:t>
      </w:r>
    </w:p>
    <w:p w14:paraId="560C47DD" w14:textId="77777777" w:rsidR="00BA3CB2" w:rsidRDefault="00BA3CB2" w:rsidP="00BA3CB2">
      <w:pPr>
        <w:jc w:val="both"/>
        <w:rPr>
          <w:rFonts w:ascii="Verdana" w:hAnsi="Verdana"/>
          <w:sz w:val="22"/>
          <w:szCs w:val="22"/>
          <w:lang w:val="es-CO"/>
        </w:rPr>
      </w:pPr>
    </w:p>
    <w:p w14:paraId="302DD123" w14:textId="77777777" w:rsidR="00BA3CB2" w:rsidRDefault="00BA3CB2" w:rsidP="00BA3CB2">
      <w:pPr>
        <w:jc w:val="both"/>
        <w:rPr>
          <w:rFonts w:ascii="Verdana" w:hAnsi="Verdana"/>
          <w:sz w:val="22"/>
          <w:szCs w:val="22"/>
          <w:lang w:val="es-CO"/>
        </w:rPr>
      </w:pPr>
      <w:r>
        <w:rPr>
          <w:rFonts w:ascii="Verdana" w:hAnsi="Verdana"/>
          <w:sz w:val="22"/>
          <w:szCs w:val="22"/>
          <w:lang w:val="es-CO"/>
        </w:rPr>
        <w:t xml:space="preserve">En el reporte de la información del cierre fiscal para la vigencia 2021, los saldos en </w:t>
      </w:r>
      <w:proofErr w:type="gramStart"/>
      <w:r>
        <w:rPr>
          <w:rFonts w:ascii="Verdana" w:hAnsi="Verdana"/>
          <w:sz w:val="22"/>
          <w:szCs w:val="22"/>
          <w:lang w:val="es-CO"/>
        </w:rPr>
        <w:t>caja</w:t>
      </w:r>
      <w:proofErr w:type="gramEnd"/>
      <w:r>
        <w:rPr>
          <w:rFonts w:ascii="Verdana" w:hAnsi="Verdana"/>
          <w:sz w:val="22"/>
          <w:szCs w:val="22"/>
          <w:lang w:val="es-CO"/>
        </w:rPr>
        <w:t xml:space="preserve"> y bancos fueron $7.462 millones, con diferencia de $2 millones al cálculo DAF y exigibilidades de $127 millones por concepto de reservas, cifras consistentes con el saldo mínimo en caja y bancos calculado por la DAF a partir de la ejecución presupuestal.</w:t>
      </w:r>
    </w:p>
    <w:p w14:paraId="68BCFC1C" w14:textId="77777777" w:rsidR="00BA3CB2" w:rsidRDefault="00BA3CB2" w:rsidP="00BA3CB2">
      <w:pPr>
        <w:jc w:val="both"/>
        <w:rPr>
          <w:rFonts w:ascii="Verdana" w:hAnsi="Verdana"/>
          <w:sz w:val="22"/>
          <w:szCs w:val="22"/>
          <w:lang w:val="es-CO"/>
        </w:rPr>
      </w:pPr>
    </w:p>
    <w:p w14:paraId="3520BA8E" w14:textId="77777777" w:rsidR="00BA3CB2" w:rsidRDefault="00BA3CB2" w:rsidP="00BA3CB2">
      <w:pPr>
        <w:jc w:val="both"/>
        <w:rPr>
          <w:rFonts w:ascii="Verdana" w:hAnsi="Verdana"/>
          <w:sz w:val="22"/>
          <w:szCs w:val="22"/>
          <w:lang w:val="es-CO"/>
        </w:rPr>
      </w:pPr>
      <w:r>
        <w:rPr>
          <w:rFonts w:ascii="Verdana" w:hAnsi="Verdana"/>
          <w:sz w:val="22"/>
          <w:szCs w:val="22"/>
          <w:lang w:val="es-CO"/>
        </w:rPr>
        <w:t>Para 2022 el saldo mínimo calculado, sin exigibilidades fue por $7.798 millones.</w:t>
      </w:r>
    </w:p>
    <w:p w14:paraId="43A1A124" w14:textId="77777777" w:rsidR="00BA3CB2" w:rsidRDefault="00BA3CB2" w:rsidP="00BA3CB2">
      <w:pPr>
        <w:jc w:val="both"/>
        <w:rPr>
          <w:rFonts w:ascii="Verdana" w:hAnsi="Verdana"/>
          <w:sz w:val="22"/>
          <w:szCs w:val="22"/>
          <w:lang w:val="es-CO"/>
        </w:rPr>
      </w:pPr>
    </w:p>
    <w:p w14:paraId="2AAFCDD4" w14:textId="77777777" w:rsidR="00BA3CB2" w:rsidRDefault="00BA3CB2" w:rsidP="00BA3CB2">
      <w:pPr>
        <w:pStyle w:val="Ttulo1"/>
        <w:numPr>
          <w:ilvl w:val="0"/>
          <w:numId w:val="3"/>
        </w:numPr>
        <w:spacing w:before="0"/>
        <w:jc w:val="both"/>
        <w:rPr>
          <w:rFonts w:ascii="Verdana" w:hAnsi="Verdana" w:cs="Arial"/>
          <w:color w:val="auto"/>
          <w:sz w:val="22"/>
          <w:szCs w:val="22"/>
          <w:lang w:val="es-CO"/>
        </w:rPr>
      </w:pPr>
      <w:r>
        <w:rPr>
          <w:rFonts w:ascii="Verdana" w:hAnsi="Verdana" w:cs="Arial"/>
          <w:b/>
          <w:color w:val="auto"/>
          <w:sz w:val="22"/>
          <w:szCs w:val="22"/>
          <w:lang w:val="es-CO"/>
        </w:rPr>
        <w:t>RESULTADO DE EVALUACIÓN DE LA MEDIDA</w:t>
      </w:r>
    </w:p>
    <w:p w14:paraId="3577F923" w14:textId="77777777" w:rsidR="00BA3CB2" w:rsidRDefault="00BA3CB2" w:rsidP="00BA3CB2">
      <w:pPr>
        <w:pStyle w:val="Ttulo1"/>
        <w:spacing w:before="0"/>
        <w:jc w:val="both"/>
        <w:rPr>
          <w:rFonts w:ascii="Verdana" w:hAnsi="Verdana" w:cs="Arial"/>
          <w:color w:val="auto"/>
          <w:sz w:val="22"/>
          <w:szCs w:val="22"/>
          <w:highlight w:val="yellow"/>
          <w:lang w:val="es-CO"/>
        </w:rPr>
      </w:pPr>
    </w:p>
    <w:p w14:paraId="569D7341" w14:textId="77777777" w:rsidR="00BA3CB2" w:rsidRDefault="00BA3CB2" w:rsidP="00BA3CB2">
      <w:pPr>
        <w:jc w:val="both"/>
        <w:rPr>
          <w:rFonts w:ascii="Verdana" w:hAnsi="Verdana"/>
          <w:sz w:val="22"/>
          <w:szCs w:val="22"/>
          <w:lang w:val="es-CO"/>
        </w:rPr>
      </w:pPr>
      <w:r>
        <w:rPr>
          <w:rFonts w:ascii="Verdana" w:hAnsi="Verdana"/>
          <w:sz w:val="22"/>
          <w:szCs w:val="22"/>
          <w:lang w:val="es-CO"/>
        </w:rPr>
        <w:t xml:space="preserve">Para la presente evaluación la entidad remitió </w:t>
      </w:r>
      <w:r>
        <w:rPr>
          <w:rFonts w:ascii="Verdana" w:hAnsi="Verdana" w:cs="Arial"/>
          <w:sz w:val="22"/>
          <w:szCs w:val="22"/>
          <w:lang w:val="es-CO"/>
        </w:rPr>
        <w:t xml:space="preserve">el día 3 de mayo bajo radicado 1-2023-036912, </w:t>
      </w:r>
      <w:r>
        <w:rPr>
          <w:rFonts w:ascii="Verdana" w:hAnsi="Verdana"/>
          <w:sz w:val="22"/>
          <w:szCs w:val="22"/>
          <w:lang w:val="es-CO"/>
        </w:rPr>
        <w:t xml:space="preserve">16 archivos con un tamaño de 49,6 MB. El día </w:t>
      </w:r>
      <w:r>
        <w:rPr>
          <w:rFonts w:ascii="Verdana" w:hAnsi="Verdana" w:cs="Arial"/>
          <w:sz w:val="22"/>
          <w:szCs w:val="22"/>
          <w:lang w:val="es-CO"/>
        </w:rPr>
        <w:t>10 de mayo de 2023</w:t>
      </w:r>
      <w:r>
        <w:rPr>
          <w:rFonts w:ascii="Verdana" w:hAnsi="Verdana"/>
          <w:sz w:val="22"/>
          <w:szCs w:val="22"/>
          <w:lang w:val="es-CO"/>
        </w:rPr>
        <w:t xml:space="preserve"> radicó bajo el número </w:t>
      </w:r>
      <w:r>
        <w:rPr>
          <w:rFonts w:ascii="Verdana" w:hAnsi="Verdana" w:cs="Arial"/>
          <w:sz w:val="22"/>
          <w:szCs w:val="22"/>
          <w:lang w:val="es-CO"/>
        </w:rPr>
        <w:t>1-2023-039355</w:t>
      </w:r>
      <w:r>
        <w:rPr>
          <w:rFonts w:ascii="Verdana" w:hAnsi="Verdana"/>
          <w:sz w:val="22"/>
          <w:szCs w:val="22"/>
          <w:lang w:val="es-CO"/>
        </w:rPr>
        <w:t xml:space="preserve"> la matriz de seguimiento al Plan de desempeño, información con la que se efectúa el presente informe.</w:t>
      </w:r>
    </w:p>
    <w:p w14:paraId="715B5FA6" w14:textId="77777777" w:rsidR="00BA3CB2" w:rsidRDefault="00BA3CB2" w:rsidP="00BA3CB2">
      <w:pPr>
        <w:jc w:val="both"/>
        <w:rPr>
          <w:rFonts w:ascii="Verdana" w:hAnsi="Verdana"/>
          <w:sz w:val="22"/>
          <w:szCs w:val="22"/>
          <w:lang w:val="es-CO"/>
        </w:rPr>
      </w:pPr>
    </w:p>
    <w:p w14:paraId="597157BE" w14:textId="77777777" w:rsidR="00BA3CB2" w:rsidRDefault="00BA3CB2" w:rsidP="00BA3CB2">
      <w:pPr>
        <w:jc w:val="both"/>
        <w:rPr>
          <w:rFonts w:ascii="Verdana" w:hAnsi="Verdana"/>
          <w:sz w:val="22"/>
          <w:szCs w:val="22"/>
          <w:lang w:val="es-CO"/>
        </w:rPr>
      </w:pPr>
      <w:r>
        <w:rPr>
          <w:rFonts w:ascii="Verdana" w:hAnsi="Verdana"/>
          <w:sz w:val="22"/>
          <w:szCs w:val="22"/>
          <w:lang w:val="es-CO"/>
        </w:rPr>
        <w:t xml:space="preserve">La metodología de evaluación parte de la revisión y análisis de la documentación y soportes de lo entregado por la Entidad Territorial. </w:t>
      </w:r>
    </w:p>
    <w:p w14:paraId="6C3FF85A" w14:textId="77777777" w:rsidR="00BA3CB2" w:rsidRDefault="00BA3CB2" w:rsidP="00BA3CB2">
      <w:pPr>
        <w:jc w:val="both"/>
        <w:rPr>
          <w:rFonts w:ascii="Verdana" w:hAnsi="Verdana"/>
          <w:sz w:val="22"/>
          <w:szCs w:val="22"/>
          <w:lang w:val="es-CO"/>
        </w:rPr>
      </w:pPr>
    </w:p>
    <w:p w14:paraId="6D2776D9" w14:textId="77777777" w:rsidR="00BA3CB2" w:rsidRDefault="00BA3CB2" w:rsidP="00BA3CB2">
      <w:pPr>
        <w:jc w:val="both"/>
        <w:rPr>
          <w:rFonts w:ascii="Verdana" w:hAnsi="Verdana"/>
          <w:sz w:val="22"/>
          <w:szCs w:val="22"/>
          <w:lang w:val="es-CO"/>
        </w:rPr>
      </w:pPr>
    </w:p>
    <w:p w14:paraId="1E07613D" w14:textId="77777777" w:rsidR="00BA3CB2" w:rsidRDefault="00BA3CB2" w:rsidP="00BA3CB2">
      <w:pPr>
        <w:pStyle w:val="Ttulo1"/>
        <w:spacing w:before="0"/>
        <w:ind w:left="720"/>
        <w:jc w:val="both"/>
        <w:rPr>
          <w:rFonts w:ascii="Verdana" w:hAnsi="Verdana" w:cs="Arial"/>
          <w:color w:val="auto"/>
          <w:sz w:val="22"/>
          <w:szCs w:val="22"/>
          <w:highlight w:val="yellow"/>
          <w:lang w:val="es-CO"/>
        </w:rPr>
      </w:pPr>
    </w:p>
    <w:p w14:paraId="1C2A251F" w14:textId="77777777" w:rsidR="00BA3CB2" w:rsidRDefault="00BA3CB2" w:rsidP="00BA3CB2">
      <w:pPr>
        <w:jc w:val="center"/>
        <w:rPr>
          <w:rFonts w:ascii="Verdana" w:hAnsi="Verdana"/>
          <w:b/>
          <w:bCs/>
          <w:sz w:val="22"/>
          <w:szCs w:val="22"/>
          <w:lang w:val="es-CO"/>
        </w:rPr>
      </w:pPr>
      <w:r>
        <w:rPr>
          <w:rFonts w:ascii="Verdana" w:hAnsi="Verdana"/>
          <w:b/>
          <w:bCs/>
          <w:sz w:val="22"/>
          <w:szCs w:val="22"/>
          <w:lang w:val="es-CO"/>
        </w:rPr>
        <w:t xml:space="preserve">TABLA 7: EVALUACIÓN DE LA INFORMACIÓN ENTREGADA </w:t>
      </w:r>
    </w:p>
    <w:p w14:paraId="17DEE670" w14:textId="77777777" w:rsidR="00BA3CB2" w:rsidRDefault="00BA3CB2" w:rsidP="00BA3CB2">
      <w:pPr>
        <w:jc w:val="center"/>
        <w:rPr>
          <w:rFonts w:ascii="Verdana" w:hAnsi="Verdana"/>
          <w:sz w:val="22"/>
          <w:szCs w:val="22"/>
          <w:highlight w:val="yellow"/>
          <w:lang w:val="es-CO"/>
        </w:rPr>
      </w:pPr>
      <w:r>
        <w:rPr>
          <w:rFonts w:ascii="Verdana" w:hAnsi="Verdana"/>
          <w:b/>
          <w:bCs/>
          <w:sz w:val="22"/>
          <w:szCs w:val="22"/>
          <w:lang w:val="es-CO"/>
        </w:rPr>
        <w:t>POR LA ENTIDAD TERRITORIAL</w:t>
      </w:r>
    </w:p>
    <w:tbl>
      <w:tblPr>
        <w:tblStyle w:val="Tablaconcuadrcula"/>
        <w:tblW w:w="0" w:type="auto"/>
        <w:jc w:val="center"/>
        <w:tblLayout w:type="fixed"/>
        <w:tblLook w:val="04A0" w:firstRow="1" w:lastRow="0" w:firstColumn="1" w:lastColumn="0" w:noHBand="0" w:noVBand="1"/>
      </w:tblPr>
      <w:tblGrid>
        <w:gridCol w:w="2689"/>
        <w:gridCol w:w="5953"/>
      </w:tblGrid>
      <w:tr w:rsidR="00BA3CB2" w14:paraId="6D15D1F3"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5D3B17CC" w14:textId="77777777" w:rsidR="00BA3CB2" w:rsidRDefault="00BA3CB2">
            <w:pPr>
              <w:jc w:val="center"/>
              <w:rPr>
                <w:rFonts w:ascii="Verdana" w:hAnsi="Verdana"/>
                <w:b/>
                <w:bCs/>
                <w:sz w:val="16"/>
                <w:szCs w:val="16"/>
                <w:lang w:val="es-CO"/>
              </w:rPr>
            </w:pPr>
            <w:r>
              <w:rPr>
                <w:rFonts w:ascii="Verdana" w:hAnsi="Verdana"/>
                <w:b/>
                <w:bCs/>
                <w:sz w:val="16"/>
                <w:szCs w:val="16"/>
                <w:lang w:val="es-CO"/>
              </w:rPr>
              <w:t>Nombre de Documento</w:t>
            </w:r>
          </w:p>
        </w:tc>
        <w:tc>
          <w:tcPr>
            <w:tcW w:w="5953" w:type="dxa"/>
            <w:tcBorders>
              <w:top w:val="single" w:sz="4" w:space="0" w:color="auto"/>
              <w:left w:val="single" w:sz="4" w:space="0" w:color="auto"/>
              <w:bottom w:val="single" w:sz="4" w:space="0" w:color="auto"/>
              <w:right w:val="single" w:sz="4" w:space="0" w:color="auto"/>
            </w:tcBorders>
            <w:hideMark/>
          </w:tcPr>
          <w:p w14:paraId="3F0CE765" w14:textId="77777777" w:rsidR="00BA3CB2" w:rsidRDefault="00BA3CB2">
            <w:pPr>
              <w:jc w:val="center"/>
              <w:rPr>
                <w:rFonts w:ascii="Verdana" w:hAnsi="Verdana"/>
                <w:b/>
                <w:bCs/>
                <w:sz w:val="16"/>
                <w:szCs w:val="16"/>
                <w:lang w:val="es-CO"/>
              </w:rPr>
            </w:pPr>
            <w:r>
              <w:rPr>
                <w:rFonts w:ascii="Verdana" w:hAnsi="Verdana"/>
                <w:b/>
                <w:bCs/>
                <w:sz w:val="16"/>
                <w:szCs w:val="16"/>
                <w:lang w:val="es-CO"/>
              </w:rPr>
              <w:t>Observación</w:t>
            </w:r>
          </w:p>
        </w:tc>
      </w:tr>
      <w:tr w:rsidR="00BA3CB2" w14:paraId="63CC924E"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79244352" w14:textId="77777777" w:rsidR="00BA3CB2" w:rsidRDefault="00BA3CB2">
            <w:pPr>
              <w:rPr>
                <w:rFonts w:ascii="Verdana" w:hAnsi="Verdana"/>
                <w:sz w:val="16"/>
                <w:szCs w:val="16"/>
                <w:lang w:val="es-CO"/>
              </w:rPr>
            </w:pPr>
            <w:r>
              <w:rPr>
                <w:rFonts w:ascii="Verdana" w:hAnsi="Verdana"/>
                <w:sz w:val="16"/>
                <w:szCs w:val="16"/>
                <w:lang w:val="es-CO"/>
              </w:rPr>
              <w:t>AyudadeMemoriaNo_COS183al191_AguasdeSanAndres2022</w:t>
            </w:r>
          </w:p>
        </w:tc>
        <w:tc>
          <w:tcPr>
            <w:tcW w:w="5953" w:type="dxa"/>
            <w:tcBorders>
              <w:top w:val="single" w:sz="4" w:space="0" w:color="auto"/>
              <w:left w:val="single" w:sz="4" w:space="0" w:color="auto"/>
              <w:bottom w:val="single" w:sz="4" w:space="0" w:color="auto"/>
              <w:right w:val="single" w:sz="4" w:space="0" w:color="auto"/>
            </w:tcBorders>
          </w:tcPr>
          <w:p w14:paraId="7F379E4A" w14:textId="77777777" w:rsidR="00BA3CB2" w:rsidRDefault="00BA3CB2">
            <w:pPr>
              <w:jc w:val="both"/>
              <w:rPr>
                <w:rFonts w:ascii="Verdana" w:hAnsi="Verdana"/>
                <w:sz w:val="16"/>
                <w:szCs w:val="16"/>
                <w:lang w:val="es-CO"/>
              </w:rPr>
            </w:pPr>
            <w:r>
              <w:rPr>
                <w:rFonts w:ascii="Verdana" w:hAnsi="Verdana"/>
                <w:sz w:val="16"/>
                <w:szCs w:val="16"/>
                <w:lang w:val="es-CO"/>
              </w:rPr>
              <w:t>Documento de 117 páginas que corresponde a ayuda de memoria desde la 183 hasta la 191 de fecha 23 de diciembre de 2021 a diciembre de 2022, de reunión efectuada entre Aguas de San Andrés y Veolia.</w:t>
            </w:r>
          </w:p>
          <w:p w14:paraId="13C086AE" w14:textId="77777777" w:rsidR="00BA3CB2" w:rsidRDefault="00BA3CB2">
            <w:pPr>
              <w:jc w:val="both"/>
              <w:rPr>
                <w:rFonts w:ascii="Verdana" w:hAnsi="Verdana"/>
                <w:sz w:val="16"/>
                <w:szCs w:val="16"/>
                <w:lang w:val="es-CO"/>
              </w:rPr>
            </w:pPr>
            <w:r>
              <w:rPr>
                <w:rFonts w:ascii="Verdana" w:hAnsi="Verdana"/>
                <w:sz w:val="16"/>
                <w:szCs w:val="16"/>
                <w:lang w:val="es-CO"/>
              </w:rPr>
              <w:t>La actividad dentro del Plan de Desempeño es: “</w:t>
            </w:r>
            <w:r>
              <w:rPr>
                <w:rFonts w:ascii="Verdana" w:hAnsi="Verdana"/>
                <w:i/>
                <w:iCs/>
                <w:sz w:val="16"/>
                <w:szCs w:val="16"/>
                <w:lang w:val="es-CO"/>
              </w:rPr>
              <w:t>Realizar reuniones periódicas entre Aguas de San Andrés S.A. E.S.P, Veolia Aguas del Archipiélago S.A. E.S.P y con la Supervisión del Contrato de operaciones”</w:t>
            </w:r>
            <w:r>
              <w:rPr>
                <w:rFonts w:ascii="Verdana" w:hAnsi="Verdana"/>
                <w:sz w:val="16"/>
                <w:szCs w:val="16"/>
                <w:lang w:val="es-CO"/>
              </w:rPr>
              <w:t>. El producto asociado a “</w:t>
            </w:r>
            <w:r>
              <w:rPr>
                <w:rFonts w:ascii="Verdana" w:hAnsi="Verdana"/>
                <w:i/>
                <w:iCs/>
                <w:sz w:val="16"/>
                <w:szCs w:val="16"/>
                <w:lang w:val="es-CO"/>
              </w:rPr>
              <w:t>Actas de reunión de seguimiento y supervisión del contrato de operaciones</w:t>
            </w:r>
            <w:r>
              <w:rPr>
                <w:rFonts w:ascii="Verdana" w:hAnsi="Verdana"/>
                <w:sz w:val="16"/>
                <w:szCs w:val="16"/>
                <w:lang w:val="es-CO"/>
              </w:rPr>
              <w:t xml:space="preserve">.” </w:t>
            </w:r>
          </w:p>
          <w:p w14:paraId="5BFB762F" w14:textId="77777777" w:rsidR="00BA3CB2" w:rsidRDefault="00BA3CB2">
            <w:pPr>
              <w:jc w:val="both"/>
              <w:rPr>
                <w:rFonts w:ascii="Verdana" w:hAnsi="Verdana"/>
                <w:sz w:val="16"/>
                <w:szCs w:val="16"/>
                <w:lang w:val="es-CO"/>
              </w:rPr>
            </w:pPr>
          </w:p>
          <w:p w14:paraId="58F1D306" w14:textId="77777777" w:rsidR="00BA3CB2" w:rsidRDefault="00BA3CB2">
            <w:pPr>
              <w:jc w:val="both"/>
              <w:rPr>
                <w:rFonts w:ascii="Verdana" w:hAnsi="Verdana"/>
                <w:sz w:val="16"/>
                <w:szCs w:val="16"/>
                <w:lang w:val="es-CO"/>
              </w:rPr>
            </w:pPr>
            <w:r>
              <w:rPr>
                <w:rFonts w:ascii="Verdana" w:hAnsi="Verdana"/>
                <w:sz w:val="16"/>
                <w:szCs w:val="16"/>
                <w:lang w:val="es-CO"/>
              </w:rPr>
              <w:t xml:space="preserve">Las actas hacen referencia al seguimiento a los indicadores de calidad del agua, a la producción de las plantas de ablandamiento y desalinizadora, al IRCA e IPUF, a las </w:t>
            </w:r>
            <w:proofErr w:type="spellStart"/>
            <w:r>
              <w:rPr>
                <w:rFonts w:ascii="Verdana" w:hAnsi="Verdana"/>
                <w:sz w:val="16"/>
                <w:szCs w:val="16"/>
                <w:lang w:val="es-CO"/>
              </w:rPr>
              <w:t>PQR´s</w:t>
            </w:r>
            <w:proofErr w:type="spellEnd"/>
            <w:r>
              <w:rPr>
                <w:rFonts w:ascii="Verdana" w:hAnsi="Verdana"/>
                <w:sz w:val="16"/>
                <w:szCs w:val="16"/>
                <w:lang w:val="es-CO"/>
              </w:rPr>
              <w:t>, cantidades de usuarios, obras civiles de intervención, recaudo, facturación, entre otros temas.</w:t>
            </w:r>
          </w:p>
          <w:p w14:paraId="503960E0" w14:textId="77777777" w:rsidR="00BA3CB2" w:rsidRDefault="00BA3CB2">
            <w:pPr>
              <w:jc w:val="both"/>
              <w:rPr>
                <w:rFonts w:ascii="Verdana" w:hAnsi="Verdana"/>
                <w:sz w:val="16"/>
                <w:szCs w:val="16"/>
                <w:lang w:val="es-CO"/>
              </w:rPr>
            </w:pPr>
          </w:p>
          <w:p w14:paraId="44464718" w14:textId="77777777" w:rsidR="00BA3CB2" w:rsidRDefault="00BA3CB2">
            <w:pPr>
              <w:jc w:val="both"/>
              <w:rPr>
                <w:rFonts w:ascii="Verdana" w:hAnsi="Verdana"/>
                <w:sz w:val="16"/>
                <w:szCs w:val="16"/>
                <w:lang w:val="es-CO"/>
              </w:rPr>
            </w:pPr>
            <w:r>
              <w:rPr>
                <w:rFonts w:ascii="Verdana" w:hAnsi="Verdana"/>
                <w:sz w:val="16"/>
                <w:szCs w:val="16"/>
                <w:lang w:val="es-CO"/>
              </w:rPr>
              <w:t xml:space="preserve">En el último informe relacionado, el IANC a septiembre de 2022 fue de 63.9%; Por carrotanques se vendieron 5.243 metros cúbicos, el IPUF a octubre de 2022 fue de 7.4 m3/u/m. a noviembre de 2022 se presentaron 329 </w:t>
            </w:r>
            <w:proofErr w:type="spellStart"/>
            <w:r>
              <w:rPr>
                <w:rFonts w:ascii="Verdana" w:hAnsi="Verdana"/>
                <w:sz w:val="16"/>
                <w:szCs w:val="16"/>
                <w:lang w:val="es-CO"/>
              </w:rPr>
              <w:t>PQR´s</w:t>
            </w:r>
            <w:proofErr w:type="spellEnd"/>
            <w:r>
              <w:rPr>
                <w:rFonts w:ascii="Verdana" w:hAnsi="Verdana"/>
                <w:sz w:val="16"/>
                <w:szCs w:val="16"/>
                <w:lang w:val="es-CO"/>
              </w:rPr>
              <w:t>.</w:t>
            </w:r>
          </w:p>
          <w:p w14:paraId="572235C4" w14:textId="77777777" w:rsidR="00BA3CB2" w:rsidRDefault="00BA3CB2">
            <w:pPr>
              <w:jc w:val="both"/>
              <w:rPr>
                <w:rFonts w:ascii="Verdana" w:hAnsi="Verdana"/>
                <w:sz w:val="16"/>
                <w:szCs w:val="16"/>
                <w:lang w:val="es-CO"/>
              </w:rPr>
            </w:pPr>
          </w:p>
          <w:p w14:paraId="56757612" w14:textId="77777777" w:rsidR="00BA3CB2" w:rsidRDefault="00BA3CB2">
            <w:pPr>
              <w:jc w:val="both"/>
              <w:rPr>
                <w:rFonts w:ascii="Verdana" w:hAnsi="Verdana"/>
                <w:sz w:val="16"/>
                <w:szCs w:val="16"/>
                <w:lang w:val="es-CO"/>
              </w:rPr>
            </w:pPr>
            <w:r>
              <w:rPr>
                <w:rFonts w:ascii="Verdana" w:hAnsi="Verdana"/>
                <w:b/>
                <w:bCs/>
                <w:sz w:val="16"/>
                <w:szCs w:val="16"/>
                <w:lang w:val="es-CO"/>
              </w:rPr>
              <w:t xml:space="preserve">CUMPLIMIENTO PARCIAL. </w:t>
            </w:r>
            <w:r>
              <w:rPr>
                <w:rFonts w:ascii="Verdana" w:hAnsi="Verdana"/>
                <w:sz w:val="16"/>
                <w:szCs w:val="16"/>
                <w:lang w:val="es-CO"/>
              </w:rPr>
              <w:t>Ya que no se aportaron las actas de la presente vigencia.</w:t>
            </w:r>
          </w:p>
          <w:p w14:paraId="733F7085" w14:textId="77777777" w:rsidR="00BA3CB2" w:rsidRDefault="00BA3CB2">
            <w:pPr>
              <w:jc w:val="both"/>
              <w:rPr>
                <w:rFonts w:ascii="Verdana" w:hAnsi="Verdana"/>
                <w:sz w:val="16"/>
                <w:szCs w:val="16"/>
                <w:lang w:val="es-CO"/>
              </w:rPr>
            </w:pPr>
          </w:p>
        </w:tc>
      </w:tr>
      <w:tr w:rsidR="00BA3CB2" w14:paraId="6D73BDB9"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3A159B12" w14:textId="77777777" w:rsidR="00BA3CB2" w:rsidRDefault="00BA3CB2">
            <w:pPr>
              <w:rPr>
                <w:rFonts w:ascii="Verdana" w:hAnsi="Verdana"/>
                <w:sz w:val="16"/>
                <w:szCs w:val="16"/>
                <w:lang w:val="es-CO"/>
              </w:rPr>
            </w:pPr>
            <w:r>
              <w:rPr>
                <w:rFonts w:ascii="Verdana" w:hAnsi="Verdana"/>
                <w:sz w:val="16"/>
                <w:szCs w:val="16"/>
                <w:lang w:val="es-CO"/>
              </w:rPr>
              <w:lastRenderedPageBreak/>
              <w:t>Certificado_Reporte_Sinas_Marzo2023</w:t>
            </w:r>
          </w:p>
        </w:tc>
        <w:tc>
          <w:tcPr>
            <w:tcW w:w="5953" w:type="dxa"/>
            <w:tcBorders>
              <w:top w:val="single" w:sz="4" w:space="0" w:color="auto"/>
              <w:left w:val="single" w:sz="4" w:space="0" w:color="auto"/>
              <w:bottom w:val="single" w:sz="4" w:space="0" w:color="auto"/>
              <w:right w:val="single" w:sz="4" w:space="0" w:color="auto"/>
            </w:tcBorders>
          </w:tcPr>
          <w:p w14:paraId="69EAC81F" w14:textId="77777777" w:rsidR="00BA3CB2" w:rsidRDefault="00BA3CB2">
            <w:pPr>
              <w:jc w:val="both"/>
              <w:rPr>
                <w:rFonts w:ascii="Verdana" w:hAnsi="Verdana"/>
                <w:sz w:val="16"/>
                <w:szCs w:val="16"/>
                <w:lang w:val="es-CO"/>
              </w:rPr>
            </w:pPr>
            <w:r>
              <w:rPr>
                <w:rFonts w:ascii="Verdana" w:hAnsi="Verdana"/>
                <w:sz w:val="16"/>
                <w:szCs w:val="16"/>
                <w:lang w:val="es-CO"/>
              </w:rPr>
              <w:t xml:space="preserve">Es un certificado del reporte exitoso de la vigencia 2022 al SINAS. No hace referencia sobre qué información se reportó, ni cual es el propósito de dicha información a nivel sectorial. </w:t>
            </w:r>
          </w:p>
          <w:p w14:paraId="6F0C2B25" w14:textId="77777777" w:rsidR="00BA3CB2" w:rsidRDefault="00BA3CB2">
            <w:pPr>
              <w:jc w:val="both"/>
              <w:rPr>
                <w:rFonts w:ascii="Verdana" w:hAnsi="Verdana"/>
                <w:sz w:val="16"/>
                <w:szCs w:val="16"/>
                <w:lang w:val="es-CO"/>
              </w:rPr>
            </w:pPr>
          </w:p>
          <w:p w14:paraId="40E01B22" w14:textId="77777777" w:rsidR="00BA3CB2" w:rsidRDefault="00BA3CB2">
            <w:pPr>
              <w:jc w:val="both"/>
              <w:rPr>
                <w:rFonts w:ascii="Verdana" w:hAnsi="Verdana"/>
                <w:sz w:val="16"/>
                <w:szCs w:val="16"/>
                <w:lang w:val="es-CO"/>
              </w:rPr>
            </w:pPr>
            <w:r>
              <w:rPr>
                <w:rFonts w:ascii="Verdana" w:hAnsi="Verdana"/>
                <w:sz w:val="16"/>
                <w:szCs w:val="16"/>
                <w:lang w:val="es-CO"/>
              </w:rPr>
              <w:t xml:space="preserve">Se recuerda que el producto establecido en el Decreto Territorial es </w:t>
            </w:r>
            <w:r>
              <w:rPr>
                <w:rFonts w:ascii="Verdana" w:hAnsi="Verdana"/>
                <w:i/>
                <w:iCs/>
                <w:sz w:val="16"/>
                <w:szCs w:val="16"/>
                <w:lang w:val="es-CO"/>
              </w:rPr>
              <w:t xml:space="preserve">“Reporte de información </w:t>
            </w:r>
            <w:r>
              <w:rPr>
                <w:rFonts w:ascii="Verdana" w:hAnsi="Verdana"/>
                <w:b/>
                <w:bCs/>
                <w:i/>
                <w:iCs/>
                <w:sz w:val="16"/>
                <w:szCs w:val="16"/>
                <w:lang w:val="es-CO"/>
              </w:rPr>
              <w:t>SUI</w:t>
            </w:r>
            <w:r>
              <w:rPr>
                <w:rFonts w:ascii="Verdana" w:hAnsi="Verdana"/>
                <w:i/>
                <w:iCs/>
                <w:sz w:val="16"/>
                <w:szCs w:val="16"/>
                <w:lang w:val="es-CO"/>
              </w:rPr>
              <w:t xml:space="preserve"> y </w:t>
            </w:r>
            <w:r>
              <w:rPr>
                <w:rFonts w:ascii="Verdana" w:hAnsi="Verdana"/>
                <w:b/>
                <w:bCs/>
                <w:i/>
                <w:iCs/>
                <w:sz w:val="16"/>
                <w:szCs w:val="16"/>
                <w:lang w:val="es-CO"/>
              </w:rPr>
              <w:t>SINAS</w:t>
            </w:r>
            <w:r>
              <w:rPr>
                <w:rFonts w:ascii="Verdana" w:hAnsi="Verdana"/>
                <w:i/>
                <w:iCs/>
                <w:sz w:val="16"/>
                <w:szCs w:val="16"/>
                <w:lang w:val="es-CO"/>
              </w:rPr>
              <w:t>. Informe de Seguimiento Reporte correcto de la información sectorial REC donde se evidencie la Información de las líneas de meta del indicador de Cobertura de los servicios de AAA, urbano y rural</w:t>
            </w:r>
            <w:r>
              <w:rPr>
                <w:rFonts w:ascii="Verdana" w:hAnsi="Verdana"/>
                <w:sz w:val="16"/>
                <w:szCs w:val="16"/>
                <w:lang w:val="es-CO"/>
              </w:rPr>
              <w:t>”.</w:t>
            </w:r>
          </w:p>
          <w:p w14:paraId="707DC862" w14:textId="77777777" w:rsidR="00BA3CB2" w:rsidRDefault="00BA3CB2">
            <w:pPr>
              <w:jc w:val="both"/>
              <w:rPr>
                <w:rFonts w:ascii="Verdana" w:hAnsi="Verdana"/>
                <w:sz w:val="16"/>
                <w:szCs w:val="16"/>
                <w:lang w:val="es-CO"/>
              </w:rPr>
            </w:pPr>
          </w:p>
          <w:p w14:paraId="247D3A0F" w14:textId="77777777" w:rsidR="00BA3CB2" w:rsidRDefault="00BA3CB2">
            <w:pPr>
              <w:jc w:val="both"/>
              <w:rPr>
                <w:rFonts w:ascii="Verdana" w:hAnsi="Verdana"/>
                <w:sz w:val="16"/>
                <w:szCs w:val="16"/>
                <w:lang w:val="es-CO"/>
              </w:rPr>
            </w:pPr>
            <w:r>
              <w:rPr>
                <w:rFonts w:ascii="Verdana" w:hAnsi="Verdana"/>
                <w:sz w:val="16"/>
                <w:szCs w:val="16"/>
                <w:lang w:val="es-CO"/>
              </w:rPr>
              <w:t>No obstante, el informe de monitoreo elaborado por el MVCT y radicado en esta Dirección el día 24 de julio de 2023, bajo número 1-2023-062531, demostró cumplimiento por parte de la Entidad a los reportes al SINAS en aspectos como las iniciativas o proyectos de inversión formulados en el PDM 2020-2023, mostrando el cumplimiento de este indicador.</w:t>
            </w:r>
          </w:p>
          <w:p w14:paraId="73291EFF" w14:textId="77777777" w:rsidR="00BA3CB2" w:rsidRDefault="00BA3CB2">
            <w:pPr>
              <w:jc w:val="both"/>
              <w:rPr>
                <w:rFonts w:ascii="Verdana" w:hAnsi="Verdana"/>
                <w:sz w:val="16"/>
                <w:szCs w:val="16"/>
                <w:lang w:val="es-CO"/>
              </w:rPr>
            </w:pPr>
            <w:r>
              <w:rPr>
                <w:rFonts w:ascii="Verdana" w:hAnsi="Verdana"/>
                <w:sz w:val="16"/>
                <w:szCs w:val="16"/>
                <w:lang w:val="es-CO"/>
              </w:rPr>
              <w:t>Con respecto al SUI, con base en el mismo informe de monitoreo, se identificó que la Entidad no cumplió su reporte en indicadores como:</w:t>
            </w:r>
          </w:p>
          <w:p w14:paraId="0B971CC5" w14:textId="77777777" w:rsidR="00BA3CB2" w:rsidRDefault="00BA3CB2">
            <w:pPr>
              <w:jc w:val="both"/>
              <w:rPr>
                <w:rFonts w:ascii="Verdana" w:hAnsi="Verdana"/>
                <w:sz w:val="16"/>
                <w:szCs w:val="16"/>
                <w:lang w:val="es-CO"/>
              </w:rPr>
            </w:pPr>
          </w:p>
          <w:p w14:paraId="3F37560F" w14:textId="77777777" w:rsidR="00BA3CB2" w:rsidRDefault="00BA3CB2" w:rsidP="00BA3CB2">
            <w:pPr>
              <w:pStyle w:val="Prrafodelista"/>
              <w:numPr>
                <w:ilvl w:val="0"/>
                <w:numId w:val="9"/>
              </w:numPr>
              <w:jc w:val="both"/>
              <w:rPr>
                <w:rFonts w:ascii="Verdana" w:hAnsi="Verdana"/>
                <w:sz w:val="16"/>
                <w:szCs w:val="16"/>
                <w:lang w:val="es-CO"/>
              </w:rPr>
            </w:pPr>
            <w:r>
              <w:rPr>
                <w:rFonts w:ascii="Verdana" w:hAnsi="Verdana"/>
                <w:sz w:val="16"/>
                <w:szCs w:val="16"/>
                <w:lang w:val="es-CO"/>
              </w:rPr>
              <w:t>Reporte del contrato de transferencia de subsidios vigencia 2022.</w:t>
            </w:r>
          </w:p>
          <w:p w14:paraId="48ED4288" w14:textId="77777777" w:rsidR="00BA3CB2" w:rsidRDefault="00BA3CB2" w:rsidP="00BA3CB2">
            <w:pPr>
              <w:pStyle w:val="Prrafodelista"/>
              <w:numPr>
                <w:ilvl w:val="0"/>
                <w:numId w:val="9"/>
              </w:numPr>
              <w:jc w:val="both"/>
              <w:rPr>
                <w:rFonts w:ascii="Verdana" w:hAnsi="Verdana"/>
                <w:sz w:val="16"/>
                <w:szCs w:val="16"/>
                <w:lang w:val="es-CO"/>
              </w:rPr>
            </w:pPr>
            <w:r>
              <w:rPr>
                <w:rFonts w:ascii="Verdana" w:hAnsi="Verdana"/>
                <w:sz w:val="16"/>
                <w:szCs w:val="16"/>
                <w:lang w:val="es-CO"/>
              </w:rPr>
              <w:t>Certificación del Prestador donde se acrediten los subsidios recibidos en 2022.</w:t>
            </w:r>
          </w:p>
          <w:p w14:paraId="511E4761" w14:textId="77777777" w:rsidR="00BA3CB2" w:rsidRDefault="00BA3CB2" w:rsidP="00BA3CB2">
            <w:pPr>
              <w:pStyle w:val="Prrafodelista"/>
              <w:numPr>
                <w:ilvl w:val="0"/>
                <w:numId w:val="9"/>
              </w:numPr>
              <w:jc w:val="both"/>
              <w:rPr>
                <w:rFonts w:ascii="Verdana" w:hAnsi="Verdana"/>
                <w:sz w:val="16"/>
                <w:szCs w:val="16"/>
                <w:lang w:val="es-CO"/>
              </w:rPr>
            </w:pPr>
            <w:r>
              <w:rPr>
                <w:rFonts w:ascii="Verdana" w:hAnsi="Verdana"/>
                <w:sz w:val="16"/>
                <w:szCs w:val="16"/>
                <w:lang w:val="es-CO"/>
              </w:rPr>
              <w:t>No reportó al SUI el balance de subsidios y contribuciones.</w:t>
            </w:r>
          </w:p>
          <w:p w14:paraId="11A52444" w14:textId="77777777" w:rsidR="00BA3CB2" w:rsidRDefault="00BA3CB2" w:rsidP="00BA3CB2">
            <w:pPr>
              <w:pStyle w:val="Prrafodelista"/>
              <w:numPr>
                <w:ilvl w:val="0"/>
                <w:numId w:val="9"/>
              </w:numPr>
              <w:jc w:val="both"/>
              <w:rPr>
                <w:rFonts w:ascii="Verdana" w:hAnsi="Verdana"/>
                <w:sz w:val="16"/>
                <w:szCs w:val="16"/>
                <w:lang w:val="es-CO"/>
              </w:rPr>
            </w:pPr>
            <w:r>
              <w:rPr>
                <w:rFonts w:ascii="Verdana" w:hAnsi="Verdana"/>
                <w:sz w:val="16"/>
                <w:szCs w:val="16"/>
                <w:lang w:val="es-CO"/>
              </w:rPr>
              <w:t>No reportó al SUI el formato de estratificación y coberturas REC 2022.</w:t>
            </w:r>
          </w:p>
          <w:p w14:paraId="076CF7E2" w14:textId="77777777" w:rsidR="00BA3CB2" w:rsidRDefault="00BA3CB2" w:rsidP="00BA3CB2">
            <w:pPr>
              <w:pStyle w:val="Prrafodelista"/>
              <w:numPr>
                <w:ilvl w:val="0"/>
                <w:numId w:val="9"/>
              </w:numPr>
              <w:jc w:val="both"/>
              <w:rPr>
                <w:rFonts w:ascii="Verdana" w:hAnsi="Verdana"/>
                <w:sz w:val="16"/>
                <w:szCs w:val="16"/>
                <w:lang w:val="es-CO"/>
              </w:rPr>
            </w:pPr>
            <w:r>
              <w:rPr>
                <w:rFonts w:ascii="Verdana" w:hAnsi="Verdana"/>
                <w:sz w:val="16"/>
                <w:szCs w:val="16"/>
                <w:lang w:val="es-CO"/>
              </w:rPr>
              <w:t>No reportó los avances de la cobertura en la prestación del servicio de acueducto ni alcantarillado urbano y rural en 2022.</w:t>
            </w:r>
          </w:p>
          <w:p w14:paraId="7A6E4EE6" w14:textId="77777777" w:rsidR="00BA3CB2" w:rsidRDefault="00BA3CB2">
            <w:pPr>
              <w:pStyle w:val="Prrafodelista"/>
              <w:jc w:val="both"/>
              <w:rPr>
                <w:rFonts w:ascii="Verdana" w:hAnsi="Verdana"/>
                <w:sz w:val="16"/>
                <w:szCs w:val="16"/>
                <w:lang w:val="es-CO"/>
              </w:rPr>
            </w:pPr>
          </w:p>
          <w:p w14:paraId="74D5B76D" w14:textId="77777777" w:rsidR="00BA3CB2" w:rsidRDefault="00BA3CB2">
            <w:pPr>
              <w:jc w:val="both"/>
              <w:rPr>
                <w:rFonts w:ascii="Verdana" w:hAnsi="Verdana"/>
                <w:sz w:val="16"/>
                <w:szCs w:val="16"/>
                <w:lang w:val="es-CO"/>
              </w:rPr>
            </w:pPr>
          </w:p>
          <w:p w14:paraId="45EAC3C3" w14:textId="77777777" w:rsidR="00BA3CB2" w:rsidRDefault="00BA3CB2">
            <w:pPr>
              <w:jc w:val="both"/>
              <w:rPr>
                <w:rFonts w:ascii="Verdana" w:hAnsi="Verdana"/>
                <w:sz w:val="16"/>
                <w:szCs w:val="16"/>
                <w:lang w:val="es-CO"/>
              </w:rPr>
            </w:pPr>
            <w:r>
              <w:rPr>
                <w:rFonts w:ascii="Verdana" w:hAnsi="Verdana"/>
                <w:sz w:val="16"/>
                <w:szCs w:val="16"/>
                <w:lang w:val="es-CO"/>
              </w:rPr>
              <w:t xml:space="preserve">Si bien la entidad territorial no aportó en el seguimiento a la medida, la información respectiva, se identificó a través del informe de Monitoreo el MVCT </w:t>
            </w:r>
            <w:proofErr w:type="gramStart"/>
            <w:r>
              <w:rPr>
                <w:rFonts w:ascii="Verdana" w:hAnsi="Verdana"/>
                <w:sz w:val="16"/>
                <w:szCs w:val="16"/>
                <w:lang w:val="es-CO"/>
              </w:rPr>
              <w:t>que</w:t>
            </w:r>
            <w:proofErr w:type="gramEnd"/>
            <w:r>
              <w:rPr>
                <w:rFonts w:ascii="Verdana" w:hAnsi="Verdana"/>
                <w:sz w:val="16"/>
                <w:szCs w:val="16"/>
                <w:lang w:val="es-CO"/>
              </w:rPr>
              <w:t xml:space="preserve"> si se reportó al SINAS, pero no al SUI. De esta manera se considera que existe un cumplimiento </w:t>
            </w:r>
            <w:r>
              <w:rPr>
                <w:rFonts w:ascii="Verdana" w:hAnsi="Verdana"/>
                <w:b/>
                <w:bCs/>
                <w:sz w:val="16"/>
                <w:szCs w:val="16"/>
                <w:lang w:val="es-CO"/>
              </w:rPr>
              <w:t>PARCIAL</w:t>
            </w:r>
            <w:r>
              <w:rPr>
                <w:rFonts w:ascii="Verdana" w:hAnsi="Verdana"/>
                <w:sz w:val="16"/>
                <w:szCs w:val="16"/>
                <w:lang w:val="es-CO"/>
              </w:rPr>
              <w:t xml:space="preserve"> de este producto.</w:t>
            </w:r>
          </w:p>
          <w:p w14:paraId="5A64F0B9" w14:textId="77777777" w:rsidR="00BA3CB2" w:rsidRDefault="00BA3CB2">
            <w:pPr>
              <w:jc w:val="both"/>
              <w:rPr>
                <w:rFonts w:ascii="Verdana" w:hAnsi="Verdana"/>
                <w:sz w:val="16"/>
                <w:szCs w:val="16"/>
                <w:lang w:val="es-CO"/>
              </w:rPr>
            </w:pPr>
          </w:p>
        </w:tc>
      </w:tr>
      <w:tr w:rsidR="00BA3CB2" w14:paraId="27ACCE4A"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0C425E38" w14:textId="77777777" w:rsidR="00BA3CB2" w:rsidRDefault="00BA3CB2">
            <w:pPr>
              <w:rPr>
                <w:rFonts w:ascii="Verdana" w:hAnsi="Verdana"/>
                <w:sz w:val="16"/>
                <w:szCs w:val="16"/>
                <w:highlight w:val="yellow"/>
                <w:lang w:val="es-CO"/>
              </w:rPr>
            </w:pPr>
            <w:r>
              <w:rPr>
                <w:rFonts w:ascii="Verdana" w:hAnsi="Verdana"/>
                <w:sz w:val="16"/>
                <w:szCs w:val="16"/>
                <w:lang w:val="es-CO"/>
              </w:rPr>
              <w:t>Diagnostico_Sectorial_Version1_Abril2023</w:t>
            </w:r>
          </w:p>
        </w:tc>
        <w:tc>
          <w:tcPr>
            <w:tcW w:w="5953" w:type="dxa"/>
            <w:tcBorders>
              <w:top w:val="single" w:sz="4" w:space="0" w:color="auto"/>
              <w:left w:val="single" w:sz="4" w:space="0" w:color="auto"/>
              <w:bottom w:val="single" w:sz="4" w:space="0" w:color="auto"/>
              <w:right w:val="single" w:sz="4" w:space="0" w:color="auto"/>
            </w:tcBorders>
          </w:tcPr>
          <w:p w14:paraId="69252F22" w14:textId="77777777" w:rsidR="00BA3CB2" w:rsidRDefault="00BA3CB2">
            <w:pPr>
              <w:rPr>
                <w:rFonts w:ascii="Verdana" w:hAnsi="Verdana"/>
                <w:sz w:val="16"/>
                <w:szCs w:val="16"/>
                <w:lang w:val="es-CO"/>
              </w:rPr>
            </w:pPr>
            <w:r>
              <w:rPr>
                <w:rFonts w:ascii="Verdana" w:hAnsi="Verdana"/>
                <w:sz w:val="16"/>
                <w:szCs w:val="16"/>
                <w:lang w:val="es-CO"/>
              </w:rPr>
              <w:t>Documento de 25 páginas elaborado por la Gobernación de SAI, algunos datos relevantes del documento de diagnóstico son:</w:t>
            </w:r>
          </w:p>
          <w:p w14:paraId="528E0C4F" w14:textId="77777777" w:rsidR="00BA3CB2" w:rsidRDefault="00BA3CB2">
            <w:pPr>
              <w:rPr>
                <w:rFonts w:ascii="Verdana" w:hAnsi="Verdana"/>
                <w:sz w:val="16"/>
                <w:szCs w:val="16"/>
                <w:lang w:val="es-CO"/>
              </w:rPr>
            </w:pPr>
          </w:p>
          <w:p w14:paraId="2E7B0E30"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Cobertura de acueducto para el mes de febrero en toda la isla: 12.598 usuarios (76.79%) correspondiente a la totalidad de la Isla.</w:t>
            </w:r>
          </w:p>
          <w:p w14:paraId="41DC18F6"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 xml:space="preserve">La cobertura del sistema usuarios (49.94%) de alcantarillado para el mes de febrero en toda la isla: 5.847 PERIMETRO sanitario North </w:t>
            </w:r>
            <w:proofErr w:type="spellStart"/>
            <w:r>
              <w:rPr>
                <w:rFonts w:ascii="Verdana" w:hAnsi="Verdana"/>
                <w:i/>
                <w:iCs/>
                <w:sz w:val="16"/>
                <w:szCs w:val="16"/>
              </w:rPr>
              <w:t>End</w:t>
            </w:r>
            <w:proofErr w:type="spellEnd"/>
            <w:r>
              <w:rPr>
                <w:rFonts w:ascii="Verdana" w:hAnsi="Verdana"/>
                <w:i/>
                <w:iCs/>
                <w:sz w:val="16"/>
                <w:szCs w:val="16"/>
              </w:rPr>
              <w:t>, 0.83% sector rural y 35.64% la totalidad de la Isla.</w:t>
            </w:r>
          </w:p>
          <w:p w14:paraId="33B660D2"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lastRenderedPageBreak/>
              <w:t xml:space="preserve">Fuentes de abastecimiento superficiales sector rural. Mecanismos para el aprovechamiento de las fuentes superficiales: </w:t>
            </w:r>
          </w:p>
          <w:p w14:paraId="76AD2EC1"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1. Captación y almacenamiento directo de la precipitación.</w:t>
            </w:r>
          </w:p>
          <w:p w14:paraId="6CE7937A"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2. Captación directa de fuentes superficiales como el mar y/o escurrimiento en acumulación (cauces o embalses)</w:t>
            </w:r>
          </w:p>
          <w:p w14:paraId="0B11A8C8"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3. 2 Compra de carrotanques de agua potable a empresas como VEOLIA y otras entidades de menor capacidad o tamaño del sector privado.</w:t>
            </w:r>
          </w:p>
          <w:p w14:paraId="3F84C511"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Fuentes de abastecimiento subterráneas La segunda fuente de mayor explotación en el sector rural de la isla son los acuíferos por medio de pozos cilíndricos con tuberías en promedio de 2”.</w:t>
            </w:r>
          </w:p>
          <w:p w14:paraId="6388F0CB" w14:textId="77777777" w:rsidR="00BA3CB2" w:rsidRDefault="00BA3CB2">
            <w:pPr>
              <w:pStyle w:val="Prrafodelista"/>
              <w:jc w:val="both"/>
              <w:rPr>
                <w:rFonts w:ascii="Verdana" w:hAnsi="Verdana"/>
                <w:i/>
                <w:iCs/>
                <w:sz w:val="16"/>
                <w:szCs w:val="16"/>
                <w:lang w:val="es-CO"/>
              </w:rPr>
            </w:pPr>
          </w:p>
          <w:p w14:paraId="178A90DD" w14:textId="77777777" w:rsidR="00BA3CB2" w:rsidRDefault="00BA3CB2">
            <w:pPr>
              <w:ind w:left="360"/>
              <w:jc w:val="both"/>
              <w:rPr>
                <w:rFonts w:ascii="Verdana" w:hAnsi="Verdana"/>
                <w:i/>
                <w:iCs/>
                <w:sz w:val="16"/>
                <w:szCs w:val="16"/>
              </w:rPr>
            </w:pPr>
            <w:r>
              <w:rPr>
                <w:rFonts w:ascii="Verdana" w:hAnsi="Verdana"/>
                <w:b/>
                <w:bCs/>
                <w:i/>
                <w:iCs/>
                <w:sz w:val="16"/>
                <w:szCs w:val="16"/>
              </w:rPr>
              <w:t>Proyectos Exitosos</w:t>
            </w:r>
            <w:r>
              <w:rPr>
                <w:rFonts w:ascii="Verdana" w:hAnsi="Verdana"/>
                <w:i/>
                <w:iCs/>
                <w:sz w:val="16"/>
                <w:szCs w:val="16"/>
              </w:rPr>
              <w:t xml:space="preserve"> para el Aprovechamiento del Recurso Hídrico en el Sector Rural.</w:t>
            </w:r>
          </w:p>
          <w:p w14:paraId="39E41E17" w14:textId="77777777" w:rsidR="00BA3CB2" w:rsidRDefault="00BA3CB2">
            <w:pPr>
              <w:ind w:left="360"/>
              <w:jc w:val="both"/>
              <w:rPr>
                <w:rFonts w:ascii="Verdana" w:hAnsi="Verdana"/>
                <w:i/>
                <w:iCs/>
                <w:sz w:val="16"/>
                <w:szCs w:val="16"/>
                <w:lang w:val="es-CO"/>
              </w:rPr>
            </w:pPr>
          </w:p>
          <w:p w14:paraId="7F632DD8"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Proyecto Ciudad Paraíso</w:t>
            </w:r>
          </w:p>
          <w:p w14:paraId="1AE2C157"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Proyectos de suministro de herramientas Barker Hill.</w:t>
            </w:r>
          </w:p>
          <w:p w14:paraId="081FE27A" w14:textId="77777777" w:rsidR="00BA3CB2" w:rsidRDefault="00BA3CB2">
            <w:pPr>
              <w:pStyle w:val="Prrafodelista"/>
              <w:jc w:val="both"/>
              <w:rPr>
                <w:rFonts w:ascii="Verdana" w:hAnsi="Verdana"/>
                <w:i/>
                <w:iCs/>
                <w:sz w:val="16"/>
                <w:szCs w:val="16"/>
                <w:lang w:val="es-CO"/>
              </w:rPr>
            </w:pPr>
          </w:p>
          <w:p w14:paraId="4A401AD1" w14:textId="77777777" w:rsidR="00BA3CB2" w:rsidRDefault="00BA3CB2">
            <w:pPr>
              <w:jc w:val="both"/>
              <w:rPr>
                <w:rFonts w:ascii="Verdana" w:hAnsi="Verdana"/>
                <w:i/>
                <w:iCs/>
                <w:sz w:val="16"/>
                <w:szCs w:val="16"/>
              </w:rPr>
            </w:pPr>
            <w:r>
              <w:rPr>
                <w:rFonts w:ascii="Verdana" w:hAnsi="Verdana"/>
                <w:i/>
                <w:iCs/>
                <w:sz w:val="16"/>
                <w:szCs w:val="16"/>
              </w:rPr>
              <w:t xml:space="preserve">       Manejo de Sistemas de </w:t>
            </w:r>
            <w:r>
              <w:rPr>
                <w:rFonts w:ascii="Verdana" w:hAnsi="Verdana"/>
                <w:b/>
                <w:bCs/>
                <w:i/>
                <w:iCs/>
                <w:sz w:val="16"/>
                <w:szCs w:val="16"/>
              </w:rPr>
              <w:t>Alcantarillado en Sector Rural</w:t>
            </w:r>
            <w:r>
              <w:rPr>
                <w:rFonts w:ascii="Verdana" w:hAnsi="Verdana"/>
                <w:i/>
                <w:iCs/>
                <w:sz w:val="16"/>
                <w:szCs w:val="16"/>
              </w:rPr>
              <w:t>:</w:t>
            </w:r>
          </w:p>
          <w:p w14:paraId="18519C1E" w14:textId="77777777" w:rsidR="00BA3CB2" w:rsidRDefault="00BA3CB2">
            <w:pPr>
              <w:jc w:val="both"/>
              <w:rPr>
                <w:rFonts w:ascii="Verdana" w:hAnsi="Verdana"/>
                <w:i/>
                <w:iCs/>
                <w:sz w:val="16"/>
                <w:szCs w:val="16"/>
                <w:lang w:val="es-CO"/>
              </w:rPr>
            </w:pPr>
          </w:p>
          <w:p w14:paraId="0DDEFCB9"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En el sector rural la mayoría de las medidas de manejo y disposición de aguas residuales producen vertimientos puntuales, directos e indirectos al recurso, esto sin una disminución sensible de la carga contaminante.</w:t>
            </w:r>
          </w:p>
          <w:p w14:paraId="3E92062C" w14:textId="77777777" w:rsidR="00BA3CB2" w:rsidRDefault="00BA3CB2" w:rsidP="00BA3CB2">
            <w:pPr>
              <w:pStyle w:val="Prrafodelista"/>
              <w:numPr>
                <w:ilvl w:val="0"/>
                <w:numId w:val="10"/>
              </w:numPr>
              <w:jc w:val="both"/>
              <w:rPr>
                <w:rFonts w:ascii="Verdana" w:hAnsi="Verdana"/>
                <w:i/>
                <w:iCs/>
                <w:sz w:val="16"/>
                <w:szCs w:val="16"/>
                <w:lang w:val="es-CO"/>
              </w:rPr>
            </w:pPr>
            <w:r>
              <w:rPr>
                <w:rFonts w:ascii="Verdana" w:hAnsi="Verdana"/>
                <w:i/>
                <w:iCs/>
                <w:sz w:val="16"/>
                <w:szCs w:val="16"/>
              </w:rPr>
              <w:t>Por las condiciones presentes en la isla el fenómeno principal que se debe combatir es la tasa de infiltración de aguas residuales al subsuelo sin que esté completo un ciclo de tratamiento que disminuya efectivamente la carga contaminante, y por consiguiente la consecuente no asimilación de los contaminantes (carga orgánica) por parte del acuífero; así mismo, es necesario mejorar las condiciones actuales de funcionamiento de los sistemas descentralizados existentes.</w:t>
            </w:r>
          </w:p>
          <w:p w14:paraId="03038BF9" w14:textId="77777777" w:rsidR="00BA3CB2" w:rsidRDefault="00BA3CB2">
            <w:pPr>
              <w:pStyle w:val="Prrafodelista"/>
              <w:rPr>
                <w:rFonts w:ascii="Verdana" w:hAnsi="Verdana"/>
                <w:i/>
                <w:iCs/>
                <w:sz w:val="16"/>
                <w:szCs w:val="16"/>
                <w:lang w:val="es-CO"/>
              </w:rPr>
            </w:pPr>
          </w:p>
          <w:p w14:paraId="3A1D7599" w14:textId="77777777" w:rsidR="00BA3CB2" w:rsidRDefault="00BA3CB2">
            <w:pPr>
              <w:rPr>
                <w:rFonts w:ascii="Verdana" w:hAnsi="Verdana"/>
                <w:b/>
                <w:bCs/>
                <w:i/>
                <w:iCs/>
                <w:sz w:val="16"/>
                <w:szCs w:val="16"/>
              </w:rPr>
            </w:pPr>
            <w:r>
              <w:rPr>
                <w:rFonts w:ascii="Verdana" w:hAnsi="Verdana"/>
                <w:b/>
                <w:bCs/>
                <w:i/>
                <w:iCs/>
                <w:sz w:val="16"/>
                <w:szCs w:val="16"/>
              </w:rPr>
              <w:t>Estado Operativo de Aguas de San Andrés S.A.</w:t>
            </w:r>
          </w:p>
          <w:p w14:paraId="17353385" w14:textId="77777777" w:rsidR="00BA3CB2" w:rsidRDefault="00BA3CB2">
            <w:pPr>
              <w:rPr>
                <w:rFonts w:ascii="Verdana" w:hAnsi="Verdana"/>
                <w:i/>
                <w:iCs/>
                <w:sz w:val="16"/>
                <w:szCs w:val="16"/>
              </w:rPr>
            </w:pPr>
          </w:p>
          <w:p w14:paraId="6F0643FD" w14:textId="77777777" w:rsidR="00BA3CB2" w:rsidRDefault="00BA3CB2">
            <w:pPr>
              <w:jc w:val="both"/>
              <w:rPr>
                <w:rFonts w:ascii="Verdana" w:hAnsi="Verdana"/>
                <w:i/>
                <w:iCs/>
                <w:sz w:val="16"/>
                <w:szCs w:val="16"/>
              </w:rPr>
            </w:pPr>
            <w:r>
              <w:rPr>
                <w:rFonts w:ascii="Verdana" w:hAnsi="Verdana"/>
                <w:i/>
                <w:iCs/>
                <w:sz w:val="16"/>
                <w:szCs w:val="16"/>
              </w:rPr>
              <w:t>La empresa fue creada como resultado de la intervención efectuada por la Superintendencia de Servicios Públicos Domiciliarios SPPD; en los términos del numeral 6.4 del artículo 6 de la Ley 142 de 1994 y del Decreto 398 de 2002, para que bajo un esquema y/o estructura operacional, en el cual su objeto es cumplido a través de un operador especializado. El proceso para la selección del Operador especializado y la Supervisión del Contrato, fue liderado, estructurado y llevado a cabo por la Superintendencia de Servicios Públicos Domiciliarios, del cual</w:t>
            </w:r>
            <w:r>
              <w:rPr>
                <w:rFonts w:ascii="Verdana" w:hAnsi="Verdana"/>
                <w:sz w:val="16"/>
                <w:szCs w:val="16"/>
              </w:rPr>
              <w:t xml:space="preserve"> </w:t>
            </w:r>
            <w:r>
              <w:rPr>
                <w:rFonts w:ascii="Verdana" w:hAnsi="Verdana"/>
                <w:i/>
                <w:iCs/>
                <w:sz w:val="16"/>
                <w:szCs w:val="16"/>
              </w:rPr>
              <w:t>salió escogida la Firma PROACTIVA Aguas del Archipiélago SA ESP hoy VEOLIA SA ESP; y para la Supervisión de la operación, la Unión Temporal PGP CYDEP LTDA.</w:t>
            </w:r>
          </w:p>
          <w:p w14:paraId="5E6B3679" w14:textId="77777777" w:rsidR="00BA3CB2" w:rsidRDefault="00BA3CB2">
            <w:pPr>
              <w:rPr>
                <w:rFonts w:ascii="Verdana" w:hAnsi="Verdana"/>
                <w:i/>
                <w:iCs/>
                <w:sz w:val="16"/>
                <w:szCs w:val="16"/>
              </w:rPr>
            </w:pPr>
          </w:p>
          <w:p w14:paraId="521599A5" w14:textId="77777777" w:rsidR="00BA3CB2" w:rsidRDefault="00BA3CB2">
            <w:pPr>
              <w:rPr>
                <w:rFonts w:ascii="Verdana" w:hAnsi="Verdana"/>
                <w:i/>
                <w:iCs/>
                <w:sz w:val="16"/>
                <w:szCs w:val="16"/>
              </w:rPr>
            </w:pPr>
            <w:r>
              <w:rPr>
                <w:rFonts w:ascii="Verdana" w:hAnsi="Verdana"/>
                <w:i/>
                <w:iCs/>
                <w:sz w:val="16"/>
                <w:szCs w:val="16"/>
              </w:rPr>
              <w:t xml:space="preserve">La Junta Directiva de la Empresa está conformada de la siguiente manera: </w:t>
            </w:r>
          </w:p>
          <w:p w14:paraId="21B4390B" w14:textId="77777777" w:rsidR="00BA3CB2" w:rsidRDefault="00BA3CB2">
            <w:pPr>
              <w:rPr>
                <w:rFonts w:ascii="Verdana" w:hAnsi="Verdana"/>
                <w:i/>
                <w:iCs/>
                <w:sz w:val="16"/>
                <w:szCs w:val="16"/>
              </w:rPr>
            </w:pPr>
            <w:r>
              <w:rPr>
                <w:rFonts w:ascii="Verdana" w:hAnsi="Verdana"/>
                <w:i/>
                <w:iCs/>
                <w:sz w:val="16"/>
                <w:szCs w:val="16"/>
              </w:rPr>
              <w:t xml:space="preserve">• Gobernador quien es su presidente </w:t>
            </w:r>
          </w:p>
          <w:p w14:paraId="19FD1644" w14:textId="77777777" w:rsidR="00BA3CB2" w:rsidRDefault="00BA3CB2">
            <w:pPr>
              <w:rPr>
                <w:rFonts w:ascii="Verdana" w:hAnsi="Verdana"/>
                <w:i/>
                <w:iCs/>
                <w:sz w:val="16"/>
                <w:szCs w:val="16"/>
              </w:rPr>
            </w:pPr>
            <w:r>
              <w:rPr>
                <w:rFonts w:ascii="Verdana" w:hAnsi="Verdana"/>
                <w:i/>
                <w:iCs/>
                <w:sz w:val="16"/>
                <w:szCs w:val="16"/>
              </w:rPr>
              <w:t xml:space="preserve">• </w:t>
            </w:r>
            <w:proofErr w:type="gramStart"/>
            <w:r>
              <w:rPr>
                <w:rFonts w:ascii="Verdana" w:hAnsi="Verdana"/>
                <w:i/>
                <w:iCs/>
                <w:sz w:val="16"/>
                <w:szCs w:val="16"/>
              </w:rPr>
              <w:t>Secretaria</w:t>
            </w:r>
            <w:proofErr w:type="gramEnd"/>
            <w:r>
              <w:rPr>
                <w:rFonts w:ascii="Verdana" w:hAnsi="Verdana"/>
                <w:i/>
                <w:iCs/>
                <w:sz w:val="16"/>
                <w:szCs w:val="16"/>
              </w:rPr>
              <w:t xml:space="preserve"> de Infraestructura </w:t>
            </w:r>
          </w:p>
          <w:p w14:paraId="1D4BFC2E" w14:textId="77777777" w:rsidR="00BA3CB2" w:rsidRDefault="00BA3CB2">
            <w:pPr>
              <w:rPr>
                <w:rFonts w:ascii="Verdana" w:hAnsi="Verdana"/>
                <w:i/>
                <w:iCs/>
                <w:sz w:val="16"/>
                <w:szCs w:val="16"/>
              </w:rPr>
            </w:pPr>
            <w:r>
              <w:rPr>
                <w:rFonts w:ascii="Verdana" w:hAnsi="Verdana"/>
                <w:i/>
                <w:iCs/>
                <w:sz w:val="16"/>
                <w:szCs w:val="16"/>
              </w:rPr>
              <w:t xml:space="preserve">• </w:t>
            </w:r>
            <w:proofErr w:type="gramStart"/>
            <w:r>
              <w:rPr>
                <w:rFonts w:ascii="Verdana" w:hAnsi="Verdana"/>
                <w:i/>
                <w:iCs/>
                <w:sz w:val="16"/>
                <w:szCs w:val="16"/>
              </w:rPr>
              <w:t>Secretaria</w:t>
            </w:r>
            <w:proofErr w:type="gramEnd"/>
            <w:r>
              <w:rPr>
                <w:rFonts w:ascii="Verdana" w:hAnsi="Verdana"/>
                <w:i/>
                <w:iCs/>
                <w:sz w:val="16"/>
                <w:szCs w:val="16"/>
              </w:rPr>
              <w:t xml:space="preserve"> de Servicios Públicos y Medio Ambiente </w:t>
            </w:r>
          </w:p>
          <w:p w14:paraId="07164383" w14:textId="77777777" w:rsidR="00BA3CB2" w:rsidRDefault="00BA3CB2">
            <w:pPr>
              <w:rPr>
                <w:rFonts w:ascii="Verdana" w:hAnsi="Verdana"/>
                <w:i/>
                <w:iCs/>
                <w:sz w:val="16"/>
                <w:szCs w:val="16"/>
              </w:rPr>
            </w:pPr>
            <w:r>
              <w:rPr>
                <w:rFonts w:ascii="Verdana" w:hAnsi="Verdana"/>
                <w:i/>
                <w:iCs/>
                <w:sz w:val="16"/>
                <w:szCs w:val="16"/>
              </w:rPr>
              <w:t xml:space="preserve">• Viceministerio de Agua Saneamiento Básico del MVCT. </w:t>
            </w:r>
          </w:p>
          <w:p w14:paraId="7C28A10C" w14:textId="77777777" w:rsidR="00BA3CB2" w:rsidRDefault="00BA3CB2">
            <w:pPr>
              <w:rPr>
                <w:rFonts w:ascii="Verdana" w:hAnsi="Verdana"/>
                <w:i/>
                <w:iCs/>
                <w:sz w:val="16"/>
                <w:szCs w:val="16"/>
              </w:rPr>
            </w:pPr>
            <w:r>
              <w:rPr>
                <w:rFonts w:ascii="Verdana" w:hAnsi="Verdana"/>
                <w:i/>
                <w:iCs/>
                <w:sz w:val="16"/>
                <w:szCs w:val="16"/>
              </w:rPr>
              <w:t>• Vocal de control social (Vacante).</w:t>
            </w:r>
          </w:p>
          <w:p w14:paraId="3DB74CDC" w14:textId="77777777" w:rsidR="00BA3CB2" w:rsidRDefault="00BA3CB2">
            <w:pPr>
              <w:rPr>
                <w:rFonts w:ascii="Verdana" w:hAnsi="Verdana"/>
                <w:i/>
                <w:iCs/>
                <w:sz w:val="16"/>
                <w:szCs w:val="16"/>
              </w:rPr>
            </w:pPr>
          </w:p>
          <w:p w14:paraId="3C0C655F" w14:textId="77777777" w:rsidR="00BA3CB2" w:rsidRDefault="00BA3CB2">
            <w:pPr>
              <w:jc w:val="both"/>
              <w:rPr>
                <w:rFonts w:ascii="Verdana" w:hAnsi="Verdana"/>
                <w:i/>
                <w:iCs/>
                <w:sz w:val="16"/>
                <w:szCs w:val="16"/>
              </w:rPr>
            </w:pPr>
            <w:r>
              <w:rPr>
                <w:rFonts w:ascii="Verdana" w:hAnsi="Verdana"/>
                <w:i/>
                <w:iCs/>
                <w:sz w:val="16"/>
                <w:szCs w:val="16"/>
              </w:rPr>
              <w:t>La estructura orgánica de la Empresa Aguas de San Andrés no es funcional, se cumple parcialmente, por falta de personal (no cuenta con recursos suficientes), y dejó de ser un instrumento de gestión que ayuda a definir con claridad las funciones de las diferentes áreas de la organización.</w:t>
            </w:r>
          </w:p>
          <w:p w14:paraId="4299B1FF" w14:textId="77777777" w:rsidR="00BA3CB2" w:rsidRDefault="00BA3CB2">
            <w:pPr>
              <w:rPr>
                <w:rFonts w:ascii="Verdana" w:hAnsi="Verdana"/>
                <w:i/>
                <w:iCs/>
                <w:sz w:val="16"/>
                <w:szCs w:val="16"/>
              </w:rPr>
            </w:pPr>
          </w:p>
          <w:p w14:paraId="1D4E5E3A" w14:textId="77777777" w:rsidR="00BA3CB2" w:rsidRDefault="00BA3CB2">
            <w:pPr>
              <w:jc w:val="both"/>
              <w:rPr>
                <w:rFonts w:ascii="Verdana" w:hAnsi="Verdana"/>
                <w:i/>
                <w:iCs/>
                <w:sz w:val="16"/>
                <w:szCs w:val="16"/>
              </w:rPr>
            </w:pPr>
            <w:r>
              <w:rPr>
                <w:rFonts w:ascii="Verdana" w:hAnsi="Verdana"/>
                <w:i/>
                <w:iCs/>
                <w:sz w:val="16"/>
                <w:szCs w:val="16"/>
              </w:rPr>
              <w:t>La Gerencia en el cumplimiento del deber y responsabilidad y poder acatar sus funciones internas y de lo señaladas en los estatutos de la sociedad, gestiona en muchas ocasiones con el Departamento, con Viceministerio de Agua y Saneamiento Básico y con la misma supervisión del Contrato apoyo jurídico y técnico para poder dar respuesta a derechos de petición y /o tutela. solicita apoyo técnico a la Gobernación:</w:t>
            </w:r>
          </w:p>
          <w:p w14:paraId="6281A1B2" w14:textId="77777777" w:rsidR="00BA3CB2" w:rsidRDefault="00BA3CB2">
            <w:pPr>
              <w:jc w:val="both"/>
              <w:rPr>
                <w:rFonts w:ascii="Verdana" w:hAnsi="Verdana"/>
                <w:i/>
                <w:iCs/>
                <w:sz w:val="16"/>
                <w:szCs w:val="16"/>
              </w:rPr>
            </w:pPr>
          </w:p>
          <w:p w14:paraId="22252692" w14:textId="77777777" w:rsidR="00BA3CB2" w:rsidRDefault="00BA3CB2">
            <w:pPr>
              <w:jc w:val="both"/>
              <w:rPr>
                <w:rFonts w:ascii="Verdana" w:hAnsi="Verdana"/>
                <w:i/>
                <w:iCs/>
                <w:sz w:val="16"/>
                <w:szCs w:val="16"/>
              </w:rPr>
            </w:pPr>
            <w:r>
              <w:rPr>
                <w:rFonts w:ascii="Verdana" w:hAnsi="Verdana"/>
                <w:i/>
                <w:iCs/>
                <w:sz w:val="16"/>
                <w:szCs w:val="16"/>
              </w:rPr>
              <w:t>• Contar con un Abogado que conceptúe en lo jurídico, en la Conciliación prejudicial con la procuraduría - demanda por parte de la supervisión del contrato de operación y para que revise la parte jurídica de la posibilidad de contratar o seleccionar un nuevo supervisor del contrato de operación. • Un ingeniero especialista en Subsidios y Contribuciones, debido a que existen discrepancias entre el ejercicio realizado por el supervisor del contrato, en el balance de subsidios y contribuciones, y la empresa operadora. • Revisión al Contrato de Operación para ampliar y mejorar el acceso al servicio agua potable y saneamiento básico en la Isla de San Andrés; específicamente algunas de las cláusulas del Otrosí No. 9 del Contrato de Operación de Acueducto y Alcantarillado.</w:t>
            </w:r>
          </w:p>
          <w:p w14:paraId="06458104" w14:textId="77777777" w:rsidR="00BA3CB2" w:rsidRDefault="00BA3CB2">
            <w:pPr>
              <w:jc w:val="both"/>
              <w:rPr>
                <w:rFonts w:ascii="Verdana" w:hAnsi="Verdana"/>
                <w:i/>
                <w:iCs/>
                <w:sz w:val="16"/>
                <w:szCs w:val="16"/>
              </w:rPr>
            </w:pPr>
          </w:p>
          <w:p w14:paraId="33731EFE" w14:textId="77777777" w:rsidR="00BA3CB2" w:rsidRDefault="00BA3CB2">
            <w:pPr>
              <w:jc w:val="both"/>
              <w:rPr>
                <w:rFonts w:ascii="Verdana" w:hAnsi="Verdana"/>
                <w:i/>
                <w:iCs/>
                <w:sz w:val="16"/>
                <w:szCs w:val="16"/>
              </w:rPr>
            </w:pPr>
            <w:r>
              <w:rPr>
                <w:rFonts w:ascii="Verdana" w:hAnsi="Verdana"/>
                <w:i/>
                <w:iCs/>
                <w:sz w:val="16"/>
                <w:szCs w:val="16"/>
              </w:rPr>
              <w:t>Durante los años 2020, 2021 y 2022, el M.V.C.T. ha brindado, en el marco de sus competencias, el apoyo a las solicitudes, a través de la Dirección de Infraestructura y Desarrollo Empresarial en relación con el contrato de operación de los servicios públicos y con el contrato de supervisión.</w:t>
            </w:r>
          </w:p>
          <w:p w14:paraId="6278B403" w14:textId="77777777" w:rsidR="00BA3CB2" w:rsidRDefault="00BA3CB2">
            <w:pPr>
              <w:jc w:val="both"/>
              <w:rPr>
                <w:rFonts w:ascii="Verdana" w:hAnsi="Verdana"/>
                <w:i/>
                <w:iCs/>
                <w:sz w:val="16"/>
                <w:szCs w:val="16"/>
              </w:rPr>
            </w:pPr>
          </w:p>
          <w:p w14:paraId="4B9ECAB4" w14:textId="77777777" w:rsidR="00BA3CB2" w:rsidRDefault="00BA3CB2">
            <w:pPr>
              <w:jc w:val="both"/>
              <w:rPr>
                <w:rFonts w:ascii="Verdana" w:hAnsi="Verdana"/>
                <w:i/>
                <w:iCs/>
                <w:sz w:val="16"/>
                <w:szCs w:val="16"/>
              </w:rPr>
            </w:pPr>
            <w:r>
              <w:rPr>
                <w:rFonts w:ascii="Verdana" w:hAnsi="Verdana"/>
                <w:b/>
                <w:bCs/>
                <w:i/>
                <w:iCs/>
                <w:sz w:val="16"/>
                <w:szCs w:val="16"/>
              </w:rPr>
              <w:t>COMPONENTE ASEO</w:t>
            </w:r>
            <w:r>
              <w:rPr>
                <w:rFonts w:ascii="Verdana" w:hAnsi="Verdana"/>
                <w:i/>
                <w:iCs/>
                <w:sz w:val="16"/>
                <w:szCs w:val="16"/>
              </w:rPr>
              <w:t xml:space="preserve"> </w:t>
            </w:r>
          </w:p>
          <w:p w14:paraId="25D33FA6" w14:textId="77777777" w:rsidR="00BA3CB2" w:rsidRDefault="00BA3CB2">
            <w:pPr>
              <w:jc w:val="both"/>
              <w:rPr>
                <w:rFonts w:ascii="Verdana" w:hAnsi="Verdana"/>
                <w:i/>
                <w:iCs/>
                <w:sz w:val="16"/>
                <w:szCs w:val="16"/>
              </w:rPr>
            </w:pPr>
          </w:p>
          <w:p w14:paraId="343D7821" w14:textId="77777777" w:rsidR="00BA3CB2" w:rsidRDefault="00BA3CB2">
            <w:pPr>
              <w:jc w:val="both"/>
              <w:rPr>
                <w:rFonts w:ascii="Verdana" w:hAnsi="Verdana"/>
                <w:i/>
                <w:iCs/>
                <w:sz w:val="16"/>
                <w:szCs w:val="16"/>
              </w:rPr>
            </w:pPr>
            <w:r>
              <w:rPr>
                <w:rFonts w:ascii="Verdana" w:hAnsi="Verdana"/>
                <w:i/>
                <w:iCs/>
                <w:sz w:val="16"/>
                <w:szCs w:val="16"/>
              </w:rPr>
              <w:t>La gobernación del Departamento Archipiélago de San Andrés Providencia y Santa Catalina, a través del contrato de concesión No. 1016 de 2017 suscrito con INTERASEO del Archipiélago S.A.S. E.S.P.; cuyo objeto corresponde a “Ejecutar las actividades relacionadas con la prestación del servicio de aseo en el componente de disposición final (administración, operación y mantenimiento del relleno sanitario Magic Garden), así como los estudios y diseños para definir el modelo financiero, las inversiones y la ejecución de las obras necesarias para la preparación de los residuos procedentes de las rutas de recolección selectiva y los depositados en el relleno sanitario “Magic Garden” para que sean entregados a la planta de aprovechamiento RSU en la isla de San Andrés.”</w:t>
            </w:r>
          </w:p>
          <w:p w14:paraId="35366600" w14:textId="77777777" w:rsidR="00BA3CB2" w:rsidRDefault="00BA3CB2">
            <w:pPr>
              <w:jc w:val="both"/>
              <w:rPr>
                <w:rFonts w:ascii="Verdana" w:hAnsi="Verdana"/>
                <w:i/>
                <w:iCs/>
                <w:sz w:val="16"/>
                <w:szCs w:val="16"/>
              </w:rPr>
            </w:pPr>
          </w:p>
          <w:p w14:paraId="02F3E9F1" w14:textId="77777777" w:rsidR="00BA3CB2" w:rsidRDefault="00BA3CB2">
            <w:pPr>
              <w:jc w:val="both"/>
              <w:rPr>
                <w:rFonts w:ascii="Verdana" w:hAnsi="Verdana"/>
                <w:i/>
                <w:iCs/>
                <w:sz w:val="16"/>
                <w:szCs w:val="16"/>
              </w:rPr>
            </w:pPr>
          </w:p>
          <w:p w14:paraId="62627128" w14:textId="77777777" w:rsidR="00BA3CB2" w:rsidRDefault="00BA3CB2">
            <w:pPr>
              <w:jc w:val="both"/>
              <w:rPr>
                <w:rFonts w:ascii="Verdana" w:hAnsi="Verdana"/>
                <w:b/>
                <w:bCs/>
                <w:i/>
                <w:iCs/>
                <w:sz w:val="16"/>
                <w:szCs w:val="16"/>
              </w:rPr>
            </w:pPr>
            <w:r>
              <w:rPr>
                <w:rFonts w:ascii="Verdana" w:hAnsi="Verdana"/>
                <w:b/>
                <w:bCs/>
                <w:i/>
                <w:iCs/>
                <w:sz w:val="16"/>
                <w:szCs w:val="16"/>
              </w:rPr>
              <w:t>Planta RSU (Inversiones Obligatorias).</w:t>
            </w:r>
          </w:p>
          <w:p w14:paraId="759BE49F" w14:textId="77777777" w:rsidR="00BA3CB2" w:rsidRDefault="00BA3CB2">
            <w:pPr>
              <w:jc w:val="both"/>
              <w:rPr>
                <w:rFonts w:ascii="Verdana" w:hAnsi="Verdana"/>
                <w:i/>
                <w:iCs/>
                <w:sz w:val="16"/>
                <w:szCs w:val="16"/>
              </w:rPr>
            </w:pPr>
          </w:p>
          <w:p w14:paraId="789E977A" w14:textId="77777777" w:rsidR="00BA3CB2" w:rsidRDefault="00BA3CB2">
            <w:pPr>
              <w:jc w:val="both"/>
              <w:rPr>
                <w:rFonts w:ascii="Verdana" w:hAnsi="Verdana"/>
                <w:i/>
                <w:iCs/>
                <w:sz w:val="16"/>
                <w:szCs w:val="16"/>
              </w:rPr>
            </w:pPr>
            <w:r>
              <w:rPr>
                <w:rFonts w:ascii="Verdana" w:hAnsi="Verdana"/>
                <w:i/>
                <w:iCs/>
                <w:sz w:val="16"/>
                <w:szCs w:val="16"/>
              </w:rPr>
              <w:t>Capacidad instalada: 1,6 MW • Producción estimada contractual: 4,0 GWh/año • Capacidad de aprovechamiento de residuos: 80 Ton/día • Costo final de la Planta: $34.938 millones • Recursos FAZNI aplicados: $29.960 millones.</w:t>
            </w:r>
          </w:p>
          <w:p w14:paraId="77261CED" w14:textId="77777777" w:rsidR="00BA3CB2" w:rsidRDefault="00BA3CB2">
            <w:pPr>
              <w:rPr>
                <w:rFonts w:ascii="Verdana" w:hAnsi="Verdana"/>
                <w:i/>
                <w:iCs/>
                <w:sz w:val="16"/>
                <w:szCs w:val="16"/>
              </w:rPr>
            </w:pPr>
          </w:p>
          <w:p w14:paraId="0C30A8D0" w14:textId="77777777" w:rsidR="00BA3CB2" w:rsidRDefault="00BA3CB2">
            <w:pPr>
              <w:jc w:val="both"/>
              <w:rPr>
                <w:rFonts w:ascii="Verdana" w:hAnsi="Verdana"/>
                <w:i/>
                <w:iCs/>
                <w:sz w:val="16"/>
                <w:szCs w:val="16"/>
              </w:rPr>
            </w:pPr>
            <w:r>
              <w:rPr>
                <w:rFonts w:ascii="Verdana" w:hAnsi="Verdana"/>
                <w:i/>
                <w:iCs/>
                <w:sz w:val="16"/>
                <w:szCs w:val="16"/>
              </w:rPr>
              <w:lastRenderedPageBreak/>
              <w:t>Aprovechamiento y Disposición final. Durante el año 2022, se recibieron en el relleno sanitario Magic Garden 31.453 Toneladas y lo que lleva corrido del año 2023 van 6.508 Toneladas con reducción de residuos con relación a los meses del año anterior del 5.77%. la vida útil del RSMG estaba prevista hasta diciembre de 2021 y la vida útil de la celda de rechazos y cenizas estaba prevista hasta junio de 2023, completando de esa forma los 3 años de optimización, única y exclusivamente si no se realizara ningún proceso de generación de CDR, ni generación de energía bajo la incineración.</w:t>
            </w:r>
          </w:p>
          <w:p w14:paraId="41C8D8A7" w14:textId="77777777" w:rsidR="00BA3CB2" w:rsidRDefault="00BA3CB2">
            <w:pPr>
              <w:rPr>
                <w:rFonts w:ascii="Verdana" w:hAnsi="Verdana"/>
                <w:i/>
                <w:iCs/>
                <w:sz w:val="16"/>
                <w:szCs w:val="16"/>
              </w:rPr>
            </w:pPr>
          </w:p>
          <w:p w14:paraId="512C5522" w14:textId="77777777" w:rsidR="00BA3CB2" w:rsidRDefault="00BA3CB2" w:rsidP="00BA3CB2">
            <w:pPr>
              <w:pStyle w:val="Prrafodelista"/>
              <w:numPr>
                <w:ilvl w:val="0"/>
                <w:numId w:val="10"/>
              </w:numPr>
              <w:jc w:val="both"/>
              <w:rPr>
                <w:rFonts w:ascii="Verdana" w:hAnsi="Verdana"/>
                <w:i/>
                <w:iCs/>
                <w:sz w:val="16"/>
                <w:szCs w:val="16"/>
              </w:rPr>
            </w:pPr>
            <w:r>
              <w:rPr>
                <w:rFonts w:ascii="Verdana" w:hAnsi="Verdana"/>
                <w:i/>
                <w:iCs/>
                <w:sz w:val="16"/>
                <w:szCs w:val="16"/>
              </w:rPr>
              <w:t>Centro de acopio temporal “Punto Verde”. es un centro de procesamiento, embalaje y almacenamiento temporal de residuos especiales.</w:t>
            </w:r>
          </w:p>
          <w:p w14:paraId="2CCAEAB8" w14:textId="77777777" w:rsidR="00BA3CB2" w:rsidRDefault="00BA3CB2">
            <w:pPr>
              <w:jc w:val="both"/>
              <w:rPr>
                <w:rFonts w:ascii="Verdana" w:hAnsi="Verdana"/>
                <w:sz w:val="16"/>
                <w:szCs w:val="16"/>
              </w:rPr>
            </w:pPr>
          </w:p>
          <w:p w14:paraId="7F9B67DC" w14:textId="77777777" w:rsidR="00BA3CB2" w:rsidRDefault="00BA3CB2">
            <w:pPr>
              <w:jc w:val="both"/>
              <w:rPr>
                <w:rFonts w:ascii="Verdana" w:hAnsi="Verdana"/>
                <w:sz w:val="16"/>
                <w:szCs w:val="16"/>
              </w:rPr>
            </w:pPr>
          </w:p>
          <w:p w14:paraId="07EC6D05" w14:textId="77777777" w:rsidR="00BA3CB2" w:rsidRDefault="00BA3CB2">
            <w:pPr>
              <w:jc w:val="both"/>
              <w:rPr>
                <w:rFonts w:ascii="Verdana" w:hAnsi="Verdana"/>
                <w:sz w:val="16"/>
                <w:szCs w:val="16"/>
              </w:rPr>
            </w:pPr>
            <w:r>
              <w:rPr>
                <w:rFonts w:ascii="Verdana" w:hAnsi="Verdana"/>
                <w:sz w:val="16"/>
                <w:szCs w:val="16"/>
              </w:rPr>
              <w:t>Si bien es un primer avance en la información del diagnóstico, debe irse actualizando. Debe focalizar las coberturas a través de las diferentes formas de abastecimiento de acueducto. ¿Cuál es el estado de las licencias y permisos? ¿Están actualizados? Es de recordar que este producto es la base para la construcción del modelo de prestación de AAA diferencial en la Isla.</w:t>
            </w:r>
          </w:p>
          <w:p w14:paraId="141F034E" w14:textId="77777777" w:rsidR="00BA3CB2" w:rsidRDefault="00BA3CB2">
            <w:pPr>
              <w:jc w:val="both"/>
              <w:rPr>
                <w:rFonts w:ascii="Verdana" w:hAnsi="Verdana"/>
                <w:sz w:val="16"/>
                <w:szCs w:val="16"/>
              </w:rPr>
            </w:pPr>
          </w:p>
          <w:p w14:paraId="04CE7A71" w14:textId="77777777" w:rsidR="00BA3CB2" w:rsidRDefault="00BA3CB2">
            <w:pPr>
              <w:jc w:val="both"/>
              <w:rPr>
                <w:rFonts w:ascii="Verdana" w:hAnsi="Verdana"/>
                <w:sz w:val="16"/>
                <w:szCs w:val="16"/>
              </w:rPr>
            </w:pPr>
            <w:r>
              <w:rPr>
                <w:rFonts w:ascii="Verdana" w:hAnsi="Verdana"/>
                <w:sz w:val="16"/>
                <w:szCs w:val="16"/>
              </w:rPr>
              <w:t>¿Cómo se encuentra el cumplimiento del PGIRS? ¿Del PSMV, del PMAA?</w:t>
            </w:r>
          </w:p>
          <w:p w14:paraId="003BEFE3" w14:textId="77777777" w:rsidR="00BA3CB2" w:rsidRDefault="00BA3CB2">
            <w:pPr>
              <w:rPr>
                <w:rFonts w:ascii="Verdana" w:hAnsi="Verdana"/>
                <w:sz w:val="16"/>
                <w:szCs w:val="16"/>
              </w:rPr>
            </w:pPr>
          </w:p>
          <w:p w14:paraId="166E78BC" w14:textId="77777777" w:rsidR="00BA3CB2" w:rsidRDefault="00BA3CB2">
            <w:pPr>
              <w:jc w:val="both"/>
              <w:rPr>
                <w:rFonts w:ascii="Verdana" w:hAnsi="Verdana"/>
                <w:i/>
                <w:iCs/>
                <w:sz w:val="16"/>
                <w:szCs w:val="16"/>
              </w:rPr>
            </w:pPr>
            <w:r>
              <w:rPr>
                <w:rFonts w:ascii="Verdana" w:hAnsi="Verdana"/>
                <w:sz w:val="16"/>
                <w:szCs w:val="16"/>
              </w:rPr>
              <w:t>Se debe actualizar este informe con el documento actualizado de “</w:t>
            </w:r>
            <w:r>
              <w:rPr>
                <w:rFonts w:ascii="Verdana" w:hAnsi="Verdana"/>
                <w:b/>
                <w:bCs/>
                <w:i/>
                <w:iCs/>
                <w:sz w:val="16"/>
                <w:szCs w:val="16"/>
              </w:rPr>
              <w:t>Resultados del monitoreo</w:t>
            </w:r>
            <w:r>
              <w:rPr>
                <w:rFonts w:ascii="Verdana" w:hAnsi="Verdana"/>
                <w:i/>
                <w:iCs/>
                <w:sz w:val="16"/>
                <w:szCs w:val="16"/>
              </w:rPr>
              <w:t xml:space="preserve"> a la calidad del agua subterránea por Unidades de Planificación Insular”.</w:t>
            </w:r>
          </w:p>
          <w:p w14:paraId="271A90A7" w14:textId="77777777" w:rsidR="00BA3CB2" w:rsidRDefault="00BA3CB2">
            <w:pPr>
              <w:jc w:val="both"/>
              <w:rPr>
                <w:rFonts w:ascii="Verdana" w:hAnsi="Verdana"/>
                <w:i/>
                <w:iCs/>
                <w:sz w:val="16"/>
                <w:szCs w:val="16"/>
              </w:rPr>
            </w:pPr>
          </w:p>
          <w:p w14:paraId="412C1C08" w14:textId="77777777" w:rsidR="00BA3CB2" w:rsidRDefault="00BA3CB2">
            <w:pPr>
              <w:jc w:val="both"/>
              <w:rPr>
                <w:rFonts w:ascii="Verdana" w:hAnsi="Verdana"/>
                <w:b/>
                <w:bCs/>
                <w:sz w:val="16"/>
                <w:szCs w:val="16"/>
              </w:rPr>
            </w:pPr>
            <w:r>
              <w:rPr>
                <w:rFonts w:ascii="Verdana" w:hAnsi="Verdana"/>
                <w:b/>
                <w:bCs/>
                <w:sz w:val="16"/>
                <w:szCs w:val="16"/>
              </w:rPr>
              <w:t>CUMPLIMIENTO PARCIAL.</w:t>
            </w:r>
          </w:p>
          <w:p w14:paraId="543C4841" w14:textId="77777777" w:rsidR="00BA3CB2" w:rsidRDefault="00BA3CB2">
            <w:pPr>
              <w:rPr>
                <w:rFonts w:ascii="Verdana" w:hAnsi="Verdana"/>
                <w:sz w:val="16"/>
                <w:szCs w:val="16"/>
              </w:rPr>
            </w:pPr>
          </w:p>
        </w:tc>
      </w:tr>
      <w:tr w:rsidR="00BA3CB2" w14:paraId="02B7A76A"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2B72BD35" w14:textId="77777777" w:rsidR="00BA3CB2" w:rsidRDefault="00BA3CB2">
            <w:pPr>
              <w:rPr>
                <w:rFonts w:ascii="Verdana" w:hAnsi="Verdana"/>
                <w:sz w:val="16"/>
                <w:szCs w:val="16"/>
                <w:highlight w:val="yellow"/>
                <w:lang w:val="es-CO"/>
              </w:rPr>
            </w:pPr>
            <w:r>
              <w:rPr>
                <w:rFonts w:ascii="Verdana" w:hAnsi="Verdana"/>
                <w:sz w:val="16"/>
                <w:szCs w:val="16"/>
                <w:lang w:val="es-CO"/>
              </w:rPr>
              <w:lastRenderedPageBreak/>
              <w:t>Informe_del_Plan_de_Gestión_Social_Abril2023</w:t>
            </w:r>
          </w:p>
        </w:tc>
        <w:tc>
          <w:tcPr>
            <w:tcW w:w="5953" w:type="dxa"/>
            <w:tcBorders>
              <w:top w:val="single" w:sz="4" w:space="0" w:color="auto"/>
              <w:left w:val="single" w:sz="4" w:space="0" w:color="auto"/>
              <w:bottom w:val="single" w:sz="4" w:space="0" w:color="auto"/>
              <w:right w:val="single" w:sz="4" w:space="0" w:color="auto"/>
            </w:tcBorders>
          </w:tcPr>
          <w:p w14:paraId="6BD1694D" w14:textId="77777777" w:rsidR="00BA3CB2" w:rsidRDefault="00BA3CB2">
            <w:pPr>
              <w:jc w:val="both"/>
              <w:rPr>
                <w:rFonts w:ascii="Verdana" w:hAnsi="Verdana"/>
                <w:sz w:val="16"/>
                <w:szCs w:val="16"/>
              </w:rPr>
            </w:pPr>
            <w:r>
              <w:rPr>
                <w:rFonts w:ascii="Verdana" w:hAnsi="Verdana"/>
                <w:sz w:val="16"/>
                <w:szCs w:val="16"/>
                <w:lang w:val="es-CO"/>
              </w:rPr>
              <w:t xml:space="preserve">Documento de 4 páginas titulado </w:t>
            </w:r>
            <w:r>
              <w:rPr>
                <w:rFonts w:ascii="Verdana" w:hAnsi="Verdana"/>
                <w:i/>
                <w:iCs/>
                <w:sz w:val="16"/>
                <w:szCs w:val="16"/>
                <w:lang w:val="es-CO"/>
              </w:rPr>
              <w:t>“</w:t>
            </w:r>
            <w:r>
              <w:rPr>
                <w:rFonts w:ascii="Verdana" w:hAnsi="Verdana"/>
                <w:i/>
                <w:iCs/>
                <w:sz w:val="16"/>
                <w:szCs w:val="16"/>
              </w:rPr>
              <w:t>informe conformación de comité de desarrollo y control social en la isla de San Andrés”, d</w:t>
            </w:r>
            <w:r>
              <w:rPr>
                <w:rFonts w:ascii="Verdana" w:hAnsi="Verdana"/>
                <w:sz w:val="16"/>
                <w:szCs w:val="16"/>
              </w:rPr>
              <w:t>e abril de 2023.</w:t>
            </w:r>
          </w:p>
          <w:p w14:paraId="5BC1A103" w14:textId="77777777" w:rsidR="00BA3CB2" w:rsidRDefault="00BA3CB2">
            <w:pPr>
              <w:jc w:val="both"/>
              <w:rPr>
                <w:rFonts w:ascii="Verdana" w:hAnsi="Verdana"/>
                <w:sz w:val="16"/>
                <w:szCs w:val="16"/>
              </w:rPr>
            </w:pPr>
          </w:p>
          <w:p w14:paraId="2E4ADB9D" w14:textId="77777777" w:rsidR="00BA3CB2" w:rsidRDefault="00BA3CB2">
            <w:pPr>
              <w:jc w:val="both"/>
              <w:rPr>
                <w:rFonts w:ascii="Verdana" w:hAnsi="Verdana"/>
                <w:sz w:val="16"/>
                <w:szCs w:val="16"/>
              </w:rPr>
            </w:pPr>
            <w:r>
              <w:rPr>
                <w:rFonts w:ascii="Verdana" w:hAnsi="Verdana"/>
                <w:sz w:val="16"/>
                <w:szCs w:val="16"/>
              </w:rPr>
              <w:t>Dentro de las acciones estipuladas en los Planes Departamentales Para El Manejo Empresarial de los Servicios de Agua y Saneamiento – PDA en su componente de Gestión Social Departamento Archipiélago de San Andrés, Providencia y Santa Catalina, se establece dentro del Cronograma de trabajo para el Año 2021, en la línea de Participación Comunitaria y la estrategia Promoción del control social la actividad:</w:t>
            </w:r>
          </w:p>
          <w:p w14:paraId="08D7E29E" w14:textId="77777777" w:rsidR="00BA3CB2" w:rsidRDefault="00BA3CB2">
            <w:pPr>
              <w:jc w:val="both"/>
              <w:rPr>
                <w:rFonts w:ascii="Verdana" w:hAnsi="Verdana"/>
                <w:sz w:val="16"/>
                <w:szCs w:val="16"/>
              </w:rPr>
            </w:pPr>
            <w:r>
              <w:rPr>
                <w:rFonts w:ascii="Verdana" w:hAnsi="Verdana"/>
                <w:i/>
                <w:iCs/>
                <w:sz w:val="16"/>
                <w:szCs w:val="16"/>
              </w:rPr>
              <w:t xml:space="preserve">“Apoyo para la constitución de los Comités de Control Social en San Andrés y Providencia Islas.”. </w:t>
            </w:r>
            <w:r>
              <w:rPr>
                <w:rFonts w:ascii="Verdana" w:hAnsi="Verdana"/>
                <w:sz w:val="16"/>
                <w:szCs w:val="16"/>
              </w:rPr>
              <w:t>Para la ejecución de esta actividad un rubro de $5.000.000 como factor logístico, sin que el proceso a la fecha se encuentre adjudicado.</w:t>
            </w:r>
          </w:p>
          <w:p w14:paraId="5D1D6CF0" w14:textId="77777777" w:rsidR="00BA3CB2" w:rsidRDefault="00BA3CB2">
            <w:pPr>
              <w:jc w:val="both"/>
              <w:rPr>
                <w:rFonts w:ascii="Verdana" w:hAnsi="Verdana"/>
                <w:sz w:val="16"/>
                <w:szCs w:val="16"/>
              </w:rPr>
            </w:pPr>
          </w:p>
          <w:p w14:paraId="4CE90D1A" w14:textId="77777777" w:rsidR="00BA3CB2" w:rsidRDefault="00BA3CB2">
            <w:pPr>
              <w:jc w:val="both"/>
              <w:rPr>
                <w:rFonts w:ascii="Verdana" w:hAnsi="Verdana"/>
                <w:sz w:val="16"/>
                <w:szCs w:val="16"/>
              </w:rPr>
            </w:pPr>
            <w:r>
              <w:rPr>
                <w:rFonts w:ascii="Verdana" w:hAnsi="Verdana"/>
                <w:sz w:val="16"/>
                <w:szCs w:val="16"/>
              </w:rPr>
              <w:t>La Subdirección de Desarrollo Empresarial del MVCT el 24 de abril de 2023, enfatizó que:</w:t>
            </w:r>
          </w:p>
          <w:p w14:paraId="23A87716" w14:textId="77777777" w:rsidR="00BA3CB2" w:rsidRDefault="00BA3CB2">
            <w:pPr>
              <w:jc w:val="both"/>
              <w:rPr>
                <w:rFonts w:ascii="Verdana" w:hAnsi="Verdana"/>
                <w:sz w:val="16"/>
                <w:szCs w:val="16"/>
              </w:rPr>
            </w:pPr>
            <w:r>
              <w:rPr>
                <w:rFonts w:ascii="Verdana" w:hAnsi="Verdana"/>
                <w:i/>
                <w:iCs/>
                <w:sz w:val="16"/>
                <w:szCs w:val="16"/>
              </w:rPr>
              <w:t xml:space="preserve">… el papel del equipo de gestión social del PDA no es constituir los CDCS, la responsabilidad es de la </w:t>
            </w:r>
            <w:r>
              <w:rPr>
                <w:rFonts w:ascii="Verdana" w:hAnsi="Verdana"/>
                <w:i/>
                <w:iCs/>
                <w:sz w:val="16"/>
                <w:szCs w:val="16"/>
                <w:u w:val="single"/>
              </w:rPr>
              <w:t>Alcaldía</w:t>
            </w:r>
            <w:r>
              <w:rPr>
                <w:rFonts w:ascii="Verdana" w:hAnsi="Verdana"/>
                <w:i/>
                <w:iCs/>
                <w:sz w:val="16"/>
                <w:szCs w:val="16"/>
              </w:rPr>
              <w:t xml:space="preserve"> y de la personería municipal y el papel del PDA es </w:t>
            </w:r>
            <w:r>
              <w:rPr>
                <w:rFonts w:ascii="Verdana" w:hAnsi="Verdana"/>
                <w:b/>
                <w:bCs/>
                <w:i/>
                <w:iCs/>
                <w:sz w:val="16"/>
                <w:szCs w:val="16"/>
              </w:rPr>
              <w:t>promover su creación y fortalecimiento</w:t>
            </w:r>
            <w:r>
              <w:rPr>
                <w:rFonts w:ascii="Verdana" w:hAnsi="Verdana"/>
                <w:i/>
                <w:iCs/>
                <w:sz w:val="16"/>
                <w:szCs w:val="16"/>
              </w:rPr>
              <w:t xml:space="preserve"> para lo cual debe gestionar reuniones con la alcaldía, la Personería y la Superintendencia de Servicios Públicos Domiciliarios responsable de su capacitación.</w:t>
            </w:r>
            <w:r>
              <w:rPr>
                <w:rFonts w:ascii="Verdana" w:hAnsi="Verdana"/>
                <w:sz w:val="16"/>
                <w:szCs w:val="16"/>
              </w:rPr>
              <w:t xml:space="preserve"> </w:t>
            </w:r>
          </w:p>
          <w:p w14:paraId="10ED5C44" w14:textId="77777777" w:rsidR="00BA3CB2" w:rsidRDefault="00BA3CB2">
            <w:pPr>
              <w:jc w:val="both"/>
              <w:rPr>
                <w:rFonts w:ascii="Verdana" w:hAnsi="Verdana"/>
                <w:sz w:val="16"/>
                <w:szCs w:val="16"/>
              </w:rPr>
            </w:pPr>
          </w:p>
          <w:p w14:paraId="7CF944F0" w14:textId="77777777" w:rsidR="00BA3CB2" w:rsidRDefault="00BA3CB2">
            <w:pPr>
              <w:jc w:val="both"/>
              <w:rPr>
                <w:rFonts w:ascii="Verdana" w:hAnsi="Verdana"/>
                <w:i/>
                <w:iCs/>
                <w:sz w:val="16"/>
                <w:szCs w:val="16"/>
              </w:rPr>
            </w:pPr>
            <w:r>
              <w:rPr>
                <w:rFonts w:ascii="Verdana" w:hAnsi="Verdana"/>
                <w:sz w:val="16"/>
                <w:szCs w:val="16"/>
              </w:rPr>
              <w:t>El documento continúa con: …</w:t>
            </w:r>
            <w:r>
              <w:rPr>
                <w:rFonts w:ascii="Verdana" w:hAnsi="Verdana"/>
                <w:i/>
                <w:iCs/>
                <w:sz w:val="16"/>
                <w:szCs w:val="16"/>
              </w:rPr>
              <w:t xml:space="preserve">Luego de ello se hace contacto con la Superservicios, quien nos refiere que la persona encargada de estas </w:t>
            </w:r>
            <w:r>
              <w:rPr>
                <w:rFonts w:ascii="Verdana" w:hAnsi="Verdana"/>
                <w:i/>
                <w:iCs/>
                <w:sz w:val="16"/>
                <w:szCs w:val="16"/>
              </w:rPr>
              <w:lastRenderedPageBreak/>
              <w:t>labores de formación y capacitación le corresponde al Ministerio de Vivienda Ciudad y Territorio.</w:t>
            </w:r>
          </w:p>
          <w:p w14:paraId="01D699C9" w14:textId="77777777" w:rsidR="00BA3CB2" w:rsidRDefault="00BA3CB2">
            <w:pPr>
              <w:rPr>
                <w:rFonts w:ascii="Verdana" w:hAnsi="Verdana"/>
                <w:sz w:val="16"/>
                <w:szCs w:val="16"/>
              </w:rPr>
            </w:pPr>
          </w:p>
          <w:p w14:paraId="20D66B65" w14:textId="77777777" w:rsidR="00BA3CB2" w:rsidRDefault="00BA3CB2">
            <w:pPr>
              <w:jc w:val="both"/>
              <w:rPr>
                <w:rFonts w:ascii="Verdana" w:hAnsi="Verdana" w:cs="Arial"/>
                <w:sz w:val="16"/>
                <w:szCs w:val="16"/>
              </w:rPr>
            </w:pPr>
            <w:r>
              <w:rPr>
                <w:rFonts w:ascii="Verdana" w:hAnsi="Verdana"/>
                <w:sz w:val="16"/>
                <w:szCs w:val="16"/>
              </w:rPr>
              <w:t>Si bien la Entidad Territorial a través del PDA ha venido gestionando la participación comunitaria, es necesario aclarar que Los</w:t>
            </w:r>
            <w:r>
              <w:rPr>
                <w:rFonts w:ascii="Verdana" w:hAnsi="Verdana" w:cs="Arial"/>
                <w:sz w:val="16"/>
                <w:szCs w:val="16"/>
              </w:rPr>
              <w:t xml:space="preserve"> Comités de Desarrollo y Control Social - CDCS, son instancias de fiscalización de la prestación de los servicios públicos.  </w:t>
            </w:r>
          </w:p>
          <w:p w14:paraId="5CE2BE16" w14:textId="77777777" w:rsidR="00BA3CB2" w:rsidRDefault="00BA3CB2">
            <w:pPr>
              <w:ind w:left="-5"/>
              <w:jc w:val="both"/>
              <w:rPr>
                <w:rFonts w:ascii="Verdana" w:hAnsi="Verdana" w:cs="Arial"/>
                <w:sz w:val="16"/>
                <w:szCs w:val="16"/>
              </w:rPr>
            </w:pPr>
          </w:p>
          <w:p w14:paraId="01A32BE9" w14:textId="77777777" w:rsidR="00BA3CB2" w:rsidRDefault="00BA3CB2">
            <w:pPr>
              <w:ind w:left="-5"/>
              <w:jc w:val="both"/>
              <w:rPr>
                <w:rFonts w:ascii="Verdana" w:hAnsi="Verdana" w:cs="Arial"/>
                <w:sz w:val="16"/>
                <w:szCs w:val="16"/>
              </w:rPr>
            </w:pPr>
            <w:r>
              <w:rPr>
                <w:rFonts w:ascii="Verdana" w:hAnsi="Verdana" w:cs="Arial"/>
                <w:sz w:val="16"/>
                <w:szCs w:val="16"/>
              </w:rPr>
              <w:t xml:space="preserve">Aunque el CDCS es de iniciativa ciudadana, las Administraciones Territoriales deberán </w:t>
            </w:r>
            <w:r>
              <w:rPr>
                <w:rFonts w:ascii="Verdana" w:hAnsi="Verdana" w:cs="Arial"/>
                <w:b/>
                <w:sz w:val="16"/>
                <w:szCs w:val="16"/>
              </w:rPr>
              <w:t>asegurar</w:t>
            </w:r>
            <w:r>
              <w:rPr>
                <w:rFonts w:ascii="Verdana" w:hAnsi="Verdana" w:cs="Arial"/>
                <w:sz w:val="16"/>
                <w:szCs w:val="16"/>
              </w:rPr>
              <w:t xml:space="preserve"> en los términos de la Ley 142 de 1994, la participación de los usuarios en la gestión y fiscalización de las entidades que prestan los servicios públicos en el municipio y velar por la conformación de los comités en su jurisdicción.</w:t>
            </w:r>
          </w:p>
          <w:p w14:paraId="6BD83BEB" w14:textId="77777777" w:rsidR="00BA3CB2" w:rsidRDefault="00BA3CB2">
            <w:pPr>
              <w:ind w:left="-15"/>
              <w:jc w:val="both"/>
              <w:rPr>
                <w:rFonts w:ascii="Verdana" w:hAnsi="Verdana" w:cs="Arial"/>
                <w:sz w:val="16"/>
                <w:szCs w:val="16"/>
              </w:rPr>
            </w:pPr>
          </w:p>
          <w:p w14:paraId="617FA201" w14:textId="77777777" w:rsidR="00BA3CB2" w:rsidRDefault="00BA3CB2">
            <w:pPr>
              <w:rPr>
                <w:rFonts w:ascii="Verdana" w:hAnsi="Verdana"/>
                <w:sz w:val="16"/>
                <w:szCs w:val="16"/>
              </w:rPr>
            </w:pPr>
            <w:r>
              <w:rPr>
                <w:rFonts w:ascii="Verdana" w:hAnsi="Verdana"/>
                <w:sz w:val="16"/>
                <w:szCs w:val="16"/>
              </w:rPr>
              <w:t>Hay que recordar que el producto establecido por la Entidad Territorial es “</w:t>
            </w:r>
            <w:r>
              <w:rPr>
                <w:rFonts w:ascii="Verdana" w:hAnsi="Verdana"/>
                <w:i/>
                <w:iCs/>
                <w:sz w:val="16"/>
                <w:szCs w:val="16"/>
              </w:rPr>
              <w:t>Acta de conformación del Comité de Desarrollo y Control Social</w:t>
            </w:r>
            <w:r>
              <w:rPr>
                <w:rFonts w:ascii="Verdana" w:hAnsi="Verdana"/>
                <w:sz w:val="16"/>
                <w:szCs w:val="16"/>
              </w:rPr>
              <w:t xml:space="preserve">”. </w:t>
            </w:r>
          </w:p>
          <w:p w14:paraId="7876DA80" w14:textId="77777777" w:rsidR="00BA3CB2" w:rsidRDefault="00BA3CB2">
            <w:pPr>
              <w:rPr>
                <w:rFonts w:ascii="Verdana" w:hAnsi="Verdana"/>
                <w:sz w:val="16"/>
                <w:szCs w:val="16"/>
              </w:rPr>
            </w:pPr>
          </w:p>
          <w:p w14:paraId="02A94E0D" w14:textId="77777777" w:rsidR="00BA3CB2" w:rsidRDefault="00BA3CB2">
            <w:pPr>
              <w:rPr>
                <w:rFonts w:ascii="Verdana" w:hAnsi="Verdana"/>
                <w:sz w:val="16"/>
                <w:szCs w:val="16"/>
              </w:rPr>
            </w:pPr>
            <w:r>
              <w:rPr>
                <w:rFonts w:ascii="Verdana" w:hAnsi="Verdana"/>
                <w:sz w:val="16"/>
                <w:szCs w:val="16"/>
              </w:rPr>
              <w:t xml:space="preserve">Documento que no ha sido materializado. </w:t>
            </w:r>
            <w:r>
              <w:rPr>
                <w:rFonts w:ascii="Verdana" w:hAnsi="Verdana"/>
                <w:b/>
                <w:bCs/>
                <w:sz w:val="16"/>
                <w:szCs w:val="16"/>
              </w:rPr>
              <w:t>CUMPLIMIENTO PARCIAL.</w:t>
            </w:r>
          </w:p>
          <w:p w14:paraId="3423EB6A" w14:textId="77777777" w:rsidR="00BA3CB2" w:rsidRDefault="00BA3CB2">
            <w:pPr>
              <w:rPr>
                <w:rFonts w:ascii="Verdana" w:hAnsi="Verdana"/>
                <w:sz w:val="16"/>
                <w:szCs w:val="16"/>
              </w:rPr>
            </w:pPr>
          </w:p>
          <w:p w14:paraId="610B1F2B" w14:textId="77777777" w:rsidR="00BA3CB2" w:rsidRDefault="00BA3CB2">
            <w:pPr>
              <w:rPr>
                <w:rFonts w:ascii="Verdana" w:hAnsi="Verdana"/>
                <w:sz w:val="16"/>
                <w:szCs w:val="16"/>
                <w:highlight w:val="yellow"/>
                <w:lang w:val="es-CO"/>
              </w:rPr>
            </w:pPr>
          </w:p>
        </w:tc>
      </w:tr>
      <w:tr w:rsidR="00BA3CB2" w14:paraId="14B57D0B"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5A9E4B79" w14:textId="77777777" w:rsidR="00BA3CB2" w:rsidRDefault="00BA3CB2">
            <w:pPr>
              <w:rPr>
                <w:rFonts w:ascii="Verdana" w:hAnsi="Verdana"/>
                <w:sz w:val="16"/>
                <w:szCs w:val="16"/>
                <w:highlight w:val="yellow"/>
                <w:lang w:val="es-CO"/>
              </w:rPr>
            </w:pPr>
            <w:r>
              <w:rPr>
                <w:rFonts w:ascii="Verdana" w:hAnsi="Verdana"/>
                <w:sz w:val="16"/>
                <w:szCs w:val="16"/>
                <w:lang w:val="es-CO"/>
              </w:rPr>
              <w:lastRenderedPageBreak/>
              <w:t>INFORME_RECEPCION_PAGOS_ACUEDUCTO_ASEO_Abril2023</w:t>
            </w:r>
          </w:p>
        </w:tc>
        <w:tc>
          <w:tcPr>
            <w:tcW w:w="5953" w:type="dxa"/>
            <w:tcBorders>
              <w:top w:val="single" w:sz="4" w:space="0" w:color="auto"/>
              <w:left w:val="single" w:sz="4" w:space="0" w:color="auto"/>
              <w:bottom w:val="single" w:sz="4" w:space="0" w:color="auto"/>
              <w:right w:val="single" w:sz="4" w:space="0" w:color="auto"/>
            </w:tcBorders>
          </w:tcPr>
          <w:p w14:paraId="05C2431F" w14:textId="77777777" w:rsidR="00BA3CB2" w:rsidRDefault="00BA3CB2">
            <w:pPr>
              <w:jc w:val="both"/>
              <w:rPr>
                <w:rFonts w:ascii="Verdana" w:hAnsi="Verdana"/>
                <w:b/>
                <w:bCs/>
                <w:i/>
                <w:iCs/>
                <w:sz w:val="16"/>
                <w:szCs w:val="16"/>
              </w:rPr>
            </w:pPr>
            <w:r>
              <w:rPr>
                <w:rFonts w:ascii="Verdana" w:hAnsi="Verdana"/>
                <w:sz w:val="16"/>
                <w:szCs w:val="16"/>
                <w:lang w:val="es-CO"/>
              </w:rPr>
              <w:t>Documento de 5 páginas de la Gobernación en formato de Memorando, titulado “</w:t>
            </w:r>
            <w:r>
              <w:rPr>
                <w:rFonts w:ascii="Verdana" w:hAnsi="Verdana"/>
                <w:b/>
                <w:bCs/>
                <w:i/>
                <w:iCs/>
                <w:sz w:val="16"/>
                <w:szCs w:val="16"/>
              </w:rPr>
              <w:t>INFORME DE RELACION DE PAGOS ACUEDUCTO, ALCANTARILLADO Y ASEO”.</w:t>
            </w:r>
          </w:p>
          <w:p w14:paraId="08959E6F" w14:textId="77777777" w:rsidR="00BA3CB2" w:rsidRDefault="00BA3CB2">
            <w:pPr>
              <w:jc w:val="both"/>
              <w:rPr>
                <w:rFonts w:ascii="Verdana" w:hAnsi="Verdana"/>
                <w:i/>
                <w:iCs/>
                <w:sz w:val="16"/>
                <w:szCs w:val="16"/>
              </w:rPr>
            </w:pPr>
          </w:p>
          <w:p w14:paraId="6EEBB534" w14:textId="77777777" w:rsidR="00BA3CB2" w:rsidRDefault="00BA3CB2">
            <w:pPr>
              <w:jc w:val="both"/>
              <w:rPr>
                <w:rFonts w:ascii="Verdana" w:hAnsi="Verdana"/>
                <w:sz w:val="16"/>
                <w:szCs w:val="16"/>
              </w:rPr>
            </w:pPr>
            <w:r>
              <w:rPr>
                <w:rFonts w:ascii="Verdana" w:hAnsi="Verdana"/>
                <w:sz w:val="16"/>
                <w:szCs w:val="16"/>
              </w:rPr>
              <w:t xml:space="preserve">Vale la pena aclarar que el documento </w:t>
            </w:r>
            <w:r>
              <w:rPr>
                <w:rFonts w:ascii="Verdana" w:hAnsi="Verdana"/>
                <w:b/>
                <w:bCs/>
                <w:sz w:val="16"/>
                <w:szCs w:val="16"/>
              </w:rPr>
              <w:t>No es un informe</w:t>
            </w:r>
            <w:r>
              <w:rPr>
                <w:rFonts w:ascii="Verdana" w:hAnsi="Verdana"/>
                <w:sz w:val="16"/>
                <w:szCs w:val="16"/>
              </w:rPr>
              <w:t>, como lo referencia el título.</w:t>
            </w:r>
          </w:p>
          <w:p w14:paraId="63938486" w14:textId="77777777" w:rsidR="00BA3CB2" w:rsidRDefault="00BA3CB2">
            <w:pPr>
              <w:jc w:val="both"/>
              <w:rPr>
                <w:rFonts w:ascii="Verdana" w:hAnsi="Verdana"/>
                <w:sz w:val="16"/>
                <w:szCs w:val="16"/>
              </w:rPr>
            </w:pPr>
          </w:p>
          <w:p w14:paraId="2D4FF39B" w14:textId="77777777" w:rsidR="00BA3CB2" w:rsidRDefault="00BA3CB2">
            <w:pPr>
              <w:jc w:val="both"/>
              <w:rPr>
                <w:rFonts w:ascii="Verdana" w:hAnsi="Verdana"/>
                <w:sz w:val="16"/>
                <w:szCs w:val="16"/>
              </w:rPr>
            </w:pPr>
            <w:r>
              <w:rPr>
                <w:rFonts w:ascii="Verdana" w:hAnsi="Verdana"/>
                <w:sz w:val="16"/>
                <w:szCs w:val="16"/>
              </w:rPr>
              <w:t>En la primera hoja se relacionan 12 facturas de fecha 3 y 4 de mayo de 2022, que tienen que ver con pagos de Acueducto por $1.962 millones bajo el CDP 1226 y RP 1959. No hay certeza si corresponde al pago de subsidios, ya que no lo dice en el documento.</w:t>
            </w:r>
          </w:p>
          <w:p w14:paraId="6F413C80" w14:textId="77777777" w:rsidR="00BA3CB2" w:rsidRDefault="00BA3CB2">
            <w:pPr>
              <w:jc w:val="both"/>
              <w:rPr>
                <w:rFonts w:ascii="Verdana" w:hAnsi="Verdana"/>
                <w:sz w:val="16"/>
                <w:szCs w:val="16"/>
              </w:rPr>
            </w:pPr>
          </w:p>
          <w:p w14:paraId="34BAE75F" w14:textId="77777777" w:rsidR="00BA3CB2" w:rsidRDefault="00BA3CB2">
            <w:pPr>
              <w:jc w:val="both"/>
              <w:rPr>
                <w:rFonts w:ascii="Verdana" w:hAnsi="Verdana"/>
                <w:sz w:val="16"/>
                <w:szCs w:val="16"/>
              </w:rPr>
            </w:pPr>
            <w:r>
              <w:rPr>
                <w:rFonts w:ascii="Verdana" w:hAnsi="Verdana"/>
                <w:sz w:val="16"/>
                <w:szCs w:val="16"/>
              </w:rPr>
              <w:t>Sin embargo, al final de esta relación, dice:</w:t>
            </w:r>
          </w:p>
          <w:p w14:paraId="014AFE82" w14:textId="77777777" w:rsidR="00BA3CB2" w:rsidRDefault="00BA3CB2">
            <w:pPr>
              <w:rPr>
                <w:rFonts w:ascii="Verdana" w:hAnsi="Verdana"/>
                <w:sz w:val="16"/>
                <w:szCs w:val="16"/>
              </w:rPr>
            </w:pPr>
          </w:p>
          <w:p w14:paraId="35127048" w14:textId="77777777" w:rsidR="00BA3CB2" w:rsidRDefault="00BA3CB2">
            <w:pPr>
              <w:jc w:val="both"/>
              <w:rPr>
                <w:rFonts w:ascii="Verdana" w:hAnsi="Verdana"/>
                <w:i/>
                <w:iCs/>
                <w:sz w:val="16"/>
                <w:szCs w:val="16"/>
              </w:rPr>
            </w:pPr>
            <w:r>
              <w:rPr>
                <w:rFonts w:ascii="Verdana" w:hAnsi="Verdana"/>
                <w:i/>
                <w:iCs/>
                <w:sz w:val="16"/>
                <w:szCs w:val="16"/>
              </w:rPr>
              <w:t xml:space="preserve">“Este pago se realizó en el mes de abril del 2023 pero corresponde a la vigencia 2021, debido a que eran pagos pendientes por vigencias vencidas donde la intención es cumplir con los acuerdos y </w:t>
            </w:r>
            <w:r>
              <w:rPr>
                <w:rFonts w:ascii="Verdana" w:hAnsi="Verdana"/>
                <w:b/>
                <w:bCs/>
                <w:i/>
                <w:iCs/>
                <w:sz w:val="16"/>
                <w:szCs w:val="16"/>
              </w:rPr>
              <w:t>compromisos adquiridos con los distintos entes de control</w:t>
            </w:r>
            <w:r>
              <w:rPr>
                <w:rFonts w:ascii="Verdana" w:hAnsi="Verdana"/>
                <w:i/>
                <w:iCs/>
                <w:sz w:val="16"/>
                <w:szCs w:val="16"/>
              </w:rPr>
              <w:t>.”</w:t>
            </w:r>
            <w:r>
              <w:rPr>
                <w:rFonts w:ascii="Verdana" w:hAnsi="Verdana"/>
                <w:sz w:val="16"/>
                <w:szCs w:val="16"/>
              </w:rPr>
              <w:t xml:space="preserve"> El resaltado es nuestro.</w:t>
            </w:r>
          </w:p>
          <w:p w14:paraId="1F6A56B2" w14:textId="77777777" w:rsidR="00BA3CB2" w:rsidRDefault="00BA3CB2">
            <w:pPr>
              <w:rPr>
                <w:rFonts w:ascii="Verdana" w:hAnsi="Verdana"/>
                <w:sz w:val="16"/>
                <w:szCs w:val="16"/>
              </w:rPr>
            </w:pPr>
          </w:p>
          <w:p w14:paraId="4D8CB627" w14:textId="77777777" w:rsidR="00BA3CB2" w:rsidRDefault="00BA3CB2">
            <w:pPr>
              <w:jc w:val="both"/>
              <w:rPr>
                <w:rFonts w:ascii="Verdana" w:hAnsi="Verdana"/>
                <w:sz w:val="16"/>
                <w:szCs w:val="16"/>
              </w:rPr>
            </w:pPr>
            <w:r>
              <w:rPr>
                <w:rFonts w:ascii="Verdana" w:hAnsi="Verdana"/>
                <w:sz w:val="16"/>
                <w:szCs w:val="16"/>
              </w:rPr>
              <w:t>Efectivamente en la vigencia 2022 no existieron pagos al subsidio en la prestación del servicio de acueducto con los recursos del SGP APSB.</w:t>
            </w:r>
          </w:p>
          <w:p w14:paraId="2A34E34D" w14:textId="77777777" w:rsidR="00BA3CB2" w:rsidRDefault="00BA3CB2">
            <w:pPr>
              <w:jc w:val="both"/>
              <w:rPr>
                <w:rFonts w:ascii="Verdana" w:hAnsi="Verdana"/>
                <w:sz w:val="16"/>
                <w:szCs w:val="16"/>
              </w:rPr>
            </w:pPr>
          </w:p>
          <w:p w14:paraId="4A00DD22" w14:textId="77777777" w:rsidR="00BA3CB2" w:rsidRDefault="00BA3CB2">
            <w:pPr>
              <w:jc w:val="both"/>
              <w:rPr>
                <w:rFonts w:ascii="Verdana" w:hAnsi="Verdana"/>
                <w:sz w:val="16"/>
                <w:szCs w:val="16"/>
              </w:rPr>
            </w:pPr>
            <w:r>
              <w:rPr>
                <w:rFonts w:ascii="Verdana" w:hAnsi="Verdana"/>
                <w:sz w:val="16"/>
                <w:szCs w:val="16"/>
              </w:rPr>
              <w:t xml:space="preserve">En el documento no hace referencia a la fuente de financiación ni existen los documentos técnicos que soporten estos pagos (Usuarios, consumos, estratos, </w:t>
            </w:r>
            <w:proofErr w:type="spellStart"/>
            <w:r>
              <w:rPr>
                <w:rFonts w:ascii="Verdana" w:hAnsi="Verdana"/>
                <w:sz w:val="16"/>
                <w:szCs w:val="16"/>
              </w:rPr>
              <w:t>etc</w:t>
            </w:r>
            <w:proofErr w:type="spellEnd"/>
            <w:r>
              <w:rPr>
                <w:rFonts w:ascii="Verdana" w:hAnsi="Verdana"/>
                <w:sz w:val="16"/>
                <w:szCs w:val="16"/>
              </w:rPr>
              <w:t>). Se desconoce a qué vigencias hacen referencia estos pagos, en la medida en que el documento de manera sucinta se refiere a vigencias vencidas.</w:t>
            </w:r>
          </w:p>
          <w:p w14:paraId="1E304B3A" w14:textId="77777777" w:rsidR="00BA3CB2" w:rsidRDefault="00BA3CB2">
            <w:pPr>
              <w:jc w:val="both"/>
              <w:rPr>
                <w:rFonts w:ascii="Verdana" w:hAnsi="Verdana"/>
                <w:sz w:val="16"/>
                <w:szCs w:val="16"/>
              </w:rPr>
            </w:pPr>
          </w:p>
          <w:p w14:paraId="3DC2BCCC" w14:textId="77777777" w:rsidR="00BA3CB2" w:rsidRDefault="00BA3CB2">
            <w:pPr>
              <w:jc w:val="both"/>
              <w:rPr>
                <w:rFonts w:ascii="Verdana" w:hAnsi="Verdana"/>
                <w:sz w:val="16"/>
                <w:szCs w:val="16"/>
              </w:rPr>
            </w:pPr>
            <w:r>
              <w:rPr>
                <w:rFonts w:ascii="Verdana" w:hAnsi="Verdana"/>
                <w:sz w:val="16"/>
                <w:szCs w:val="16"/>
              </w:rPr>
              <w:t xml:space="preserve">Es evidente que, si la Entidad Territorial financió este pago con recursos del SGP APSB, debe tener los soportes del trámite presupuestal efectuado y la forma cómo trascendió las vigencias esta apropiación. </w:t>
            </w:r>
          </w:p>
          <w:p w14:paraId="72D1B7F2" w14:textId="77777777" w:rsidR="00BA3CB2" w:rsidRDefault="00BA3CB2">
            <w:pPr>
              <w:jc w:val="both"/>
              <w:rPr>
                <w:rFonts w:ascii="Verdana" w:hAnsi="Verdana"/>
                <w:sz w:val="16"/>
                <w:szCs w:val="16"/>
              </w:rPr>
            </w:pPr>
          </w:p>
          <w:p w14:paraId="728AB6F2" w14:textId="77777777" w:rsidR="00BA3CB2" w:rsidRDefault="00BA3CB2">
            <w:pPr>
              <w:jc w:val="both"/>
              <w:rPr>
                <w:rFonts w:ascii="Verdana" w:hAnsi="Verdana"/>
                <w:sz w:val="16"/>
                <w:szCs w:val="16"/>
              </w:rPr>
            </w:pPr>
            <w:r>
              <w:rPr>
                <w:rFonts w:ascii="Verdana" w:hAnsi="Verdana"/>
                <w:sz w:val="16"/>
                <w:szCs w:val="16"/>
              </w:rPr>
              <w:t xml:space="preserve">Se le recuerda a la entidad territorial que la </w:t>
            </w:r>
            <w:r>
              <w:rPr>
                <w:rFonts w:ascii="Verdana" w:hAnsi="Verdana"/>
                <w:b/>
                <w:bCs/>
                <w:sz w:val="16"/>
                <w:szCs w:val="16"/>
              </w:rPr>
              <w:t>deuda</w:t>
            </w:r>
            <w:r>
              <w:rPr>
                <w:rFonts w:ascii="Verdana" w:hAnsi="Verdana"/>
                <w:sz w:val="16"/>
                <w:szCs w:val="16"/>
              </w:rPr>
              <w:t xml:space="preserve"> por déficit de subsidios de vigencias anteriores no es un concepto financiable con los </w:t>
            </w:r>
            <w:r>
              <w:rPr>
                <w:rFonts w:ascii="Verdana" w:hAnsi="Verdana"/>
                <w:sz w:val="16"/>
                <w:szCs w:val="16"/>
              </w:rPr>
              <w:lastRenderedPageBreak/>
              <w:t>recursos corrientes de la participación para Agua Potable y Saneamiento Básico del Sistema General de Participaciones para departamentos (artículo 10 Ley 1176 de 2007) ni para municipios (artículo 11 de la Ley 1176 de 2007).</w:t>
            </w:r>
          </w:p>
          <w:p w14:paraId="4E9961D1" w14:textId="77777777" w:rsidR="00BA3CB2" w:rsidRDefault="00BA3CB2">
            <w:pPr>
              <w:jc w:val="both"/>
              <w:rPr>
                <w:rFonts w:ascii="Verdana" w:hAnsi="Verdana"/>
                <w:sz w:val="16"/>
                <w:szCs w:val="16"/>
              </w:rPr>
            </w:pPr>
          </w:p>
          <w:p w14:paraId="6D4A6B29" w14:textId="77777777" w:rsidR="00BA3CB2" w:rsidRDefault="00BA3CB2">
            <w:pPr>
              <w:jc w:val="both"/>
              <w:rPr>
                <w:rFonts w:ascii="Verdana" w:hAnsi="Verdana"/>
                <w:sz w:val="16"/>
                <w:szCs w:val="16"/>
              </w:rPr>
            </w:pPr>
            <w:r>
              <w:rPr>
                <w:rFonts w:ascii="Verdana" w:hAnsi="Verdana"/>
                <w:sz w:val="16"/>
                <w:szCs w:val="16"/>
              </w:rPr>
              <w:t>Por otro lado, si existen acuerdos y compromisos con los entes de control, para el pago de subsidios en algún servicio público, llama la atención que las facturas son de fecha de mayo de 2022 y casi un año después fueron pagadas. ¿Así estaba establecido el compromiso?</w:t>
            </w:r>
          </w:p>
          <w:p w14:paraId="5AFDF4BC" w14:textId="77777777" w:rsidR="00BA3CB2" w:rsidRDefault="00BA3CB2">
            <w:pPr>
              <w:jc w:val="both"/>
              <w:rPr>
                <w:rFonts w:ascii="Verdana" w:hAnsi="Verdana"/>
                <w:sz w:val="16"/>
                <w:szCs w:val="16"/>
              </w:rPr>
            </w:pPr>
          </w:p>
          <w:p w14:paraId="5BA2BF6A" w14:textId="77777777" w:rsidR="00BA3CB2" w:rsidRDefault="00BA3CB2">
            <w:pPr>
              <w:jc w:val="both"/>
              <w:rPr>
                <w:rFonts w:ascii="Verdana" w:hAnsi="Verdana"/>
                <w:sz w:val="16"/>
                <w:szCs w:val="16"/>
              </w:rPr>
            </w:pPr>
            <w:r>
              <w:rPr>
                <w:rFonts w:ascii="Verdana" w:hAnsi="Verdana"/>
                <w:sz w:val="16"/>
                <w:szCs w:val="16"/>
              </w:rPr>
              <w:t xml:space="preserve">La entidad Territorial debe </w:t>
            </w:r>
            <w:r>
              <w:rPr>
                <w:rFonts w:ascii="Verdana" w:hAnsi="Verdana"/>
                <w:b/>
                <w:bCs/>
                <w:sz w:val="16"/>
                <w:szCs w:val="16"/>
              </w:rPr>
              <w:t>remitir a la mayor brevedad</w:t>
            </w:r>
            <w:r>
              <w:rPr>
                <w:rFonts w:ascii="Verdana" w:hAnsi="Verdana"/>
                <w:sz w:val="16"/>
                <w:szCs w:val="16"/>
              </w:rPr>
              <w:t xml:space="preserve"> la certificación de la fuente de financiación usada para este pago. También el concepto del pago (Si es subsidios) y la vigencia, sustentado en la información técnica que lo debería respaldar. Si fue con recursos del SGP APSB y los soportes presupuestales que respaldan esta apropiación.</w:t>
            </w:r>
          </w:p>
          <w:p w14:paraId="0D962DA9" w14:textId="77777777" w:rsidR="00BA3CB2" w:rsidRDefault="00BA3CB2">
            <w:pPr>
              <w:jc w:val="both"/>
              <w:rPr>
                <w:rFonts w:ascii="Verdana" w:hAnsi="Verdana"/>
                <w:sz w:val="16"/>
                <w:szCs w:val="16"/>
              </w:rPr>
            </w:pPr>
          </w:p>
          <w:p w14:paraId="5562724D" w14:textId="77777777" w:rsidR="00BA3CB2" w:rsidRDefault="00BA3CB2">
            <w:pPr>
              <w:jc w:val="both"/>
              <w:rPr>
                <w:rFonts w:ascii="Verdana" w:hAnsi="Verdana"/>
                <w:sz w:val="16"/>
                <w:szCs w:val="16"/>
              </w:rPr>
            </w:pPr>
            <w:r>
              <w:rPr>
                <w:rFonts w:ascii="Verdana" w:hAnsi="Verdana"/>
                <w:sz w:val="16"/>
                <w:szCs w:val="16"/>
              </w:rPr>
              <w:t xml:space="preserve">Adicional a lo anterior, la Entidad debe remitir la información de los </w:t>
            </w:r>
            <w:r>
              <w:rPr>
                <w:rFonts w:ascii="Verdana" w:hAnsi="Verdana"/>
                <w:b/>
                <w:bCs/>
                <w:sz w:val="16"/>
                <w:szCs w:val="16"/>
              </w:rPr>
              <w:t>compromisos</w:t>
            </w:r>
            <w:r>
              <w:rPr>
                <w:rFonts w:ascii="Verdana" w:hAnsi="Verdana"/>
                <w:sz w:val="16"/>
                <w:szCs w:val="16"/>
              </w:rPr>
              <w:t xml:space="preserve"> con los </w:t>
            </w:r>
            <w:r>
              <w:rPr>
                <w:rFonts w:ascii="Verdana" w:hAnsi="Verdana"/>
                <w:b/>
                <w:bCs/>
                <w:sz w:val="16"/>
                <w:szCs w:val="16"/>
              </w:rPr>
              <w:t>organismos</w:t>
            </w:r>
            <w:r>
              <w:rPr>
                <w:rFonts w:ascii="Verdana" w:hAnsi="Verdana"/>
                <w:sz w:val="16"/>
                <w:szCs w:val="16"/>
              </w:rPr>
              <w:t xml:space="preserve"> de control en los que establezcan las condiciones de estos pagos. Estos compromisos no deberían vulnerar las normas sectoriales con respecto a la destinación de los recursos SGP APSB.</w:t>
            </w:r>
          </w:p>
          <w:p w14:paraId="3CC7DFDF" w14:textId="77777777" w:rsidR="00BA3CB2" w:rsidRDefault="00BA3CB2">
            <w:pPr>
              <w:jc w:val="both"/>
              <w:rPr>
                <w:rFonts w:ascii="Verdana" w:hAnsi="Verdana"/>
                <w:sz w:val="16"/>
                <w:szCs w:val="16"/>
              </w:rPr>
            </w:pPr>
          </w:p>
          <w:p w14:paraId="5AE43711" w14:textId="77777777" w:rsidR="00BA3CB2" w:rsidRDefault="00BA3CB2">
            <w:pPr>
              <w:jc w:val="both"/>
              <w:rPr>
                <w:rFonts w:ascii="Verdana" w:hAnsi="Verdana"/>
                <w:sz w:val="16"/>
                <w:szCs w:val="16"/>
              </w:rPr>
            </w:pPr>
            <w:r>
              <w:rPr>
                <w:rFonts w:ascii="Verdana" w:hAnsi="Verdana"/>
                <w:sz w:val="16"/>
                <w:szCs w:val="16"/>
              </w:rPr>
              <w:t xml:space="preserve">Llama la atención que en la página 4 en el resumen de pagos, se hace referencia a un monto de $5.172 millones que se pagaron en noviembre de 2022.  </w:t>
            </w:r>
          </w:p>
          <w:p w14:paraId="002164D7" w14:textId="77777777" w:rsidR="00BA3CB2" w:rsidRDefault="00BA3CB2" w:rsidP="00BA3CB2">
            <w:pPr>
              <w:pStyle w:val="Prrafodelista"/>
              <w:numPr>
                <w:ilvl w:val="0"/>
                <w:numId w:val="10"/>
              </w:numPr>
              <w:jc w:val="both"/>
              <w:rPr>
                <w:rFonts w:ascii="Verdana" w:hAnsi="Verdana"/>
                <w:sz w:val="16"/>
                <w:szCs w:val="16"/>
              </w:rPr>
            </w:pPr>
            <w:r>
              <w:rPr>
                <w:rFonts w:ascii="Verdana" w:hAnsi="Verdana"/>
                <w:sz w:val="16"/>
                <w:szCs w:val="16"/>
              </w:rPr>
              <w:t>Acueducto $1.042 millones</w:t>
            </w:r>
          </w:p>
          <w:p w14:paraId="1C264188" w14:textId="77777777" w:rsidR="00BA3CB2" w:rsidRDefault="00BA3CB2" w:rsidP="00BA3CB2">
            <w:pPr>
              <w:pStyle w:val="Prrafodelista"/>
              <w:numPr>
                <w:ilvl w:val="0"/>
                <w:numId w:val="10"/>
              </w:numPr>
              <w:jc w:val="both"/>
              <w:rPr>
                <w:rFonts w:ascii="Verdana" w:hAnsi="Verdana"/>
                <w:sz w:val="16"/>
                <w:szCs w:val="16"/>
              </w:rPr>
            </w:pPr>
            <w:r>
              <w:rPr>
                <w:rFonts w:ascii="Verdana" w:hAnsi="Verdana"/>
                <w:sz w:val="16"/>
                <w:szCs w:val="16"/>
              </w:rPr>
              <w:t>Alcantarillado $730 millones</w:t>
            </w:r>
          </w:p>
          <w:p w14:paraId="02ACC572" w14:textId="77777777" w:rsidR="00BA3CB2" w:rsidRDefault="00BA3CB2" w:rsidP="00BA3CB2">
            <w:pPr>
              <w:pStyle w:val="Prrafodelista"/>
              <w:numPr>
                <w:ilvl w:val="0"/>
                <w:numId w:val="10"/>
              </w:numPr>
              <w:jc w:val="both"/>
              <w:rPr>
                <w:rFonts w:ascii="Verdana" w:hAnsi="Verdana"/>
                <w:sz w:val="16"/>
                <w:szCs w:val="16"/>
              </w:rPr>
            </w:pPr>
            <w:r>
              <w:rPr>
                <w:rFonts w:ascii="Verdana" w:hAnsi="Verdana"/>
                <w:sz w:val="16"/>
                <w:szCs w:val="16"/>
              </w:rPr>
              <w:t>Aseo $ 3.400 millones.</w:t>
            </w:r>
          </w:p>
          <w:p w14:paraId="391F4968" w14:textId="77777777" w:rsidR="00BA3CB2" w:rsidRDefault="00BA3CB2">
            <w:pPr>
              <w:pStyle w:val="Prrafodelista"/>
              <w:jc w:val="both"/>
              <w:rPr>
                <w:rFonts w:ascii="Verdana" w:hAnsi="Verdana"/>
                <w:sz w:val="16"/>
                <w:szCs w:val="16"/>
              </w:rPr>
            </w:pPr>
          </w:p>
          <w:p w14:paraId="004FEDF5" w14:textId="77777777" w:rsidR="00BA3CB2" w:rsidRDefault="00BA3CB2">
            <w:pPr>
              <w:jc w:val="both"/>
              <w:rPr>
                <w:rFonts w:ascii="Verdana" w:hAnsi="Verdana"/>
                <w:sz w:val="16"/>
                <w:szCs w:val="16"/>
              </w:rPr>
            </w:pPr>
            <w:r>
              <w:rPr>
                <w:rFonts w:ascii="Verdana" w:hAnsi="Verdana"/>
                <w:sz w:val="16"/>
                <w:szCs w:val="16"/>
              </w:rPr>
              <w:t>Tal situación no se refleja en la información presupuestal, ya que no hubo compromiso ni pago de subsidios en Acueducto para la vigencia 2022.</w:t>
            </w:r>
          </w:p>
          <w:p w14:paraId="15688BF3" w14:textId="77777777" w:rsidR="00BA3CB2" w:rsidRDefault="00BA3CB2">
            <w:pPr>
              <w:rPr>
                <w:rFonts w:ascii="Verdana" w:hAnsi="Verdana"/>
                <w:sz w:val="16"/>
                <w:szCs w:val="16"/>
              </w:rPr>
            </w:pPr>
          </w:p>
          <w:p w14:paraId="66CDA8BE" w14:textId="77777777" w:rsidR="00BA3CB2" w:rsidRDefault="00BA3CB2">
            <w:pPr>
              <w:jc w:val="both"/>
              <w:rPr>
                <w:rFonts w:ascii="Verdana" w:hAnsi="Verdana"/>
                <w:sz w:val="16"/>
                <w:szCs w:val="16"/>
              </w:rPr>
            </w:pPr>
            <w:r>
              <w:rPr>
                <w:rFonts w:ascii="Verdana" w:hAnsi="Verdana"/>
                <w:sz w:val="16"/>
                <w:szCs w:val="16"/>
              </w:rPr>
              <w:t>Para Alcantarillado y aseo los recursos, comprometidos y pagados fueron $634 millones y $687 millones, respectivamente. Cifras totalmente diferentes a las pagadas por la Entidad Territorial.</w:t>
            </w:r>
          </w:p>
          <w:p w14:paraId="7ACF6375" w14:textId="77777777" w:rsidR="00BA3CB2" w:rsidRDefault="00BA3CB2">
            <w:pPr>
              <w:jc w:val="both"/>
              <w:rPr>
                <w:rFonts w:ascii="Verdana" w:hAnsi="Verdana"/>
                <w:sz w:val="16"/>
                <w:szCs w:val="16"/>
              </w:rPr>
            </w:pPr>
          </w:p>
          <w:p w14:paraId="01277B24" w14:textId="77777777" w:rsidR="00BA3CB2" w:rsidRDefault="00BA3CB2">
            <w:pPr>
              <w:jc w:val="both"/>
              <w:rPr>
                <w:rFonts w:ascii="Verdana" w:hAnsi="Verdana"/>
                <w:sz w:val="16"/>
                <w:szCs w:val="16"/>
              </w:rPr>
            </w:pPr>
            <w:r>
              <w:rPr>
                <w:rFonts w:ascii="Verdana" w:hAnsi="Verdana"/>
                <w:sz w:val="16"/>
                <w:szCs w:val="16"/>
              </w:rPr>
              <w:t>Por otro lado, el documento hizo referencia a que, con corte del 24 de abril de 2023, ese monto se incrementó a $ 7.256 millones. ($1.962 millones en acueducto y $122 millones en aseo).</w:t>
            </w:r>
          </w:p>
          <w:p w14:paraId="62ABBC76" w14:textId="77777777" w:rsidR="00BA3CB2" w:rsidRDefault="00BA3CB2">
            <w:pPr>
              <w:jc w:val="both"/>
              <w:rPr>
                <w:rFonts w:ascii="Verdana" w:hAnsi="Verdana"/>
                <w:sz w:val="16"/>
                <w:szCs w:val="16"/>
              </w:rPr>
            </w:pPr>
          </w:p>
          <w:p w14:paraId="7169F765" w14:textId="77777777" w:rsidR="00BA3CB2" w:rsidRDefault="00BA3CB2">
            <w:pPr>
              <w:jc w:val="both"/>
              <w:rPr>
                <w:rFonts w:ascii="Verdana" w:hAnsi="Verdana"/>
                <w:sz w:val="16"/>
                <w:szCs w:val="16"/>
              </w:rPr>
            </w:pPr>
            <w:r>
              <w:rPr>
                <w:rFonts w:ascii="Verdana" w:hAnsi="Verdana"/>
                <w:sz w:val="16"/>
                <w:szCs w:val="16"/>
              </w:rPr>
              <w:t xml:space="preserve">En el documento hablan sobre el giro directo, </w:t>
            </w:r>
            <w:r>
              <w:rPr>
                <w:rFonts w:ascii="Verdana" w:hAnsi="Verdana"/>
                <w:i/>
                <w:iCs/>
                <w:sz w:val="16"/>
                <w:szCs w:val="16"/>
              </w:rPr>
              <w:t>“</w:t>
            </w:r>
            <w:r>
              <w:rPr>
                <w:rFonts w:ascii="Verdana" w:hAnsi="Verdana"/>
                <w:b/>
                <w:bCs/>
                <w:i/>
                <w:iCs/>
                <w:sz w:val="16"/>
                <w:szCs w:val="16"/>
              </w:rPr>
              <w:t>Nota. El valor de los servicios de acueducto $ 1.042.351.033 queda sujeta a revisión y confirmación debido al giro directo por este concepto y soportes de pagos anteriores”.</w:t>
            </w:r>
            <w:r>
              <w:rPr>
                <w:rFonts w:ascii="Verdana" w:hAnsi="Verdana"/>
                <w:i/>
                <w:iCs/>
                <w:sz w:val="16"/>
                <w:szCs w:val="16"/>
              </w:rPr>
              <w:t xml:space="preserve"> </w:t>
            </w:r>
            <w:r>
              <w:rPr>
                <w:rFonts w:ascii="Verdana" w:hAnsi="Verdana"/>
                <w:sz w:val="16"/>
                <w:szCs w:val="16"/>
              </w:rPr>
              <w:t xml:space="preserve">medida de giro directo que esta Dirección no comparte y que no se efectuó en la vigencia 2022, de acuerdo con los giros efectuados por el MVCT que se encuentran en su página web. </w:t>
            </w:r>
          </w:p>
          <w:p w14:paraId="0944E504" w14:textId="77777777" w:rsidR="00BA3CB2" w:rsidRDefault="00BA3CB2">
            <w:pPr>
              <w:jc w:val="both"/>
              <w:rPr>
                <w:rFonts w:ascii="Verdana" w:hAnsi="Verdana"/>
                <w:sz w:val="16"/>
                <w:szCs w:val="16"/>
              </w:rPr>
            </w:pPr>
          </w:p>
          <w:p w14:paraId="33127FBA" w14:textId="77777777" w:rsidR="00BA3CB2" w:rsidRDefault="00BA3CB2">
            <w:pPr>
              <w:jc w:val="both"/>
              <w:rPr>
                <w:rFonts w:ascii="Verdana" w:hAnsi="Verdana"/>
                <w:sz w:val="16"/>
                <w:szCs w:val="16"/>
              </w:rPr>
            </w:pPr>
          </w:p>
          <w:p w14:paraId="67BAE207" w14:textId="77777777" w:rsidR="00BA3CB2" w:rsidRDefault="00BA3CB2">
            <w:pPr>
              <w:jc w:val="both"/>
              <w:rPr>
                <w:rFonts w:ascii="Verdana" w:hAnsi="Verdana"/>
                <w:sz w:val="16"/>
                <w:szCs w:val="16"/>
                <w:lang w:val="es-CO"/>
              </w:rPr>
            </w:pPr>
            <w:r>
              <w:rPr>
                <w:rFonts w:ascii="Verdana" w:hAnsi="Verdana"/>
                <w:sz w:val="16"/>
                <w:szCs w:val="16"/>
                <w:lang w:val="es-CO"/>
              </w:rPr>
              <w:t xml:space="preserve">En este sentido, no se identifica a qué producto del Plan de Desempeño, se puede vincular esta información. </w:t>
            </w:r>
          </w:p>
          <w:p w14:paraId="077E101F" w14:textId="77777777" w:rsidR="00BA3CB2" w:rsidRDefault="00BA3CB2">
            <w:pPr>
              <w:jc w:val="both"/>
              <w:rPr>
                <w:rFonts w:ascii="Verdana" w:hAnsi="Verdana"/>
                <w:sz w:val="16"/>
                <w:szCs w:val="16"/>
                <w:lang w:val="es-CO"/>
              </w:rPr>
            </w:pPr>
          </w:p>
          <w:p w14:paraId="0A3D261E" w14:textId="77777777" w:rsidR="00BA3CB2" w:rsidRDefault="00BA3CB2">
            <w:pPr>
              <w:jc w:val="both"/>
              <w:rPr>
                <w:rFonts w:ascii="Verdana" w:hAnsi="Verdana"/>
                <w:sz w:val="16"/>
                <w:szCs w:val="16"/>
                <w:lang w:val="es-CO"/>
              </w:rPr>
            </w:pPr>
            <w:r>
              <w:rPr>
                <w:rFonts w:ascii="Verdana" w:hAnsi="Verdana"/>
                <w:sz w:val="16"/>
                <w:szCs w:val="16"/>
                <w:lang w:val="es-CO"/>
              </w:rPr>
              <w:lastRenderedPageBreak/>
              <w:t>Si es al producto “</w:t>
            </w:r>
            <w:r>
              <w:rPr>
                <w:rFonts w:ascii="Verdana" w:hAnsi="Verdana"/>
                <w:i/>
                <w:iCs/>
                <w:sz w:val="16"/>
                <w:szCs w:val="16"/>
                <w:lang w:val="es-CO"/>
              </w:rPr>
              <w:t>Informe de verificación de asignación de los recursos del SGP para la financiación de los subsidios</w:t>
            </w:r>
            <w:r>
              <w:rPr>
                <w:rFonts w:ascii="Verdana" w:hAnsi="Verdana"/>
                <w:sz w:val="16"/>
                <w:szCs w:val="16"/>
                <w:lang w:val="es-CO"/>
              </w:rPr>
              <w:t>”, se debe confrontar que las actividades de este son:</w:t>
            </w:r>
          </w:p>
          <w:p w14:paraId="66EC10DB" w14:textId="77777777" w:rsidR="00BA3CB2" w:rsidRDefault="00BA3CB2">
            <w:pPr>
              <w:jc w:val="both"/>
              <w:rPr>
                <w:rFonts w:ascii="Verdana" w:hAnsi="Verdana"/>
                <w:sz w:val="16"/>
                <w:szCs w:val="16"/>
                <w:lang w:val="es-CO"/>
              </w:rPr>
            </w:pPr>
          </w:p>
          <w:p w14:paraId="094F9819" w14:textId="77777777" w:rsidR="00BA3CB2" w:rsidRDefault="00BA3CB2">
            <w:pPr>
              <w:jc w:val="both"/>
              <w:rPr>
                <w:rFonts w:ascii="Verdana" w:hAnsi="Verdana"/>
                <w:i/>
                <w:iCs/>
                <w:sz w:val="16"/>
                <w:szCs w:val="16"/>
                <w:lang w:val="es-CO"/>
              </w:rPr>
            </w:pPr>
            <w:r>
              <w:rPr>
                <w:rFonts w:ascii="Verdana" w:hAnsi="Verdana"/>
                <w:i/>
                <w:iCs/>
                <w:sz w:val="16"/>
                <w:szCs w:val="16"/>
                <w:lang w:val="es-CO"/>
              </w:rPr>
              <w:t>Elaboración del informe de verificación de asignación de los recursos del SGP para la financiación de los subsidios que contenga la siguiente información:</w:t>
            </w:r>
          </w:p>
          <w:p w14:paraId="4D8AB832" w14:textId="77777777" w:rsidR="00BA3CB2" w:rsidRDefault="00BA3CB2">
            <w:pPr>
              <w:jc w:val="both"/>
              <w:rPr>
                <w:rFonts w:ascii="Verdana" w:hAnsi="Verdana"/>
                <w:i/>
                <w:iCs/>
                <w:sz w:val="16"/>
                <w:szCs w:val="16"/>
                <w:lang w:val="es-CO"/>
              </w:rPr>
            </w:pPr>
            <w:r>
              <w:rPr>
                <w:rFonts w:ascii="Verdana" w:hAnsi="Verdana"/>
                <w:i/>
                <w:iCs/>
                <w:sz w:val="16"/>
                <w:szCs w:val="16"/>
                <w:lang w:val="es-CO"/>
              </w:rPr>
              <w:t>- Los consumos por usuarios, análisis de variaciones de consumos y consumos básicos.</w:t>
            </w:r>
          </w:p>
          <w:p w14:paraId="5DC92A15" w14:textId="77777777" w:rsidR="00BA3CB2" w:rsidRDefault="00BA3CB2">
            <w:pPr>
              <w:jc w:val="both"/>
              <w:rPr>
                <w:rFonts w:ascii="Verdana" w:hAnsi="Verdana"/>
                <w:i/>
                <w:iCs/>
                <w:sz w:val="16"/>
                <w:szCs w:val="16"/>
                <w:lang w:val="es-CO"/>
              </w:rPr>
            </w:pPr>
            <w:r>
              <w:rPr>
                <w:rFonts w:ascii="Verdana" w:hAnsi="Verdana"/>
                <w:i/>
                <w:iCs/>
                <w:sz w:val="16"/>
                <w:szCs w:val="16"/>
                <w:lang w:val="es-CO"/>
              </w:rPr>
              <w:t>- Cantidad de usuarios atendidos, discriminados por servicio, estrato y uso.</w:t>
            </w:r>
          </w:p>
          <w:p w14:paraId="09605241" w14:textId="77777777" w:rsidR="00BA3CB2" w:rsidRDefault="00BA3CB2">
            <w:pPr>
              <w:jc w:val="both"/>
              <w:rPr>
                <w:rFonts w:ascii="Verdana" w:hAnsi="Verdana"/>
                <w:i/>
                <w:iCs/>
                <w:sz w:val="16"/>
                <w:szCs w:val="16"/>
                <w:lang w:val="es-CO"/>
              </w:rPr>
            </w:pPr>
            <w:r>
              <w:rPr>
                <w:rFonts w:ascii="Verdana" w:hAnsi="Verdana"/>
                <w:i/>
                <w:iCs/>
                <w:sz w:val="16"/>
                <w:szCs w:val="16"/>
                <w:lang w:val="es-CO"/>
              </w:rPr>
              <w:t xml:space="preserve"> - Estructura tarifaria vigente, y el porcentaje o factor de aporte solidario aplicado en el año respectivo.</w:t>
            </w:r>
          </w:p>
          <w:p w14:paraId="4F404D4C" w14:textId="77777777" w:rsidR="00BA3CB2" w:rsidRDefault="00BA3CB2">
            <w:pPr>
              <w:jc w:val="both"/>
              <w:rPr>
                <w:rFonts w:ascii="Verdana" w:hAnsi="Verdana"/>
                <w:i/>
                <w:iCs/>
                <w:sz w:val="16"/>
                <w:szCs w:val="16"/>
                <w:lang w:val="es-CO"/>
              </w:rPr>
            </w:pPr>
            <w:r>
              <w:rPr>
                <w:rFonts w:ascii="Verdana" w:hAnsi="Verdana"/>
                <w:i/>
                <w:iCs/>
                <w:sz w:val="16"/>
                <w:szCs w:val="16"/>
                <w:lang w:val="es-CO"/>
              </w:rPr>
              <w:t>- Verificación del debido recaudo de las contribuciones solidarias en usuarios de uso industrial, comercial y de uso residencial de estratos 5 y 6.</w:t>
            </w:r>
          </w:p>
          <w:p w14:paraId="70E23399" w14:textId="77777777" w:rsidR="00BA3CB2" w:rsidRDefault="00BA3CB2">
            <w:pPr>
              <w:jc w:val="both"/>
              <w:rPr>
                <w:rFonts w:ascii="Verdana" w:hAnsi="Verdana"/>
                <w:i/>
                <w:iCs/>
                <w:sz w:val="16"/>
                <w:szCs w:val="16"/>
                <w:lang w:val="es-CO"/>
              </w:rPr>
            </w:pPr>
            <w:r>
              <w:rPr>
                <w:rFonts w:ascii="Verdana" w:hAnsi="Verdana"/>
                <w:i/>
                <w:iCs/>
                <w:sz w:val="16"/>
                <w:szCs w:val="16"/>
                <w:lang w:val="es-CO"/>
              </w:rPr>
              <w:t>- Verificación de la adecuada aplicación de los porcentajes de subsidios y contribuciones.</w:t>
            </w:r>
          </w:p>
          <w:p w14:paraId="30E2705D" w14:textId="77777777" w:rsidR="00BA3CB2" w:rsidRDefault="00BA3CB2">
            <w:pPr>
              <w:jc w:val="both"/>
              <w:rPr>
                <w:rFonts w:ascii="Verdana" w:hAnsi="Verdana"/>
                <w:i/>
                <w:iCs/>
                <w:sz w:val="16"/>
                <w:szCs w:val="16"/>
                <w:lang w:val="es-CO"/>
              </w:rPr>
            </w:pPr>
            <w:r>
              <w:rPr>
                <w:rFonts w:ascii="Verdana" w:hAnsi="Verdana"/>
                <w:i/>
                <w:iCs/>
                <w:sz w:val="16"/>
                <w:szCs w:val="16"/>
                <w:lang w:val="es-CO"/>
              </w:rPr>
              <w:t>- Verificar los resultados del aforo de los grandes generadores y la información de los pequeños productores y multiusuarios que lo hayan solicitado.</w:t>
            </w:r>
          </w:p>
          <w:p w14:paraId="79FD7C52" w14:textId="77777777" w:rsidR="00BA3CB2" w:rsidRDefault="00BA3CB2">
            <w:pPr>
              <w:jc w:val="both"/>
              <w:rPr>
                <w:rFonts w:ascii="Verdana" w:hAnsi="Verdana"/>
                <w:i/>
                <w:iCs/>
                <w:sz w:val="16"/>
                <w:szCs w:val="16"/>
                <w:lang w:val="es-CO"/>
              </w:rPr>
            </w:pPr>
            <w:r>
              <w:rPr>
                <w:rFonts w:ascii="Verdana" w:hAnsi="Verdana"/>
                <w:i/>
                <w:iCs/>
                <w:sz w:val="16"/>
                <w:szCs w:val="16"/>
                <w:lang w:val="es-CO"/>
              </w:rPr>
              <w:t>- Análisis de costos en los componentes tarifarios del Servicio de Aseo, especialmente los de transporte y disposición final.</w:t>
            </w:r>
          </w:p>
          <w:p w14:paraId="0C973C25" w14:textId="77777777" w:rsidR="00BA3CB2" w:rsidRDefault="00BA3CB2">
            <w:pPr>
              <w:jc w:val="both"/>
              <w:rPr>
                <w:rFonts w:ascii="Verdana" w:hAnsi="Verdana"/>
                <w:sz w:val="16"/>
                <w:szCs w:val="16"/>
                <w:lang w:val="es-CO"/>
              </w:rPr>
            </w:pPr>
          </w:p>
          <w:p w14:paraId="20EB0FB7" w14:textId="77777777" w:rsidR="00BA3CB2" w:rsidRDefault="00BA3CB2">
            <w:pPr>
              <w:jc w:val="both"/>
              <w:rPr>
                <w:rFonts w:ascii="Verdana" w:hAnsi="Verdana"/>
                <w:sz w:val="16"/>
                <w:szCs w:val="16"/>
                <w:lang w:val="es-CO"/>
              </w:rPr>
            </w:pPr>
            <w:r>
              <w:rPr>
                <w:rFonts w:ascii="Verdana" w:hAnsi="Verdana"/>
                <w:sz w:val="16"/>
                <w:szCs w:val="16"/>
                <w:lang w:val="es-CO"/>
              </w:rPr>
              <w:t>Los cuales se encuentran debidamente establecidos como las actividades a desarrollar, para el cumplimiento del Plan de conformidad con el Decreto Territorial 0216 de 2022.</w:t>
            </w:r>
          </w:p>
          <w:p w14:paraId="74C6A2C3" w14:textId="77777777" w:rsidR="00BA3CB2" w:rsidRDefault="00BA3CB2">
            <w:pPr>
              <w:jc w:val="both"/>
              <w:rPr>
                <w:rFonts w:ascii="Verdana" w:hAnsi="Verdana"/>
                <w:sz w:val="16"/>
                <w:szCs w:val="16"/>
                <w:lang w:val="es-CO"/>
              </w:rPr>
            </w:pPr>
          </w:p>
          <w:p w14:paraId="035F1764" w14:textId="77777777" w:rsidR="00BA3CB2" w:rsidRDefault="00BA3CB2">
            <w:pPr>
              <w:jc w:val="both"/>
              <w:rPr>
                <w:rFonts w:ascii="Verdana" w:hAnsi="Verdana"/>
                <w:sz w:val="16"/>
                <w:szCs w:val="16"/>
                <w:lang w:val="es-CO"/>
              </w:rPr>
            </w:pPr>
            <w:r>
              <w:rPr>
                <w:rFonts w:ascii="Verdana" w:hAnsi="Verdana"/>
                <w:b/>
                <w:bCs/>
                <w:sz w:val="16"/>
                <w:szCs w:val="16"/>
                <w:lang w:val="es-CO"/>
              </w:rPr>
              <w:t>CUMPLIMIENTO PARCIAL</w:t>
            </w:r>
          </w:p>
          <w:p w14:paraId="7211173D" w14:textId="77777777" w:rsidR="00BA3CB2" w:rsidRDefault="00BA3CB2">
            <w:pPr>
              <w:jc w:val="both"/>
              <w:rPr>
                <w:rFonts w:ascii="Verdana" w:hAnsi="Verdana"/>
                <w:sz w:val="16"/>
                <w:szCs w:val="16"/>
                <w:highlight w:val="yellow"/>
                <w:lang w:val="es-CO"/>
              </w:rPr>
            </w:pPr>
          </w:p>
        </w:tc>
      </w:tr>
      <w:tr w:rsidR="00BA3CB2" w14:paraId="08D5C38B"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118AC878" w14:textId="77777777" w:rsidR="00BA3CB2" w:rsidRDefault="00BA3CB2">
            <w:pPr>
              <w:rPr>
                <w:rFonts w:ascii="Verdana" w:hAnsi="Verdana"/>
                <w:sz w:val="16"/>
                <w:szCs w:val="16"/>
                <w:highlight w:val="yellow"/>
                <w:lang w:val="es-CO"/>
              </w:rPr>
            </w:pPr>
            <w:r>
              <w:rPr>
                <w:rFonts w:ascii="Verdana" w:hAnsi="Verdana"/>
                <w:sz w:val="16"/>
                <w:szCs w:val="16"/>
                <w:lang w:val="es-CO"/>
              </w:rPr>
              <w:lastRenderedPageBreak/>
              <w:t>INFORME_SUPERVISION_No1_CTOINTER_CORALINA2023</w:t>
            </w:r>
          </w:p>
        </w:tc>
        <w:tc>
          <w:tcPr>
            <w:tcW w:w="5953" w:type="dxa"/>
            <w:tcBorders>
              <w:top w:val="single" w:sz="4" w:space="0" w:color="auto"/>
              <w:left w:val="single" w:sz="4" w:space="0" w:color="auto"/>
              <w:bottom w:val="single" w:sz="4" w:space="0" w:color="auto"/>
              <w:right w:val="single" w:sz="4" w:space="0" w:color="auto"/>
            </w:tcBorders>
          </w:tcPr>
          <w:p w14:paraId="14396349" w14:textId="77777777" w:rsidR="00BA3CB2" w:rsidRDefault="00BA3CB2">
            <w:pPr>
              <w:jc w:val="both"/>
              <w:rPr>
                <w:rFonts w:ascii="Verdana" w:hAnsi="Verdana"/>
                <w:i/>
                <w:iCs/>
                <w:sz w:val="16"/>
                <w:szCs w:val="16"/>
                <w:lang w:val="es-CO"/>
              </w:rPr>
            </w:pPr>
            <w:r>
              <w:rPr>
                <w:rFonts w:ascii="Verdana" w:hAnsi="Verdana"/>
                <w:sz w:val="16"/>
                <w:szCs w:val="16"/>
                <w:lang w:val="es-CO"/>
              </w:rPr>
              <w:t>Documento de 3 páginas relacionado con el contrato C01.PCCNTR.2889776 de 2021, que tiene como objeto aunar esfuerzos financieros, humanos, físicos, técnicos, científicos y tecnológicos entre la Gobernación de San Andres y CORALINA, con la finalidad de desarrollar acciones conjuntas que permitan adelantar actividades, planes, programas, proyectos, del Plan Ambiental del Plan Departamental de Agua. El documento manifiesta que “</w:t>
            </w:r>
            <w:r>
              <w:rPr>
                <w:rFonts w:ascii="Verdana" w:hAnsi="Verdana"/>
                <w:i/>
                <w:iCs/>
                <w:sz w:val="16"/>
                <w:szCs w:val="16"/>
                <w:lang w:val="es-CO"/>
              </w:rPr>
              <w:t>Este proceso no genera erogación para ninguna de las partes”.</w:t>
            </w:r>
          </w:p>
          <w:p w14:paraId="78A2AA21" w14:textId="77777777" w:rsidR="00BA3CB2" w:rsidRDefault="00BA3CB2">
            <w:pPr>
              <w:jc w:val="both"/>
              <w:rPr>
                <w:rFonts w:ascii="Verdana" w:hAnsi="Verdana"/>
                <w:sz w:val="16"/>
                <w:szCs w:val="16"/>
                <w:lang w:val="es-CO"/>
              </w:rPr>
            </w:pPr>
          </w:p>
          <w:p w14:paraId="1365A030" w14:textId="77777777" w:rsidR="00BA3CB2" w:rsidRDefault="00BA3CB2">
            <w:pPr>
              <w:jc w:val="both"/>
              <w:rPr>
                <w:rFonts w:ascii="Verdana" w:hAnsi="Verdana"/>
                <w:sz w:val="16"/>
                <w:szCs w:val="16"/>
                <w:highlight w:val="yellow"/>
                <w:lang w:val="es-CO"/>
              </w:rPr>
            </w:pPr>
            <w:r>
              <w:rPr>
                <w:rFonts w:ascii="Verdana" w:hAnsi="Verdana"/>
                <w:sz w:val="16"/>
                <w:szCs w:val="16"/>
                <w:lang w:val="es-CO"/>
              </w:rPr>
              <w:t>No se identifica el sentido de este documento, ni a qué producto del Plan de Desempeño pretende relacionarse.</w:t>
            </w:r>
          </w:p>
          <w:p w14:paraId="3CBF1001" w14:textId="77777777" w:rsidR="00BA3CB2" w:rsidRDefault="00BA3CB2">
            <w:pPr>
              <w:rPr>
                <w:rFonts w:ascii="Verdana" w:hAnsi="Verdana"/>
                <w:sz w:val="16"/>
                <w:szCs w:val="16"/>
                <w:highlight w:val="yellow"/>
                <w:lang w:val="es-CO"/>
              </w:rPr>
            </w:pPr>
          </w:p>
        </w:tc>
      </w:tr>
      <w:tr w:rsidR="00BA3CB2" w14:paraId="7D61094D"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0BBB626C" w14:textId="77777777" w:rsidR="00BA3CB2" w:rsidRDefault="00BA3CB2">
            <w:pPr>
              <w:rPr>
                <w:rFonts w:ascii="Verdana" w:hAnsi="Verdana"/>
                <w:sz w:val="16"/>
                <w:szCs w:val="16"/>
                <w:highlight w:val="yellow"/>
                <w:lang w:val="es-CO"/>
              </w:rPr>
            </w:pPr>
            <w:r>
              <w:rPr>
                <w:rFonts w:ascii="Verdana" w:hAnsi="Verdana"/>
                <w:sz w:val="16"/>
                <w:szCs w:val="16"/>
                <w:lang w:val="es-CO"/>
              </w:rPr>
              <w:t>Informe_Supervisión2022_AguasSanAndres_Enero2023</w:t>
            </w:r>
          </w:p>
        </w:tc>
        <w:tc>
          <w:tcPr>
            <w:tcW w:w="5953" w:type="dxa"/>
            <w:tcBorders>
              <w:top w:val="single" w:sz="4" w:space="0" w:color="auto"/>
              <w:left w:val="single" w:sz="4" w:space="0" w:color="auto"/>
              <w:bottom w:val="single" w:sz="4" w:space="0" w:color="auto"/>
              <w:right w:val="single" w:sz="4" w:space="0" w:color="auto"/>
            </w:tcBorders>
          </w:tcPr>
          <w:p w14:paraId="2EBB822E" w14:textId="77777777" w:rsidR="00BA3CB2" w:rsidRDefault="00BA3CB2">
            <w:pPr>
              <w:autoSpaceDE w:val="0"/>
              <w:autoSpaceDN w:val="0"/>
              <w:adjustRightInd w:val="0"/>
              <w:jc w:val="both"/>
              <w:rPr>
                <w:rFonts w:ascii="Verdana" w:eastAsiaTheme="minorHAnsi" w:hAnsi="Verdana" w:cs="CIDFont+F2"/>
                <w:sz w:val="16"/>
                <w:szCs w:val="16"/>
                <w:lang w:val="es-CO" w:eastAsia="en-US"/>
              </w:rPr>
            </w:pPr>
            <w:r>
              <w:rPr>
                <w:rFonts w:ascii="Verdana" w:hAnsi="Verdana"/>
                <w:sz w:val="16"/>
                <w:szCs w:val="16"/>
                <w:lang w:val="es-CO"/>
              </w:rPr>
              <w:t>Documento de 74 páginas que contiene el “</w:t>
            </w:r>
            <w:r>
              <w:rPr>
                <w:rFonts w:ascii="Verdana" w:eastAsiaTheme="minorHAnsi" w:hAnsi="Verdana" w:cs="CIDFont+F2"/>
                <w:i/>
                <w:iCs/>
                <w:sz w:val="16"/>
                <w:szCs w:val="16"/>
                <w:lang w:val="es-CO" w:eastAsia="en-US"/>
              </w:rPr>
              <w:t>Informe anual de supervisión al contrato de operación de acueducto y alcantarillado en la isla de San Andres”</w:t>
            </w:r>
            <w:r>
              <w:rPr>
                <w:rFonts w:ascii="Verdana" w:eastAsiaTheme="minorHAnsi" w:hAnsi="Verdana" w:cs="CIDFont+F2"/>
                <w:sz w:val="16"/>
                <w:szCs w:val="16"/>
                <w:lang w:val="es-CO" w:eastAsia="en-US"/>
              </w:rPr>
              <w:t xml:space="preserve">, elaborado por Aguas de San Andrés – ADSAI </w:t>
            </w:r>
            <w:proofErr w:type="gramStart"/>
            <w:r>
              <w:rPr>
                <w:rFonts w:ascii="Verdana" w:eastAsiaTheme="minorHAnsi" w:hAnsi="Verdana" w:cs="CIDFont+F2"/>
                <w:sz w:val="16"/>
                <w:szCs w:val="16"/>
                <w:lang w:val="es-CO" w:eastAsia="en-US"/>
              </w:rPr>
              <w:t>S.A.E.S.P. ,</w:t>
            </w:r>
            <w:proofErr w:type="gramEnd"/>
            <w:r>
              <w:rPr>
                <w:rFonts w:ascii="Verdana" w:eastAsiaTheme="minorHAnsi" w:hAnsi="Verdana" w:cs="CIDFont+F2"/>
                <w:sz w:val="16"/>
                <w:szCs w:val="16"/>
                <w:lang w:val="es-CO" w:eastAsia="en-US"/>
              </w:rPr>
              <w:t xml:space="preserve"> correspondiente al informe anual de la vigencia 2022.</w:t>
            </w:r>
          </w:p>
          <w:p w14:paraId="6A7DFA59" w14:textId="77777777" w:rsidR="00BA3CB2" w:rsidRDefault="00BA3CB2">
            <w:pPr>
              <w:autoSpaceDE w:val="0"/>
              <w:autoSpaceDN w:val="0"/>
              <w:adjustRightInd w:val="0"/>
              <w:jc w:val="both"/>
              <w:rPr>
                <w:rFonts w:ascii="Verdana" w:eastAsiaTheme="minorHAnsi" w:hAnsi="Verdana" w:cs="CIDFont+F2"/>
                <w:sz w:val="16"/>
                <w:szCs w:val="16"/>
                <w:lang w:val="es-CO" w:eastAsia="en-US"/>
              </w:rPr>
            </w:pPr>
          </w:p>
          <w:p w14:paraId="7DFA07CA" w14:textId="77777777" w:rsidR="00BA3CB2" w:rsidRDefault="00BA3CB2">
            <w:pPr>
              <w:autoSpaceDE w:val="0"/>
              <w:autoSpaceDN w:val="0"/>
              <w:adjustRightInd w:val="0"/>
              <w:jc w:val="both"/>
              <w:rPr>
                <w:rFonts w:ascii="Verdana" w:eastAsiaTheme="minorHAnsi" w:hAnsi="Verdana" w:cs="CIDFont+F1"/>
                <w:sz w:val="16"/>
                <w:szCs w:val="16"/>
                <w:lang w:val="es-CO" w:eastAsia="en-US"/>
              </w:rPr>
            </w:pPr>
            <w:r>
              <w:rPr>
                <w:rFonts w:ascii="Verdana" w:eastAsiaTheme="minorHAnsi" w:hAnsi="Verdana" w:cs="CIDFont+F2"/>
                <w:sz w:val="16"/>
                <w:szCs w:val="16"/>
                <w:lang w:val="es-CO" w:eastAsia="en-US"/>
              </w:rPr>
              <w:t>El documento describe la prestación del servicio de Acueducto y Alcantarillado efectuado en virtud de la “E</w:t>
            </w:r>
            <w:r>
              <w:rPr>
                <w:rFonts w:ascii="Verdana" w:eastAsiaTheme="minorHAnsi" w:hAnsi="Verdana" w:cs="CIDFont+F1"/>
                <w:i/>
                <w:iCs/>
                <w:sz w:val="16"/>
                <w:szCs w:val="16"/>
                <w:lang w:val="es-CO" w:eastAsia="en-US"/>
              </w:rPr>
              <w:t xml:space="preserve">jecución del contrato de operación del servicio de Acueducto y Alcantarillado suscito entre Aguas de San Andrés y Veolia </w:t>
            </w:r>
            <w:r>
              <w:rPr>
                <w:rFonts w:ascii="Verdana" w:eastAsiaTheme="minorHAnsi" w:hAnsi="Verdana" w:cs="CIDFont+F1"/>
                <w:sz w:val="16"/>
                <w:szCs w:val="16"/>
                <w:lang w:val="es-CO" w:eastAsia="en-US"/>
              </w:rPr>
              <w:t xml:space="preserve">Aguas del Archipiélago S.A E.S.P. debido a que la empresa contratista Unión Temporal PGP SAS CYDEP SAS, suspendió unilateralmente el contrato de supervisión al contrato de operación del servicio de acueducto y alcantarillado en la Isla el 1º de enero de 2022. A partir de allí con apoyo del Gobernador del Departamento y la </w:t>
            </w:r>
            <w:r>
              <w:rPr>
                <w:rFonts w:ascii="Verdana" w:eastAsiaTheme="minorHAnsi" w:hAnsi="Verdana" w:cs="CIDFont+F1"/>
                <w:sz w:val="16"/>
                <w:szCs w:val="16"/>
                <w:lang w:val="es-CO" w:eastAsia="en-US"/>
              </w:rPr>
              <w:lastRenderedPageBreak/>
              <w:t>empresa Aguas de San Andrés, S.A. ESP., se continuó ejerciendo la supervisión al contrato de operación.</w:t>
            </w:r>
          </w:p>
          <w:p w14:paraId="7C09B9F4" w14:textId="77777777" w:rsidR="00BA3CB2" w:rsidRDefault="00BA3CB2">
            <w:pPr>
              <w:autoSpaceDE w:val="0"/>
              <w:autoSpaceDN w:val="0"/>
              <w:adjustRightInd w:val="0"/>
              <w:jc w:val="both"/>
              <w:rPr>
                <w:rFonts w:ascii="Verdana" w:eastAsiaTheme="minorHAnsi" w:hAnsi="Verdana" w:cs="CIDFont+F2"/>
                <w:sz w:val="16"/>
                <w:szCs w:val="16"/>
                <w:lang w:val="es-CO" w:eastAsia="en-US"/>
              </w:rPr>
            </w:pPr>
          </w:p>
          <w:p w14:paraId="1C2FC34C" w14:textId="77777777" w:rsidR="00BA3CB2" w:rsidRDefault="00BA3CB2">
            <w:pPr>
              <w:autoSpaceDE w:val="0"/>
              <w:autoSpaceDN w:val="0"/>
              <w:adjustRightInd w:val="0"/>
              <w:jc w:val="both"/>
              <w:rPr>
                <w:rFonts w:ascii="Verdana" w:eastAsiaTheme="minorHAnsi" w:hAnsi="Verdana" w:cs="CIDFont+F1"/>
                <w:sz w:val="16"/>
                <w:szCs w:val="16"/>
                <w:lang w:val="es-CO" w:eastAsia="en-US"/>
              </w:rPr>
            </w:pPr>
            <w:r>
              <w:rPr>
                <w:rFonts w:ascii="Verdana" w:eastAsiaTheme="minorHAnsi" w:hAnsi="Verdana" w:cs="CIDFont+F1"/>
                <w:sz w:val="16"/>
                <w:szCs w:val="16"/>
                <w:lang w:val="es-CO" w:eastAsia="en-US"/>
              </w:rPr>
              <w:t>Algunos apartes del informe hacen referencia a:</w:t>
            </w:r>
          </w:p>
          <w:p w14:paraId="6F64059C" w14:textId="77777777" w:rsidR="00BA3CB2" w:rsidRDefault="00BA3CB2">
            <w:pPr>
              <w:autoSpaceDE w:val="0"/>
              <w:autoSpaceDN w:val="0"/>
              <w:adjustRightInd w:val="0"/>
              <w:jc w:val="both"/>
              <w:rPr>
                <w:rFonts w:ascii="Verdana" w:eastAsiaTheme="minorHAnsi" w:hAnsi="Verdana" w:cs="CIDFont+F1"/>
                <w:sz w:val="16"/>
                <w:szCs w:val="16"/>
                <w:lang w:val="es-CO" w:eastAsia="en-US"/>
              </w:rPr>
            </w:pPr>
          </w:p>
          <w:p w14:paraId="6B382B0E"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El sector residencial es el que más retraso presenta en el cumplimiento de la meta de las 8 horas/día de suministro con un 28,8% de cumplimiento. El sector hotelero presenta un cumplimiento en el año del 88,1%, el sector de </w:t>
            </w:r>
            <w:proofErr w:type="spellStart"/>
            <w:r>
              <w:rPr>
                <w:rFonts w:ascii="Verdana" w:eastAsiaTheme="minorHAnsi" w:hAnsi="Verdana" w:cs="CIDFont+F1"/>
                <w:i/>
                <w:iCs/>
                <w:sz w:val="16"/>
                <w:szCs w:val="16"/>
                <w:lang w:val="es-CO" w:eastAsia="en-US"/>
              </w:rPr>
              <w:t>Sarie</w:t>
            </w:r>
            <w:proofErr w:type="spellEnd"/>
            <w:r>
              <w:rPr>
                <w:rFonts w:ascii="Verdana" w:eastAsiaTheme="minorHAnsi" w:hAnsi="Verdana" w:cs="CIDFont+F1"/>
                <w:i/>
                <w:iCs/>
                <w:sz w:val="16"/>
                <w:szCs w:val="16"/>
                <w:lang w:val="es-CO" w:eastAsia="en-US"/>
              </w:rPr>
              <w:t xml:space="preserve"> Bay del 87,3% y el sector de San Luis del 76,9%.</w:t>
            </w:r>
          </w:p>
          <w:p w14:paraId="64D89BD0" w14:textId="77777777" w:rsidR="00BA3CB2" w:rsidRDefault="00BA3CB2">
            <w:pPr>
              <w:pStyle w:val="Prrafodelista"/>
              <w:autoSpaceDE w:val="0"/>
              <w:autoSpaceDN w:val="0"/>
              <w:adjustRightInd w:val="0"/>
              <w:ind w:left="360"/>
              <w:jc w:val="both"/>
              <w:rPr>
                <w:rFonts w:ascii="Verdana" w:eastAsiaTheme="minorHAnsi" w:hAnsi="Verdana" w:cs="CIDFont+F1"/>
                <w:i/>
                <w:iCs/>
                <w:sz w:val="16"/>
                <w:szCs w:val="16"/>
                <w:lang w:val="es-CO" w:eastAsia="en-US"/>
              </w:rPr>
            </w:pPr>
          </w:p>
          <w:p w14:paraId="64DE71C6"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Es indispensable que se controlen las pérdidas que se presentan en la red que continúan siendo muy altas y se garantice la operación continua de la planta desalinizadora de 50 </w:t>
            </w:r>
            <w:proofErr w:type="spellStart"/>
            <w:r>
              <w:rPr>
                <w:rFonts w:ascii="Verdana" w:eastAsiaTheme="minorHAnsi" w:hAnsi="Verdana" w:cs="CIDFont+F1"/>
                <w:i/>
                <w:iCs/>
                <w:sz w:val="16"/>
                <w:szCs w:val="16"/>
                <w:lang w:val="es-CO" w:eastAsia="en-US"/>
              </w:rPr>
              <w:t>lps</w:t>
            </w:r>
            <w:proofErr w:type="spellEnd"/>
            <w:r>
              <w:rPr>
                <w:rFonts w:ascii="Verdana" w:eastAsiaTheme="minorHAnsi" w:hAnsi="Verdana" w:cs="CIDFont+F1"/>
                <w:i/>
                <w:iCs/>
                <w:sz w:val="16"/>
                <w:szCs w:val="16"/>
                <w:lang w:val="es-CO" w:eastAsia="en-US"/>
              </w:rPr>
              <w:t xml:space="preserve"> y de la nueva planta de 25 </w:t>
            </w:r>
            <w:proofErr w:type="spellStart"/>
            <w:r>
              <w:rPr>
                <w:rFonts w:ascii="Verdana" w:eastAsiaTheme="minorHAnsi" w:hAnsi="Verdana" w:cs="CIDFont+F1"/>
                <w:i/>
                <w:iCs/>
                <w:sz w:val="16"/>
                <w:szCs w:val="16"/>
                <w:lang w:val="es-CO" w:eastAsia="en-US"/>
              </w:rPr>
              <w:t>lps</w:t>
            </w:r>
            <w:proofErr w:type="spellEnd"/>
            <w:r>
              <w:rPr>
                <w:rFonts w:ascii="Verdana" w:eastAsiaTheme="minorHAnsi" w:hAnsi="Verdana" w:cs="CIDFont+F1"/>
                <w:i/>
                <w:iCs/>
                <w:sz w:val="16"/>
                <w:szCs w:val="16"/>
                <w:lang w:val="es-CO" w:eastAsia="en-US"/>
              </w:rPr>
              <w:t xml:space="preserve"> minimizando los daños que se presentan en la línea de conducción para los sectores de la Loma y optimizando la explotación de los pozos del Valle del Cove que abastecen a San Luis y el Cove a fin de mejorar el suministro a estos sectores, siendo el sector de San Luis el que presenta presiones más estables aunque por debajo de los 10 </w:t>
            </w:r>
            <w:proofErr w:type="spellStart"/>
            <w:r>
              <w:rPr>
                <w:rFonts w:ascii="Verdana" w:eastAsiaTheme="minorHAnsi" w:hAnsi="Verdana" w:cs="CIDFont+F1"/>
                <w:i/>
                <w:iCs/>
                <w:sz w:val="16"/>
                <w:szCs w:val="16"/>
                <w:lang w:val="es-CO" w:eastAsia="en-US"/>
              </w:rPr>
              <w:t>m.c.a</w:t>
            </w:r>
            <w:proofErr w:type="spellEnd"/>
            <w:r>
              <w:rPr>
                <w:rFonts w:ascii="Verdana" w:eastAsiaTheme="minorHAnsi" w:hAnsi="Verdana" w:cs="CIDFont+F1"/>
                <w:i/>
                <w:iCs/>
                <w:sz w:val="16"/>
                <w:szCs w:val="16"/>
                <w:lang w:val="es-CO" w:eastAsia="en-US"/>
              </w:rPr>
              <w:t>.</w:t>
            </w:r>
          </w:p>
          <w:p w14:paraId="44BF9265" w14:textId="77777777" w:rsidR="00BA3CB2" w:rsidRDefault="00BA3CB2">
            <w:pPr>
              <w:pStyle w:val="Prrafodelista"/>
              <w:rPr>
                <w:rFonts w:ascii="Verdana" w:eastAsiaTheme="minorHAnsi" w:hAnsi="Verdana" w:cs="CIDFont+F1"/>
                <w:i/>
                <w:iCs/>
                <w:sz w:val="16"/>
                <w:szCs w:val="16"/>
                <w:lang w:val="es-CO" w:eastAsia="en-US"/>
              </w:rPr>
            </w:pPr>
          </w:p>
          <w:p w14:paraId="046001E4"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Durante este periodo, con respecto a la cobertura de los sistemas de acueducto y alcantarillado se mantiene la tendencia de años anteriores, con un crecimiento bajo, que, si no son por las obras de renovación y expansión de redes realizadas en años anteriores, la incorporación de usuarios sería estadísticamente nula; a esta situación se suma el bajo consumo de los usuarios del sistema de acueducto, debido a varios factores, siendo la más representativa los costos del servicio y la posibilidad de fuentes alternas, lo que refleja un consumo real bajo, que va de la mano con el importante número de usuarios que no consume. Como se ha manifestado en informes anteriores la expectativa de vincular a un número importante de usuarios, no se ha cumplido, debido a las demoras en la implementación de las obras, los costos elevados de conexión intradomiciliaria y a la percepción de la comunidad que las tarifas aplicadas por la empresa son elevadas para el servicio que se recibe.</w:t>
            </w:r>
          </w:p>
          <w:p w14:paraId="72352918" w14:textId="77777777" w:rsidR="00BA3CB2" w:rsidRDefault="00BA3CB2">
            <w:pPr>
              <w:pStyle w:val="Prrafodelista"/>
              <w:rPr>
                <w:rFonts w:ascii="Verdana" w:eastAsiaTheme="minorHAnsi" w:hAnsi="Verdana" w:cs="CIDFont+F1"/>
                <w:i/>
                <w:iCs/>
                <w:sz w:val="16"/>
                <w:szCs w:val="16"/>
                <w:lang w:val="es-CO" w:eastAsia="en-US"/>
              </w:rPr>
            </w:pPr>
          </w:p>
          <w:p w14:paraId="7C76706E"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La dinámica de la gestión comercial de este servicio aun no alcanza niveles aceptables, a pesar de las diferentes estrategias implementados por la empresa, se mantiene un alto porcentaje de la población que rechaza el servicio, consecuente con los reportes de usuarios renuentes, así como de un número importante de usuarios que han optado por no consumir o limitar su consumo a niveles inferiores al promedio, como resultado de la calidad del servicio (volúmenes insuficientes y baja continuidad en el servicio).</w:t>
            </w:r>
          </w:p>
          <w:p w14:paraId="66C42FC2" w14:textId="77777777" w:rsidR="00BA3CB2" w:rsidRDefault="00BA3CB2">
            <w:pPr>
              <w:pStyle w:val="Prrafodelista"/>
              <w:rPr>
                <w:rFonts w:ascii="Verdana" w:eastAsiaTheme="minorHAnsi" w:hAnsi="Verdana" w:cs="CIDFont+F1"/>
                <w:i/>
                <w:iCs/>
                <w:sz w:val="16"/>
                <w:szCs w:val="16"/>
                <w:lang w:val="es-CO" w:eastAsia="en-US"/>
              </w:rPr>
            </w:pPr>
          </w:p>
          <w:p w14:paraId="0F6912CD"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A pesar de todo los esfuerzos, se mantienen las tenencias históricas, como que él 66% de los usuarios residenciales reportados por el operador, no registran consumos y cerca de un 30% son usuarios sin medición a los que en buena medida les ha llegado durante el último año el agua solamente una vez cada 18 días. Esta situación parece evidenciar que la tarifa y la cartera generada son una barrera de acceso, sin desconocer que igualmente tiene incidencia la inconformidad de los usuarios con la </w:t>
            </w:r>
            <w:r>
              <w:rPr>
                <w:rFonts w:ascii="Verdana" w:eastAsiaTheme="minorHAnsi" w:hAnsi="Verdana" w:cs="CIDFont+F1"/>
                <w:i/>
                <w:iCs/>
                <w:sz w:val="16"/>
                <w:szCs w:val="16"/>
                <w:lang w:val="es-CO" w:eastAsia="en-US"/>
              </w:rPr>
              <w:lastRenderedPageBreak/>
              <w:t xml:space="preserve">calidad del servicio y los hábitos culturales de uso del agua en la isla. </w:t>
            </w:r>
          </w:p>
          <w:p w14:paraId="4D02F679" w14:textId="77777777" w:rsidR="00BA3CB2" w:rsidRDefault="00BA3CB2">
            <w:pPr>
              <w:pStyle w:val="Prrafodelista"/>
              <w:autoSpaceDE w:val="0"/>
              <w:autoSpaceDN w:val="0"/>
              <w:adjustRightInd w:val="0"/>
              <w:ind w:left="360"/>
              <w:jc w:val="both"/>
              <w:rPr>
                <w:rFonts w:ascii="Verdana" w:eastAsiaTheme="minorHAnsi" w:hAnsi="Verdana" w:cs="CIDFont+F1"/>
                <w:i/>
                <w:iCs/>
                <w:sz w:val="16"/>
                <w:szCs w:val="16"/>
                <w:lang w:val="es-CO" w:eastAsia="en-US"/>
              </w:rPr>
            </w:pPr>
          </w:p>
          <w:p w14:paraId="05B65C0C"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 …Situación que va de la mano con los resultados obtenidos de las obras proyectadas, donde no se han cumplido ni moderadamente las expectativas de vincular nuevos usuarios al sistema de alcantarillado, de un potencial de 4574 UVI proyectadas con las obras a desarrollar desde el 2018, a corte diciembre de 2022 se había alcanzado tan solo 1282 UVI, equivalente al 28%, que refleja la percepción de la comunidad a no vincularse al sistema de alcantarillado, atribuyendo dicha respuesta a los altos costos…</w:t>
            </w:r>
          </w:p>
          <w:p w14:paraId="3FF5F4E7" w14:textId="77777777" w:rsidR="00BA3CB2" w:rsidRDefault="00BA3CB2">
            <w:pPr>
              <w:pStyle w:val="Prrafodelista"/>
              <w:rPr>
                <w:rFonts w:ascii="Verdana" w:eastAsiaTheme="minorHAnsi" w:hAnsi="Verdana" w:cs="CIDFont+F1"/>
                <w:i/>
                <w:iCs/>
                <w:sz w:val="16"/>
                <w:szCs w:val="16"/>
                <w:lang w:val="es-CO" w:eastAsia="en-US"/>
              </w:rPr>
            </w:pPr>
          </w:p>
          <w:p w14:paraId="59C112C4"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 …No obstante, la gestión para la vinculación de nuevos usuarios no puede recaer únicamente en la ampliación de cobertura, sino que debe ir acompañado de una gestión comercial adecuada que genere el mayor número de conexiones reales. </w:t>
            </w:r>
          </w:p>
          <w:p w14:paraId="5EF9C2AA" w14:textId="77777777" w:rsidR="00BA3CB2" w:rsidRDefault="00BA3CB2">
            <w:pPr>
              <w:pStyle w:val="Prrafodelista"/>
              <w:rPr>
                <w:rFonts w:ascii="Verdana" w:eastAsiaTheme="minorHAnsi" w:hAnsi="Verdana" w:cs="CIDFont+F1"/>
                <w:i/>
                <w:iCs/>
                <w:sz w:val="16"/>
                <w:szCs w:val="16"/>
                <w:lang w:val="es-CO" w:eastAsia="en-US"/>
              </w:rPr>
            </w:pPr>
          </w:p>
          <w:p w14:paraId="2EADEF51"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De acuerdo con el numeral 12.8 de la cláusula cuarta del otrosí No. 9, el operador debería asegurar un avance mínimo de 1991 micromedidores nuevos instalados para finales del año 15, valor que claramente no fue alcanzado, aludiendo el operador el incumplimiento a las demoras en la entrega de las obras de renovación fase I y a la renuencia de los usuarios a conectarse por los costos de las obras de intradomiciliaria. </w:t>
            </w:r>
          </w:p>
          <w:p w14:paraId="61C2BE0E" w14:textId="77777777" w:rsidR="00BA3CB2" w:rsidRDefault="00BA3CB2">
            <w:pPr>
              <w:pStyle w:val="Prrafodelista"/>
              <w:rPr>
                <w:rFonts w:ascii="Verdana" w:eastAsiaTheme="minorHAnsi" w:hAnsi="Verdana" w:cs="CIDFont+F1"/>
                <w:i/>
                <w:iCs/>
                <w:sz w:val="16"/>
                <w:szCs w:val="16"/>
                <w:lang w:val="es-CO" w:eastAsia="en-US"/>
              </w:rPr>
            </w:pPr>
          </w:p>
          <w:p w14:paraId="070211CE"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…Cifras que contrastan notablemente con los reportes de facturación donde solamente a unos 4860 suscriptores se les tiene en cuenta su </w:t>
            </w:r>
            <w:proofErr w:type="spellStart"/>
            <w:r>
              <w:rPr>
                <w:rFonts w:ascii="Verdana" w:eastAsiaTheme="minorHAnsi" w:hAnsi="Verdana" w:cs="CIDFont+F1"/>
                <w:i/>
                <w:iCs/>
                <w:sz w:val="16"/>
                <w:szCs w:val="16"/>
                <w:lang w:val="es-CO" w:eastAsia="en-US"/>
              </w:rPr>
              <w:t>micromedición</w:t>
            </w:r>
            <w:proofErr w:type="spellEnd"/>
            <w:r>
              <w:rPr>
                <w:rFonts w:ascii="Verdana" w:eastAsiaTheme="minorHAnsi" w:hAnsi="Verdana" w:cs="CIDFont+F1"/>
                <w:i/>
                <w:iCs/>
                <w:sz w:val="16"/>
                <w:szCs w:val="16"/>
                <w:lang w:val="es-CO" w:eastAsia="en-US"/>
              </w:rPr>
              <w:t xml:space="preserve"> para efectos de facturación, buena parte de estos medidores corresponden a usuarios que no reportan consumos y los demás presentan consumos muy bajos. </w:t>
            </w:r>
          </w:p>
          <w:p w14:paraId="7571C2D5" w14:textId="77777777" w:rsidR="00BA3CB2" w:rsidRDefault="00BA3CB2">
            <w:pPr>
              <w:pStyle w:val="Prrafodelista"/>
              <w:rPr>
                <w:rFonts w:ascii="Verdana" w:eastAsiaTheme="minorHAnsi" w:hAnsi="Verdana" w:cs="CIDFont+F1"/>
                <w:i/>
                <w:iCs/>
                <w:sz w:val="16"/>
                <w:szCs w:val="16"/>
                <w:lang w:val="es-CO" w:eastAsia="en-US"/>
              </w:rPr>
            </w:pPr>
          </w:p>
          <w:p w14:paraId="284C4BA8"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El IRCA para el año 2022 se encuentra dentro del rango “Sin Riesgo” a pesar de que para el mes de marzo se tuvo un IRCA de 6,83 “Riesgo Bajo”.</w:t>
            </w:r>
          </w:p>
          <w:p w14:paraId="11FF43A0" w14:textId="77777777" w:rsidR="00BA3CB2" w:rsidRDefault="00BA3CB2">
            <w:pPr>
              <w:pStyle w:val="Prrafodelista"/>
              <w:rPr>
                <w:rFonts w:ascii="Verdana" w:eastAsiaTheme="minorHAnsi" w:hAnsi="Verdana" w:cs="CIDFont+F1"/>
                <w:i/>
                <w:iCs/>
                <w:sz w:val="16"/>
                <w:szCs w:val="16"/>
                <w:lang w:val="es-CO" w:eastAsia="en-US"/>
              </w:rPr>
            </w:pPr>
          </w:p>
          <w:p w14:paraId="08D21191"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El operador continúa aplicando las tarifas contractuales, aplicando los incrementos de acuerdo con lo establecido en el otrosí No. 9, generando los incrementos respectivos, situación que trae como consecuencia disminución en los consumos y aumento de la cartera; a esto se abona las dificultades operativas en el proceso de producción que disminuyeron de manera significativa los consumos durante el periodo.</w:t>
            </w:r>
          </w:p>
          <w:p w14:paraId="7DF8A33E" w14:textId="77777777" w:rsidR="00BA3CB2" w:rsidRDefault="00BA3CB2">
            <w:pPr>
              <w:pStyle w:val="Prrafodelista"/>
              <w:rPr>
                <w:rFonts w:ascii="Verdana" w:eastAsiaTheme="minorHAnsi" w:hAnsi="Verdana" w:cs="CIDFont+F1"/>
                <w:i/>
                <w:iCs/>
                <w:sz w:val="16"/>
                <w:szCs w:val="16"/>
                <w:lang w:val="es-CO" w:eastAsia="en-US"/>
              </w:rPr>
            </w:pPr>
          </w:p>
          <w:p w14:paraId="469B6ADF"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No se ha logrado alcanzar viabilidad financiera del servicio de acueducto, a pesar de las labores y esfuerzos desarrolladas por el operador; situaciones tales como el no conocer el comportamiento real de las perdidas; los altos costos de la producción, las restricciones en la capacidad de pago de los usuarios y ahora los constantes daños de las plantas desalinizadoras, han generado cambios significativos en el sistema y sobre todo en la distribución; todos estos son algunos de los elementos que no permiten que el sistema pueda sanear.</w:t>
            </w:r>
          </w:p>
          <w:p w14:paraId="535FD5D6" w14:textId="77777777" w:rsidR="00BA3CB2" w:rsidRDefault="00BA3CB2">
            <w:pPr>
              <w:pStyle w:val="Prrafodelista"/>
              <w:rPr>
                <w:rFonts w:ascii="Verdana" w:eastAsiaTheme="minorHAnsi" w:hAnsi="Verdana" w:cs="CIDFont+F1"/>
                <w:i/>
                <w:iCs/>
                <w:sz w:val="16"/>
                <w:szCs w:val="16"/>
                <w:lang w:val="es-CO" w:eastAsia="en-US"/>
              </w:rPr>
            </w:pPr>
          </w:p>
          <w:p w14:paraId="1E9B5101"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…A pesar de las diferencias existente con la otrora Supervisión, se llevó a un consenso con el operador, en la metodología que se va a utilizar para la verificación de los ejercicios de balance </w:t>
            </w:r>
            <w:proofErr w:type="gramStart"/>
            <w:r>
              <w:rPr>
                <w:rFonts w:ascii="Verdana" w:eastAsiaTheme="minorHAnsi" w:hAnsi="Verdana" w:cs="CIDFont+F1"/>
                <w:i/>
                <w:iCs/>
                <w:sz w:val="16"/>
                <w:szCs w:val="16"/>
                <w:lang w:val="es-CO" w:eastAsia="en-US"/>
              </w:rPr>
              <w:t xml:space="preserve">y  </w:t>
            </w:r>
            <w:r>
              <w:rPr>
                <w:rFonts w:ascii="Verdana" w:eastAsiaTheme="minorHAnsi" w:hAnsi="Verdana" w:cs="CIDFont+F1"/>
                <w:i/>
                <w:iCs/>
                <w:sz w:val="16"/>
                <w:szCs w:val="16"/>
                <w:lang w:val="es-CO" w:eastAsia="en-US"/>
              </w:rPr>
              <w:lastRenderedPageBreak/>
              <w:t>contribuciones</w:t>
            </w:r>
            <w:proofErr w:type="gramEnd"/>
            <w:r>
              <w:rPr>
                <w:rFonts w:ascii="Verdana" w:eastAsiaTheme="minorHAnsi" w:hAnsi="Verdana" w:cs="CIDFont+F1"/>
                <w:i/>
                <w:iCs/>
                <w:sz w:val="16"/>
                <w:szCs w:val="16"/>
                <w:lang w:val="es-CO" w:eastAsia="en-US"/>
              </w:rPr>
              <w:t>, se han llegado a acuerdos en puntos como el cálculo de los consumos de usuarios del sistema de acueducto sin medición, y los reportes de facturación. No obstante, persiste la duda sobre la inclusión de los usuarios medidos que no presentan consumo…</w:t>
            </w:r>
          </w:p>
          <w:p w14:paraId="477F5A2C" w14:textId="77777777" w:rsidR="00BA3CB2" w:rsidRDefault="00BA3CB2">
            <w:pPr>
              <w:pStyle w:val="Prrafodelista"/>
              <w:rPr>
                <w:rFonts w:ascii="Verdana" w:eastAsiaTheme="minorHAnsi" w:hAnsi="Verdana" w:cs="CIDFont+F1"/>
                <w:i/>
                <w:iCs/>
                <w:sz w:val="16"/>
                <w:szCs w:val="16"/>
                <w:lang w:val="es-CO" w:eastAsia="en-US"/>
              </w:rPr>
            </w:pPr>
          </w:p>
          <w:p w14:paraId="7BB31668"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Se debe hacer reflexión sobre la situación que viene arrastrando el departamento, como es la aplicación de factores de subsidio superiores a lo establecido por la norma nacional, con el fin de permitir el acceso al servicio de los usuarios; de otro modo y como quedo comprobado la aplicación de los límites de los factores de subsidios para los estratos 1, 2 y 3, establecidos en la norma, esto conduciría a que estos usuarios terminaran pagando 5 o más veces lo que pagan usuarios de similar capacidad de pago en el resto del país.</w:t>
            </w:r>
          </w:p>
          <w:p w14:paraId="206F9E7A" w14:textId="77777777" w:rsidR="00BA3CB2" w:rsidRDefault="00BA3CB2">
            <w:pPr>
              <w:pStyle w:val="Prrafodelista"/>
              <w:rPr>
                <w:rFonts w:ascii="Verdana" w:eastAsiaTheme="minorHAnsi" w:hAnsi="Verdana" w:cs="CIDFont+F1"/>
                <w:i/>
                <w:iCs/>
                <w:sz w:val="16"/>
                <w:szCs w:val="16"/>
                <w:lang w:val="es-CO" w:eastAsia="en-US"/>
              </w:rPr>
            </w:pPr>
          </w:p>
          <w:p w14:paraId="751F6A2F" w14:textId="77777777" w:rsidR="00BA3CB2" w:rsidRDefault="00BA3CB2" w:rsidP="00BA3CB2">
            <w:pPr>
              <w:pStyle w:val="Prrafodelista"/>
              <w:numPr>
                <w:ilvl w:val="0"/>
                <w:numId w:val="10"/>
              </w:numPr>
              <w:autoSpaceDE w:val="0"/>
              <w:autoSpaceDN w:val="0"/>
              <w:adjustRightInd w:val="0"/>
              <w:ind w:left="36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Por eso y amparados en el contrato de operaciones y sus distintos otrosíes, se sigue autorizando factores de subsidio que permitirán que las tarifas aplicadas a los estratos 1, 2 y 3, sean similares a las de las ciudades más costosas del resto del país y se espera ayuden a incentivar el consumo, sin embargo, es necesario solicitar a Min vivienda apoyo en el desarrollo de una norma particular para San Andrés, que permita establecer tarifas consecuentes con la capacidad de pago de los usuarios.</w:t>
            </w:r>
          </w:p>
          <w:p w14:paraId="5139924C" w14:textId="77777777" w:rsidR="00BA3CB2" w:rsidRDefault="00BA3CB2">
            <w:pPr>
              <w:autoSpaceDE w:val="0"/>
              <w:autoSpaceDN w:val="0"/>
              <w:adjustRightInd w:val="0"/>
              <w:rPr>
                <w:rFonts w:ascii="Verdana" w:eastAsiaTheme="minorHAnsi" w:hAnsi="Verdana" w:cs="CIDFont+F1"/>
                <w:sz w:val="16"/>
                <w:szCs w:val="16"/>
                <w:lang w:val="es-CO" w:eastAsia="en-US"/>
              </w:rPr>
            </w:pPr>
          </w:p>
          <w:p w14:paraId="28AE45F4" w14:textId="77777777" w:rsidR="00BA3CB2" w:rsidRDefault="00BA3CB2">
            <w:pPr>
              <w:autoSpaceDE w:val="0"/>
              <w:autoSpaceDN w:val="0"/>
              <w:adjustRightInd w:val="0"/>
              <w:rPr>
                <w:rFonts w:ascii="Verdana" w:eastAsiaTheme="minorHAnsi" w:hAnsi="Verdana" w:cs="CIDFont+F1"/>
                <w:sz w:val="16"/>
                <w:szCs w:val="16"/>
                <w:lang w:val="es-CO" w:eastAsia="en-US"/>
              </w:rPr>
            </w:pPr>
            <w:r>
              <w:rPr>
                <w:rFonts w:ascii="Verdana" w:eastAsiaTheme="minorHAnsi" w:hAnsi="Verdana" w:cs="CIDFont+F1"/>
                <w:sz w:val="16"/>
                <w:szCs w:val="16"/>
                <w:lang w:val="es-CO" w:eastAsia="en-US"/>
              </w:rPr>
              <w:t>Dentro de las recomendaciones generales, el informe hace referencia a:</w:t>
            </w:r>
          </w:p>
          <w:p w14:paraId="40BE5B09" w14:textId="77777777" w:rsidR="00BA3CB2" w:rsidRDefault="00BA3CB2">
            <w:pPr>
              <w:autoSpaceDE w:val="0"/>
              <w:autoSpaceDN w:val="0"/>
              <w:adjustRightInd w:val="0"/>
              <w:rPr>
                <w:rFonts w:ascii="Verdana" w:eastAsiaTheme="minorHAnsi" w:hAnsi="Verdana" w:cs="CIDFont+F1"/>
                <w:sz w:val="16"/>
                <w:szCs w:val="16"/>
                <w:lang w:val="es-CO" w:eastAsia="en-US"/>
              </w:rPr>
            </w:pPr>
          </w:p>
          <w:p w14:paraId="61B7475A" w14:textId="77777777" w:rsidR="00BA3CB2" w:rsidRDefault="00BA3CB2" w:rsidP="00BA3CB2">
            <w:pPr>
              <w:pStyle w:val="Prrafodelista"/>
              <w:numPr>
                <w:ilvl w:val="0"/>
                <w:numId w:val="11"/>
              </w:numPr>
              <w:autoSpaceDE w:val="0"/>
              <w:autoSpaceDN w:val="0"/>
              <w:adjustRightInd w:val="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Mejorar el control del agua no contabilizada</w:t>
            </w:r>
          </w:p>
          <w:p w14:paraId="4F3934CA" w14:textId="77777777" w:rsidR="00BA3CB2" w:rsidRDefault="00BA3CB2" w:rsidP="00BA3CB2">
            <w:pPr>
              <w:pStyle w:val="Prrafodelista"/>
              <w:numPr>
                <w:ilvl w:val="0"/>
                <w:numId w:val="11"/>
              </w:numPr>
              <w:autoSpaceDE w:val="0"/>
              <w:autoSpaceDN w:val="0"/>
              <w:adjustRightInd w:val="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 xml:space="preserve">Instalación de </w:t>
            </w:r>
            <w:proofErr w:type="spellStart"/>
            <w:r>
              <w:rPr>
                <w:rFonts w:ascii="Verdana" w:eastAsiaTheme="minorHAnsi" w:hAnsi="Verdana" w:cs="CIDFont+F1"/>
                <w:i/>
                <w:iCs/>
                <w:sz w:val="16"/>
                <w:szCs w:val="16"/>
                <w:lang w:val="es-CO" w:eastAsia="en-US"/>
              </w:rPr>
              <w:t>macromedidores</w:t>
            </w:r>
            <w:proofErr w:type="spellEnd"/>
            <w:r>
              <w:rPr>
                <w:rFonts w:ascii="Verdana" w:eastAsiaTheme="minorHAnsi" w:hAnsi="Verdana" w:cs="CIDFont+F1"/>
                <w:i/>
                <w:iCs/>
                <w:sz w:val="16"/>
                <w:szCs w:val="16"/>
                <w:lang w:val="es-CO" w:eastAsia="en-US"/>
              </w:rPr>
              <w:t xml:space="preserve"> que presenten medidas confiables.</w:t>
            </w:r>
          </w:p>
          <w:p w14:paraId="60AB1534" w14:textId="77777777" w:rsidR="00BA3CB2" w:rsidRDefault="00BA3CB2" w:rsidP="00BA3CB2">
            <w:pPr>
              <w:pStyle w:val="Prrafodelista"/>
              <w:numPr>
                <w:ilvl w:val="0"/>
                <w:numId w:val="11"/>
              </w:numPr>
              <w:autoSpaceDE w:val="0"/>
              <w:autoSpaceDN w:val="0"/>
              <w:adjustRightInd w:val="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Ampliar la cobertura de micromedidores</w:t>
            </w:r>
          </w:p>
          <w:p w14:paraId="1E595458" w14:textId="77777777" w:rsidR="00BA3CB2" w:rsidRDefault="00BA3CB2" w:rsidP="00BA3CB2">
            <w:pPr>
              <w:pStyle w:val="Prrafodelista"/>
              <w:numPr>
                <w:ilvl w:val="0"/>
                <w:numId w:val="11"/>
              </w:numPr>
              <w:autoSpaceDE w:val="0"/>
              <w:autoSpaceDN w:val="0"/>
              <w:adjustRightInd w:val="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Mejorar la producción del campo de pozos del valle del cove</w:t>
            </w:r>
          </w:p>
          <w:p w14:paraId="64056F63" w14:textId="77777777" w:rsidR="00BA3CB2" w:rsidRDefault="00BA3CB2" w:rsidP="00BA3CB2">
            <w:pPr>
              <w:pStyle w:val="Prrafodelista"/>
              <w:numPr>
                <w:ilvl w:val="0"/>
                <w:numId w:val="11"/>
              </w:numPr>
              <w:autoSpaceDE w:val="0"/>
              <w:autoSpaceDN w:val="0"/>
              <w:adjustRightInd w:val="0"/>
              <w:jc w:val="both"/>
              <w:rPr>
                <w:rFonts w:ascii="Verdana" w:eastAsiaTheme="minorHAnsi" w:hAnsi="Verdana" w:cs="CIDFont+F1"/>
                <w:i/>
                <w:iCs/>
                <w:sz w:val="16"/>
                <w:szCs w:val="16"/>
                <w:lang w:val="es-CO" w:eastAsia="en-US"/>
              </w:rPr>
            </w:pPr>
            <w:r>
              <w:rPr>
                <w:rFonts w:ascii="Verdana" w:eastAsiaTheme="minorHAnsi" w:hAnsi="Verdana" w:cs="CIDFont+F1"/>
                <w:i/>
                <w:iCs/>
                <w:sz w:val="16"/>
                <w:szCs w:val="16"/>
                <w:lang w:val="es-CO" w:eastAsia="en-US"/>
              </w:rPr>
              <w:t>Mejorar la explotación de las plantas desalinizadoras ya que el porcentaje de producción de agua desalinizada estuvo por debajo del 55% en promedio en el año 2022.</w:t>
            </w:r>
          </w:p>
          <w:p w14:paraId="3F8F0461" w14:textId="77777777" w:rsidR="00BA3CB2" w:rsidRDefault="00BA3CB2">
            <w:pPr>
              <w:autoSpaceDE w:val="0"/>
              <w:autoSpaceDN w:val="0"/>
              <w:adjustRightInd w:val="0"/>
              <w:rPr>
                <w:rFonts w:ascii="Verdana" w:hAnsi="Verdana"/>
                <w:sz w:val="16"/>
                <w:szCs w:val="16"/>
                <w:highlight w:val="yellow"/>
                <w:lang w:val="es-CO"/>
              </w:rPr>
            </w:pPr>
          </w:p>
          <w:p w14:paraId="6CA7C7CA"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 xml:space="preserve">Hace ya casi 18 años, el 3 de octubre de 2005, se inició el contrato de operación con Proactiva Aguas del Archipiélago – hoy Veolia. De acuerdo con el Ministerio de Vivienda, Ciudad y Territorio los indicadores de cobertura en la prestación del Servicio de Acueducto en la Isla para 2018 fueron de 25 % y 9% de alcantarillado en el área urbana, presentando un importante rezago con la media nacional. Para las vigencias 2020 y 2021 la Entidad no reportó esta información. </w:t>
            </w:r>
          </w:p>
          <w:p w14:paraId="7BA88651" w14:textId="77777777" w:rsidR="00BA3CB2" w:rsidRDefault="00BA3CB2">
            <w:pPr>
              <w:pStyle w:val="Default"/>
              <w:jc w:val="both"/>
              <w:rPr>
                <w:rFonts w:ascii="Verdana" w:hAnsi="Verdana"/>
                <w:sz w:val="16"/>
                <w:szCs w:val="16"/>
                <w:lang w:val="es-CO"/>
              </w:rPr>
            </w:pPr>
          </w:p>
          <w:p w14:paraId="0B35CE09" w14:textId="77777777" w:rsidR="00BA3CB2" w:rsidRDefault="00BA3CB2">
            <w:pPr>
              <w:pStyle w:val="Default"/>
              <w:jc w:val="both"/>
              <w:rPr>
                <w:rFonts w:ascii="Verdana" w:hAnsi="Verdana"/>
                <w:sz w:val="16"/>
                <w:szCs w:val="16"/>
                <w:lang w:val="es-CO"/>
              </w:rPr>
            </w:pPr>
            <w:r>
              <w:rPr>
                <w:rFonts w:ascii="Verdana" w:hAnsi="Verdana"/>
                <w:sz w:val="16"/>
                <w:szCs w:val="16"/>
                <w:lang w:val="es-CO"/>
              </w:rPr>
              <w:t>En las últimas vigencias los informes de supervisión al contrato de Operación son reiterativas y manifiestan el incumplimiento al contrato en diferentes indicadores, incluidos la medición, la cobertura y la continuidad en la prestación del servicio.</w:t>
            </w:r>
          </w:p>
          <w:p w14:paraId="2A2DE572" w14:textId="77777777" w:rsidR="00BA3CB2" w:rsidRDefault="00BA3CB2">
            <w:pPr>
              <w:pStyle w:val="Default"/>
              <w:jc w:val="both"/>
              <w:rPr>
                <w:rFonts w:ascii="Verdana" w:hAnsi="Verdana"/>
                <w:sz w:val="16"/>
                <w:szCs w:val="16"/>
                <w:lang w:val="es-CO"/>
              </w:rPr>
            </w:pPr>
          </w:p>
          <w:p w14:paraId="3DC80667" w14:textId="77777777" w:rsidR="00BA3CB2" w:rsidRDefault="00BA3CB2">
            <w:pPr>
              <w:pStyle w:val="Default"/>
              <w:jc w:val="both"/>
              <w:rPr>
                <w:rFonts w:ascii="Verdana" w:hAnsi="Verdana"/>
                <w:sz w:val="16"/>
                <w:szCs w:val="16"/>
                <w:lang w:val="es-CO"/>
              </w:rPr>
            </w:pPr>
            <w:r>
              <w:rPr>
                <w:rFonts w:ascii="Verdana" w:hAnsi="Verdana"/>
                <w:sz w:val="16"/>
                <w:szCs w:val="16"/>
                <w:lang w:val="es-CO"/>
              </w:rPr>
              <w:t xml:space="preserve">Esta Dirección ha manifestado que </w:t>
            </w:r>
          </w:p>
          <w:p w14:paraId="3DAA7BE7" w14:textId="77777777" w:rsidR="00BA3CB2" w:rsidRDefault="00BA3CB2">
            <w:pPr>
              <w:pStyle w:val="Default"/>
              <w:jc w:val="both"/>
              <w:rPr>
                <w:rFonts w:ascii="Verdana" w:hAnsi="Verdana"/>
                <w:sz w:val="16"/>
                <w:szCs w:val="16"/>
                <w:lang w:val="es-CO"/>
              </w:rPr>
            </w:pPr>
          </w:p>
          <w:p w14:paraId="506028A1" w14:textId="77777777" w:rsidR="00BA3CB2" w:rsidRDefault="00BA3CB2">
            <w:pPr>
              <w:jc w:val="both"/>
              <w:rPr>
                <w:rFonts w:ascii="Verdana" w:eastAsiaTheme="minorHAnsi" w:hAnsi="Verdana" w:cs="Arial"/>
                <w:color w:val="000000"/>
                <w:sz w:val="16"/>
                <w:szCs w:val="16"/>
                <w:lang w:val="es-CO" w:eastAsia="en-US"/>
              </w:rPr>
            </w:pPr>
            <w:r>
              <w:rPr>
                <w:rFonts w:ascii="Verdana" w:eastAsiaTheme="minorHAnsi" w:hAnsi="Verdana" w:cs="Arial"/>
                <w:color w:val="000000"/>
                <w:sz w:val="16"/>
                <w:szCs w:val="16"/>
                <w:lang w:val="es-CO" w:eastAsia="en-US"/>
              </w:rPr>
              <w:t>“</w:t>
            </w:r>
            <w:r>
              <w:rPr>
                <w:rFonts w:ascii="Verdana" w:eastAsiaTheme="minorHAnsi" w:hAnsi="Verdana" w:cs="Arial"/>
                <w:i/>
                <w:iCs/>
                <w:color w:val="000000"/>
                <w:sz w:val="16"/>
                <w:szCs w:val="16"/>
                <w:lang w:val="es-CO" w:eastAsia="en-US"/>
              </w:rPr>
              <w:t xml:space="preserve">Por esto, resulta como conclusión que del contenido de los otro si modificatorios no han dado como resultado una correcta ejecución a la prestación del servicio, puesto que el condicionamiento de la vigencia y el plazo con posibilidad de prorroga en cierta medida indefinido no logra </w:t>
            </w:r>
            <w:r>
              <w:rPr>
                <w:rFonts w:ascii="Verdana" w:eastAsiaTheme="minorHAnsi" w:hAnsi="Verdana" w:cs="Arial"/>
                <w:i/>
                <w:iCs/>
                <w:color w:val="000000"/>
                <w:sz w:val="16"/>
                <w:szCs w:val="16"/>
                <w:lang w:val="es-CO" w:eastAsia="en-US"/>
              </w:rPr>
              <w:lastRenderedPageBreak/>
              <w:t>asegurar el cumplimiento de metas de continuidad, cobertura y calidad en los servicios</w:t>
            </w:r>
            <w:r>
              <w:rPr>
                <w:rFonts w:ascii="Verdana" w:eastAsiaTheme="minorHAnsi" w:hAnsi="Verdana" w:cs="Arial"/>
                <w:color w:val="000000"/>
                <w:sz w:val="16"/>
                <w:szCs w:val="16"/>
                <w:lang w:val="es-CO" w:eastAsia="en-US"/>
              </w:rPr>
              <w:t>”.</w:t>
            </w:r>
          </w:p>
          <w:p w14:paraId="14038EEB" w14:textId="77777777" w:rsidR="00BA3CB2" w:rsidRDefault="00BA3CB2">
            <w:pPr>
              <w:jc w:val="both"/>
              <w:rPr>
                <w:rFonts w:ascii="Verdana" w:eastAsiaTheme="minorHAnsi" w:hAnsi="Verdana" w:cs="Arial"/>
                <w:color w:val="000000"/>
                <w:sz w:val="16"/>
                <w:szCs w:val="16"/>
                <w:lang w:val="es-CO" w:eastAsia="en-US"/>
              </w:rPr>
            </w:pPr>
          </w:p>
          <w:p w14:paraId="678E8C75" w14:textId="77777777" w:rsidR="00BA3CB2" w:rsidRDefault="00BA3CB2">
            <w:pPr>
              <w:jc w:val="both"/>
              <w:rPr>
                <w:rFonts w:ascii="Verdana" w:eastAsiaTheme="minorHAnsi" w:hAnsi="Verdana" w:cs="Arial"/>
                <w:color w:val="000000"/>
                <w:sz w:val="16"/>
                <w:szCs w:val="16"/>
                <w:lang w:val="es-CO" w:eastAsia="en-US"/>
              </w:rPr>
            </w:pPr>
            <w:r>
              <w:rPr>
                <w:rFonts w:ascii="Verdana" w:eastAsiaTheme="minorHAnsi" w:hAnsi="Verdana" w:cs="Arial"/>
                <w:color w:val="000000"/>
                <w:sz w:val="16"/>
                <w:szCs w:val="16"/>
                <w:lang w:val="es-CO" w:eastAsia="en-US"/>
              </w:rPr>
              <w:t xml:space="preserve">Este producto se encuentra en la categoría contractual y es el asociado a: </w:t>
            </w:r>
            <w:r>
              <w:rPr>
                <w:rFonts w:ascii="Verdana" w:eastAsiaTheme="minorHAnsi" w:hAnsi="Verdana" w:cs="Arial"/>
                <w:i/>
                <w:iCs/>
                <w:color w:val="000000"/>
                <w:sz w:val="16"/>
                <w:szCs w:val="16"/>
                <w:lang w:val="es-CO" w:eastAsia="en-US"/>
              </w:rPr>
              <w:t>Realizar reuniones periódicas entre Aguas de San Andrés S.A. E.S.P, Veolia Aguas del Archipiélago S.A. E.S.P y con la Supervisión del Contrato de operaciones</w:t>
            </w:r>
            <w:r>
              <w:rPr>
                <w:rFonts w:ascii="Verdana" w:eastAsiaTheme="minorHAnsi" w:hAnsi="Verdana" w:cs="Arial"/>
                <w:color w:val="000000"/>
                <w:sz w:val="16"/>
                <w:szCs w:val="16"/>
                <w:lang w:val="es-CO" w:eastAsia="en-US"/>
              </w:rPr>
              <w:t xml:space="preserve">. El producto asociado a este documento es: </w:t>
            </w:r>
            <w:r>
              <w:rPr>
                <w:rFonts w:ascii="Verdana" w:eastAsiaTheme="minorHAnsi" w:hAnsi="Verdana" w:cs="Arial"/>
                <w:i/>
                <w:iCs/>
                <w:color w:val="000000"/>
                <w:sz w:val="16"/>
                <w:szCs w:val="16"/>
                <w:lang w:val="es-CO" w:eastAsia="en-US"/>
              </w:rPr>
              <w:t xml:space="preserve">Informes de seguimiento al contrato de operaciones. </w:t>
            </w:r>
            <w:r>
              <w:rPr>
                <w:rFonts w:ascii="Verdana" w:eastAsiaTheme="minorHAnsi" w:hAnsi="Verdana" w:cs="Arial"/>
                <w:color w:val="000000"/>
                <w:sz w:val="16"/>
                <w:szCs w:val="16"/>
                <w:lang w:val="es-CO" w:eastAsia="en-US"/>
              </w:rPr>
              <w:t>En este sentido, este documento</w:t>
            </w:r>
            <w:r>
              <w:rPr>
                <w:rFonts w:ascii="Verdana" w:eastAsiaTheme="minorHAnsi" w:hAnsi="Verdana" w:cs="Arial"/>
                <w:i/>
                <w:iCs/>
                <w:color w:val="000000"/>
                <w:sz w:val="16"/>
                <w:szCs w:val="16"/>
                <w:lang w:val="es-CO" w:eastAsia="en-US"/>
              </w:rPr>
              <w:t xml:space="preserve"> </w:t>
            </w:r>
            <w:r>
              <w:rPr>
                <w:rFonts w:ascii="Verdana" w:eastAsiaTheme="minorHAnsi" w:hAnsi="Verdana" w:cs="Arial"/>
                <w:b/>
                <w:bCs/>
                <w:color w:val="000000"/>
                <w:sz w:val="16"/>
                <w:szCs w:val="16"/>
                <w:lang w:val="es-CO" w:eastAsia="en-US"/>
              </w:rPr>
              <w:t xml:space="preserve">CUMPLE </w:t>
            </w:r>
            <w:r>
              <w:rPr>
                <w:rFonts w:ascii="Verdana" w:eastAsiaTheme="minorHAnsi" w:hAnsi="Verdana" w:cs="Arial"/>
                <w:color w:val="000000"/>
                <w:sz w:val="16"/>
                <w:szCs w:val="16"/>
                <w:lang w:val="es-CO" w:eastAsia="en-US"/>
              </w:rPr>
              <w:t>con lo establecido en el decreto territorial que adoptó el Plan de Desempeño y es una actividad continua.</w:t>
            </w:r>
          </w:p>
          <w:p w14:paraId="62AF6275" w14:textId="77777777" w:rsidR="00BA3CB2" w:rsidRDefault="00BA3CB2">
            <w:pPr>
              <w:autoSpaceDE w:val="0"/>
              <w:autoSpaceDN w:val="0"/>
              <w:adjustRightInd w:val="0"/>
              <w:rPr>
                <w:rFonts w:ascii="Verdana" w:hAnsi="Verdana"/>
                <w:sz w:val="16"/>
                <w:szCs w:val="16"/>
                <w:highlight w:val="yellow"/>
                <w:lang w:val="es-CO"/>
              </w:rPr>
            </w:pPr>
          </w:p>
        </w:tc>
      </w:tr>
      <w:tr w:rsidR="00BA3CB2" w14:paraId="6553FC44"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0EAED745" w14:textId="77777777" w:rsidR="00BA3CB2" w:rsidRDefault="00BA3CB2">
            <w:pPr>
              <w:rPr>
                <w:rFonts w:ascii="Verdana" w:hAnsi="Verdana"/>
                <w:sz w:val="16"/>
                <w:szCs w:val="16"/>
                <w:highlight w:val="yellow"/>
                <w:lang w:val="es-CO"/>
              </w:rPr>
            </w:pPr>
            <w:r>
              <w:rPr>
                <w:rFonts w:ascii="Verdana" w:hAnsi="Verdana"/>
                <w:sz w:val="16"/>
                <w:szCs w:val="16"/>
                <w:lang w:val="es-CO"/>
              </w:rPr>
              <w:lastRenderedPageBreak/>
              <w:t>Instancia_firmada1044118</w:t>
            </w:r>
          </w:p>
        </w:tc>
        <w:tc>
          <w:tcPr>
            <w:tcW w:w="5953" w:type="dxa"/>
            <w:tcBorders>
              <w:top w:val="single" w:sz="4" w:space="0" w:color="auto"/>
              <w:left w:val="single" w:sz="4" w:space="0" w:color="auto"/>
              <w:bottom w:val="single" w:sz="4" w:space="0" w:color="auto"/>
              <w:right w:val="single" w:sz="4" w:space="0" w:color="auto"/>
            </w:tcBorders>
            <w:hideMark/>
          </w:tcPr>
          <w:p w14:paraId="64853520" w14:textId="77777777" w:rsidR="00BA3CB2" w:rsidRDefault="00BA3CB2">
            <w:pPr>
              <w:jc w:val="both"/>
              <w:rPr>
                <w:rFonts w:ascii="Verdana" w:hAnsi="Verdana"/>
                <w:sz w:val="16"/>
                <w:szCs w:val="16"/>
                <w:highlight w:val="yellow"/>
                <w:lang w:val="es-CO"/>
              </w:rPr>
            </w:pPr>
            <w:r>
              <w:rPr>
                <w:rFonts w:ascii="Verdana" w:hAnsi="Verdana"/>
                <w:sz w:val="16"/>
                <w:szCs w:val="16"/>
                <w:lang w:val="es-CO"/>
              </w:rPr>
              <w:t xml:space="preserve">Documento de 3 páginas del MHCP el cual presenta el registro y radicación (1-2023-036912 del 3 de mayo de 2023) de la información entregada por el </w:t>
            </w:r>
            <w:r w:rsidR="000C007C">
              <w:rPr>
                <w:rFonts w:ascii="Verdana" w:hAnsi="Verdana"/>
                <w:sz w:val="16"/>
                <w:szCs w:val="16"/>
                <w:lang w:val="es-CO"/>
              </w:rPr>
              <w:t xml:space="preserve">Departamento </w:t>
            </w:r>
            <w:r>
              <w:rPr>
                <w:rFonts w:ascii="Verdana" w:hAnsi="Verdana"/>
                <w:sz w:val="16"/>
                <w:szCs w:val="16"/>
                <w:lang w:val="es-CO"/>
              </w:rPr>
              <w:t>Archipiélago de San Andrés y Providencia, con sus respectivos anexos.</w:t>
            </w:r>
          </w:p>
        </w:tc>
      </w:tr>
      <w:tr w:rsidR="00BA3CB2" w14:paraId="56C2274D"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6201AF44" w14:textId="77777777" w:rsidR="00BA3CB2" w:rsidRDefault="00BA3CB2">
            <w:pPr>
              <w:rPr>
                <w:rFonts w:ascii="Verdana" w:hAnsi="Verdana"/>
                <w:sz w:val="16"/>
                <w:szCs w:val="16"/>
                <w:highlight w:val="yellow"/>
                <w:lang w:val="es-CO"/>
              </w:rPr>
            </w:pPr>
            <w:r>
              <w:rPr>
                <w:rFonts w:ascii="Verdana" w:hAnsi="Verdana"/>
                <w:sz w:val="16"/>
                <w:szCs w:val="16"/>
                <w:lang w:val="es-CO"/>
              </w:rPr>
              <w:t>Memorando158_Planeacion_EstratificacionU</w:t>
            </w:r>
          </w:p>
        </w:tc>
        <w:tc>
          <w:tcPr>
            <w:tcW w:w="5953" w:type="dxa"/>
            <w:tcBorders>
              <w:top w:val="single" w:sz="4" w:space="0" w:color="auto"/>
              <w:left w:val="single" w:sz="4" w:space="0" w:color="auto"/>
              <w:bottom w:val="single" w:sz="4" w:space="0" w:color="auto"/>
              <w:right w:val="single" w:sz="4" w:space="0" w:color="auto"/>
            </w:tcBorders>
            <w:hideMark/>
          </w:tcPr>
          <w:p w14:paraId="75ADB97D" w14:textId="77777777" w:rsidR="00BA3CB2" w:rsidRDefault="00BA3CB2">
            <w:pPr>
              <w:jc w:val="both"/>
              <w:rPr>
                <w:rFonts w:ascii="Verdana" w:hAnsi="Verdana"/>
                <w:sz w:val="16"/>
                <w:szCs w:val="16"/>
                <w:lang w:val="es-CO"/>
              </w:rPr>
            </w:pPr>
            <w:r>
              <w:rPr>
                <w:rFonts w:ascii="Verdana" w:hAnsi="Verdana"/>
                <w:sz w:val="16"/>
                <w:szCs w:val="16"/>
                <w:lang w:val="es-CO"/>
              </w:rPr>
              <w:t>Documento de una página, correspondiente a memorando de la Gobernación de SAI, de la Secretaría de Servicios Públicos y Medio Ambiente, dirigida a la Secretaría de Planeación, en el cual solicitan información sobre el contrato de actualización de la estratificación en la Isla de San Andrés.</w:t>
            </w:r>
          </w:p>
          <w:p w14:paraId="24B1DEEE" w14:textId="77777777" w:rsidR="00BA3CB2" w:rsidRDefault="00BA3CB2">
            <w:pPr>
              <w:jc w:val="both"/>
              <w:rPr>
                <w:rFonts w:ascii="Verdana" w:hAnsi="Verdana"/>
                <w:sz w:val="16"/>
                <w:szCs w:val="16"/>
                <w:highlight w:val="yellow"/>
                <w:lang w:val="es-CO"/>
              </w:rPr>
            </w:pPr>
            <w:r>
              <w:rPr>
                <w:rFonts w:ascii="Verdana" w:hAnsi="Verdana"/>
                <w:sz w:val="16"/>
                <w:szCs w:val="16"/>
                <w:lang w:val="es-CO"/>
              </w:rPr>
              <w:t xml:space="preserve">Documento interno que indica gestión de una dependencia, pero que no representa información relevante que demuestre el estado de la Actualización de la estratificación. </w:t>
            </w:r>
            <w:r>
              <w:rPr>
                <w:rFonts w:ascii="Verdana" w:hAnsi="Verdana"/>
                <w:b/>
                <w:bCs/>
                <w:sz w:val="16"/>
                <w:szCs w:val="16"/>
                <w:lang w:val="es-CO"/>
              </w:rPr>
              <w:t xml:space="preserve">NO CUMPLE. </w:t>
            </w:r>
            <w:r>
              <w:rPr>
                <w:rFonts w:ascii="Verdana" w:hAnsi="Verdana"/>
                <w:sz w:val="16"/>
                <w:szCs w:val="16"/>
                <w:lang w:val="es-CO"/>
              </w:rPr>
              <w:t>El producto es “</w:t>
            </w:r>
            <w:r>
              <w:rPr>
                <w:rFonts w:ascii="Verdana" w:hAnsi="Verdana"/>
                <w:i/>
                <w:iCs/>
                <w:sz w:val="16"/>
                <w:szCs w:val="16"/>
                <w:lang w:val="es-CO"/>
              </w:rPr>
              <w:t>Actualización de la Estratificación Urbana”</w:t>
            </w:r>
            <w:r>
              <w:rPr>
                <w:rFonts w:ascii="Verdana" w:hAnsi="Verdana"/>
                <w:sz w:val="16"/>
                <w:szCs w:val="16"/>
                <w:lang w:val="es-CO"/>
              </w:rPr>
              <w:t xml:space="preserve"> y el indicador es el acto administrativo.</w:t>
            </w:r>
          </w:p>
        </w:tc>
      </w:tr>
      <w:tr w:rsidR="00BA3CB2" w14:paraId="053703CB"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716AA2D1" w14:textId="77777777" w:rsidR="00BA3CB2" w:rsidRDefault="00BA3CB2">
            <w:pPr>
              <w:rPr>
                <w:rFonts w:ascii="Verdana" w:hAnsi="Verdana"/>
                <w:sz w:val="16"/>
                <w:szCs w:val="16"/>
                <w:highlight w:val="yellow"/>
                <w:lang w:val="es-CO"/>
              </w:rPr>
            </w:pPr>
            <w:r>
              <w:rPr>
                <w:rFonts w:ascii="Verdana" w:hAnsi="Verdana"/>
                <w:sz w:val="16"/>
                <w:szCs w:val="16"/>
                <w:lang w:val="es-CO"/>
              </w:rPr>
              <w:t>Oficio_AguasdeSanAndre~s_supervisión_Abril2023</w:t>
            </w:r>
          </w:p>
        </w:tc>
        <w:tc>
          <w:tcPr>
            <w:tcW w:w="5953" w:type="dxa"/>
            <w:tcBorders>
              <w:top w:val="single" w:sz="4" w:space="0" w:color="auto"/>
              <w:left w:val="single" w:sz="4" w:space="0" w:color="auto"/>
              <w:bottom w:val="single" w:sz="4" w:space="0" w:color="auto"/>
              <w:right w:val="single" w:sz="4" w:space="0" w:color="auto"/>
            </w:tcBorders>
          </w:tcPr>
          <w:p w14:paraId="22F510B5" w14:textId="77777777" w:rsidR="00BA3CB2" w:rsidRDefault="00BA3CB2">
            <w:pPr>
              <w:jc w:val="both"/>
              <w:rPr>
                <w:rFonts w:ascii="Verdana" w:hAnsi="Verdana"/>
                <w:sz w:val="16"/>
                <w:szCs w:val="16"/>
                <w:lang w:val="es-CO"/>
              </w:rPr>
            </w:pPr>
            <w:r>
              <w:rPr>
                <w:rFonts w:ascii="Verdana" w:hAnsi="Verdana"/>
                <w:sz w:val="16"/>
                <w:szCs w:val="16"/>
                <w:lang w:val="es-CO"/>
              </w:rPr>
              <w:t>Documento de 1 página, elaborado por la Secretaría de Servicios públicos y Medio Ambiente Departamental dirigida a Aguas De San Andrés S.A. E.S.P., sin fecha, en la cual solicitan información supervisión operación Veolia 2022-23. La información es solicitada con corte al 31 de marzo 2023 incluyendo la vigencia 2022.</w:t>
            </w:r>
          </w:p>
          <w:p w14:paraId="2E8EAF12" w14:textId="77777777" w:rsidR="00BA3CB2" w:rsidRDefault="00BA3CB2">
            <w:pPr>
              <w:jc w:val="both"/>
              <w:rPr>
                <w:rFonts w:ascii="Verdana" w:hAnsi="Verdana"/>
                <w:sz w:val="16"/>
                <w:szCs w:val="16"/>
                <w:lang w:val="es-CO"/>
              </w:rPr>
            </w:pPr>
          </w:p>
          <w:p w14:paraId="32DF0BAC" w14:textId="77777777" w:rsidR="00BA3CB2" w:rsidRDefault="00BA3CB2">
            <w:pPr>
              <w:jc w:val="both"/>
              <w:rPr>
                <w:rFonts w:ascii="Verdana" w:hAnsi="Verdana"/>
                <w:sz w:val="16"/>
                <w:szCs w:val="16"/>
                <w:lang w:val="es-CO"/>
              </w:rPr>
            </w:pPr>
            <w:r>
              <w:rPr>
                <w:rFonts w:ascii="Verdana" w:hAnsi="Verdana"/>
                <w:sz w:val="16"/>
                <w:szCs w:val="16"/>
                <w:lang w:val="es-CO"/>
              </w:rPr>
              <w:t xml:space="preserve">En archivos evaluados en este informe, se evidencia que la documentación fue entregada, aportando el informe de supervisión y las actas de comités a diciembre de 2022. No obstante, lo aportado no tiene que ver con todos los productos asociados al componente contractual de la prestación del servicio de acueducto y alcantarillado, establecidos en el decreto de adopción de la medida preventiva. </w:t>
            </w:r>
          </w:p>
          <w:p w14:paraId="31CF9FED" w14:textId="77777777" w:rsidR="00BA3CB2" w:rsidRDefault="00BA3CB2">
            <w:pPr>
              <w:jc w:val="both"/>
              <w:rPr>
                <w:rFonts w:ascii="Verdana" w:hAnsi="Verdana"/>
                <w:sz w:val="16"/>
                <w:szCs w:val="16"/>
                <w:lang w:val="es-CO"/>
              </w:rPr>
            </w:pPr>
          </w:p>
        </w:tc>
      </w:tr>
      <w:tr w:rsidR="00BA3CB2" w14:paraId="02A3E0EC"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2A993B2B" w14:textId="77777777" w:rsidR="00BA3CB2" w:rsidRDefault="00BA3CB2">
            <w:pPr>
              <w:rPr>
                <w:rFonts w:ascii="Verdana" w:hAnsi="Verdana"/>
                <w:sz w:val="16"/>
                <w:szCs w:val="16"/>
                <w:highlight w:val="yellow"/>
                <w:lang w:val="es-CO"/>
              </w:rPr>
            </w:pPr>
            <w:r>
              <w:rPr>
                <w:rFonts w:ascii="Verdana" w:hAnsi="Verdana"/>
                <w:sz w:val="16"/>
                <w:szCs w:val="16"/>
                <w:lang w:val="es-CO"/>
              </w:rPr>
              <w:t>Oficio_Coralina_2023_Reiteración</w:t>
            </w:r>
          </w:p>
        </w:tc>
        <w:tc>
          <w:tcPr>
            <w:tcW w:w="5953" w:type="dxa"/>
            <w:tcBorders>
              <w:top w:val="single" w:sz="4" w:space="0" w:color="auto"/>
              <w:left w:val="single" w:sz="4" w:space="0" w:color="auto"/>
              <w:bottom w:val="single" w:sz="4" w:space="0" w:color="auto"/>
              <w:right w:val="single" w:sz="4" w:space="0" w:color="auto"/>
            </w:tcBorders>
          </w:tcPr>
          <w:p w14:paraId="537FB1D8" w14:textId="77777777" w:rsidR="00BA3CB2" w:rsidRDefault="00BA3CB2">
            <w:pPr>
              <w:jc w:val="both"/>
              <w:rPr>
                <w:rFonts w:ascii="Verdana" w:hAnsi="Verdana"/>
                <w:sz w:val="16"/>
                <w:szCs w:val="16"/>
                <w:lang w:val="es-CO"/>
              </w:rPr>
            </w:pPr>
            <w:r>
              <w:rPr>
                <w:rFonts w:ascii="Verdana" w:hAnsi="Verdana"/>
                <w:sz w:val="16"/>
                <w:szCs w:val="16"/>
                <w:lang w:val="es-CO"/>
              </w:rPr>
              <w:t>Documento de 1 página, elaborado por la Secretaría de Servicios públicos y Medio Ambiente Departamental dirigida a CORALINA, de fecha 3 de mayo de 2023, en la cual reiteran la solicitud de información relacionada con los permisos y licencias del uso del agua en pozos de extracción acuífera y el informe periódico de los resultados del monitoreo a la calidad del agua subterránea.</w:t>
            </w:r>
          </w:p>
          <w:p w14:paraId="64D68169" w14:textId="77777777" w:rsidR="00BA3CB2" w:rsidRDefault="00BA3CB2">
            <w:pPr>
              <w:jc w:val="both"/>
              <w:rPr>
                <w:rFonts w:ascii="Verdana" w:hAnsi="Verdana"/>
                <w:sz w:val="16"/>
                <w:szCs w:val="16"/>
                <w:lang w:val="es-CO"/>
              </w:rPr>
            </w:pPr>
          </w:p>
          <w:p w14:paraId="142F8019" w14:textId="77777777" w:rsidR="00BA3CB2" w:rsidRDefault="00BA3CB2">
            <w:pPr>
              <w:jc w:val="both"/>
              <w:rPr>
                <w:rFonts w:ascii="Verdana" w:hAnsi="Verdana"/>
                <w:sz w:val="16"/>
                <w:szCs w:val="16"/>
                <w:lang w:val="es-CO"/>
              </w:rPr>
            </w:pPr>
            <w:r>
              <w:rPr>
                <w:rFonts w:ascii="Verdana" w:hAnsi="Verdana"/>
                <w:sz w:val="16"/>
                <w:szCs w:val="16"/>
                <w:lang w:val="es-CO"/>
              </w:rPr>
              <w:t>Los productos asociados a esta actividad son:</w:t>
            </w:r>
          </w:p>
          <w:p w14:paraId="7D520895" w14:textId="77777777" w:rsidR="00BA3CB2" w:rsidRDefault="00BA3CB2">
            <w:pPr>
              <w:jc w:val="both"/>
              <w:rPr>
                <w:rFonts w:ascii="Verdana" w:hAnsi="Verdana"/>
                <w:sz w:val="16"/>
                <w:szCs w:val="16"/>
                <w:lang w:val="es-CO"/>
              </w:rPr>
            </w:pPr>
          </w:p>
          <w:p w14:paraId="4F204399" w14:textId="77777777" w:rsidR="00BA3CB2" w:rsidRDefault="00BA3CB2" w:rsidP="00BA3CB2">
            <w:pPr>
              <w:pStyle w:val="Prrafodelista"/>
              <w:numPr>
                <w:ilvl w:val="0"/>
                <w:numId w:val="11"/>
              </w:numPr>
              <w:jc w:val="both"/>
              <w:rPr>
                <w:rFonts w:ascii="Verdana" w:hAnsi="Verdana"/>
                <w:sz w:val="16"/>
                <w:szCs w:val="16"/>
                <w:lang w:val="es-CO"/>
              </w:rPr>
            </w:pPr>
            <w:r>
              <w:rPr>
                <w:rFonts w:ascii="Verdana" w:hAnsi="Verdana"/>
                <w:sz w:val="16"/>
                <w:szCs w:val="16"/>
                <w:lang w:val="es-CO"/>
              </w:rPr>
              <w:t>Oficio o correo solicitando la relación de permisos y licencias del uso del agua en pozos de extracción acuífera.</w:t>
            </w:r>
          </w:p>
          <w:p w14:paraId="23CE2E02" w14:textId="77777777" w:rsidR="00BA3CB2" w:rsidRDefault="00BA3CB2" w:rsidP="00BA3CB2">
            <w:pPr>
              <w:pStyle w:val="Prrafodelista"/>
              <w:numPr>
                <w:ilvl w:val="0"/>
                <w:numId w:val="11"/>
              </w:numPr>
              <w:jc w:val="both"/>
              <w:rPr>
                <w:rFonts w:ascii="Verdana" w:hAnsi="Verdana"/>
                <w:sz w:val="16"/>
                <w:szCs w:val="16"/>
                <w:lang w:val="es-CO"/>
              </w:rPr>
            </w:pPr>
            <w:r>
              <w:rPr>
                <w:rFonts w:ascii="Verdana" w:hAnsi="Verdana"/>
                <w:sz w:val="16"/>
                <w:szCs w:val="16"/>
                <w:lang w:val="es-CO"/>
              </w:rPr>
              <w:t>Informe periódico de resultados del monitoreo a la calidad del agua subterránea por Unidades de Planificación Insular.</w:t>
            </w:r>
          </w:p>
          <w:p w14:paraId="37C7CC02" w14:textId="77777777" w:rsidR="00BA3CB2" w:rsidRDefault="00BA3CB2">
            <w:pPr>
              <w:pStyle w:val="Prrafodelista"/>
              <w:jc w:val="both"/>
              <w:rPr>
                <w:rFonts w:ascii="Verdana" w:hAnsi="Verdana"/>
                <w:sz w:val="16"/>
                <w:szCs w:val="16"/>
                <w:lang w:val="es-CO"/>
              </w:rPr>
            </w:pPr>
          </w:p>
          <w:p w14:paraId="06EA34EF" w14:textId="77777777" w:rsidR="00BA3CB2" w:rsidRDefault="00BA3CB2">
            <w:pPr>
              <w:jc w:val="both"/>
              <w:rPr>
                <w:rFonts w:ascii="Verdana" w:hAnsi="Verdana"/>
                <w:sz w:val="16"/>
                <w:szCs w:val="16"/>
                <w:lang w:val="es-CO"/>
              </w:rPr>
            </w:pPr>
            <w:r>
              <w:rPr>
                <w:rFonts w:ascii="Verdana" w:hAnsi="Verdana"/>
                <w:sz w:val="16"/>
                <w:szCs w:val="16"/>
                <w:lang w:val="es-CO"/>
              </w:rPr>
              <w:t xml:space="preserve">Si bien esta información sectorial es relevante, y serviría para incluirla en el diagnóstico, se requiere la respuesta actualizada de CORALINA relacionada con las licencias y permisos del agua (No solo el oficio de </w:t>
            </w:r>
            <w:r>
              <w:rPr>
                <w:rFonts w:ascii="Verdana" w:hAnsi="Verdana"/>
                <w:sz w:val="16"/>
                <w:szCs w:val="16"/>
                <w:lang w:val="es-CO"/>
              </w:rPr>
              <w:lastRenderedPageBreak/>
              <w:t>solicitud). Así como el informe periódico de los resultados del Monitoreo a la calidad del agua.</w:t>
            </w:r>
          </w:p>
          <w:p w14:paraId="61FD5DE2" w14:textId="77777777" w:rsidR="00BA3CB2" w:rsidRDefault="00BA3CB2">
            <w:pPr>
              <w:jc w:val="both"/>
              <w:rPr>
                <w:rFonts w:ascii="Verdana" w:hAnsi="Verdana"/>
                <w:sz w:val="16"/>
                <w:szCs w:val="16"/>
                <w:lang w:val="es-CO"/>
              </w:rPr>
            </w:pPr>
          </w:p>
          <w:p w14:paraId="5007959F" w14:textId="77777777" w:rsidR="00BA3CB2" w:rsidRDefault="00BA3CB2">
            <w:pPr>
              <w:jc w:val="both"/>
              <w:rPr>
                <w:rFonts w:ascii="Verdana" w:hAnsi="Verdana"/>
                <w:sz w:val="16"/>
                <w:szCs w:val="16"/>
                <w:lang w:val="es-CO"/>
              </w:rPr>
            </w:pPr>
            <w:r>
              <w:rPr>
                <w:rFonts w:ascii="Verdana" w:hAnsi="Verdana"/>
                <w:b/>
                <w:bCs/>
                <w:sz w:val="16"/>
                <w:szCs w:val="16"/>
                <w:lang w:val="es-CO"/>
              </w:rPr>
              <w:t>CUMPLIMIENTO PARCIAL.</w:t>
            </w:r>
          </w:p>
          <w:p w14:paraId="4E03CB87" w14:textId="77777777" w:rsidR="00BA3CB2" w:rsidRDefault="00BA3CB2">
            <w:pPr>
              <w:jc w:val="both"/>
              <w:rPr>
                <w:rFonts w:ascii="Verdana" w:hAnsi="Verdana"/>
                <w:sz w:val="16"/>
                <w:szCs w:val="16"/>
                <w:highlight w:val="yellow"/>
                <w:lang w:val="es-CO"/>
              </w:rPr>
            </w:pPr>
          </w:p>
        </w:tc>
      </w:tr>
      <w:tr w:rsidR="00BA3CB2" w14:paraId="4F895A03"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63F88045" w14:textId="77777777" w:rsidR="00BA3CB2" w:rsidRDefault="00BA3CB2">
            <w:pPr>
              <w:rPr>
                <w:rFonts w:ascii="Verdana" w:hAnsi="Verdana"/>
                <w:sz w:val="16"/>
                <w:szCs w:val="16"/>
                <w:lang w:val="es-CO"/>
              </w:rPr>
            </w:pPr>
            <w:r>
              <w:rPr>
                <w:rFonts w:ascii="Verdana" w:hAnsi="Verdana"/>
                <w:sz w:val="16"/>
                <w:szCs w:val="16"/>
                <w:lang w:val="es-CO"/>
              </w:rPr>
              <w:lastRenderedPageBreak/>
              <w:t>Reporte_balance_subsidios_contribuciones_2021-22</w:t>
            </w:r>
          </w:p>
        </w:tc>
        <w:tc>
          <w:tcPr>
            <w:tcW w:w="5953" w:type="dxa"/>
            <w:tcBorders>
              <w:top w:val="single" w:sz="4" w:space="0" w:color="auto"/>
              <w:left w:val="single" w:sz="4" w:space="0" w:color="auto"/>
              <w:bottom w:val="single" w:sz="4" w:space="0" w:color="auto"/>
              <w:right w:val="single" w:sz="4" w:space="0" w:color="auto"/>
            </w:tcBorders>
          </w:tcPr>
          <w:p w14:paraId="4F5DBC4C" w14:textId="77777777" w:rsidR="00BA3CB2" w:rsidRDefault="00BA3CB2">
            <w:pPr>
              <w:jc w:val="both"/>
              <w:rPr>
                <w:rFonts w:ascii="Verdana" w:hAnsi="Verdana"/>
                <w:sz w:val="16"/>
                <w:szCs w:val="16"/>
                <w:lang w:val="es-CO"/>
              </w:rPr>
            </w:pPr>
            <w:r>
              <w:rPr>
                <w:rFonts w:ascii="Verdana" w:hAnsi="Verdana"/>
                <w:sz w:val="16"/>
                <w:szCs w:val="16"/>
                <w:lang w:val="es-CO"/>
              </w:rPr>
              <w:t>Documento de 11 páginas. No se identifica la institución que lo elaboró ya que no está en membrete institucional. Se podría inferir que el informe fue realizado a nombre de Aguas de San Andrés, por un contratista que hace parte de la Supervisión al contrato de Operación con Veolia.</w:t>
            </w:r>
          </w:p>
          <w:p w14:paraId="5A0D894C" w14:textId="77777777" w:rsidR="00BA3CB2" w:rsidRDefault="00BA3CB2">
            <w:pPr>
              <w:jc w:val="both"/>
              <w:rPr>
                <w:rFonts w:ascii="Verdana" w:hAnsi="Verdana"/>
                <w:sz w:val="16"/>
                <w:szCs w:val="16"/>
                <w:lang w:val="es-CO"/>
              </w:rPr>
            </w:pPr>
          </w:p>
          <w:p w14:paraId="545912B5" w14:textId="77777777" w:rsidR="00BA3CB2" w:rsidRDefault="00BA3CB2">
            <w:pPr>
              <w:autoSpaceDE w:val="0"/>
              <w:autoSpaceDN w:val="0"/>
              <w:adjustRightInd w:val="0"/>
              <w:rPr>
                <w:rFonts w:ascii="Verdana" w:hAnsi="Verdana"/>
                <w:sz w:val="16"/>
                <w:szCs w:val="16"/>
                <w:lang w:val="es-CO"/>
              </w:rPr>
            </w:pPr>
            <w:r>
              <w:rPr>
                <w:rFonts w:ascii="Verdana" w:hAnsi="Verdana"/>
                <w:sz w:val="16"/>
                <w:szCs w:val="16"/>
                <w:lang w:val="es-CO"/>
              </w:rPr>
              <w:t>La referencia del documento es “Observaciones a los ejercicios del balance de subsidios y contribuciones 2021 y 2022” y tiene como fecha el 24 de abril de 2023.</w:t>
            </w:r>
          </w:p>
          <w:p w14:paraId="782F8B62" w14:textId="77777777" w:rsidR="00BA3CB2" w:rsidRDefault="00BA3CB2">
            <w:pPr>
              <w:autoSpaceDE w:val="0"/>
              <w:autoSpaceDN w:val="0"/>
              <w:adjustRightInd w:val="0"/>
              <w:rPr>
                <w:rFonts w:ascii="Verdana" w:hAnsi="Verdana"/>
                <w:sz w:val="16"/>
                <w:szCs w:val="16"/>
                <w:lang w:val="es-CO"/>
              </w:rPr>
            </w:pPr>
          </w:p>
          <w:p w14:paraId="53032271" w14:textId="77777777" w:rsidR="00BA3CB2" w:rsidRDefault="00BA3CB2">
            <w:pPr>
              <w:jc w:val="both"/>
              <w:rPr>
                <w:rFonts w:ascii="Verdana" w:hAnsi="Verdana"/>
                <w:sz w:val="16"/>
                <w:szCs w:val="16"/>
                <w:lang w:val="es-CO"/>
              </w:rPr>
            </w:pPr>
            <w:r>
              <w:rPr>
                <w:rFonts w:ascii="Verdana" w:hAnsi="Verdana"/>
                <w:sz w:val="16"/>
                <w:szCs w:val="16"/>
                <w:lang w:val="es-CO"/>
              </w:rPr>
              <w:t>Es un documento que presenta la evaluación de la operación de Veolia y se podría asimilar al informe de supervisión a la operación. Algunos elementos que se destacan en el documento, que hacen referencia al capítulo del balance de subsidios y contribuciones, se encuentran a partir de la página 6 del documento y son los siguientes:</w:t>
            </w:r>
          </w:p>
          <w:p w14:paraId="3A4D1BFF" w14:textId="77777777" w:rsidR="00BA3CB2" w:rsidRDefault="00BA3CB2">
            <w:pPr>
              <w:jc w:val="both"/>
              <w:rPr>
                <w:rFonts w:ascii="Verdana" w:hAnsi="Verdana"/>
                <w:sz w:val="16"/>
                <w:szCs w:val="16"/>
                <w:lang w:val="es-CO"/>
              </w:rPr>
            </w:pPr>
          </w:p>
          <w:p w14:paraId="3B37E266"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Una vez analizado el balance de subsidios y contribuciones presentado por el operador para los años 2021 y 2022, encontramos una progresiva inconsistencia entre los reportes del operador y el ejercicio efectuado por esta supervisión, como se puede observar, no hay una sola coincidencia, situación que nos preocupa ya que la información comercial con la cual ellos elaboran el ejercicio de balance es la misma entregada a la supervisión, pero el resultado de los ejercicios no coincide.</w:t>
            </w:r>
          </w:p>
          <w:p w14:paraId="69F537F2" w14:textId="77777777" w:rsidR="00BA3CB2" w:rsidRDefault="00BA3CB2">
            <w:pPr>
              <w:autoSpaceDE w:val="0"/>
              <w:autoSpaceDN w:val="0"/>
              <w:adjustRightInd w:val="0"/>
              <w:rPr>
                <w:rFonts w:ascii="Verdana" w:hAnsi="Verdana"/>
                <w:i/>
                <w:iCs/>
                <w:sz w:val="16"/>
                <w:szCs w:val="16"/>
                <w:lang w:val="es-CO"/>
              </w:rPr>
            </w:pPr>
          </w:p>
          <w:p w14:paraId="7F703765"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En atención a esta situación el operador ha dado la explicación que las diferencias se deben a los ajustes que se realizan mes a mes por temas de facturación, cambio de usos y reclasificación de usuarios; no obstante, esta supervisión considera que en adelante no se deben presentar esas diferencias, teniendo en cuenta la metodología establecida, que establece que para el cálculo de la contribuciones y/o subsidios se debe calcular como un cargo por unidad de consumo, según el cual: “Es el valor unitario por metro cúbico que refleja siempre tanto el nivel y la estructura de los costos económicos, como la demanda por el servicio. En ese orden de ideas, no se debe incluir en el ejercicio de subsidios y contribuciones los ajustes de facturación, ya que estos no hacen parte de la estructura de cargo por unidad de consumo, base con la cual se determina los subsidios y las contribuciones.</w:t>
            </w:r>
          </w:p>
          <w:p w14:paraId="0F0A20E5" w14:textId="77777777" w:rsidR="00BA3CB2" w:rsidRDefault="00BA3CB2">
            <w:pPr>
              <w:autoSpaceDE w:val="0"/>
              <w:autoSpaceDN w:val="0"/>
              <w:adjustRightInd w:val="0"/>
              <w:jc w:val="both"/>
              <w:rPr>
                <w:rFonts w:ascii="Verdana" w:hAnsi="Verdana"/>
                <w:sz w:val="16"/>
                <w:szCs w:val="16"/>
                <w:lang w:val="es-CO"/>
              </w:rPr>
            </w:pPr>
          </w:p>
          <w:p w14:paraId="129CA6C5"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De lo anterior se desprende, que durante la vigencia del 2022 se facturaron en promedio 8.581 contratos mes, de estos contratos facturados, el 62.52% presento consumo cero, mientras que el 40.09% registro algún valor positivo de consumo y un 2.85% de los contratos presentaron valores negativos, como consecuencia a alguna novedad en la facturación.</w:t>
            </w:r>
          </w:p>
          <w:p w14:paraId="1EB6822D" w14:textId="77777777" w:rsidR="00BA3CB2" w:rsidRDefault="00BA3CB2">
            <w:pPr>
              <w:autoSpaceDE w:val="0"/>
              <w:autoSpaceDN w:val="0"/>
              <w:adjustRightInd w:val="0"/>
              <w:jc w:val="both"/>
              <w:rPr>
                <w:rFonts w:ascii="Verdana" w:hAnsi="Verdana"/>
                <w:i/>
                <w:iCs/>
                <w:sz w:val="16"/>
                <w:szCs w:val="16"/>
                <w:lang w:val="es-CO"/>
              </w:rPr>
            </w:pPr>
          </w:p>
          <w:p w14:paraId="5AACAB13"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lastRenderedPageBreak/>
              <w:t xml:space="preserve">De lo anterior se desprende varias situaciones, la primera es que más de la mitad de los usuarios facturados no consumen agua, una dinámica que demuestra la baja cobertura real del sistema; y que el operador mantiene en su facturación un valor no despreciable, como es 23.99% de los contratos que, </w:t>
            </w:r>
            <w:proofErr w:type="gramStart"/>
            <w:r>
              <w:rPr>
                <w:rFonts w:ascii="Verdana" w:hAnsi="Verdana"/>
                <w:i/>
                <w:iCs/>
                <w:sz w:val="16"/>
                <w:szCs w:val="16"/>
                <w:lang w:val="es-CO"/>
              </w:rPr>
              <w:t>de acuerdo al</w:t>
            </w:r>
            <w:proofErr w:type="gramEnd"/>
            <w:r>
              <w:rPr>
                <w:rFonts w:ascii="Verdana" w:hAnsi="Verdana"/>
                <w:i/>
                <w:iCs/>
                <w:sz w:val="16"/>
                <w:szCs w:val="16"/>
                <w:lang w:val="es-CO"/>
              </w:rPr>
              <w:t xml:space="preserve"> catastro de usuarios, no tienen un relacionamiento contractual con el operador.</w:t>
            </w:r>
          </w:p>
          <w:p w14:paraId="2D2BD09E" w14:textId="77777777" w:rsidR="00BA3CB2" w:rsidRDefault="00BA3CB2">
            <w:pPr>
              <w:autoSpaceDE w:val="0"/>
              <w:autoSpaceDN w:val="0"/>
              <w:adjustRightInd w:val="0"/>
              <w:jc w:val="both"/>
              <w:rPr>
                <w:rFonts w:ascii="Verdana" w:hAnsi="Verdana"/>
                <w:i/>
                <w:iCs/>
                <w:sz w:val="16"/>
                <w:szCs w:val="16"/>
                <w:lang w:val="es-CO"/>
              </w:rPr>
            </w:pPr>
          </w:p>
          <w:p w14:paraId="04EF19A4"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 xml:space="preserve">La otra situación que se </w:t>
            </w:r>
            <w:proofErr w:type="gramStart"/>
            <w:r>
              <w:rPr>
                <w:rFonts w:ascii="Verdana" w:hAnsi="Verdana"/>
                <w:i/>
                <w:iCs/>
                <w:sz w:val="16"/>
                <w:szCs w:val="16"/>
                <w:lang w:val="es-CO"/>
              </w:rPr>
              <w:t>observa,</w:t>
            </w:r>
            <w:proofErr w:type="gramEnd"/>
            <w:r>
              <w:rPr>
                <w:rFonts w:ascii="Verdana" w:hAnsi="Verdana"/>
                <w:i/>
                <w:iCs/>
                <w:sz w:val="16"/>
                <w:szCs w:val="16"/>
                <w:lang w:val="es-CO"/>
              </w:rPr>
              <w:t xml:space="preserve"> es que de ese 40.09% de contratos que presentan algún valor positivo de consumo, el 40% de este equivale a usuarios de tarifa sin medición, el 59.9% a usuarios de tarifa con medición y un 0.59% de los consumos positivos corresponden a usuarios que el operador ha clasificado como no relacionados o que no</w:t>
            </w:r>
          </w:p>
          <w:p w14:paraId="63B74CB1"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tiene una relación contractual.</w:t>
            </w:r>
          </w:p>
          <w:p w14:paraId="0A061146" w14:textId="77777777" w:rsidR="00BA3CB2" w:rsidRDefault="00BA3CB2">
            <w:pPr>
              <w:autoSpaceDE w:val="0"/>
              <w:autoSpaceDN w:val="0"/>
              <w:adjustRightInd w:val="0"/>
              <w:jc w:val="both"/>
              <w:rPr>
                <w:rFonts w:ascii="Verdana" w:hAnsi="Verdana"/>
                <w:i/>
                <w:iCs/>
                <w:sz w:val="16"/>
                <w:szCs w:val="16"/>
                <w:lang w:val="es-CO"/>
              </w:rPr>
            </w:pPr>
          </w:p>
          <w:p w14:paraId="25D15E48"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De esos usuarios no relacionados, el 99.55% de ellos han sido clasificado dentro del grupo de usuarios que presenta consumo cero; sin embargo, los restantes contratos presentan algún grado de incidencia en la facturación. Es importante señalar, que esta situación se presenta porque el operador no ha tomado las acciones necesarias, en lo que, respecto a estos usuarios, como generar las condiciones técnicas y operativas para incluirlos a su relacionamiento comercial o en su defecto retirarlos del catastro, para de esa forma evitar la situación improcedente de facturarlos, que lo único que genera es un ruido innecesario que hace dudar al potencial usuario de la efectividad de la empresa.</w:t>
            </w:r>
          </w:p>
          <w:p w14:paraId="6C1ABE4E" w14:textId="77777777" w:rsidR="00BA3CB2" w:rsidRDefault="00BA3CB2">
            <w:pPr>
              <w:autoSpaceDE w:val="0"/>
              <w:autoSpaceDN w:val="0"/>
              <w:adjustRightInd w:val="0"/>
              <w:jc w:val="both"/>
              <w:rPr>
                <w:rFonts w:ascii="Verdana" w:hAnsi="Verdana"/>
                <w:i/>
                <w:iCs/>
                <w:sz w:val="16"/>
                <w:szCs w:val="16"/>
                <w:lang w:val="es-CO"/>
              </w:rPr>
            </w:pPr>
          </w:p>
          <w:p w14:paraId="5903A17B" w14:textId="77777777" w:rsidR="00BA3CB2" w:rsidRDefault="00BA3CB2" w:rsidP="00BA3CB2">
            <w:pPr>
              <w:pStyle w:val="Prrafodelista"/>
              <w:numPr>
                <w:ilvl w:val="0"/>
                <w:numId w:val="12"/>
              </w:numPr>
              <w:autoSpaceDE w:val="0"/>
              <w:autoSpaceDN w:val="0"/>
              <w:adjustRightInd w:val="0"/>
              <w:jc w:val="both"/>
              <w:rPr>
                <w:rFonts w:ascii="Verdana" w:hAnsi="Verdana"/>
                <w:i/>
                <w:iCs/>
                <w:sz w:val="16"/>
                <w:szCs w:val="16"/>
                <w:lang w:val="es-CO"/>
              </w:rPr>
            </w:pPr>
            <w:r>
              <w:rPr>
                <w:rFonts w:ascii="Verdana" w:hAnsi="Verdana"/>
                <w:i/>
                <w:iCs/>
                <w:sz w:val="16"/>
                <w:szCs w:val="16"/>
                <w:lang w:val="es-CO"/>
              </w:rPr>
              <w:t>Durante la vigencia del 2022 se facturaron en promedio $336.129.155,00 pesos mes, donde los contratos que poseen tarifa con medición representan el 68.76% y los de tarifa sin medición el 30.77%; este último valor relativamente significativo, cuando se observa que el 61.29% de estos contratos, serán motivos del cobro de subsidios, lo que representa más del 30% de la facturación promedio mensual, es decir más de 90 millones de pesos al mes son facturados utilizando el promedio de consumo y no una medición real de consumo.</w:t>
            </w:r>
          </w:p>
          <w:p w14:paraId="7B56E24B" w14:textId="77777777" w:rsidR="00BA3CB2" w:rsidRDefault="00BA3CB2">
            <w:pPr>
              <w:autoSpaceDE w:val="0"/>
              <w:autoSpaceDN w:val="0"/>
              <w:adjustRightInd w:val="0"/>
              <w:jc w:val="both"/>
              <w:rPr>
                <w:rFonts w:ascii="Verdana" w:hAnsi="Verdana"/>
                <w:i/>
                <w:iCs/>
                <w:sz w:val="16"/>
                <w:szCs w:val="16"/>
                <w:lang w:val="es-CO"/>
              </w:rPr>
            </w:pPr>
          </w:p>
          <w:p w14:paraId="4F3445B1" w14:textId="77777777" w:rsidR="00BA3CB2" w:rsidRDefault="00BA3CB2" w:rsidP="00BA3CB2">
            <w:pPr>
              <w:pStyle w:val="Prrafodelista"/>
              <w:numPr>
                <w:ilvl w:val="0"/>
                <w:numId w:val="12"/>
              </w:numPr>
              <w:autoSpaceDE w:val="0"/>
              <w:autoSpaceDN w:val="0"/>
              <w:adjustRightInd w:val="0"/>
              <w:jc w:val="both"/>
              <w:rPr>
                <w:rFonts w:ascii="Verdana" w:hAnsi="Verdana"/>
                <w:sz w:val="16"/>
                <w:szCs w:val="16"/>
                <w:lang w:val="es-CO"/>
              </w:rPr>
            </w:pPr>
            <w:r>
              <w:rPr>
                <w:rFonts w:ascii="Verdana" w:hAnsi="Verdana"/>
                <w:i/>
                <w:iCs/>
                <w:sz w:val="16"/>
                <w:szCs w:val="16"/>
                <w:lang w:val="es-CO"/>
              </w:rPr>
              <w:t xml:space="preserve">Por otro lado, no deja de ser bastante preocupante la </w:t>
            </w:r>
            <w:r>
              <w:rPr>
                <w:rFonts w:ascii="Verdana" w:hAnsi="Verdana"/>
                <w:sz w:val="16"/>
                <w:szCs w:val="16"/>
                <w:lang w:val="es-CO"/>
              </w:rPr>
              <w:t>generación de valores negativos, equivalentes al 7.56% de la facturación, en recursos hablamos de un poco más de 25 millones de pesos al mes; y la facturación de más de 180 mil pesos mensuales a usuarios que registran cero consumos, lo que demuestran la fragilidad del sistema comercial y las deficiencias en la facturación, que deben ser tomados en consideración por parte del operador. Así, como se viene facturando la suma de 1.5 millones promedio mes a usuarios</w:t>
            </w:r>
          </w:p>
          <w:p w14:paraId="23626740" w14:textId="77777777" w:rsidR="00BA3CB2" w:rsidRDefault="00BA3CB2" w:rsidP="00BA3CB2">
            <w:pPr>
              <w:pStyle w:val="Prrafodelista"/>
              <w:numPr>
                <w:ilvl w:val="0"/>
                <w:numId w:val="12"/>
              </w:numPr>
              <w:autoSpaceDE w:val="0"/>
              <w:autoSpaceDN w:val="0"/>
              <w:adjustRightInd w:val="0"/>
              <w:jc w:val="both"/>
              <w:rPr>
                <w:rFonts w:ascii="Verdana" w:hAnsi="Verdana"/>
                <w:sz w:val="16"/>
                <w:szCs w:val="16"/>
                <w:lang w:val="es-CO"/>
              </w:rPr>
            </w:pPr>
            <w:r>
              <w:rPr>
                <w:rFonts w:ascii="Verdana" w:hAnsi="Verdana"/>
                <w:sz w:val="16"/>
                <w:szCs w:val="16"/>
                <w:lang w:val="es-CO"/>
              </w:rPr>
              <w:t xml:space="preserve">clasificados como no </w:t>
            </w:r>
            <w:proofErr w:type="gramStart"/>
            <w:r>
              <w:rPr>
                <w:rFonts w:ascii="Verdana" w:hAnsi="Verdana"/>
                <w:sz w:val="16"/>
                <w:szCs w:val="16"/>
                <w:lang w:val="es-CO"/>
              </w:rPr>
              <w:t>relacionad</w:t>
            </w:r>
            <w:proofErr w:type="gramEnd"/>
            <w:r>
              <w:rPr>
                <w:rFonts w:ascii="Verdana" w:hAnsi="Verdana"/>
                <w:sz w:val="16"/>
                <w:szCs w:val="16"/>
                <w:lang w:val="es-CO"/>
              </w:rPr>
              <w:t>, es decir, aquellos que en el catastro de usuarios aparecen con anotaciones como no son usuarios, no existe redes, no están conectado, etc.</w:t>
            </w:r>
          </w:p>
          <w:p w14:paraId="111FD4D3" w14:textId="77777777" w:rsidR="00BA3CB2" w:rsidRDefault="00BA3CB2">
            <w:pPr>
              <w:autoSpaceDE w:val="0"/>
              <w:autoSpaceDN w:val="0"/>
              <w:adjustRightInd w:val="0"/>
              <w:jc w:val="both"/>
              <w:rPr>
                <w:rFonts w:ascii="Verdana" w:hAnsi="Verdana"/>
                <w:sz w:val="16"/>
                <w:szCs w:val="16"/>
                <w:lang w:val="es-CO"/>
              </w:rPr>
            </w:pPr>
          </w:p>
          <w:p w14:paraId="0D345C93"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Tales situaciones confirman el incumplimiento a lo establecido en los diferentes compromisos contractuales de la Operación por parte de Veolia.</w:t>
            </w:r>
          </w:p>
          <w:p w14:paraId="2CD0368A" w14:textId="77777777" w:rsidR="00BA3CB2" w:rsidRDefault="00BA3CB2">
            <w:pPr>
              <w:autoSpaceDE w:val="0"/>
              <w:autoSpaceDN w:val="0"/>
              <w:adjustRightInd w:val="0"/>
              <w:jc w:val="both"/>
              <w:rPr>
                <w:rFonts w:ascii="Verdana" w:hAnsi="Verdana"/>
                <w:sz w:val="16"/>
                <w:szCs w:val="16"/>
                <w:lang w:val="es-CO"/>
              </w:rPr>
            </w:pPr>
          </w:p>
          <w:p w14:paraId="4AC91C61"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 xml:space="preserve">La información de este documento ya estaba evaluada en el informe de Supervisión. Este aparte, que, si bien habla del balance de subsidios y contribuciones en el título del documento, la actividad que podemos asociar (Que no hace la Entidad Territorial) es la de </w:t>
            </w:r>
            <w:r>
              <w:rPr>
                <w:rFonts w:ascii="Verdana" w:hAnsi="Verdana"/>
                <w:i/>
                <w:iCs/>
                <w:sz w:val="16"/>
                <w:szCs w:val="16"/>
                <w:lang w:val="es-CO"/>
              </w:rPr>
              <w:t>“Realizar un balance entre subsidios y contribuciones conforme a la metodología para determinar el equilibrio establecido en el artículo 2.3.4.2.2. del Decreto 1077 de 2015</w:t>
            </w:r>
            <w:r>
              <w:rPr>
                <w:rFonts w:ascii="Verdana" w:hAnsi="Verdana"/>
                <w:sz w:val="16"/>
                <w:szCs w:val="16"/>
                <w:lang w:val="es-CO"/>
              </w:rPr>
              <w:t>”, cuyo producto es “</w:t>
            </w:r>
            <w:r>
              <w:rPr>
                <w:rFonts w:ascii="Verdana" w:hAnsi="Verdana"/>
                <w:i/>
                <w:iCs/>
                <w:sz w:val="16"/>
                <w:szCs w:val="16"/>
                <w:lang w:val="es-CO"/>
              </w:rPr>
              <w:t>Balance financiero sectorial actualizado</w:t>
            </w:r>
            <w:r>
              <w:rPr>
                <w:rFonts w:ascii="Verdana" w:hAnsi="Verdana"/>
                <w:sz w:val="16"/>
                <w:szCs w:val="16"/>
                <w:lang w:val="es-CO"/>
              </w:rPr>
              <w:t xml:space="preserve">”. </w:t>
            </w:r>
          </w:p>
          <w:p w14:paraId="2052A3AF" w14:textId="77777777" w:rsidR="00BA3CB2" w:rsidRDefault="00BA3CB2">
            <w:pPr>
              <w:autoSpaceDE w:val="0"/>
              <w:autoSpaceDN w:val="0"/>
              <w:adjustRightInd w:val="0"/>
              <w:jc w:val="both"/>
              <w:rPr>
                <w:rFonts w:ascii="Verdana" w:hAnsi="Verdana"/>
                <w:sz w:val="16"/>
                <w:szCs w:val="16"/>
                <w:lang w:val="es-CO"/>
              </w:rPr>
            </w:pPr>
          </w:p>
          <w:p w14:paraId="1D5E4060"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El documento no se asimila a la actividad ni al producto, en la medida en que se desconocen aspectos establecidos en la norma:</w:t>
            </w:r>
          </w:p>
          <w:p w14:paraId="43D86782" w14:textId="77777777" w:rsidR="00BA3CB2" w:rsidRDefault="00BA3CB2">
            <w:pPr>
              <w:autoSpaceDE w:val="0"/>
              <w:autoSpaceDN w:val="0"/>
              <w:adjustRightInd w:val="0"/>
              <w:jc w:val="both"/>
              <w:rPr>
                <w:rFonts w:ascii="Verdana" w:hAnsi="Verdana"/>
                <w:sz w:val="16"/>
                <w:szCs w:val="16"/>
                <w:lang w:val="es-CO"/>
              </w:rPr>
            </w:pPr>
          </w:p>
          <w:p w14:paraId="6007CEC0" w14:textId="77777777" w:rsidR="00BA3CB2" w:rsidRDefault="00BA3CB2">
            <w:pPr>
              <w:autoSpaceDE w:val="0"/>
              <w:autoSpaceDN w:val="0"/>
              <w:adjustRightInd w:val="0"/>
              <w:jc w:val="both"/>
              <w:rPr>
                <w:rFonts w:ascii="Verdana" w:hAnsi="Verdana"/>
                <w:i/>
                <w:iCs/>
                <w:sz w:val="16"/>
                <w:szCs w:val="16"/>
                <w:lang w:val="es-CO"/>
              </w:rPr>
            </w:pPr>
            <w:r>
              <w:rPr>
                <w:rFonts w:ascii="Verdana" w:hAnsi="Verdana"/>
                <w:i/>
                <w:iCs/>
                <w:sz w:val="16"/>
                <w:szCs w:val="16"/>
                <w:lang w:val="es-CO"/>
              </w:rPr>
              <w:t xml:space="preserve">“1. Antes del 15 de julio de cada año, todas las personas prestadoras de cada uno de los servicios de acueducto, alcantarillado y aseo, de acuerdo con la proyección de usuarios y consumos, la estructura tarifaria vigente, y el porcentaje o factor de Aporte Solidario aplicado en el año respectivo, presentarán al Alcalde, por conducto de la dependencia que administra el Fondo de Solidaridad y Redistribución de Ingresos del respectivo municipio o distrito, según sea el caso, </w:t>
            </w:r>
            <w:r>
              <w:rPr>
                <w:rFonts w:ascii="Verdana" w:hAnsi="Verdana"/>
                <w:b/>
                <w:bCs/>
                <w:i/>
                <w:iCs/>
                <w:sz w:val="16"/>
                <w:szCs w:val="16"/>
                <w:lang w:val="es-CO"/>
              </w:rPr>
              <w:t>una estimación para el año siguiente</w:t>
            </w:r>
            <w:r>
              <w:rPr>
                <w:rFonts w:ascii="Verdana" w:hAnsi="Verdana"/>
                <w:i/>
                <w:iCs/>
                <w:sz w:val="16"/>
                <w:szCs w:val="16"/>
                <w:lang w:val="es-CO"/>
              </w:rPr>
              <w:t xml:space="preserve"> del monto total de los recursos potenciales a recaudar por concepto de aportes solidarios, así como la información del número total de usuarios atendidos, discriminados por servicio, estrato y uso, y para los servicios de acueducto y alcantarillado, la desagregación de consumos y vertimientos, respectivamente, según rango básico, complementario o suntuario”…</w:t>
            </w:r>
          </w:p>
          <w:p w14:paraId="26938480" w14:textId="77777777" w:rsidR="00BA3CB2" w:rsidRDefault="00BA3CB2">
            <w:pPr>
              <w:autoSpaceDE w:val="0"/>
              <w:autoSpaceDN w:val="0"/>
              <w:adjustRightInd w:val="0"/>
              <w:jc w:val="both"/>
              <w:rPr>
                <w:rFonts w:ascii="Verdana" w:hAnsi="Verdana"/>
                <w:i/>
                <w:iCs/>
                <w:sz w:val="16"/>
                <w:szCs w:val="16"/>
                <w:lang w:val="es-CO"/>
              </w:rPr>
            </w:pPr>
          </w:p>
          <w:p w14:paraId="044EF9CC"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 xml:space="preserve">Esto significa que este ejercicio parte de la proyección de requerimiento de subsidios que el Operador debe hacer, antes del 15 de julio de cada vigencia. Este debe tener toda la información técnica necesaria (la proyección de usuarios y consumos, la estructura tarifaria vigente, y el porcentaje o factor de Aporte Solidario aplicado en el año respectivo, el monto total de los recursos potenciales a recaudar por concepto de aportes solidarios, así como la información del número total de usuarios atendidos, discriminados por servicio, estrato y uso). Si el Operador no entrega la información, se estaría incumpliendo con la norma y la Entidad no tendría la información suficiente para establecer y aprobar los montos que por concepto de subsidios requerirían. </w:t>
            </w:r>
          </w:p>
          <w:p w14:paraId="64D1ABAC"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El ejercicio entregado en el documento es parte del informe de supervisión y es de las vigencias 2021 y 2022.</w:t>
            </w:r>
          </w:p>
          <w:p w14:paraId="5AB3D7E6" w14:textId="77777777" w:rsidR="00BA3CB2" w:rsidRDefault="00BA3CB2">
            <w:pPr>
              <w:autoSpaceDE w:val="0"/>
              <w:autoSpaceDN w:val="0"/>
              <w:adjustRightInd w:val="0"/>
              <w:jc w:val="both"/>
              <w:rPr>
                <w:rFonts w:ascii="Verdana" w:hAnsi="Verdana"/>
                <w:sz w:val="16"/>
                <w:szCs w:val="16"/>
                <w:lang w:val="es-CO"/>
              </w:rPr>
            </w:pPr>
          </w:p>
          <w:p w14:paraId="406E7A68"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 xml:space="preserve">Esta información debe ser previa a las discusiones que al interior de la entidad deban aprobar en el presupuesto. </w:t>
            </w:r>
          </w:p>
          <w:p w14:paraId="695AB82D" w14:textId="77777777" w:rsidR="00BA3CB2" w:rsidRDefault="00BA3CB2">
            <w:pPr>
              <w:autoSpaceDE w:val="0"/>
              <w:autoSpaceDN w:val="0"/>
              <w:adjustRightInd w:val="0"/>
              <w:jc w:val="both"/>
              <w:rPr>
                <w:rFonts w:ascii="Verdana" w:hAnsi="Verdana"/>
                <w:sz w:val="16"/>
                <w:szCs w:val="16"/>
                <w:lang w:val="es-CO"/>
              </w:rPr>
            </w:pPr>
          </w:p>
          <w:p w14:paraId="585892BA" w14:textId="77777777" w:rsidR="00BA3CB2" w:rsidRDefault="00BA3CB2">
            <w:pPr>
              <w:autoSpaceDE w:val="0"/>
              <w:autoSpaceDN w:val="0"/>
              <w:adjustRightInd w:val="0"/>
              <w:jc w:val="both"/>
              <w:rPr>
                <w:rFonts w:ascii="Verdana" w:hAnsi="Verdana"/>
                <w:sz w:val="16"/>
                <w:szCs w:val="16"/>
                <w:lang w:val="es-CO"/>
              </w:rPr>
            </w:pPr>
            <w:r>
              <w:rPr>
                <w:rFonts w:ascii="Verdana" w:hAnsi="Verdana"/>
                <w:sz w:val="16"/>
                <w:szCs w:val="16"/>
                <w:lang w:val="es-CO"/>
              </w:rPr>
              <w:t>Es cierto que existen problemas estructurales en la operación que impiden cumplir con lo contenido en el contrato y que han sido socializados de manera reiterativa entre los diferentes actores involucrados, también hay condiciones diferenciales en la prestación de los servicios de acueducto y alcantarillado en SAI. No obstante, el ejercicio del balance del esquema solidario debe efectuarse.</w:t>
            </w:r>
          </w:p>
          <w:p w14:paraId="5901D77D" w14:textId="77777777" w:rsidR="00BA3CB2" w:rsidRDefault="00BA3CB2">
            <w:pPr>
              <w:autoSpaceDE w:val="0"/>
              <w:autoSpaceDN w:val="0"/>
              <w:adjustRightInd w:val="0"/>
              <w:jc w:val="both"/>
              <w:rPr>
                <w:rFonts w:ascii="Verdana" w:hAnsi="Verdana"/>
                <w:sz w:val="16"/>
                <w:szCs w:val="16"/>
                <w:lang w:val="es-CO"/>
              </w:rPr>
            </w:pPr>
          </w:p>
          <w:p w14:paraId="36B4C228" w14:textId="77777777" w:rsidR="00BA3CB2" w:rsidRDefault="00BA3CB2">
            <w:pPr>
              <w:autoSpaceDE w:val="0"/>
              <w:autoSpaceDN w:val="0"/>
              <w:adjustRightInd w:val="0"/>
              <w:jc w:val="both"/>
              <w:rPr>
                <w:rFonts w:ascii="Verdana" w:hAnsi="Verdana"/>
                <w:b/>
                <w:bCs/>
                <w:i/>
                <w:iCs/>
                <w:sz w:val="16"/>
                <w:szCs w:val="16"/>
                <w:lang w:val="es-CO"/>
              </w:rPr>
            </w:pPr>
            <w:r>
              <w:rPr>
                <w:rFonts w:ascii="Verdana" w:hAnsi="Verdana"/>
                <w:b/>
                <w:bCs/>
                <w:sz w:val="16"/>
                <w:szCs w:val="16"/>
                <w:lang w:val="es-CO"/>
              </w:rPr>
              <w:t>NO CUMPLE</w:t>
            </w:r>
          </w:p>
        </w:tc>
      </w:tr>
      <w:tr w:rsidR="00BA3CB2" w14:paraId="4503B76E"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634F0AFE" w14:textId="77777777" w:rsidR="00BA3CB2" w:rsidRDefault="00BA3CB2">
            <w:pPr>
              <w:rPr>
                <w:rFonts w:ascii="Verdana" w:hAnsi="Verdana"/>
                <w:sz w:val="16"/>
                <w:szCs w:val="16"/>
                <w:lang w:val="es-CO"/>
              </w:rPr>
            </w:pPr>
            <w:proofErr w:type="spellStart"/>
            <w:r>
              <w:rPr>
                <w:rFonts w:ascii="Verdana" w:hAnsi="Verdana"/>
                <w:sz w:val="16"/>
                <w:szCs w:val="16"/>
                <w:lang w:val="es-CO"/>
              </w:rPr>
              <w:lastRenderedPageBreak/>
              <w:t>Reportes_Sistema</w:t>
            </w:r>
            <w:proofErr w:type="spellEnd"/>
            <w:r>
              <w:rPr>
                <w:rFonts w:ascii="Verdana" w:hAnsi="Verdana"/>
                <w:sz w:val="16"/>
                <w:szCs w:val="16"/>
                <w:lang w:val="es-CO"/>
              </w:rPr>
              <w:t xml:space="preserve"> _</w:t>
            </w:r>
            <w:proofErr w:type="spellStart"/>
            <w:r>
              <w:rPr>
                <w:rFonts w:ascii="Verdana" w:hAnsi="Verdana"/>
                <w:sz w:val="16"/>
                <w:szCs w:val="16"/>
                <w:lang w:val="es-CO"/>
              </w:rPr>
              <w:t>de_Información_presupuestal_Nacional_sai</w:t>
            </w:r>
            <w:proofErr w:type="spellEnd"/>
          </w:p>
        </w:tc>
        <w:tc>
          <w:tcPr>
            <w:tcW w:w="5953" w:type="dxa"/>
            <w:tcBorders>
              <w:top w:val="single" w:sz="4" w:space="0" w:color="auto"/>
              <w:left w:val="single" w:sz="4" w:space="0" w:color="auto"/>
              <w:bottom w:val="single" w:sz="4" w:space="0" w:color="auto"/>
              <w:right w:val="single" w:sz="4" w:space="0" w:color="auto"/>
            </w:tcBorders>
          </w:tcPr>
          <w:p w14:paraId="6A658D4F" w14:textId="77777777" w:rsidR="00BA3CB2" w:rsidRDefault="00BA3CB2">
            <w:pPr>
              <w:jc w:val="both"/>
              <w:rPr>
                <w:rFonts w:ascii="Verdana" w:hAnsi="Verdana"/>
                <w:sz w:val="16"/>
                <w:szCs w:val="16"/>
                <w:lang w:val="es-CO"/>
              </w:rPr>
            </w:pPr>
            <w:r>
              <w:rPr>
                <w:rFonts w:ascii="Verdana" w:hAnsi="Verdana"/>
                <w:sz w:val="16"/>
                <w:szCs w:val="16"/>
                <w:lang w:val="es-CO"/>
              </w:rPr>
              <w:t>Documento de 2 páginas, que corresponden al histórico de los reportes de la información al CUIPO (Programación y ejecución de ingresos y ejecución y programación de gastos y Secciones presupuestales adicionales) de febrero y abril de 2023, con estado de ACEPTADO.</w:t>
            </w:r>
          </w:p>
          <w:p w14:paraId="54EB0423" w14:textId="77777777" w:rsidR="00BA3CB2" w:rsidRDefault="00BA3CB2">
            <w:pPr>
              <w:jc w:val="both"/>
              <w:rPr>
                <w:rFonts w:ascii="Verdana" w:hAnsi="Verdana"/>
                <w:sz w:val="16"/>
                <w:szCs w:val="16"/>
                <w:lang w:val="es-CO"/>
              </w:rPr>
            </w:pPr>
            <w:r>
              <w:rPr>
                <w:rFonts w:ascii="Verdana" w:hAnsi="Verdana"/>
                <w:sz w:val="16"/>
                <w:szCs w:val="16"/>
                <w:lang w:val="es-CO"/>
              </w:rPr>
              <w:lastRenderedPageBreak/>
              <w:t>También los reportes del FUT_ Registro presupuestal de febrero de 2023.</w:t>
            </w:r>
          </w:p>
          <w:p w14:paraId="570A96E5" w14:textId="77777777" w:rsidR="00BA3CB2" w:rsidRDefault="00BA3CB2">
            <w:pPr>
              <w:jc w:val="both"/>
              <w:rPr>
                <w:rFonts w:ascii="Verdana" w:hAnsi="Verdana"/>
                <w:sz w:val="16"/>
                <w:szCs w:val="16"/>
                <w:lang w:val="es-CO"/>
              </w:rPr>
            </w:pPr>
          </w:p>
          <w:p w14:paraId="4C4BA369" w14:textId="77777777" w:rsidR="00BA3CB2" w:rsidRDefault="00BA3CB2">
            <w:pPr>
              <w:jc w:val="both"/>
              <w:rPr>
                <w:rFonts w:ascii="Verdana" w:hAnsi="Verdana"/>
                <w:sz w:val="16"/>
                <w:szCs w:val="16"/>
                <w:lang w:val="es-CO"/>
              </w:rPr>
            </w:pPr>
            <w:r>
              <w:rPr>
                <w:rFonts w:ascii="Verdana" w:hAnsi="Verdana"/>
                <w:sz w:val="16"/>
                <w:szCs w:val="16"/>
                <w:lang w:val="es-CO"/>
              </w:rPr>
              <w:t xml:space="preserve">El documento no tiene ni aclara a qué actividad o producto hace referencia en el marco del Plan de Desempeño. </w:t>
            </w:r>
          </w:p>
          <w:p w14:paraId="0CC8D348" w14:textId="77777777" w:rsidR="00BA3CB2" w:rsidRDefault="00BA3CB2">
            <w:pPr>
              <w:jc w:val="both"/>
              <w:rPr>
                <w:rFonts w:ascii="Verdana" w:hAnsi="Verdana"/>
                <w:sz w:val="16"/>
                <w:szCs w:val="16"/>
                <w:lang w:val="es-CO"/>
              </w:rPr>
            </w:pPr>
            <w:r>
              <w:rPr>
                <w:rFonts w:ascii="Verdana" w:hAnsi="Verdana"/>
                <w:sz w:val="16"/>
                <w:szCs w:val="16"/>
                <w:lang w:val="es-CO"/>
              </w:rPr>
              <w:t xml:space="preserve">En el decreto de adopción de la medida, existe la actividad asociada a “Garantizar la </w:t>
            </w:r>
            <w:r>
              <w:rPr>
                <w:rFonts w:ascii="Verdana" w:hAnsi="Verdana"/>
                <w:b/>
                <w:bCs/>
                <w:sz w:val="16"/>
                <w:szCs w:val="16"/>
                <w:lang w:val="es-CO"/>
              </w:rPr>
              <w:t>totalidad, calidad</w:t>
            </w:r>
            <w:r>
              <w:rPr>
                <w:rFonts w:ascii="Verdana" w:hAnsi="Verdana"/>
                <w:sz w:val="16"/>
                <w:szCs w:val="16"/>
                <w:lang w:val="es-CO"/>
              </w:rPr>
              <w:t xml:space="preserve"> y la oportunidad en el reporte de la información en los Sistemas de Información Presupuestal nacionales de acuerdo con la normatividad vigente” cuyo producto es “Reporte de información en el Sistema de Información Presupuestal Nacional ajustado a los criterios de la normatividad vigente.” En este caso lo asociamos con el CUIPO de la vigencia 2023.</w:t>
            </w:r>
          </w:p>
          <w:p w14:paraId="0F5E265C" w14:textId="77777777" w:rsidR="00BA3CB2" w:rsidRDefault="00BA3CB2">
            <w:pPr>
              <w:jc w:val="both"/>
              <w:rPr>
                <w:rFonts w:ascii="Verdana" w:hAnsi="Verdana"/>
                <w:sz w:val="16"/>
                <w:szCs w:val="16"/>
                <w:lang w:val="es-CO"/>
              </w:rPr>
            </w:pPr>
          </w:p>
          <w:p w14:paraId="29F2498D" w14:textId="77777777" w:rsidR="00BA3CB2" w:rsidRDefault="00BA3CB2">
            <w:pPr>
              <w:jc w:val="both"/>
              <w:rPr>
                <w:rFonts w:ascii="Verdana" w:hAnsi="Verdana"/>
                <w:sz w:val="16"/>
                <w:szCs w:val="16"/>
                <w:lang w:val="es-CO"/>
              </w:rPr>
            </w:pPr>
            <w:r>
              <w:rPr>
                <w:rFonts w:ascii="Verdana" w:hAnsi="Verdana"/>
                <w:sz w:val="16"/>
                <w:szCs w:val="16"/>
                <w:lang w:val="es-CO"/>
              </w:rPr>
              <w:t xml:space="preserve">No obstante, en la información aportada se identifica que la Entidad </w:t>
            </w:r>
            <w:r>
              <w:rPr>
                <w:rFonts w:ascii="Verdana" w:hAnsi="Verdana"/>
                <w:b/>
                <w:bCs/>
                <w:sz w:val="16"/>
                <w:szCs w:val="16"/>
                <w:lang w:val="es-CO"/>
              </w:rPr>
              <w:t>Territorial incumple este producto</w:t>
            </w:r>
            <w:r>
              <w:rPr>
                <w:rFonts w:ascii="Verdana" w:hAnsi="Verdana"/>
                <w:sz w:val="16"/>
                <w:szCs w:val="16"/>
                <w:lang w:val="es-CO"/>
              </w:rPr>
              <w:t xml:space="preserve"> en la medida en que no reportó de forma correcta el CUIPO de Ingresos en ejecución al cierre de la vigencia 2022, así como tampoco los registros presupuestales con corte a 31 de diciembre de 2022. </w:t>
            </w:r>
            <w:r>
              <w:rPr>
                <w:rFonts w:ascii="Verdana" w:hAnsi="Verdana"/>
                <w:b/>
                <w:bCs/>
                <w:sz w:val="16"/>
                <w:szCs w:val="16"/>
                <w:lang w:val="es-CO"/>
              </w:rPr>
              <w:t>NO CUMPLE</w:t>
            </w:r>
          </w:p>
          <w:p w14:paraId="4EFC6D8E" w14:textId="77777777" w:rsidR="00BA3CB2" w:rsidRDefault="00BA3CB2">
            <w:pPr>
              <w:jc w:val="both"/>
              <w:rPr>
                <w:rFonts w:ascii="Verdana" w:hAnsi="Verdana"/>
                <w:sz w:val="16"/>
                <w:szCs w:val="16"/>
                <w:lang w:val="es-CO"/>
              </w:rPr>
            </w:pPr>
          </w:p>
        </w:tc>
      </w:tr>
      <w:tr w:rsidR="00BA3CB2" w14:paraId="30D2504D"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3AA0BE71" w14:textId="77777777" w:rsidR="00BA3CB2" w:rsidRDefault="00BA3CB2">
            <w:pPr>
              <w:rPr>
                <w:rFonts w:ascii="Verdana" w:hAnsi="Verdana"/>
                <w:sz w:val="16"/>
                <w:szCs w:val="16"/>
                <w:lang w:val="es-CO"/>
              </w:rPr>
            </w:pPr>
            <w:r>
              <w:rPr>
                <w:rFonts w:ascii="Verdana" w:hAnsi="Verdana"/>
                <w:sz w:val="16"/>
                <w:szCs w:val="16"/>
                <w:lang w:val="es-CO"/>
              </w:rPr>
              <w:lastRenderedPageBreak/>
              <w:t>RS-8045_RespuestaMVCT_CargueREC_2022</w:t>
            </w:r>
          </w:p>
        </w:tc>
        <w:tc>
          <w:tcPr>
            <w:tcW w:w="5953" w:type="dxa"/>
            <w:tcBorders>
              <w:top w:val="single" w:sz="4" w:space="0" w:color="auto"/>
              <w:left w:val="single" w:sz="4" w:space="0" w:color="auto"/>
              <w:bottom w:val="single" w:sz="4" w:space="0" w:color="auto"/>
              <w:right w:val="single" w:sz="4" w:space="0" w:color="auto"/>
            </w:tcBorders>
          </w:tcPr>
          <w:p w14:paraId="43B6D9D4" w14:textId="77777777" w:rsidR="00BA3CB2" w:rsidRDefault="00BA3CB2">
            <w:pPr>
              <w:jc w:val="both"/>
              <w:rPr>
                <w:rFonts w:ascii="Verdana" w:hAnsi="Verdana"/>
                <w:sz w:val="16"/>
                <w:szCs w:val="16"/>
                <w:lang w:val="es-CO"/>
              </w:rPr>
            </w:pPr>
            <w:r>
              <w:rPr>
                <w:rFonts w:ascii="Verdana" w:hAnsi="Verdana"/>
                <w:sz w:val="16"/>
                <w:szCs w:val="16"/>
                <w:lang w:val="es-CO"/>
              </w:rPr>
              <w:t>Documento de una página de la Gobernación de SAI de abril de 2023 en el cual manifiestan al MVCT que no han podido cargar la información al SUI formatos y formulario de la vigencia 2022, por falta de información de las empresas prestadoras de servicios públicos.</w:t>
            </w:r>
          </w:p>
          <w:p w14:paraId="58CF7F9E" w14:textId="77777777" w:rsidR="00BA3CB2" w:rsidRDefault="00BA3CB2">
            <w:pPr>
              <w:jc w:val="both"/>
              <w:rPr>
                <w:rFonts w:ascii="Verdana" w:hAnsi="Verdana"/>
                <w:sz w:val="16"/>
                <w:szCs w:val="16"/>
                <w:lang w:val="es-CO"/>
              </w:rPr>
            </w:pPr>
          </w:p>
          <w:p w14:paraId="2B5FB5EE" w14:textId="77777777" w:rsidR="00BA3CB2" w:rsidRDefault="00BA3CB2">
            <w:pPr>
              <w:jc w:val="both"/>
              <w:rPr>
                <w:rFonts w:ascii="Verdana" w:hAnsi="Verdana"/>
                <w:sz w:val="16"/>
                <w:szCs w:val="16"/>
                <w:lang w:val="es-CO"/>
              </w:rPr>
            </w:pPr>
            <w:r>
              <w:rPr>
                <w:rFonts w:ascii="Verdana" w:hAnsi="Verdana"/>
                <w:sz w:val="16"/>
                <w:szCs w:val="16"/>
                <w:lang w:val="es-CO"/>
              </w:rPr>
              <w:t>Al respecto la entidad territorial no aclara en un oficio, a qué producto del PD pretende vincular esta información.</w:t>
            </w:r>
          </w:p>
          <w:p w14:paraId="11D323A9" w14:textId="77777777" w:rsidR="00BA3CB2" w:rsidRDefault="00BA3CB2">
            <w:pPr>
              <w:jc w:val="both"/>
              <w:rPr>
                <w:rFonts w:ascii="Verdana" w:hAnsi="Verdana"/>
                <w:sz w:val="16"/>
                <w:szCs w:val="16"/>
                <w:lang w:val="es-CO"/>
              </w:rPr>
            </w:pPr>
          </w:p>
          <w:p w14:paraId="6C0BC6B6" w14:textId="77777777" w:rsidR="00BA3CB2" w:rsidRDefault="00BA3CB2">
            <w:pPr>
              <w:jc w:val="both"/>
              <w:rPr>
                <w:rFonts w:ascii="Verdana" w:hAnsi="Verdana"/>
                <w:sz w:val="16"/>
                <w:szCs w:val="16"/>
                <w:lang w:val="es-CO"/>
              </w:rPr>
            </w:pPr>
            <w:r>
              <w:rPr>
                <w:rFonts w:ascii="Verdana" w:hAnsi="Verdana"/>
                <w:sz w:val="16"/>
                <w:szCs w:val="16"/>
                <w:lang w:val="es-CO"/>
              </w:rPr>
              <w:t>No obstante, consideramos que, de acuerdo con lo establecido en el decreto de adopción del PD, la actividad sería “</w:t>
            </w:r>
            <w:r>
              <w:rPr>
                <w:rFonts w:ascii="Verdana" w:hAnsi="Verdana"/>
                <w:i/>
                <w:iCs/>
                <w:sz w:val="16"/>
                <w:szCs w:val="16"/>
                <w:lang w:val="es-CO"/>
              </w:rPr>
              <w:t>Verificar la calidad y totalidad de la información sectorial REC</w:t>
            </w:r>
            <w:r>
              <w:rPr>
                <w:rFonts w:ascii="Verdana" w:hAnsi="Verdana"/>
                <w:sz w:val="16"/>
                <w:szCs w:val="16"/>
                <w:lang w:val="es-CO"/>
              </w:rPr>
              <w:t>” y uno de los productos “</w:t>
            </w:r>
            <w:r>
              <w:rPr>
                <w:rFonts w:ascii="Verdana" w:hAnsi="Verdana"/>
                <w:i/>
                <w:iCs/>
                <w:sz w:val="16"/>
                <w:szCs w:val="16"/>
                <w:lang w:val="es-CO"/>
              </w:rPr>
              <w:t>Reporte de información SUI y SINAS. Informe de Seguimiento Reporte correcto de la información sectorial REC donde se evidencie la Información de las líneas de meta del indicador de Cobertura de los servicios de AAA, urbano y rural.”</w:t>
            </w:r>
          </w:p>
          <w:p w14:paraId="1AD3166D" w14:textId="77777777" w:rsidR="00BA3CB2" w:rsidRDefault="00BA3CB2">
            <w:pPr>
              <w:jc w:val="both"/>
              <w:rPr>
                <w:rFonts w:ascii="Verdana" w:hAnsi="Verdana"/>
                <w:sz w:val="16"/>
                <w:szCs w:val="16"/>
                <w:lang w:val="es-CO"/>
              </w:rPr>
            </w:pPr>
          </w:p>
          <w:p w14:paraId="2F101310" w14:textId="77777777" w:rsidR="00BA3CB2" w:rsidRDefault="00BA3CB2">
            <w:pPr>
              <w:jc w:val="both"/>
              <w:rPr>
                <w:rFonts w:ascii="Verdana" w:hAnsi="Verdana"/>
                <w:b/>
                <w:bCs/>
                <w:sz w:val="16"/>
                <w:szCs w:val="16"/>
                <w:lang w:val="es-CO"/>
              </w:rPr>
            </w:pPr>
            <w:r>
              <w:rPr>
                <w:rFonts w:ascii="Verdana" w:hAnsi="Verdana"/>
                <w:sz w:val="16"/>
                <w:szCs w:val="16"/>
                <w:lang w:val="es-CO"/>
              </w:rPr>
              <w:t xml:space="preserve">En este sentido, la información aportada por la Entidad </w:t>
            </w:r>
            <w:r>
              <w:rPr>
                <w:rFonts w:ascii="Verdana" w:hAnsi="Verdana"/>
                <w:b/>
                <w:bCs/>
                <w:sz w:val="16"/>
                <w:szCs w:val="16"/>
                <w:lang w:val="es-CO"/>
              </w:rPr>
              <w:t>NO CUMPLE</w:t>
            </w:r>
          </w:p>
          <w:p w14:paraId="16B820E3" w14:textId="77777777" w:rsidR="00BA3CB2" w:rsidRDefault="00BA3CB2">
            <w:pPr>
              <w:jc w:val="both"/>
              <w:rPr>
                <w:rFonts w:ascii="Verdana" w:hAnsi="Verdana"/>
                <w:sz w:val="16"/>
                <w:szCs w:val="16"/>
                <w:lang w:val="es-CO"/>
              </w:rPr>
            </w:pPr>
          </w:p>
        </w:tc>
      </w:tr>
      <w:tr w:rsidR="00BA3CB2" w14:paraId="26BBB2AA" w14:textId="77777777" w:rsidTr="00BA3CB2">
        <w:trPr>
          <w:jc w:val="center"/>
        </w:trPr>
        <w:tc>
          <w:tcPr>
            <w:tcW w:w="2689" w:type="dxa"/>
            <w:tcBorders>
              <w:top w:val="single" w:sz="4" w:space="0" w:color="auto"/>
              <w:left w:val="single" w:sz="4" w:space="0" w:color="auto"/>
              <w:bottom w:val="single" w:sz="4" w:space="0" w:color="auto"/>
              <w:right w:val="single" w:sz="4" w:space="0" w:color="auto"/>
            </w:tcBorders>
            <w:hideMark/>
          </w:tcPr>
          <w:p w14:paraId="0F5F576B" w14:textId="77777777" w:rsidR="00BA3CB2" w:rsidRDefault="00BA3CB2">
            <w:pPr>
              <w:rPr>
                <w:rFonts w:ascii="Verdana" w:hAnsi="Verdana"/>
                <w:sz w:val="16"/>
                <w:szCs w:val="16"/>
                <w:lang w:val="es-CO"/>
              </w:rPr>
            </w:pPr>
            <w:r>
              <w:rPr>
                <w:rFonts w:ascii="Verdana" w:hAnsi="Verdana"/>
                <w:sz w:val="16"/>
                <w:szCs w:val="16"/>
                <w:lang w:val="es-CO"/>
              </w:rPr>
              <w:t>RS-8146_REMISION_MATRIZDESEGUIMIENTO_PLAN DESEMPEÑO_2</w:t>
            </w:r>
          </w:p>
        </w:tc>
        <w:tc>
          <w:tcPr>
            <w:tcW w:w="5953" w:type="dxa"/>
            <w:tcBorders>
              <w:top w:val="single" w:sz="4" w:space="0" w:color="auto"/>
              <w:left w:val="single" w:sz="4" w:space="0" w:color="auto"/>
              <w:bottom w:val="single" w:sz="4" w:space="0" w:color="auto"/>
              <w:right w:val="single" w:sz="4" w:space="0" w:color="auto"/>
            </w:tcBorders>
          </w:tcPr>
          <w:p w14:paraId="57A9553F" w14:textId="77777777" w:rsidR="00BA3CB2" w:rsidRDefault="00BA3CB2">
            <w:pPr>
              <w:jc w:val="both"/>
              <w:rPr>
                <w:rFonts w:ascii="Verdana" w:hAnsi="Verdana"/>
                <w:sz w:val="16"/>
                <w:szCs w:val="16"/>
                <w:lang w:val="es-CO"/>
              </w:rPr>
            </w:pPr>
            <w:r>
              <w:rPr>
                <w:rFonts w:ascii="Verdana" w:hAnsi="Verdana"/>
                <w:sz w:val="16"/>
                <w:szCs w:val="16"/>
                <w:lang w:val="es-CO"/>
              </w:rPr>
              <w:t>Oficio de la Gobernación de SAI de una página, de fecha 3 de mayo de 2023, que tiene por asunto: Remisión de matriz de seguimiento al Plan de Desempeño”. En el oficio no se describe cada una de la información aportada, ni a qué actividad, producto del Plan debería vincularse.</w:t>
            </w:r>
          </w:p>
          <w:p w14:paraId="163846A1" w14:textId="77777777" w:rsidR="00BA3CB2" w:rsidRDefault="00BA3CB2">
            <w:pPr>
              <w:jc w:val="both"/>
              <w:rPr>
                <w:rFonts w:ascii="Verdana" w:hAnsi="Verdana"/>
                <w:sz w:val="16"/>
                <w:szCs w:val="16"/>
                <w:lang w:val="es-CO"/>
              </w:rPr>
            </w:pPr>
          </w:p>
          <w:p w14:paraId="07FA41D1" w14:textId="77777777" w:rsidR="00BA3CB2" w:rsidRDefault="00BA3CB2">
            <w:pPr>
              <w:jc w:val="both"/>
              <w:rPr>
                <w:rFonts w:ascii="Verdana" w:hAnsi="Verdana"/>
                <w:sz w:val="16"/>
                <w:szCs w:val="16"/>
                <w:lang w:val="es-CO"/>
              </w:rPr>
            </w:pPr>
            <w:r>
              <w:rPr>
                <w:rFonts w:ascii="Verdana" w:hAnsi="Verdana"/>
                <w:sz w:val="16"/>
                <w:szCs w:val="16"/>
                <w:lang w:val="es-CO"/>
              </w:rPr>
              <w:t>Adicional a lo anterior, tampoco anexaron la matriz a la que hacen referencia en el asunto. Esta fue enviada el día 10 de mayo de 2023.</w:t>
            </w:r>
          </w:p>
        </w:tc>
      </w:tr>
    </w:tbl>
    <w:p w14:paraId="09C1DF08" w14:textId="77777777" w:rsidR="00BA3CB2" w:rsidRDefault="00BA3CB2" w:rsidP="00BA3CB2">
      <w:pPr>
        <w:rPr>
          <w:rFonts w:ascii="Verdana" w:hAnsi="Verdana"/>
          <w:sz w:val="22"/>
          <w:szCs w:val="22"/>
          <w:highlight w:val="yellow"/>
          <w:lang w:val="es-CO"/>
        </w:rPr>
      </w:pPr>
    </w:p>
    <w:p w14:paraId="6D95DD04" w14:textId="77777777" w:rsidR="00BA3CB2" w:rsidRDefault="00BA3CB2" w:rsidP="00BA3CB2">
      <w:pPr>
        <w:rPr>
          <w:rFonts w:ascii="Verdana" w:hAnsi="Verdana"/>
          <w:sz w:val="22"/>
          <w:szCs w:val="22"/>
          <w:highlight w:val="yellow"/>
          <w:lang w:val="es-CO"/>
        </w:rPr>
      </w:pPr>
    </w:p>
    <w:p w14:paraId="294CDB9D" w14:textId="77777777" w:rsidR="00BA3CB2" w:rsidRDefault="00BA3CB2" w:rsidP="00BA3CB2">
      <w:pPr>
        <w:rPr>
          <w:rFonts w:ascii="Verdana" w:hAnsi="Verdana"/>
          <w:sz w:val="22"/>
          <w:szCs w:val="22"/>
          <w:highlight w:val="yellow"/>
          <w:lang w:val="es-CO"/>
        </w:rPr>
      </w:pPr>
    </w:p>
    <w:p w14:paraId="0491E4F0" w14:textId="77777777" w:rsidR="00BA3CB2" w:rsidRDefault="00BA3CB2" w:rsidP="00BA3CB2">
      <w:pPr>
        <w:rPr>
          <w:rFonts w:ascii="Verdana" w:hAnsi="Verdana"/>
          <w:sz w:val="22"/>
          <w:szCs w:val="22"/>
          <w:highlight w:val="yellow"/>
          <w:lang w:val="es-CO"/>
        </w:rPr>
      </w:pPr>
    </w:p>
    <w:p w14:paraId="6C0888ED" w14:textId="77777777" w:rsidR="00BA3CB2" w:rsidRDefault="00BA3CB2" w:rsidP="00BA3CB2">
      <w:pPr>
        <w:rPr>
          <w:rFonts w:ascii="Verdana" w:hAnsi="Verdana"/>
          <w:sz w:val="22"/>
          <w:szCs w:val="22"/>
          <w:highlight w:val="yellow"/>
          <w:lang w:val="es-CO"/>
        </w:rPr>
      </w:pPr>
    </w:p>
    <w:p w14:paraId="1E79DFB7" w14:textId="77777777" w:rsidR="00BA3CB2" w:rsidRDefault="00BA3CB2" w:rsidP="00BA3CB2">
      <w:pPr>
        <w:rPr>
          <w:rFonts w:ascii="Verdana" w:hAnsi="Verdana"/>
          <w:sz w:val="22"/>
          <w:szCs w:val="22"/>
          <w:highlight w:val="yellow"/>
          <w:lang w:val="es-CO"/>
        </w:rPr>
      </w:pPr>
    </w:p>
    <w:p w14:paraId="44882D72" w14:textId="77777777" w:rsidR="00BA3CB2" w:rsidRDefault="00BA3CB2" w:rsidP="00BA3CB2">
      <w:pPr>
        <w:rPr>
          <w:rFonts w:ascii="Verdana" w:hAnsi="Verdana"/>
          <w:sz w:val="22"/>
          <w:szCs w:val="22"/>
          <w:highlight w:val="yellow"/>
          <w:lang w:val="es-CO"/>
        </w:rPr>
      </w:pPr>
    </w:p>
    <w:p w14:paraId="37445092" w14:textId="77777777" w:rsidR="00BA3CB2" w:rsidRDefault="00BA3CB2" w:rsidP="00BA3CB2">
      <w:pPr>
        <w:rPr>
          <w:rFonts w:ascii="Verdana" w:hAnsi="Verdana"/>
          <w:sz w:val="22"/>
          <w:szCs w:val="22"/>
          <w:highlight w:val="yellow"/>
          <w:lang w:val="es-CO"/>
        </w:rPr>
      </w:pPr>
    </w:p>
    <w:p w14:paraId="52D3C8EE" w14:textId="77777777" w:rsidR="00BA3CB2" w:rsidRDefault="00BA3CB2" w:rsidP="00BA3CB2">
      <w:pPr>
        <w:rPr>
          <w:rFonts w:ascii="Verdana" w:hAnsi="Verdana"/>
          <w:sz w:val="22"/>
          <w:szCs w:val="22"/>
          <w:highlight w:val="yellow"/>
          <w:lang w:val="es-CO"/>
        </w:rPr>
      </w:pPr>
    </w:p>
    <w:p w14:paraId="21D02EC6" w14:textId="77777777" w:rsidR="00BA3CB2" w:rsidRDefault="00BA3CB2" w:rsidP="00BA3CB2">
      <w:pPr>
        <w:rPr>
          <w:rFonts w:ascii="Verdana" w:hAnsi="Verdana"/>
          <w:sz w:val="22"/>
          <w:szCs w:val="22"/>
          <w:highlight w:val="yellow"/>
          <w:lang w:val="es-CO"/>
        </w:rPr>
      </w:pPr>
    </w:p>
    <w:p w14:paraId="4A9F3360" w14:textId="77777777" w:rsidR="00BA3CB2" w:rsidRDefault="00BA3CB2" w:rsidP="00BA3CB2">
      <w:pPr>
        <w:pStyle w:val="Ttulo1"/>
        <w:numPr>
          <w:ilvl w:val="0"/>
          <w:numId w:val="3"/>
        </w:numPr>
        <w:spacing w:before="0"/>
        <w:jc w:val="both"/>
        <w:rPr>
          <w:rFonts w:ascii="Verdana" w:hAnsi="Verdana" w:cs="Arial"/>
          <w:b/>
          <w:color w:val="auto"/>
          <w:sz w:val="22"/>
          <w:szCs w:val="22"/>
          <w:lang w:val="es-CO"/>
        </w:rPr>
      </w:pPr>
      <w:r>
        <w:rPr>
          <w:rFonts w:ascii="Verdana" w:hAnsi="Verdana" w:cs="Arial"/>
          <w:b/>
          <w:color w:val="auto"/>
          <w:sz w:val="22"/>
          <w:szCs w:val="22"/>
          <w:lang w:val="es-CO"/>
        </w:rPr>
        <w:t>CONCLUSIONES Y RECOMENDACIONES.</w:t>
      </w:r>
    </w:p>
    <w:p w14:paraId="5882D4B9" w14:textId="77777777" w:rsidR="00BA3CB2" w:rsidRDefault="00BA3CB2" w:rsidP="00BA3CB2">
      <w:pPr>
        <w:rPr>
          <w:rFonts w:ascii="Verdana" w:hAnsi="Verdana"/>
          <w:sz w:val="22"/>
          <w:szCs w:val="22"/>
          <w:highlight w:val="yellow"/>
          <w:lang w:val="es-CO"/>
        </w:rPr>
      </w:pPr>
    </w:p>
    <w:p w14:paraId="2E2797CC" w14:textId="77777777" w:rsidR="00BA3CB2" w:rsidRDefault="00BA3CB2" w:rsidP="00BA3CB2">
      <w:pPr>
        <w:jc w:val="both"/>
        <w:rPr>
          <w:rFonts w:ascii="Verdana" w:hAnsi="Verdana"/>
          <w:sz w:val="22"/>
          <w:szCs w:val="22"/>
          <w:lang w:val="es-CO"/>
        </w:rPr>
      </w:pPr>
    </w:p>
    <w:p w14:paraId="3FF737BD" w14:textId="77777777" w:rsidR="00BA3CB2" w:rsidRDefault="00BA3CB2" w:rsidP="00BA3CB2">
      <w:pPr>
        <w:jc w:val="both"/>
        <w:rPr>
          <w:rFonts w:ascii="Verdana" w:hAnsi="Verdana"/>
          <w:sz w:val="22"/>
          <w:szCs w:val="22"/>
          <w:lang w:val="es-CO"/>
        </w:rPr>
      </w:pPr>
      <w:r>
        <w:rPr>
          <w:rFonts w:ascii="Verdana" w:hAnsi="Verdana"/>
          <w:sz w:val="22"/>
          <w:szCs w:val="22"/>
          <w:lang w:val="es-CO"/>
        </w:rPr>
        <w:t>La entidad Territorial adoptó la medida de plan de desempeño en el sector de Agua Potable y Saneamiento Básico ordenada por la Resolución DAF 714 del 23 de marzo de 2022, a través del Decreto 0216 del 17 de mayo de 2022.</w:t>
      </w:r>
    </w:p>
    <w:p w14:paraId="0A222435" w14:textId="77777777" w:rsidR="00BA3CB2" w:rsidRDefault="00BA3CB2" w:rsidP="00BA3CB2">
      <w:pPr>
        <w:jc w:val="both"/>
        <w:rPr>
          <w:rFonts w:ascii="Verdana" w:hAnsi="Verdana"/>
          <w:sz w:val="22"/>
          <w:szCs w:val="22"/>
          <w:lang w:val="es-CO"/>
        </w:rPr>
      </w:pPr>
    </w:p>
    <w:p w14:paraId="5AD3B0DC" w14:textId="77777777" w:rsidR="00BA3CB2" w:rsidRDefault="00BA3CB2" w:rsidP="00BA3CB2">
      <w:pPr>
        <w:jc w:val="both"/>
        <w:rPr>
          <w:rFonts w:ascii="Verdana" w:hAnsi="Verdana"/>
          <w:sz w:val="22"/>
          <w:szCs w:val="22"/>
          <w:lang w:val="es-CO"/>
        </w:rPr>
      </w:pPr>
      <w:r>
        <w:rPr>
          <w:rFonts w:ascii="Verdana" w:hAnsi="Verdana"/>
          <w:sz w:val="22"/>
          <w:szCs w:val="22"/>
          <w:lang w:val="es-CO"/>
        </w:rPr>
        <w:t>Las obligaciones con que la Entidad Territorial materializó el decreto fueron 11 temas, con 10 objetivos, 22 actividades y 30 productos. Estos productos fueron discutidos al interior de la Entidad, así como los tiempos de cumplimiento, y los funcionarios y/o secretarias responsables en su ejecución.</w:t>
      </w:r>
    </w:p>
    <w:p w14:paraId="0634DD30" w14:textId="77777777" w:rsidR="00BA3CB2" w:rsidRDefault="00BA3CB2" w:rsidP="00BA3CB2">
      <w:pPr>
        <w:jc w:val="both"/>
        <w:rPr>
          <w:rFonts w:ascii="Verdana" w:hAnsi="Verdana"/>
          <w:sz w:val="22"/>
          <w:szCs w:val="22"/>
          <w:lang w:val="es-CO"/>
        </w:rPr>
      </w:pPr>
    </w:p>
    <w:p w14:paraId="3516382E" w14:textId="77777777" w:rsidR="00BA3CB2" w:rsidRDefault="00BA3CB2" w:rsidP="00BA3CB2">
      <w:pPr>
        <w:jc w:val="both"/>
        <w:rPr>
          <w:rFonts w:ascii="Verdana" w:hAnsi="Verdana"/>
          <w:sz w:val="22"/>
          <w:szCs w:val="22"/>
          <w:lang w:val="es-CO"/>
        </w:rPr>
      </w:pPr>
      <w:r>
        <w:rPr>
          <w:rFonts w:ascii="Verdana" w:hAnsi="Verdana"/>
          <w:sz w:val="22"/>
          <w:szCs w:val="22"/>
          <w:lang w:val="es-CO"/>
        </w:rPr>
        <w:t>En esta evaluación realizada de la información aportada, se identifica que no existe un orden, ni un propósito, ni un análisis que pueda aportar al fortalecimiento sectorial de la Entidad Territorial. La información se sujeta a la compilación de documentos, a oficios sin respuesta, y a alguna información relevante que reconfirma el incumplimiento contractual en la prestación del servicio de acueducto, así como un primer acercamiento al diagnóstico sectorial territorial.</w:t>
      </w:r>
    </w:p>
    <w:p w14:paraId="307609F7" w14:textId="77777777" w:rsidR="00BA3CB2" w:rsidRDefault="00BA3CB2" w:rsidP="00BA3CB2">
      <w:pPr>
        <w:jc w:val="both"/>
        <w:rPr>
          <w:rFonts w:ascii="Verdana" w:hAnsi="Verdana"/>
          <w:sz w:val="22"/>
          <w:szCs w:val="22"/>
          <w:lang w:val="es-CO"/>
        </w:rPr>
      </w:pPr>
    </w:p>
    <w:p w14:paraId="3B69069F" w14:textId="77777777" w:rsidR="00BA3CB2" w:rsidRDefault="00BA3CB2" w:rsidP="00BA3CB2">
      <w:pPr>
        <w:jc w:val="both"/>
        <w:rPr>
          <w:rFonts w:ascii="Verdana" w:hAnsi="Verdana"/>
          <w:sz w:val="22"/>
          <w:szCs w:val="22"/>
          <w:lang w:val="es-CO"/>
        </w:rPr>
      </w:pPr>
      <w:r>
        <w:rPr>
          <w:rFonts w:ascii="Verdana" w:hAnsi="Verdana"/>
          <w:sz w:val="22"/>
          <w:szCs w:val="22"/>
          <w:lang w:val="es-CO"/>
        </w:rPr>
        <w:t>Temas como el estado de la inversión sectorial, las propuestas de mejoramiento del contrato de prestación del servicio de acueducto, el diagnóstico sectorial, el esquema de prestación diferencial, los compromisos con organismos de control del pago de subsidios (que no deben desatender las destinaciones que por Ley tienen los recursos SGP APSB), la deuda de subsidios, el pago de la deuda por déficit de subsidios, los recursos superavitarios existentes en el FSRI, la estratificación, la participación social, los porcentajes de subsidios y contribuciones aprobados por la Asamblea, entre otros, son temas que merecen una mayor atención de parte de la Entidad Territorial.</w:t>
      </w:r>
    </w:p>
    <w:p w14:paraId="472FDCF3" w14:textId="77777777" w:rsidR="00BA3CB2" w:rsidRDefault="00BA3CB2" w:rsidP="00BA3CB2">
      <w:pPr>
        <w:jc w:val="both"/>
        <w:rPr>
          <w:rFonts w:ascii="Verdana" w:hAnsi="Verdana"/>
          <w:sz w:val="22"/>
          <w:szCs w:val="22"/>
          <w:lang w:val="es-CO"/>
        </w:rPr>
      </w:pPr>
    </w:p>
    <w:p w14:paraId="123C324B" w14:textId="77777777" w:rsidR="00BA3CB2" w:rsidRDefault="00BA3CB2" w:rsidP="00BA3CB2">
      <w:pPr>
        <w:jc w:val="both"/>
        <w:rPr>
          <w:rFonts w:ascii="Verdana" w:hAnsi="Verdana"/>
          <w:sz w:val="22"/>
          <w:szCs w:val="22"/>
          <w:lang w:val="es-CO"/>
        </w:rPr>
      </w:pPr>
    </w:p>
    <w:p w14:paraId="2A621CD2" w14:textId="77777777" w:rsidR="00BA3CB2" w:rsidRDefault="00BA3CB2" w:rsidP="00BA3CB2">
      <w:pPr>
        <w:jc w:val="both"/>
        <w:rPr>
          <w:rFonts w:ascii="Verdana" w:hAnsi="Verdana"/>
          <w:sz w:val="22"/>
          <w:szCs w:val="22"/>
          <w:lang w:val="es-CO"/>
        </w:rPr>
      </w:pPr>
      <w:r>
        <w:rPr>
          <w:rFonts w:ascii="Verdana" w:hAnsi="Verdana"/>
          <w:sz w:val="22"/>
          <w:szCs w:val="22"/>
          <w:lang w:val="es-CO"/>
        </w:rPr>
        <w:t>Por otro lado, es necesario aclarar que la Ley 2294 de 2023 del Plan de Desarrollo ha establecido en el artículo 276 lo siguiente:</w:t>
      </w:r>
    </w:p>
    <w:p w14:paraId="10F87943" w14:textId="77777777" w:rsidR="00BA3CB2" w:rsidRDefault="00BA3CB2" w:rsidP="00BA3CB2">
      <w:pPr>
        <w:jc w:val="both"/>
        <w:rPr>
          <w:rFonts w:ascii="Verdana" w:hAnsi="Verdana"/>
          <w:sz w:val="22"/>
          <w:szCs w:val="22"/>
          <w:lang w:val="es-CO"/>
        </w:rPr>
      </w:pPr>
    </w:p>
    <w:p w14:paraId="2750B211" w14:textId="77777777" w:rsidR="00BA3CB2" w:rsidRDefault="00BA3CB2" w:rsidP="00BA3CB2">
      <w:pPr>
        <w:pStyle w:val="NormalWeb"/>
        <w:shd w:val="clear" w:color="auto" w:fill="FFFFFF"/>
        <w:ind w:left="1418"/>
        <w:jc w:val="both"/>
        <w:rPr>
          <w:rFonts w:ascii="Verdana" w:eastAsia="MS Mincho" w:hAnsi="Verdana"/>
          <w:i/>
          <w:iCs/>
          <w:sz w:val="18"/>
          <w:szCs w:val="18"/>
          <w:lang w:val="es-CO"/>
        </w:rPr>
      </w:pPr>
      <w:r>
        <w:rPr>
          <w:rFonts w:ascii="Verdana" w:eastAsia="MS Mincho" w:hAnsi="Verdana"/>
          <w:i/>
          <w:iCs/>
          <w:sz w:val="18"/>
          <w:szCs w:val="18"/>
          <w:lang w:val="es-CO"/>
        </w:rPr>
        <w:t>Adiciónese el </w:t>
      </w:r>
      <w:r w:rsidRPr="00BA3CB2">
        <w:rPr>
          <w:rFonts w:ascii="Verdana" w:eastAsia="MS Mincho" w:hAnsi="Verdana"/>
          <w:i/>
          <w:iCs/>
          <w:sz w:val="18"/>
          <w:szCs w:val="18"/>
          <w:lang w:val="es-CO"/>
        </w:rPr>
        <w:t>parágrafo 3</w:t>
      </w:r>
      <w:r>
        <w:rPr>
          <w:rFonts w:ascii="Verdana" w:eastAsia="MS Mincho" w:hAnsi="Verdana"/>
          <w:i/>
          <w:iCs/>
          <w:sz w:val="18"/>
          <w:szCs w:val="18"/>
          <w:lang w:val="es-CO"/>
        </w:rPr>
        <w:t> al artículo </w:t>
      </w:r>
      <w:r w:rsidRPr="00BA3CB2">
        <w:rPr>
          <w:rFonts w:ascii="Verdana" w:eastAsia="MS Mincho" w:hAnsi="Verdana"/>
          <w:i/>
          <w:iCs/>
          <w:sz w:val="18"/>
          <w:szCs w:val="18"/>
          <w:lang w:val="es-CO"/>
        </w:rPr>
        <w:t>125 </w:t>
      </w:r>
      <w:r>
        <w:rPr>
          <w:rFonts w:ascii="Verdana" w:eastAsia="MS Mincho" w:hAnsi="Verdana"/>
          <w:i/>
          <w:iCs/>
          <w:sz w:val="18"/>
          <w:szCs w:val="18"/>
          <w:lang w:val="es-CO"/>
        </w:rPr>
        <w:t>de la Ley 1450 de 2011, así:</w:t>
      </w:r>
    </w:p>
    <w:p w14:paraId="5DCC0EE4" w14:textId="77777777" w:rsidR="00BA3CB2" w:rsidRDefault="00BA3CB2" w:rsidP="00BA3CB2">
      <w:pPr>
        <w:pStyle w:val="NormalWeb"/>
        <w:shd w:val="clear" w:color="auto" w:fill="FFFFFF"/>
        <w:ind w:left="1418"/>
        <w:jc w:val="both"/>
        <w:rPr>
          <w:rFonts w:ascii="Verdana" w:eastAsia="MS Mincho" w:hAnsi="Verdana"/>
          <w:i/>
          <w:iCs/>
          <w:sz w:val="18"/>
          <w:szCs w:val="18"/>
          <w:lang w:val="es-CO"/>
        </w:rPr>
      </w:pPr>
    </w:p>
    <w:p w14:paraId="78641D10" w14:textId="77777777" w:rsidR="00BA3CB2" w:rsidRDefault="00BA3CB2" w:rsidP="00BA3CB2">
      <w:pPr>
        <w:pStyle w:val="NormalWeb"/>
        <w:shd w:val="clear" w:color="auto" w:fill="FFFFFF"/>
        <w:ind w:left="1418"/>
        <w:jc w:val="both"/>
        <w:rPr>
          <w:rFonts w:ascii="Verdana" w:eastAsia="MS Mincho" w:hAnsi="Verdana"/>
          <w:i/>
          <w:iCs/>
          <w:sz w:val="18"/>
          <w:szCs w:val="18"/>
          <w:lang w:val="es-CO"/>
        </w:rPr>
      </w:pPr>
      <w:r>
        <w:rPr>
          <w:rFonts w:ascii="Verdana" w:eastAsia="MS Mincho" w:hAnsi="Verdana"/>
          <w:i/>
          <w:iCs/>
          <w:sz w:val="18"/>
          <w:szCs w:val="18"/>
          <w:lang w:val="es-CO"/>
        </w:rPr>
        <w:t>ARTÍCULO 125. SUBSIDIOS Y CONTRIBUCIONES PARA LOS SERVICIOS DE ACUEDUCTO, ALCANTARILLADO Y ASEO.</w:t>
      </w:r>
    </w:p>
    <w:p w14:paraId="33BBDFA8" w14:textId="77777777" w:rsidR="00BA3CB2" w:rsidRDefault="00BA3CB2" w:rsidP="00BA3CB2">
      <w:pPr>
        <w:pStyle w:val="NormalWeb"/>
        <w:shd w:val="clear" w:color="auto" w:fill="FFFFFF"/>
        <w:spacing w:before="0" w:beforeAutospacing="0" w:after="0"/>
        <w:ind w:left="1418"/>
        <w:jc w:val="both"/>
        <w:rPr>
          <w:rFonts w:ascii="Verdana" w:eastAsia="MS Mincho" w:hAnsi="Verdana"/>
          <w:sz w:val="18"/>
          <w:szCs w:val="18"/>
          <w:lang w:val="es-CO"/>
        </w:rPr>
      </w:pPr>
      <w:r>
        <w:rPr>
          <w:rFonts w:ascii="Verdana" w:eastAsia="MS Mincho" w:hAnsi="Verdana"/>
          <w:i/>
          <w:iCs/>
          <w:sz w:val="18"/>
          <w:szCs w:val="18"/>
          <w:lang w:val="es-CO"/>
        </w:rPr>
        <w:lastRenderedPageBreak/>
        <w:t xml:space="preserve">PARÁGRAFO TERCERO. Los municipios y distritos, de acuerdo a sus posibilidades fiscales, podrán definir porcentajes de subsidios diferenciales a los señalados en el inciso primero del presente artículo a favor de los suscriptores residenciales de las zonas rurales, </w:t>
      </w:r>
      <w:r>
        <w:rPr>
          <w:rFonts w:ascii="Verdana" w:eastAsia="MS Mincho" w:hAnsi="Verdana"/>
          <w:b/>
          <w:bCs/>
          <w:i/>
          <w:iCs/>
          <w:sz w:val="18"/>
          <w:szCs w:val="18"/>
          <w:lang w:val="es-CO"/>
        </w:rPr>
        <w:t>zonas insulares</w:t>
      </w:r>
      <w:r>
        <w:rPr>
          <w:rFonts w:ascii="Verdana" w:eastAsia="MS Mincho" w:hAnsi="Verdana"/>
          <w:i/>
          <w:iCs/>
          <w:sz w:val="18"/>
          <w:szCs w:val="18"/>
          <w:lang w:val="es-CO"/>
        </w:rPr>
        <w:t xml:space="preserve"> y áreas no municipalizadas para los servicios de acueducto, alcantarillado y aseo, hasta un porcentaje máximo del ochenta por ciento (80%) del costo del suministro para el estrato 1 o el mecanismo que sea adoptado para su focalización; cincuenta por ciento (50%) para el estrato 2 o el mecanismo que sea adoptado para su focalización; y treinta por ciento (30%) para el estrato 3 o el mecanismo que sea adoptado para su focalización</w:t>
      </w:r>
      <w:r>
        <w:rPr>
          <w:rFonts w:ascii="Verdana" w:eastAsia="MS Mincho" w:hAnsi="Verdana"/>
          <w:sz w:val="18"/>
          <w:szCs w:val="18"/>
          <w:lang w:val="es-CO"/>
        </w:rPr>
        <w:t>. (La negrita es nuestra).</w:t>
      </w:r>
    </w:p>
    <w:p w14:paraId="497FF8C9" w14:textId="77777777" w:rsidR="00BA3CB2" w:rsidRDefault="00BA3CB2" w:rsidP="00BA3CB2">
      <w:pPr>
        <w:pStyle w:val="NormalWeb"/>
        <w:shd w:val="clear" w:color="auto" w:fill="FFFFFF"/>
        <w:ind w:left="1418"/>
        <w:jc w:val="both"/>
        <w:rPr>
          <w:rFonts w:ascii="Verdana" w:eastAsia="MS Mincho" w:hAnsi="Verdana"/>
          <w:i/>
          <w:iCs/>
          <w:sz w:val="18"/>
          <w:szCs w:val="18"/>
          <w:lang w:val="es-CO"/>
        </w:rPr>
      </w:pPr>
    </w:p>
    <w:p w14:paraId="4D781F2B" w14:textId="77777777" w:rsidR="00BA3CB2" w:rsidRDefault="00BA3CB2" w:rsidP="00BA3CB2">
      <w:pPr>
        <w:jc w:val="both"/>
        <w:rPr>
          <w:rFonts w:ascii="Verdana" w:hAnsi="Verdana"/>
          <w:sz w:val="22"/>
          <w:szCs w:val="22"/>
          <w:lang w:val="es-CO"/>
        </w:rPr>
      </w:pPr>
      <w:r>
        <w:rPr>
          <w:rFonts w:ascii="Verdana" w:hAnsi="Verdana"/>
          <w:sz w:val="22"/>
          <w:szCs w:val="22"/>
          <w:lang w:val="es-CO"/>
        </w:rPr>
        <w:t>En este sentido, la aplicación de este artículo en SAI para la asignación de subsidios y contribuciones, debe ser de inmediato cumplimiento y verificar por parte de la Entidad, su articulación dentro del plan de desempeño.</w:t>
      </w:r>
    </w:p>
    <w:p w14:paraId="1450A0E5" w14:textId="77777777" w:rsidR="00BA3CB2" w:rsidRDefault="00BA3CB2" w:rsidP="00BA3CB2">
      <w:pPr>
        <w:jc w:val="both"/>
        <w:rPr>
          <w:rFonts w:ascii="Verdana" w:hAnsi="Verdana"/>
          <w:sz w:val="22"/>
          <w:szCs w:val="22"/>
          <w:lang w:val="es-CO"/>
        </w:rPr>
      </w:pPr>
    </w:p>
    <w:p w14:paraId="743936B9" w14:textId="77777777" w:rsidR="00BA3CB2" w:rsidRDefault="00BA3CB2" w:rsidP="00BA3CB2">
      <w:pPr>
        <w:jc w:val="both"/>
        <w:rPr>
          <w:rFonts w:ascii="Verdana" w:hAnsi="Verdana"/>
          <w:sz w:val="22"/>
          <w:szCs w:val="22"/>
          <w:lang w:val="es-CO"/>
        </w:rPr>
      </w:pPr>
      <w:r>
        <w:rPr>
          <w:rFonts w:ascii="Verdana" w:hAnsi="Verdana"/>
          <w:sz w:val="22"/>
          <w:szCs w:val="22"/>
          <w:lang w:val="es-CO"/>
        </w:rPr>
        <w:t>En la presente evaluación solo existieron 11 de 30 productos (1 que cumple, 6 cumplimiento parcial y 4 no cumplen) que lograron vincularse al avance en la ejecución del plan de desempeño.</w:t>
      </w:r>
    </w:p>
    <w:p w14:paraId="51F546A0" w14:textId="77777777" w:rsidR="00BA3CB2" w:rsidRDefault="00BA3CB2" w:rsidP="00BA3CB2">
      <w:pPr>
        <w:jc w:val="both"/>
        <w:rPr>
          <w:rFonts w:ascii="Verdana" w:hAnsi="Verdana"/>
          <w:sz w:val="22"/>
          <w:szCs w:val="22"/>
          <w:lang w:val="es-CO"/>
        </w:rPr>
      </w:pPr>
    </w:p>
    <w:p w14:paraId="49A345DC" w14:textId="77777777" w:rsidR="00BA3CB2" w:rsidRDefault="00BA3CB2" w:rsidP="00BA3CB2">
      <w:pPr>
        <w:jc w:val="both"/>
        <w:rPr>
          <w:rFonts w:ascii="Verdana" w:hAnsi="Verdana"/>
          <w:sz w:val="22"/>
          <w:szCs w:val="22"/>
          <w:lang w:val="es-CO"/>
        </w:rPr>
      </w:pPr>
      <w:r>
        <w:rPr>
          <w:rFonts w:ascii="Verdana" w:hAnsi="Verdana"/>
          <w:sz w:val="22"/>
          <w:szCs w:val="22"/>
          <w:lang w:val="es-CO"/>
        </w:rPr>
        <w:t>Se sugiere a</w:t>
      </w:r>
      <w:r w:rsidR="000A3BEB">
        <w:rPr>
          <w:rFonts w:ascii="Verdana" w:hAnsi="Verdana"/>
          <w:sz w:val="22"/>
          <w:szCs w:val="22"/>
          <w:lang w:val="es-CO"/>
        </w:rPr>
        <w:t xml:space="preserve"> </w:t>
      </w:r>
      <w:r>
        <w:rPr>
          <w:rFonts w:ascii="Verdana" w:hAnsi="Verdana"/>
          <w:sz w:val="22"/>
          <w:szCs w:val="22"/>
          <w:lang w:val="es-CO"/>
        </w:rPr>
        <w:t>l</w:t>
      </w:r>
      <w:r w:rsidR="000A3BEB">
        <w:rPr>
          <w:rFonts w:ascii="Verdana" w:hAnsi="Verdana"/>
          <w:sz w:val="22"/>
          <w:szCs w:val="22"/>
          <w:lang w:val="es-CO"/>
        </w:rPr>
        <w:t xml:space="preserve">a Entidad Territorial </w:t>
      </w:r>
      <w:r>
        <w:rPr>
          <w:rFonts w:ascii="Verdana" w:hAnsi="Verdana"/>
          <w:sz w:val="22"/>
          <w:szCs w:val="22"/>
          <w:lang w:val="es-CO"/>
        </w:rPr>
        <w:t>verificar con detenimiento, cada una de las actividades y productos que estableció en el Decreto 0216 del 17 de mayo de 2022, remitir la información urgente que menciona este informe y avanzar en el cumplimiento de la medida preventiva.</w:t>
      </w:r>
    </w:p>
    <w:p w14:paraId="17BBEBAE" w14:textId="77777777" w:rsidR="00BA3CB2" w:rsidRDefault="00BA3CB2" w:rsidP="00BA3CB2">
      <w:pPr>
        <w:jc w:val="both"/>
        <w:rPr>
          <w:rFonts w:ascii="Verdana" w:hAnsi="Verdana"/>
          <w:sz w:val="22"/>
          <w:szCs w:val="22"/>
          <w:lang w:val="es-CO"/>
        </w:rPr>
      </w:pPr>
    </w:p>
    <w:p w14:paraId="1F4D3520" w14:textId="77777777" w:rsidR="00BA3CB2" w:rsidRDefault="00BA3CB2" w:rsidP="00BA3CB2">
      <w:pPr>
        <w:jc w:val="both"/>
        <w:rPr>
          <w:rFonts w:ascii="Verdana" w:hAnsi="Verdana"/>
          <w:sz w:val="22"/>
          <w:szCs w:val="22"/>
          <w:lang w:val="es-CO"/>
        </w:rPr>
      </w:pPr>
      <w:r>
        <w:rPr>
          <w:rFonts w:ascii="Verdana" w:hAnsi="Verdana"/>
          <w:sz w:val="22"/>
          <w:szCs w:val="22"/>
          <w:lang w:val="es-CO"/>
        </w:rPr>
        <w:t>Este Ministerio se encuentra atento al acompañamiento que requiera la Entidad para lograr el mejoramiento de los servicios públicos y optimizar la planeación y ejecución de los recursos sectoriales del SGP.</w:t>
      </w:r>
    </w:p>
    <w:p w14:paraId="6FFBC7F7" w14:textId="77777777" w:rsidR="00BA3CB2" w:rsidRDefault="00BA3CB2" w:rsidP="00BA3CB2">
      <w:pPr>
        <w:jc w:val="both"/>
        <w:rPr>
          <w:rFonts w:ascii="Verdana" w:hAnsi="Verdana"/>
          <w:sz w:val="22"/>
          <w:szCs w:val="22"/>
          <w:lang w:val="es-CO"/>
        </w:rPr>
      </w:pPr>
    </w:p>
    <w:p w14:paraId="2933498A" w14:textId="77777777" w:rsidR="00BA3CB2" w:rsidRDefault="00BA3CB2" w:rsidP="00BA3CB2">
      <w:pPr>
        <w:jc w:val="both"/>
        <w:rPr>
          <w:rFonts w:ascii="Verdana" w:hAnsi="Verdana"/>
          <w:sz w:val="22"/>
          <w:szCs w:val="22"/>
          <w:lang w:val="es-CO"/>
        </w:rPr>
      </w:pPr>
      <w:r>
        <w:rPr>
          <w:rFonts w:ascii="Verdana" w:hAnsi="Verdana"/>
          <w:sz w:val="22"/>
          <w:szCs w:val="22"/>
          <w:lang w:val="es-CO"/>
        </w:rPr>
        <w:t>En el mes de septiembre de 2023 esta Dirección realizará una asistencia técnica para verificar el estado del avance del Plan de Desempeño.</w:t>
      </w:r>
    </w:p>
    <w:p w14:paraId="2F9901E2" w14:textId="77777777" w:rsidR="00BA3CB2" w:rsidRDefault="00BA3CB2" w:rsidP="00BA3CB2">
      <w:pPr>
        <w:jc w:val="both"/>
        <w:rPr>
          <w:rFonts w:ascii="Verdana" w:hAnsi="Verdana"/>
          <w:sz w:val="22"/>
          <w:szCs w:val="22"/>
          <w:lang w:val="es-CO"/>
        </w:rPr>
      </w:pPr>
    </w:p>
    <w:p w14:paraId="1BEA1146" w14:textId="77777777" w:rsidR="00BA3CB2" w:rsidRDefault="00BA3CB2" w:rsidP="00BA3CB2">
      <w:pPr>
        <w:jc w:val="both"/>
        <w:rPr>
          <w:rFonts w:ascii="Verdana" w:hAnsi="Verdana" w:cs="Arial"/>
          <w:sz w:val="16"/>
          <w:szCs w:val="16"/>
          <w:lang w:val="es-CO"/>
        </w:rPr>
      </w:pPr>
      <w:r>
        <w:rPr>
          <w:rFonts w:ascii="Verdana" w:hAnsi="Verdana" w:cs="Arial"/>
          <w:sz w:val="16"/>
          <w:szCs w:val="16"/>
          <w:lang w:val="es-CO"/>
        </w:rPr>
        <w:t xml:space="preserve">APROBÓ: </w:t>
      </w:r>
      <w:r>
        <w:rPr>
          <w:rFonts w:ascii="Verdana" w:hAnsi="Verdana" w:cs="Arial"/>
          <w:b/>
          <w:bCs/>
          <w:sz w:val="16"/>
          <w:szCs w:val="16"/>
          <w:lang w:val="es-CO"/>
        </w:rPr>
        <w:t>Fernando Olivera</w:t>
      </w:r>
    </w:p>
    <w:p w14:paraId="7DA5598E" w14:textId="77777777" w:rsidR="00BA3CB2" w:rsidRDefault="00BA3CB2" w:rsidP="00BA3CB2">
      <w:pPr>
        <w:jc w:val="both"/>
        <w:rPr>
          <w:rFonts w:ascii="Verdana" w:hAnsi="Verdana" w:cs="Arial"/>
          <w:sz w:val="16"/>
          <w:szCs w:val="16"/>
          <w:lang w:val="es-CO"/>
        </w:rPr>
      </w:pPr>
      <w:r>
        <w:rPr>
          <w:rFonts w:ascii="Verdana" w:hAnsi="Verdana" w:cs="Arial"/>
          <w:sz w:val="16"/>
          <w:szCs w:val="16"/>
          <w:lang w:val="es-CO"/>
        </w:rPr>
        <w:t xml:space="preserve">REVISIÓN JURÍDICA: </w:t>
      </w:r>
      <w:r>
        <w:rPr>
          <w:rFonts w:ascii="Verdana" w:hAnsi="Verdana" w:cs="Arial"/>
          <w:b/>
          <w:bCs/>
          <w:sz w:val="16"/>
          <w:szCs w:val="16"/>
          <w:lang w:val="es-CO"/>
        </w:rPr>
        <w:t>Carlos Ariza</w:t>
      </w:r>
    </w:p>
    <w:p w14:paraId="4B69A674" w14:textId="77777777" w:rsidR="00BA3CB2" w:rsidRDefault="00BA3CB2" w:rsidP="00BA3CB2">
      <w:pPr>
        <w:jc w:val="both"/>
        <w:rPr>
          <w:rFonts w:ascii="Verdana" w:hAnsi="Verdana" w:cs="Arial"/>
          <w:sz w:val="16"/>
          <w:szCs w:val="16"/>
          <w:lang w:val="es-CO"/>
        </w:rPr>
      </w:pPr>
      <w:r>
        <w:rPr>
          <w:rFonts w:ascii="Verdana" w:hAnsi="Verdana" w:cs="Arial"/>
          <w:sz w:val="16"/>
          <w:szCs w:val="16"/>
          <w:lang w:val="es-CO"/>
        </w:rPr>
        <w:t xml:space="preserve">REVISIÓN TÉCNICA: </w:t>
      </w:r>
      <w:r>
        <w:rPr>
          <w:rFonts w:ascii="Verdana" w:hAnsi="Verdana" w:cs="Arial"/>
          <w:b/>
          <w:bCs/>
          <w:sz w:val="16"/>
          <w:szCs w:val="16"/>
          <w:lang w:val="es-CO"/>
        </w:rPr>
        <w:t>Mauricio Mendoza</w:t>
      </w:r>
    </w:p>
    <w:p w14:paraId="2F23925F" w14:textId="77777777" w:rsidR="00BA3CB2" w:rsidRDefault="00BA3CB2" w:rsidP="00BA3CB2">
      <w:pPr>
        <w:jc w:val="both"/>
        <w:rPr>
          <w:rFonts w:ascii="Verdana" w:hAnsi="Verdana" w:cs="Arial"/>
          <w:b/>
          <w:bCs/>
          <w:sz w:val="16"/>
          <w:szCs w:val="16"/>
          <w:lang w:val="es-CO"/>
        </w:rPr>
      </w:pPr>
      <w:r>
        <w:rPr>
          <w:rFonts w:ascii="Verdana" w:hAnsi="Verdana" w:cs="Arial"/>
          <w:sz w:val="16"/>
          <w:szCs w:val="16"/>
          <w:lang w:val="es-CO"/>
        </w:rPr>
        <w:t xml:space="preserve">ELABORÓ: </w:t>
      </w:r>
      <w:r>
        <w:rPr>
          <w:rFonts w:ascii="Verdana" w:hAnsi="Verdana" w:cs="Arial"/>
          <w:b/>
          <w:bCs/>
          <w:sz w:val="16"/>
          <w:szCs w:val="16"/>
          <w:lang w:val="es-CO"/>
        </w:rPr>
        <w:t>Giovanny Salas</w:t>
      </w:r>
    </w:p>
    <w:p w14:paraId="02B32560" w14:textId="77777777" w:rsidR="00BA3CB2" w:rsidRDefault="00BA3CB2" w:rsidP="00BA3CB2">
      <w:pPr>
        <w:rPr>
          <w:rFonts w:ascii="Verdana" w:hAnsi="Verdana"/>
          <w:b/>
          <w:bCs/>
          <w:sz w:val="16"/>
          <w:szCs w:val="16"/>
        </w:rPr>
      </w:pPr>
      <w:r>
        <w:rPr>
          <w:rFonts w:ascii="Verdana" w:hAnsi="Verdana"/>
          <w:b/>
          <w:bCs/>
          <w:sz w:val="16"/>
          <w:szCs w:val="16"/>
        </w:rPr>
        <w:t xml:space="preserve"> </w:t>
      </w:r>
    </w:p>
    <w:p w14:paraId="2DAD85B4" w14:textId="77777777" w:rsidR="00BA3CB2" w:rsidRDefault="00BA3CB2" w:rsidP="00BA3CB2">
      <w:pPr>
        <w:pStyle w:val="Textocomentario"/>
      </w:pPr>
    </w:p>
    <w:p w14:paraId="74EF1C36" w14:textId="77777777" w:rsidR="00D92691" w:rsidRPr="002710CD" w:rsidRDefault="00EF5D6B" w:rsidP="00505A5F">
      <w:pPr>
        <w:rPr>
          <w:rFonts w:ascii="Verdana" w:hAnsi="Verdana"/>
          <w:sz w:val="16"/>
          <w:szCs w:val="16"/>
        </w:rPr>
      </w:pPr>
      <w:r w:rsidRPr="002710CD">
        <w:rPr>
          <w:rFonts w:ascii="Verdana" w:hAnsi="Verdana"/>
          <w:sz w:val="16"/>
          <w:szCs w:val="16"/>
        </w:rPr>
        <w:t xml:space="preserve"> </w:t>
      </w:r>
    </w:p>
    <w:sectPr w:rsidR="00D92691" w:rsidRPr="002710CD" w:rsidSect="004E432F">
      <w:headerReference w:type="default" r:id="rId11"/>
      <w:footerReference w:type="default" r:id="rId12"/>
      <w:headerReference w:type="first" r:id="rId13"/>
      <w:footerReference w:type="first" r:id="rId14"/>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FC5E" w14:textId="77777777" w:rsidR="002F3C89" w:rsidRDefault="002F3C89" w:rsidP="00F71345">
      <w:r>
        <w:separator/>
      </w:r>
    </w:p>
  </w:endnote>
  <w:endnote w:type="continuationSeparator" w:id="0">
    <w:p w14:paraId="4AF37911" w14:textId="77777777" w:rsidR="002F3C89" w:rsidRDefault="002F3C89"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AD2F" w14:textId="77777777" w:rsidR="001829B0" w:rsidRDefault="001829B0" w:rsidP="00505A5F">
    <w:pPr>
      <w:spacing w:line="276" w:lineRule="auto"/>
      <w:jc w:val="both"/>
    </w:pPr>
    <w:r>
      <w:rPr>
        <w:rFonts w:ascii="Helvetica" w:hAnsi="Helvetica"/>
        <w:sz w:val="20"/>
        <w:szCs w:val="20"/>
      </w:rPr>
      <w:t>________________________________________________________________________</w:t>
    </w:r>
    <w:r>
      <w:t xml:space="preserve"> </w:t>
    </w:r>
  </w:p>
  <w:sdt>
    <w:sdtPr>
      <w:rPr>
        <w:lang w:val="es-ES"/>
      </w:rPr>
      <w:id w:val="1952514235"/>
      <w:docPartObj>
        <w:docPartGallery w:val="Page Numbers (Bottom of Page)"/>
        <w:docPartUnique/>
      </w:docPartObj>
    </w:sdtPr>
    <w:sdtEndPr/>
    <w:sdtContent>
      <w:p w14:paraId="0982A1F8" w14:textId="77777777" w:rsidR="001829B0" w:rsidRDefault="001829B0" w:rsidP="00505A5F">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rsidR="0013036F">
          <w:rPr>
            <w:noProof/>
          </w:rPr>
          <w:t>2</w:t>
        </w:r>
        <w:r>
          <w:fldChar w:fldCharType="end"/>
        </w:r>
        <w:r>
          <w:rPr>
            <w:lang w:val="es-ES"/>
          </w:rPr>
          <w:t xml:space="preserve"> </w:t>
        </w:r>
      </w:p>
    </w:sdtContent>
  </w:sdt>
  <w:p w14:paraId="738C5BEA" w14:textId="77777777" w:rsidR="001829B0" w:rsidRDefault="001829B0" w:rsidP="00505A5F">
    <w:pPr>
      <w:pStyle w:val="Piedepgina"/>
      <w:rPr>
        <w:rFonts w:eastAsia="Calibri"/>
        <w:b/>
      </w:rPr>
    </w:pPr>
    <w:r>
      <w:rPr>
        <w:b/>
      </w:rPr>
      <w:t>Ministerio de Hacienda y Crédito Público</w:t>
    </w:r>
  </w:p>
  <w:p w14:paraId="6AAF2261" w14:textId="77777777" w:rsidR="001829B0" w:rsidRDefault="001829B0" w:rsidP="00505A5F">
    <w:pPr>
      <w:pStyle w:val="Piedepgina"/>
      <w:rPr>
        <w:bCs/>
      </w:rPr>
    </w:pPr>
    <w:r>
      <w:rPr>
        <w:bCs/>
      </w:rPr>
      <w:t>Dirección: Carrera 8 No. 6 C 38 Bogotá D.C. Colombia</w:t>
    </w:r>
  </w:p>
  <w:p w14:paraId="5BC6E58A" w14:textId="77777777" w:rsidR="001829B0" w:rsidRDefault="001829B0" w:rsidP="00505A5F">
    <w:pPr>
      <w:pStyle w:val="Piedepgina"/>
    </w:pPr>
    <w:r>
      <w:t>Conmutador (57) 601 3811700 Fuera de Bogotá 01-8000-910071</w:t>
    </w:r>
  </w:p>
  <w:p w14:paraId="7860B419" w14:textId="77777777" w:rsidR="001829B0" w:rsidRDefault="001829B0" w:rsidP="00505A5F">
    <w:pPr>
      <w:pStyle w:val="Piedepgina"/>
    </w:pPr>
    <w:r>
      <w:t>relacionciudadano@minhacienda.gov.co</w:t>
    </w:r>
  </w:p>
  <w:p w14:paraId="30EA2289" w14:textId="77777777" w:rsidR="001829B0" w:rsidRDefault="001829B0" w:rsidP="00505A5F">
    <w:pPr>
      <w:pStyle w:val="Piedepgina"/>
    </w:pPr>
    <w:r>
      <w:t>www.minhacienda.gov.co</w:t>
    </w:r>
  </w:p>
  <w:p w14:paraId="213BBA90" w14:textId="77777777" w:rsidR="001829B0" w:rsidRPr="00F01F75" w:rsidRDefault="001829B0" w:rsidP="002F2B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75E4" w14:textId="77777777" w:rsidR="001829B0" w:rsidRDefault="001829B0" w:rsidP="00505A5F">
    <w:pPr>
      <w:spacing w:line="276" w:lineRule="auto"/>
      <w:jc w:val="both"/>
    </w:pPr>
    <w:r>
      <w:rPr>
        <w:rFonts w:ascii="Helvetica" w:hAnsi="Helvetica"/>
        <w:sz w:val="20"/>
        <w:szCs w:val="20"/>
      </w:rPr>
      <w:t>________________________________________________________________________</w:t>
    </w:r>
    <w:r>
      <w:t xml:space="preserve"> </w:t>
    </w:r>
  </w:p>
  <w:sdt>
    <w:sdtPr>
      <w:rPr>
        <w:lang w:val="es-ES"/>
      </w:rPr>
      <w:id w:val="-1071572585"/>
      <w:docPartObj>
        <w:docPartGallery w:val="Page Numbers (Bottom of Page)"/>
        <w:docPartUnique/>
      </w:docPartObj>
    </w:sdtPr>
    <w:sdtEndPr/>
    <w:sdtContent>
      <w:p w14:paraId="29DF8BBD" w14:textId="77777777" w:rsidR="001829B0" w:rsidRDefault="001829B0" w:rsidP="00505A5F">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rsidR="0013036F">
          <w:rPr>
            <w:noProof/>
          </w:rPr>
          <w:t>1</w:t>
        </w:r>
        <w:r>
          <w:fldChar w:fldCharType="end"/>
        </w:r>
        <w:r>
          <w:rPr>
            <w:lang w:val="es-ES"/>
          </w:rPr>
          <w:t xml:space="preserve"> </w:t>
        </w:r>
      </w:p>
    </w:sdtContent>
  </w:sdt>
  <w:p w14:paraId="00009852" w14:textId="77777777" w:rsidR="001829B0" w:rsidRDefault="001829B0" w:rsidP="00505A5F">
    <w:pPr>
      <w:pStyle w:val="Piedepgina"/>
      <w:rPr>
        <w:rFonts w:eastAsia="Calibri"/>
        <w:b/>
      </w:rPr>
    </w:pPr>
    <w:r>
      <w:rPr>
        <w:b/>
      </w:rPr>
      <w:t>Ministerio de Hacienda y Crédito Público</w:t>
    </w:r>
  </w:p>
  <w:p w14:paraId="31E04048" w14:textId="77777777" w:rsidR="001829B0" w:rsidRDefault="001829B0" w:rsidP="00505A5F">
    <w:pPr>
      <w:pStyle w:val="Piedepgina"/>
      <w:rPr>
        <w:bCs/>
      </w:rPr>
    </w:pPr>
    <w:r>
      <w:rPr>
        <w:bCs/>
      </w:rPr>
      <w:t>Dirección: Carrera 8 No. 6 C 38 Bogotá D.C. Colombia</w:t>
    </w:r>
  </w:p>
  <w:p w14:paraId="030ED05F" w14:textId="77777777" w:rsidR="001829B0" w:rsidRDefault="001829B0" w:rsidP="00505A5F">
    <w:pPr>
      <w:pStyle w:val="Piedepgina"/>
    </w:pPr>
    <w:r>
      <w:t>Conmutador (57) 601 3811700 Fuera de Bogotá 01-8000-910071</w:t>
    </w:r>
  </w:p>
  <w:p w14:paraId="6A5C6EFA" w14:textId="77777777" w:rsidR="001829B0" w:rsidRDefault="001829B0" w:rsidP="00505A5F">
    <w:pPr>
      <w:pStyle w:val="Piedepgina"/>
    </w:pPr>
    <w:r>
      <w:t>relacionciudadano@minhacienda.gov.co</w:t>
    </w:r>
  </w:p>
  <w:p w14:paraId="771A5BF0" w14:textId="77777777" w:rsidR="001829B0" w:rsidRDefault="001829B0" w:rsidP="00505A5F">
    <w:pPr>
      <w:pStyle w:val="Piedepgina"/>
    </w:pPr>
    <w:r>
      <w:t>www.minhacienda.gov.co</w:t>
    </w:r>
  </w:p>
  <w:p w14:paraId="49460557" w14:textId="77777777" w:rsidR="001829B0" w:rsidRPr="00F01F75" w:rsidRDefault="001829B0" w:rsidP="002F2B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C458" w14:textId="77777777" w:rsidR="002F3C89" w:rsidRDefault="002F3C89" w:rsidP="00F71345">
      <w:r>
        <w:separator/>
      </w:r>
    </w:p>
  </w:footnote>
  <w:footnote w:type="continuationSeparator" w:id="0">
    <w:p w14:paraId="07DB9D6B" w14:textId="77777777" w:rsidR="002F3C89" w:rsidRDefault="002F3C89"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38D6" w14:textId="77777777" w:rsidR="001829B0" w:rsidRDefault="001829B0" w:rsidP="00A82889">
    <w:pPr>
      <w:jc w:val="right"/>
      <w:rPr>
        <w:rFonts w:ascii="Arial" w:hAnsi="Arial" w:cs="Arial"/>
        <w:sz w:val="16"/>
        <w:szCs w:val="16"/>
      </w:rPr>
    </w:pPr>
  </w:p>
  <w:p w14:paraId="5B4219EB" w14:textId="77777777" w:rsidR="001829B0" w:rsidRDefault="001829B0" w:rsidP="00FF4985">
    <w:pPr>
      <w:rPr>
        <w:rFonts w:ascii="Arial" w:hAnsi="Arial" w:cs="Arial"/>
        <w:sz w:val="16"/>
        <w:szCs w:val="16"/>
      </w:rPr>
    </w:pPr>
  </w:p>
  <w:p w14:paraId="11E944B6" w14:textId="77777777" w:rsidR="001829B0" w:rsidRPr="00F01F75" w:rsidRDefault="001829B0" w:rsidP="00F01F75">
    <w:pPr>
      <w:pStyle w:val="Encabezado"/>
      <w:rPr>
        <w:rFonts w:ascii="Arial" w:hAnsi="Arial" w:cs="Arial"/>
        <w:sz w:val="16"/>
        <w:szCs w:val="16"/>
      </w:rPr>
    </w:pPr>
    <w:r>
      <w:rPr>
        <w:noProof/>
        <w:lang w:eastAsia="es-CO"/>
      </w:rPr>
      <w:drawing>
        <wp:inline distT="0" distB="0" distL="0" distR="0" wp14:anchorId="2E0F829B" wp14:editId="24124B61">
          <wp:extent cx="6353175" cy="819150"/>
          <wp:effectExtent l="0" t="0" r="0" b="0"/>
          <wp:docPr id="5"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6353175" cy="819150"/>
                  </a:xfrm>
                  <a:prstGeom prst="rect">
                    <a:avLst/>
                  </a:prstGeom>
                  <a:noFill/>
                  <a:ln>
                    <a:noFill/>
                  </a:ln>
                  <a:extLst>
                    <a:ext uri="{53640926-AAD7-44D8-BBD7-CCE9431645EC}">
                      <a14:shadowObscured xmlns:a14="http://schemas.microsoft.com/office/drawing/2010/main"/>
                    </a:ext>
                  </a:extLst>
                </pic:spPr>
              </pic:pic>
            </a:graphicData>
          </a:graphic>
        </wp:inline>
      </w:drawing>
    </w:r>
    <w:r w:rsidRPr="00505A5F">
      <w:rPr>
        <w:rFonts w:ascii="Arial" w:hAnsi="Arial" w:cs="Arial"/>
        <w:sz w:val="16"/>
        <w:szCs w:val="16"/>
      </w:rPr>
      <w:t xml:space="preserve"> </w:t>
    </w: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13036F">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13036F">
      <w:rPr>
        <w:rStyle w:val="Nmerodepgina"/>
        <w:rFonts w:ascii="Arial" w:hAnsi="Arial" w:cs="Arial"/>
        <w:noProof/>
        <w:sz w:val="16"/>
        <w:szCs w:val="16"/>
      </w:rPr>
      <w:t>24</w:t>
    </w:r>
    <w:r w:rsidRPr="00F01F75">
      <w:rPr>
        <w:rStyle w:val="Nmerodepgina"/>
        <w:rFonts w:ascii="Arial" w:hAnsi="Arial" w:cs="Arial"/>
        <w:sz w:val="16"/>
        <w:szCs w:val="16"/>
      </w:rPr>
      <w:fldChar w:fldCharType="end"/>
    </w:r>
  </w:p>
  <w:p w14:paraId="3CFDA2A7" w14:textId="77777777" w:rsidR="001829B0" w:rsidRPr="00F01F75" w:rsidRDefault="001829B0">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3BE5" w14:textId="77777777" w:rsidR="001829B0" w:rsidRDefault="001829B0" w:rsidP="00FF4985">
    <w:pPr>
      <w:pStyle w:val="Encabezado"/>
    </w:pPr>
    <w:r>
      <w:rPr>
        <w:noProof/>
        <w:lang w:eastAsia="es-CO"/>
      </w:rPr>
      <w:drawing>
        <wp:inline distT="0" distB="0" distL="0" distR="0" wp14:anchorId="6CE27E42" wp14:editId="4812A8C1">
          <wp:extent cx="6419850" cy="1000125"/>
          <wp:effectExtent l="0" t="0" r="0" b="0"/>
          <wp:docPr id="1615993281"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1615993281"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6419850" cy="10001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6A2"/>
    <w:multiLevelType w:val="hybridMultilevel"/>
    <w:tmpl w:val="67D257EC"/>
    <w:lvl w:ilvl="0" w:tplc="0A026830">
      <w:numFmt w:val="bullet"/>
      <w:lvlText w:val="-"/>
      <w:lvlJc w:val="left"/>
      <w:pPr>
        <w:ind w:left="720" w:hanging="360"/>
      </w:pPr>
      <w:rPr>
        <w:rFonts w:ascii="Verdana" w:eastAsia="MS Mincho" w:hAnsi="Verdan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7CA766C"/>
    <w:multiLevelType w:val="hybridMultilevel"/>
    <w:tmpl w:val="F20C5B30"/>
    <w:lvl w:ilvl="0" w:tplc="6FE886EE">
      <w:start w:val="20"/>
      <w:numFmt w:val="bullet"/>
      <w:lvlText w:val="-"/>
      <w:lvlJc w:val="left"/>
      <w:pPr>
        <w:ind w:left="720" w:hanging="360"/>
      </w:pPr>
      <w:rPr>
        <w:rFonts w:ascii="Times New Roman" w:eastAsia="MS Mincho"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D868A4"/>
    <w:multiLevelType w:val="hybridMultilevel"/>
    <w:tmpl w:val="462C6978"/>
    <w:lvl w:ilvl="0" w:tplc="6FE886EE">
      <w:start w:val="20"/>
      <w:numFmt w:val="bullet"/>
      <w:lvlText w:val="-"/>
      <w:lvlJc w:val="left"/>
      <w:pPr>
        <w:ind w:left="720" w:hanging="360"/>
      </w:pPr>
      <w:rPr>
        <w:rFonts w:ascii="Times New Roman" w:eastAsia="MS Mincho"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4BCD3E18"/>
    <w:multiLevelType w:val="hybridMultilevel"/>
    <w:tmpl w:val="C75458EA"/>
    <w:lvl w:ilvl="0" w:tplc="6FE886EE">
      <w:start w:val="20"/>
      <w:numFmt w:val="bullet"/>
      <w:lvlText w:val="-"/>
      <w:lvlJc w:val="left"/>
      <w:pPr>
        <w:ind w:left="720" w:hanging="360"/>
      </w:pPr>
      <w:rPr>
        <w:rFonts w:ascii="Times New Roman" w:eastAsia="MS Mincho"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5AEF58D5"/>
    <w:multiLevelType w:val="multilevel"/>
    <w:tmpl w:val="473EA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3305025">
    <w:abstractNumId w:val="2"/>
  </w:num>
  <w:num w:numId="2" w16cid:durableId="1173295765">
    <w:abstractNumId w:val="6"/>
  </w:num>
  <w:num w:numId="3" w16cid:durableId="2064526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877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159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3342764">
    <w:abstractNumId w:val="1"/>
  </w:num>
  <w:num w:numId="7" w16cid:durableId="1677878358">
    <w:abstractNumId w:val="3"/>
  </w:num>
  <w:num w:numId="8" w16cid:durableId="1056471739">
    <w:abstractNumId w:val="4"/>
  </w:num>
  <w:num w:numId="9" w16cid:durableId="1620646031">
    <w:abstractNumId w:val="0"/>
  </w:num>
  <w:num w:numId="10" w16cid:durableId="252906937">
    <w:abstractNumId w:val="1"/>
  </w:num>
  <w:num w:numId="11" w16cid:durableId="1626498181">
    <w:abstractNumId w:val="3"/>
  </w:num>
  <w:num w:numId="12" w16cid:durableId="9456486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11854"/>
    <w:rsid w:val="00015D8E"/>
    <w:rsid w:val="000219D4"/>
    <w:rsid w:val="00023A69"/>
    <w:rsid w:val="00025168"/>
    <w:rsid w:val="000322E3"/>
    <w:rsid w:val="000426D0"/>
    <w:rsid w:val="00042D32"/>
    <w:rsid w:val="00043DE6"/>
    <w:rsid w:val="000463D3"/>
    <w:rsid w:val="0005197E"/>
    <w:rsid w:val="000533EF"/>
    <w:rsid w:val="00057AF8"/>
    <w:rsid w:val="00057CB6"/>
    <w:rsid w:val="000643E9"/>
    <w:rsid w:val="00065034"/>
    <w:rsid w:val="00066D3A"/>
    <w:rsid w:val="00070C78"/>
    <w:rsid w:val="00073A1F"/>
    <w:rsid w:val="00075AD5"/>
    <w:rsid w:val="00077AA2"/>
    <w:rsid w:val="0008210A"/>
    <w:rsid w:val="0008330B"/>
    <w:rsid w:val="0008507C"/>
    <w:rsid w:val="00087177"/>
    <w:rsid w:val="000877D1"/>
    <w:rsid w:val="00093EB8"/>
    <w:rsid w:val="000A07D3"/>
    <w:rsid w:val="000A1163"/>
    <w:rsid w:val="000A2FC8"/>
    <w:rsid w:val="000A31BA"/>
    <w:rsid w:val="000A3BEB"/>
    <w:rsid w:val="000A4383"/>
    <w:rsid w:val="000A71F1"/>
    <w:rsid w:val="000A791C"/>
    <w:rsid w:val="000B20AE"/>
    <w:rsid w:val="000C007C"/>
    <w:rsid w:val="000C2C96"/>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D5"/>
    <w:rsid w:val="0011263A"/>
    <w:rsid w:val="0011350E"/>
    <w:rsid w:val="00113CC1"/>
    <w:rsid w:val="00114AE3"/>
    <w:rsid w:val="00117B7B"/>
    <w:rsid w:val="00120EEB"/>
    <w:rsid w:val="00122182"/>
    <w:rsid w:val="001258D6"/>
    <w:rsid w:val="00127CD2"/>
    <w:rsid w:val="0013036F"/>
    <w:rsid w:val="00130944"/>
    <w:rsid w:val="001339E2"/>
    <w:rsid w:val="0013472A"/>
    <w:rsid w:val="001419E5"/>
    <w:rsid w:val="00144777"/>
    <w:rsid w:val="001448E3"/>
    <w:rsid w:val="001454CA"/>
    <w:rsid w:val="001467DE"/>
    <w:rsid w:val="00147E82"/>
    <w:rsid w:val="001515F9"/>
    <w:rsid w:val="001518F2"/>
    <w:rsid w:val="00153869"/>
    <w:rsid w:val="00153C65"/>
    <w:rsid w:val="00155650"/>
    <w:rsid w:val="00156301"/>
    <w:rsid w:val="00162B69"/>
    <w:rsid w:val="00166790"/>
    <w:rsid w:val="00167BE4"/>
    <w:rsid w:val="0017111C"/>
    <w:rsid w:val="001741BB"/>
    <w:rsid w:val="0017545B"/>
    <w:rsid w:val="001829B0"/>
    <w:rsid w:val="00182DEA"/>
    <w:rsid w:val="0019035D"/>
    <w:rsid w:val="00191CE9"/>
    <w:rsid w:val="00191D96"/>
    <w:rsid w:val="00191E93"/>
    <w:rsid w:val="00191EBC"/>
    <w:rsid w:val="00193284"/>
    <w:rsid w:val="0019444E"/>
    <w:rsid w:val="00195472"/>
    <w:rsid w:val="001971ED"/>
    <w:rsid w:val="001972B2"/>
    <w:rsid w:val="001A1ABA"/>
    <w:rsid w:val="001A2147"/>
    <w:rsid w:val="001B0799"/>
    <w:rsid w:val="001B3240"/>
    <w:rsid w:val="001C0181"/>
    <w:rsid w:val="001C1229"/>
    <w:rsid w:val="001C40E5"/>
    <w:rsid w:val="001D085D"/>
    <w:rsid w:val="001D104A"/>
    <w:rsid w:val="001D13E2"/>
    <w:rsid w:val="001D1F25"/>
    <w:rsid w:val="001D36C0"/>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07E2E"/>
    <w:rsid w:val="0021375B"/>
    <w:rsid w:val="002176E6"/>
    <w:rsid w:val="002211EF"/>
    <w:rsid w:val="00221EF1"/>
    <w:rsid w:val="0022264A"/>
    <w:rsid w:val="0022631D"/>
    <w:rsid w:val="00226B16"/>
    <w:rsid w:val="00232DCA"/>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089"/>
    <w:rsid w:val="002658A7"/>
    <w:rsid w:val="002710CD"/>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AF2"/>
    <w:rsid w:val="002E6BE9"/>
    <w:rsid w:val="002E72FA"/>
    <w:rsid w:val="002E7640"/>
    <w:rsid w:val="002E7778"/>
    <w:rsid w:val="002F01D9"/>
    <w:rsid w:val="002F2BCC"/>
    <w:rsid w:val="002F3621"/>
    <w:rsid w:val="002F3C89"/>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6D25"/>
    <w:rsid w:val="003D00E0"/>
    <w:rsid w:val="003D4DD3"/>
    <w:rsid w:val="003D7FD2"/>
    <w:rsid w:val="003E221C"/>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30693"/>
    <w:rsid w:val="0043107F"/>
    <w:rsid w:val="004315F2"/>
    <w:rsid w:val="00434B41"/>
    <w:rsid w:val="00437A6B"/>
    <w:rsid w:val="004412E9"/>
    <w:rsid w:val="0044344C"/>
    <w:rsid w:val="00447D2A"/>
    <w:rsid w:val="00450D48"/>
    <w:rsid w:val="00453CE2"/>
    <w:rsid w:val="004607BE"/>
    <w:rsid w:val="00467143"/>
    <w:rsid w:val="00467ACD"/>
    <w:rsid w:val="004700D0"/>
    <w:rsid w:val="00472DB8"/>
    <w:rsid w:val="00472DE8"/>
    <w:rsid w:val="00473B82"/>
    <w:rsid w:val="00473F70"/>
    <w:rsid w:val="00474633"/>
    <w:rsid w:val="00483386"/>
    <w:rsid w:val="00483533"/>
    <w:rsid w:val="00487AEE"/>
    <w:rsid w:val="0049010D"/>
    <w:rsid w:val="004940D4"/>
    <w:rsid w:val="00496473"/>
    <w:rsid w:val="004A140A"/>
    <w:rsid w:val="004A7F07"/>
    <w:rsid w:val="004A7F0D"/>
    <w:rsid w:val="004B267F"/>
    <w:rsid w:val="004B299B"/>
    <w:rsid w:val="004C3700"/>
    <w:rsid w:val="004D11E5"/>
    <w:rsid w:val="004D3AB8"/>
    <w:rsid w:val="004D462A"/>
    <w:rsid w:val="004D4EE2"/>
    <w:rsid w:val="004D66AD"/>
    <w:rsid w:val="004E432F"/>
    <w:rsid w:val="004E4D21"/>
    <w:rsid w:val="004E6B93"/>
    <w:rsid w:val="004E7B18"/>
    <w:rsid w:val="004E7D8F"/>
    <w:rsid w:val="004F093C"/>
    <w:rsid w:val="004F2BB0"/>
    <w:rsid w:val="004F7BEA"/>
    <w:rsid w:val="00505A5F"/>
    <w:rsid w:val="005125B0"/>
    <w:rsid w:val="00514FBE"/>
    <w:rsid w:val="0052149D"/>
    <w:rsid w:val="0052323E"/>
    <w:rsid w:val="00526464"/>
    <w:rsid w:val="0053089E"/>
    <w:rsid w:val="00531665"/>
    <w:rsid w:val="005333BC"/>
    <w:rsid w:val="00533C3E"/>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1ED1"/>
    <w:rsid w:val="0057200A"/>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2707"/>
    <w:rsid w:val="005D4DC9"/>
    <w:rsid w:val="005E04F5"/>
    <w:rsid w:val="005E1133"/>
    <w:rsid w:val="005F2435"/>
    <w:rsid w:val="005F245D"/>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1E8B"/>
    <w:rsid w:val="00635021"/>
    <w:rsid w:val="00635482"/>
    <w:rsid w:val="00636431"/>
    <w:rsid w:val="00641321"/>
    <w:rsid w:val="006413EA"/>
    <w:rsid w:val="00642DF2"/>
    <w:rsid w:val="006473B9"/>
    <w:rsid w:val="006511EB"/>
    <w:rsid w:val="00653965"/>
    <w:rsid w:val="00666526"/>
    <w:rsid w:val="00675B68"/>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137B"/>
    <w:rsid w:val="006E247D"/>
    <w:rsid w:val="006E358F"/>
    <w:rsid w:val="006E6B01"/>
    <w:rsid w:val="006E6E29"/>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56D22"/>
    <w:rsid w:val="0076104D"/>
    <w:rsid w:val="007616AB"/>
    <w:rsid w:val="00761DA0"/>
    <w:rsid w:val="007649A3"/>
    <w:rsid w:val="00772099"/>
    <w:rsid w:val="00774648"/>
    <w:rsid w:val="007760F2"/>
    <w:rsid w:val="0077677C"/>
    <w:rsid w:val="007808EB"/>
    <w:rsid w:val="007810B5"/>
    <w:rsid w:val="007854AF"/>
    <w:rsid w:val="007902C2"/>
    <w:rsid w:val="0079273A"/>
    <w:rsid w:val="0079650C"/>
    <w:rsid w:val="00797B07"/>
    <w:rsid w:val="00797DA6"/>
    <w:rsid w:val="007A25C5"/>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40DC"/>
    <w:rsid w:val="00854C45"/>
    <w:rsid w:val="00862A45"/>
    <w:rsid w:val="008630CA"/>
    <w:rsid w:val="008663CA"/>
    <w:rsid w:val="008674EE"/>
    <w:rsid w:val="00870E09"/>
    <w:rsid w:val="00874628"/>
    <w:rsid w:val="00876917"/>
    <w:rsid w:val="008840C6"/>
    <w:rsid w:val="00885944"/>
    <w:rsid w:val="008861B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902163"/>
    <w:rsid w:val="0090268D"/>
    <w:rsid w:val="0090467A"/>
    <w:rsid w:val="00911020"/>
    <w:rsid w:val="00911C9F"/>
    <w:rsid w:val="00912562"/>
    <w:rsid w:val="0092035F"/>
    <w:rsid w:val="009271C8"/>
    <w:rsid w:val="00931D87"/>
    <w:rsid w:val="009436F2"/>
    <w:rsid w:val="00944394"/>
    <w:rsid w:val="00944CEA"/>
    <w:rsid w:val="00945819"/>
    <w:rsid w:val="0095171F"/>
    <w:rsid w:val="00951B76"/>
    <w:rsid w:val="00952440"/>
    <w:rsid w:val="009527D9"/>
    <w:rsid w:val="00952CD2"/>
    <w:rsid w:val="00955635"/>
    <w:rsid w:val="009565E0"/>
    <w:rsid w:val="009600C8"/>
    <w:rsid w:val="00962096"/>
    <w:rsid w:val="0096240B"/>
    <w:rsid w:val="009652F8"/>
    <w:rsid w:val="009677C0"/>
    <w:rsid w:val="00967DB2"/>
    <w:rsid w:val="00974CDD"/>
    <w:rsid w:val="0098182C"/>
    <w:rsid w:val="00982AC4"/>
    <w:rsid w:val="00992748"/>
    <w:rsid w:val="0099421E"/>
    <w:rsid w:val="00996E42"/>
    <w:rsid w:val="00996E4F"/>
    <w:rsid w:val="0099728C"/>
    <w:rsid w:val="00997A66"/>
    <w:rsid w:val="009A00D8"/>
    <w:rsid w:val="009A0260"/>
    <w:rsid w:val="009A1CDC"/>
    <w:rsid w:val="009A34A5"/>
    <w:rsid w:val="009A5550"/>
    <w:rsid w:val="009B06E4"/>
    <w:rsid w:val="009B3C7A"/>
    <w:rsid w:val="009B4F70"/>
    <w:rsid w:val="009B62ED"/>
    <w:rsid w:val="009C1E4E"/>
    <w:rsid w:val="009C49C7"/>
    <w:rsid w:val="009C541E"/>
    <w:rsid w:val="009C66E3"/>
    <w:rsid w:val="009C6FEB"/>
    <w:rsid w:val="009D1CFE"/>
    <w:rsid w:val="009D2198"/>
    <w:rsid w:val="009D3916"/>
    <w:rsid w:val="009D6F03"/>
    <w:rsid w:val="009E0515"/>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62B42"/>
    <w:rsid w:val="00A63200"/>
    <w:rsid w:val="00A646FC"/>
    <w:rsid w:val="00A65BBE"/>
    <w:rsid w:val="00A65FDF"/>
    <w:rsid w:val="00A71316"/>
    <w:rsid w:val="00A74D82"/>
    <w:rsid w:val="00A77A34"/>
    <w:rsid w:val="00A82889"/>
    <w:rsid w:val="00A8367C"/>
    <w:rsid w:val="00A9281B"/>
    <w:rsid w:val="00A961F0"/>
    <w:rsid w:val="00A963CA"/>
    <w:rsid w:val="00A978EA"/>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5DE1"/>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26FA"/>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3CB2"/>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46B9"/>
    <w:rsid w:val="00C250C6"/>
    <w:rsid w:val="00C27CC8"/>
    <w:rsid w:val="00C32D7F"/>
    <w:rsid w:val="00C33C8C"/>
    <w:rsid w:val="00C427C0"/>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6B23"/>
    <w:rsid w:val="00CB70F7"/>
    <w:rsid w:val="00CD1C0F"/>
    <w:rsid w:val="00CD2418"/>
    <w:rsid w:val="00CD2B33"/>
    <w:rsid w:val="00CD5E28"/>
    <w:rsid w:val="00CE7065"/>
    <w:rsid w:val="00CF5704"/>
    <w:rsid w:val="00D0015C"/>
    <w:rsid w:val="00D0144F"/>
    <w:rsid w:val="00D06885"/>
    <w:rsid w:val="00D10AAF"/>
    <w:rsid w:val="00D12651"/>
    <w:rsid w:val="00D12FFB"/>
    <w:rsid w:val="00D14983"/>
    <w:rsid w:val="00D153EA"/>
    <w:rsid w:val="00D210E1"/>
    <w:rsid w:val="00D2162C"/>
    <w:rsid w:val="00D27A6F"/>
    <w:rsid w:val="00D44229"/>
    <w:rsid w:val="00D45F04"/>
    <w:rsid w:val="00D52E85"/>
    <w:rsid w:val="00D54781"/>
    <w:rsid w:val="00D55234"/>
    <w:rsid w:val="00D5628C"/>
    <w:rsid w:val="00D56FE3"/>
    <w:rsid w:val="00D61C2E"/>
    <w:rsid w:val="00D63A31"/>
    <w:rsid w:val="00D674F6"/>
    <w:rsid w:val="00D70F1B"/>
    <w:rsid w:val="00D7302D"/>
    <w:rsid w:val="00D8162B"/>
    <w:rsid w:val="00D81F18"/>
    <w:rsid w:val="00D85863"/>
    <w:rsid w:val="00D90014"/>
    <w:rsid w:val="00D91956"/>
    <w:rsid w:val="00D91E61"/>
    <w:rsid w:val="00D92691"/>
    <w:rsid w:val="00D938CA"/>
    <w:rsid w:val="00D952A9"/>
    <w:rsid w:val="00D96A3E"/>
    <w:rsid w:val="00DA6832"/>
    <w:rsid w:val="00DA6CB2"/>
    <w:rsid w:val="00DB1A70"/>
    <w:rsid w:val="00DB1B9A"/>
    <w:rsid w:val="00DB2378"/>
    <w:rsid w:val="00DB264B"/>
    <w:rsid w:val="00DB4A24"/>
    <w:rsid w:val="00DC25D3"/>
    <w:rsid w:val="00DC2787"/>
    <w:rsid w:val="00DC4423"/>
    <w:rsid w:val="00DC60BE"/>
    <w:rsid w:val="00DC7BBB"/>
    <w:rsid w:val="00DD3C3F"/>
    <w:rsid w:val="00DD4C14"/>
    <w:rsid w:val="00DE071F"/>
    <w:rsid w:val="00DF13EB"/>
    <w:rsid w:val="00DF1791"/>
    <w:rsid w:val="00DF4CC1"/>
    <w:rsid w:val="00DF5C1A"/>
    <w:rsid w:val="00DF6348"/>
    <w:rsid w:val="00DF6E27"/>
    <w:rsid w:val="00E01216"/>
    <w:rsid w:val="00E02036"/>
    <w:rsid w:val="00E02276"/>
    <w:rsid w:val="00E045EA"/>
    <w:rsid w:val="00E0495B"/>
    <w:rsid w:val="00E06793"/>
    <w:rsid w:val="00E0759D"/>
    <w:rsid w:val="00E11760"/>
    <w:rsid w:val="00E14B50"/>
    <w:rsid w:val="00E15BE8"/>
    <w:rsid w:val="00E20CD5"/>
    <w:rsid w:val="00E22584"/>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4405"/>
    <w:rsid w:val="00E84A33"/>
    <w:rsid w:val="00E97BFD"/>
    <w:rsid w:val="00EA09E2"/>
    <w:rsid w:val="00EA1AF5"/>
    <w:rsid w:val="00EA4B94"/>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D14"/>
    <w:rsid w:val="00EF523B"/>
    <w:rsid w:val="00EF55FD"/>
    <w:rsid w:val="00EF5D6B"/>
    <w:rsid w:val="00EF6C25"/>
    <w:rsid w:val="00EF70A7"/>
    <w:rsid w:val="00EF71C9"/>
    <w:rsid w:val="00F00EEA"/>
    <w:rsid w:val="00F018CF"/>
    <w:rsid w:val="00F01F75"/>
    <w:rsid w:val="00F02B45"/>
    <w:rsid w:val="00F02E2D"/>
    <w:rsid w:val="00F04D0A"/>
    <w:rsid w:val="00F10C44"/>
    <w:rsid w:val="00F12577"/>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748"/>
    <w:rsid w:val="00F70165"/>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3A7D"/>
    <w:rsid w:val="00FB20F6"/>
    <w:rsid w:val="00FB4415"/>
    <w:rsid w:val="00FB58C7"/>
    <w:rsid w:val="00FC1153"/>
    <w:rsid w:val="00FC1BF5"/>
    <w:rsid w:val="00FC3CC7"/>
    <w:rsid w:val="00FC45B5"/>
    <w:rsid w:val="00FC4A32"/>
    <w:rsid w:val="00FC70A9"/>
    <w:rsid w:val="00FC794A"/>
    <w:rsid w:val="00FD2584"/>
    <w:rsid w:val="00FD4185"/>
    <w:rsid w:val="00FD4248"/>
    <w:rsid w:val="00FD6239"/>
    <w:rsid w:val="00FD6D86"/>
    <w:rsid w:val="00FE3832"/>
    <w:rsid w:val="00FF0B3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4511"/>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table" w:customStyle="1" w:styleId="Tablaconcuadrcula1">
    <w:name w:val="Tabla con cuadrícula1"/>
    <w:rsid w:val="00505A5F"/>
    <w:rPr>
      <w:rFonts w:eastAsiaTheme="minorEastAsia" w:cs="Times New Roman"/>
    </w:rPr>
    <w:tblPr>
      <w:tblCellMar>
        <w:top w:w="0" w:type="dxa"/>
        <w:left w:w="0" w:type="dxa"/>
        <w:bottom w:w="0" w:type="dxa"/>
        <w:right w:w="0" w:type="dxa"/>
      </w:tblCellMar>
    </w:tblPr>
  </w:style>
  <w:style w:type="paragraph" w:styleId="Revisin">
    <w:name w:val="Revision"/>
    <w:hidden/>
    <w:uiPriority w:val="99"/>
    <w:semiHidden/>
    <w:rsid w:val="00756D22"/>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56568042">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85767349">
      <w:bodyDiv w:val="1"/>
      <w:marLeft w:val="0"/>
      <w:marRight w:val="0"/>
      <w:marTop w:val="0"/>
      <w:marBottom w:val="0"/>
      <w:divBdr>
        <w:top w:val="none" w:sz="0" w:space="0" w:color="auto"/>
        <w:left w:val="none" w:sz="0" w:space="0" w:color="auto"/>
        <w:bottom w:val="none" w:sz="0" w:space="0" w:color="auto"/>
        <w:right w:val="none" w:sz="0" w:space="0" w:color="auto"/>
      </w:divBdr>
      <w:divsChild>
        <w:div w:id="1410078313">
          <w:marLeft w:val="0"/>
          <w:marRight w:val="0"/>
          <w:marTop w:val="0"/>
          <w:marBottom w:val="0"/>
          <w:divBdr>
            <w:top w:val="none" w:sz="0" w:space="0" w:color="auto"/>
            <w:left w:val="none" w:sz="0" w:space="0" w:color="auto"/>
            <w:bottom w:val="none" w:sz="0" w:space="0" w:color="auto"/>
            <w:right w:val="none" w:sz="0" w:space="0" w:color="auto"/>
          </w:divBdr>
          <w:divsChild>
            <w:div w:id="1968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63729205">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699503485">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ams.microsoft.com/l/meetupjoin/19%3a5def86f21d3147069e5dfe8cd1d9ffaa%40thread.skype/1681402747411?context=%7b%22Tid%22%3a%22b4ea60d8-be49-%2040bc98c418c43bfd721e%22%2c%22Oid%22%3a%224cbad6ac-9f02-45d0-be6c-27093650aa19%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686C57CD-3AC5-45D6-96DE-CCB57E04F82E}"/>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2CF47300-ABE5-4FF7-97A8-C6ECC6F7E88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05FAC17-C422-4D88-945B-FF0B3E07E4BD}"/>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25</Pages>
  <Words>9080</Words>
  <Characters>49945</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58908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cp:lastModifiedBy>
  <cp:revision>2</cp:revision>
  <cp:lastPrinted>2015-12-16T15:04:00Z</cp:lastPrinted>
  <dcterms:created xsi:type="dcterms:W3CDTF">2023-10-14T09:41:00Z</dcterms:created>
  <dcterms:modified xsi:type="dcterms:W3CDTF">2023-10-14T09:41:00Z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