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98F" w:rsidRPr="00D4546B" w:rsidRDefault="003D798F" w:rsidP="000A5BEA">
      <w:pPr>
        <w:jc w:val="center"/>
        <w:rPr>
          <w:rFonts w:ascii="Arial" w:hAnsi="Arial" w:cs="Arial"/>
          <w:b/>
          <w:sz w:val="22"/>
          <w:szCs w:val="22"/>
        </w:rPr>
      </w:pPr>
      <w:bookmarkStart w:id="0" w:name="_GoBack"/>
      <w:bookmarkEnd w:id="0"/>
      <w:r w:rsidRPr="00D4546B">
        <w:rPr>
          <w:rFonts w:ascii="Arial" w:hAnsi="Arial" w:cs="Arial"/>
          <w:b/>
          <w:sz w:val="22"/>
          <w:szCs w:val="22"/>
        </w:rPr>
        <w:t xml:space="preserve">INFORME RESUMEN - PLAN DE DESEMPEÑO DEL SECTOR </w:t>
      </w:r>
      <w:r w:rsidR="004662E4" w:rsidRPr="00D4546B">
        <w:rPr>
          <w:rFonts w:ascii="Arial" w:hAnsi="Arial" w:cs="Arial"/>
          <w:b/>
          <w:sz w:val="22"/>
          <w:szCs w:val="22"/>
        </w:rPr>
        <w:t>EDUCACIÓN</w:t>
      </w:r>
    </w:p>
    <w:p w:rsidR="003D798F" w:rsidRPr="00D4546B" w:rsidRDefault="00B12358" w:rsidP="000A5BEA">
      <w:pPr>
        <w:jc w:val="center"/>
        <w:rPr>
          <w:rFonts w:ascii="Arial" w:hAnsi="Arial" w:cs="Arial"/>
          <w:b/>
          <w:sz w:val="22"/>
          <w:szCs w:val="22"/>
        </w:rPr>
      </w:pPr>
      <w:r w:rsidRPr="00D4546B">
        <w:rPr>
          <w:rFonts w:ascii="Arial" w:hAnsi="Arial" w:cs="Arial"/>
          <w:b/>
          <w:sz w:val="22"/>
          <w:szCs w:val="22"/>
        </w:rPr>
        <w:t xml:space="preserve">DEPARTAMENTO </w:t>
      </w:r>
      <w:r w:rsidR="003D798F" w:rsidRPr="00D4546B">
        <w:rPr>
          <w:rFonts w:ascii="Arial" w:hAnsi="Arial" w:cs="Arial"/>
          <w:b/>
          <w:sz w:val="22"/>
          <w:szCs w:val="22"/>
        </w:rPr>
        <w:t xml:space="preserve">DE </w:t>
      </w:r>
      <w:r w:rsidR="004662E4" w:rsidRPr="00D4546B">
        <w:rPr>
          <w:rFonts w:ascii="Arial" w:hAnsi="Arial" w:cs="Arial"/>
          <w:b/>
          <w:sz w:val="22"/>
          <w:szCs w:val="22"/>
        </w:rPr>
        <w:t>CÓRDOBA</w:t>
      </w:r>
    </w:p>
    <w:p w:rsidR="003D798F" w:rsidRPr="00D4546B" w:rsidRDefault="003D798F" w:rsidP="000A5BEA">
      <w:pPr>
        <w:rPr>
          <w:rFonts w:ascii="Arial" w:hAnsi="Arial" w:cs="Arial"/>
          <w:sz w:val="22"/>
          <w:szCs w:val="22"/>
        </w:rPr>
      </w:pPr>
    </w:p>
    <w:p w:rsidR="00BA2152" w:rsidRPr="00D4546B" w:rsidRDefault="00BA2152" w:rsidP="000A5BEA">
      <w:pPr>
        <w:rPr>
          <w:rFonts w:ascii="Arial" w:hAnsi="Arial" w:cs="Arial"/>
          <w:sz w:val="22"/>
          <w:szCs w:val="22"/>
        </w:rPr>
      </w:pPr>
    </w:p>
    <w:p w:rsidR="003D798F" w:rsidRPr="00D4546B" w:rsidRDefault="00B12358" w:rsidP="000A5BEA">
      <w:pPr>
        <w:rPr>
          <w:rFonts w:ascii="Arial" w:hAnsi="Arial" w:cs="Arial"/>
          <w:sz w:val="22"/>
          <w:szCs w:val="22"/>
        </w:rPr>
      </w:pPr>
      <w:r w:rsidRPr="00D4546B">
        <w:rPr>
          <w:rFonts w:ascii="Arial" w:hAnsi="Arial" w:cs="Arial"/>
          <w:b/>
          <w:sz w:val="22"/>
          <w:szCs w:val="22"/>
        </w:rPr>
        <w:t xml:space="preserve">Periodo de </w:t>
      </w:r>
      <w:r w:rsidR="003D798F" w:rsidRPr="00D4546B">
        <w:rPr>
          <w:rFonts w:ascii="Arial" w:hAnsi="Arial" w:cs="Arial"/>
          <w:b/>
          <w:sz w:val="22"/>
          <w:szCs w:val="22"/>
        </w:rPr>
        <w:t xml:space="preserve">evaluación: </w:t>
      </w:r>
      <w:r w:rsidR="004662E4" w:rsidRPr="00D4546B">
        <w:rPr>
          <w:rFonts w:ascii="Arial" w:hAnsi="Arial" w:cs="Arial"/>
          <w:sz w:val="22"/>
          <w:szCs w:val="22"/>
        </w:rPr>
        <w:t>Enero a Diciembre de 2019</w:t>
      </w:r>
    </w:p>
    <w:p w:rsidR="003D798F" w:rsidRPr="00D4546B" w:rsidRDefault="003D798F" w:rsidP="000A5BEA">
      <w:pPr>
        <w:rPr>
          <w:rFonts w:ascii="Arial" w:hAnsi="Arial" w:cs="Arial"/>
          <w:sz w:val="22"/>
          <w:szCs w:val="22"/>
        </w:rPr>
      </w:pPr>
    </w:p>
    <w:p w:rsidR="00BA2152" w:rsidRPr="00D4546B" w:rsidRDefault="00BA2152" w:rsidP="000A5BEA">
      <w:pPr>
        <w:rPr>
          <w:rFonts w:ascii="Arial" w:hAnsi="Arial" w:cs="Arial"/>
          <w:sz w:val="22"/>
          <w:szCs w:val="22"/>
        </w:rPr>
      </w:pPr>
    </w:p>
    <w:p w:rsidR="004662E4" w:rsidRPr="00D4546B" w:rsidRDefault="004662E4" w:rsidP="000A5BEA">
      <w:pPr>
        <w:pStyle w:val="Prrafodelista"/>
        <w:numPr>
          <w:ilvl w:val="0"/>
          <w:numId w:val="8"/>
        </w:numPr>
        <w:jc w:val="both"/>
        <w:rPr>
          <w:rFonts w:ascii="Arial" w:hAnsi="Arial" w:cs="Arial"/>
          <w:b/>
          <w:sz w:val="22"/>
          <w:szCs w:val="22"/>
        </w:rPr>
      </w:pPr>
      <w:r w:rsidRPr="00D4546B">
        <w:rPr>
          <w:rFonts w:ascii="Arial" w:hAnsi="Arial" w:cs="Arial"/>
          <w:b/>
          <w:sz w:val="22"/>
          <w:szCs w:val="22"/>
        </w:rPr>
        <w:t>Diagnóstico Inicial</w:t>
      </w:r>
    </w:p>
    <w:p w:rsidR="004662E4" w:rsidRPr="00D4546B" w:rsidRDefault="004662E4" w:rsidP="000A5BEA">
      <w:pPr>
        <w:jc w:val="both"/>
        <w:rPr>
          <w:rFonts w:ascii="Arial" w:hAnsi="Arial" w:cs="Arial"/>
          <w:b/>
          <w:sz w:val="22"/>
          <w:szCs w:val="22"/>
        </w:rPr>
      </w:pPr>
    </w:p>
    <w:p w:rsidR="004662E4" w:rsidRPr="00D4546B" w:rsidRDefault="004662E4" w:rsidP="000A5BEA">
      <w:pPr>
        <w:pStyle w:val="Prrafodelista"/>
        <w:numPr>
          <w:ilvl w:val="0"/>
          <w:numId w:val="9"/>
        </w:numPr>
        <w:jc w:val="both"/>
        <w:rPr>
          <w:rFonts w:ascii="Arial" w:hAnsi="Arial" w:cs="Arial"/>
          <w:b/>
          <w:sz w:val="22"/>
          <w:szCs w:val="22"/>
        </w:rPr>
      </w:pPr>
      <w:r w:rsidRPr="00D4546B">
        <w:rPr>
          <w:rFonts w:ascii="Arial" w:hAnsi="Arial" w:cs="Arial"/>
          <w:b/>
          <w:sz w:val="22"/>
          <w:szCs w:val="22"/>
        </w:rPr>
        <w:t>Antecedentes</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El Departamento de Córdoba fue priorizado por la Dirección General de Apoyo Fiscal para aplicar las actividades de seguimiento y control asociadas a la estrategia de monitoreo, seguimiento y control al uso de recursos del Sistema General de Participaciones a las que se refiere el Decreto 028 de 2008 y sus reglamentarios, se realizó una visita de reconocimiento institucional a dicha entidad en los días 5, 6 y 7 de julio de 2016.</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En el diagnóstico inicial de los principales temas del sector se encontraron problemas relacionados con los reportes de información financiera; calidad de la información sectorial reportada al SIMAT, FUT y DUE; incorporación y uso de recursos del SGP; administración del recurso humano; contratación del servicio educativo; y pago de nómina. Como resultado</w:t>
      </w:r>
      <w:r w:rsidR="00BA2152" w:rsidRPr="00D4546B">
        <w:rPr>
          <w:rFonts w:ascii="Arial" w:hAnsi="Arial" w:cs="Arial"/>
          <w:sz w:val="22"/>
          <w:szCs w:val="22"/>
        </w:rPr>
        <w:t>,</w:t>
      </w:r>
      <w:r w:rsidRPr="00D4546B">
        <w:rPr>
          <w:rFonts w:ascii="Arial" w:hAnsi="Arial" w:cs="Arial"/>
          <w:sz w:val="22"/>
          <w:szCs w:val="22"/>
        </w:rPr>
        <w:t xml:space="preserve"> se evidenció la ocurrencia de los eventos de riesgo No. 9.1, 9.2, 9.4, 9.6, 9.10, 9.17 y 9.18, incluidos en el artículo 9 del Decreto 028 de 2008.</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 xml:space="preserve">Por medio de la </w:t>
      </w:r>
      <w:r w:rsidRPr="00D4546B">
        <w:rPr>
          <w:rFonts w:ascii="Arial" w:hAnsi="Arial" w:cs="Arial"/>
          <w:sz w:val="22"/>
          <w:szCs w:val="22"/>
        </w:rPr>
        <w:fldChar w:fldCharType="begin"/>
      </w:r>
      <w:r w:rsidRPr="00D4546B">
        <w:rPr>
          <w:rFonts w:ascii="Arial" w:hAnsi="Arial" w:cs="Arial"/>
          <w:sz w:val="22"/>
          <w:szCs w:val="22"/>
        </w:rPr>
        <w:instrText xml:space="preserve"> LINK Excel.SheetMacroEnabled.12 "\\\\MH-EXMOSSSA01.MHEXT.RED\\EncuestasPSFF_Archivos\\Decreto028\\BD\\Excel\\Matriz_2018_PlanDesempeño_Departamento_Córdoba_Sector_Educación.xlsm" "Principal!F10C7" \a \t  \* MERGEFORMAT </w:instrText>
      </w:r>
      <w:r w:rsidRPr="00D4546B">
        <w:rPr>
          <w:rFonts w:ascii="Arial" w:hAnsi="Arial" w:cs="Arial"/>
          <w:sz w:val="22"/>
          <w:szCs w:val="22"/>
        </w:rPr>
        <w:fldChar w:fldCharType="separate"/>
      </w:r>
      <w:r w:rsidRPr="00D4546B">
        <w:rPr>
          <w:rFonts w:ascii="Arial" w:hAnsi="Arial" w:cs="Arial"/>
          <w:sz w:val="22"/>
          <w:szCs w:val="22"/>
        </w:rPr>
        <w:t>Resolución DAF No.1681 del 16 de Junio del 2017</w:t>
      </w:r>
      <w:r w:rsidRPr="00D4546B">
        <w:rPr>
          <w:rFonts w:ascii="Arial" w:hAnsi="Arial" w:cs="Arial"/>
          <w:sz w:val="22"/>
          <w:szCs w:val="22"/>
        </w:rPr>
        <w:fldChar w:fldCharType="end"/>
      </w:r>
      <w:r w:rsidRPr="00D4546B">
        <w:rPr>
          <w:rFonts w:ascii="Arial" w:hAnsi="Arial" w:cs="Arial"/>
          <w:sz w:val="22"/>
          <w:szCs w:val="22"/>
        </w:rPr>
        <w:t xml:space="preserve"> se determinó la adopción de la </w:t>
      </w:r>
      <w:r w:rsidRPr="00D4546B">
        <w:rPr>
          <w:rFonts w:ascii="Arial" w:hAnsi="Arial" w:cs="Arial"/>
          <w:sz w:val="22"/>
          <w:szCs w:val="22"/>
        </w:rPr>
        <w:fldChar w:fldCharType="begin"/>
      </w:r>
      <w:r w:rsidRPr="00D4546B">
        <w:rPr>
          <w:rFonts w:ascii="Arial" w:hAnsi="Arial" w:cs="Arial"/>
          <w:sz w:val="22"/>
          <w:szCs w:val="22"/>
        </w:rPr>
        <w:instrText xml:space="preserve"> LINK Excel.SheetMacroEnabled.12 "\\\\MH-EXMOSSSA01.MHEXT.RED\\EncuestasPSFF_Archivos\\Decreto028\\BD\\Excel\\Matriz_2018_PlanDesempeño_Departamento_Córdoba_Sector_Educación.xlsm" "Principal!F18C8" \a \t  \* MERGEFORMAT </w:instrText>
      </w:r>
      <w:r w:rsidRPr="00D4546B">
        <w:rPr>
          <w:rFonts w:ascii="Arial" w:hAnsi="Arial" w:cs="Arial"/>
          <w:sz w:val="22"/>
          <w:szCs w:val="22"/>
        </w:rPr>
        <w:fldChar w:fldCharType="separate"/>
      </w:r>
      <w:r w:rsidRPr="00D4546B">
        <w:rPr>
          <w:rFonts w:ascii="Arial" w:hAnsi="Arial" w:cs="Arial"/>
          <w:sz w:val="22"/>
          <w:szCs w:val="22"/>
        </w:rPr>
        <w:t>Medida Preventiva</w:t>
      </w:r>
      <w:r w:rsidR="00BA2152" w:rsidRPr="00D4546B">
        <w:rPr>
          <w:rFonts w:ascii="Arial" w:hAnsi="Arial" w:cs="Arial"/>
          <w:sz w:val="22"/>
          <w:szCs w:val="22"/>
        </w:rPr>
        <w:t xml:space="preserve"> de </w:t>
      </w:r>
      <w:r w:rsidRPr="00D4546B">
        <w:rPr>
          <w:rFonts w:ascii="Arial" w:hAnsi="Arial" w:cs="Arial"/>
          <w:sz w:val="22"/>
          <w:szCs w:val="22"/>
        </w:rPr>
        <w:t>Plan de Desempeño</w:t>
      </w:r>
      <w:r w:rsidRPr="00D4546B">
        <w:rPr>
          <w:rFonts w:ascii="Arial" w:hAnsi="Arial" w:cs="Arial"/>
          <w:sz w:val="22"/>
          <w:szCs w:val="22"/>
        </w:rPr>
        <w:fldChar w:fldCharType="end"/>
      </w:r>
      <w:r w:rsidRPr="00D4546B">
        <w:rPr>
          <w:rFonts w:ascii="Arial" w:hAnsi="Arial" w:cs="Arial"/>
          <w:sz w:val="22"/>
          <w:szCs w:val="22"/>
        </w:rPr>
        <w:t xml:space="preserve"> para que la entidad superara los eventos de riesgo mencionados y todas aquellas situaciones identificadas como problemáticas dentro de sector, en virtud de lo estipulado por los artículos 10, 11 y 13 del Decreto 028 de 2008 y sus decretos reglamentarios.</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El</w:t>
      </w:r>
      <w:r w:rsidR="008040A0">
        <w:rPr>
          <w:rFonts w:ascii="Arial" w:hAnsi="Arial" w:cs="Arial"/>
          <w:sz w:val="22"/>
          <w:szCs w:val="22"/>
        </w:rPr>
        <w:t xml:space="preserve"> </w:t>
      </w:r>
      <w:r w:rsidRPr="00D4546B">
        <w:rPr>
          <w:rFonts w:ascii="Arial" w:hAnsi="Arial" w:cs="Arial"/>
          <w:sz w:val="22"/>
          <w:szCs w:val="22"/>
        </w:rPr>
        <w:fldChar w:fldCharType="begin"/>
      </w:r>
      <w:r w:rsidRPr="00D4546B">
        <w:rPr>
          <w:rFonts w:ascii="Arial" w:hAnsi="Arial" w:cs="Arial"/>
          <w:sz w:val="22"/>
          <w:szCs w:val="22"/>
        </w:rPr>
        <w:instrText xml:space="preserve"> LINK Excel.SheetMacroEnabled.12 "\\\\MH-EXMOSSSA01.MHEXT.RED\\EncuestasPSFF_Archivos\\Decreto028\\BD\\Excel\\Matriz_2018_PlanDesempeño_Departamento_Córdoba_Sector_Educación.xlsm" "Principal!F6C7" \a \t  \* MERGEFORMAT </w:instrText>
      </w:r>
      <w:r w:rsidRPr="00D4546B">
        <w:rPr>
          <w:rFonts w:ascii="Arial" w:hAnsi="Arial" w:cs="Arial"/>
          <w:sz w:val="22"/>
          <w:szCs w:val="22"/>
        </w:rPr>
        <w:fldChar w:fldCharType="separate"/>
      </w:r>
      <w:r w:rsidRPr="00D4546B">
        <w:rPr>
          <w:rFonts w:ascii="Arial" w:hAnsi="Arial" w:cs="Arial"/>
          <w:sz w:val="22"/>
          <w:szCs w:val="22"/>
        </w:rPr>
        <w:t>Departamento</w:t>
      </w:r>
      <w:r w:rsidR="00BA2152" w:rsidRPr="00D4546B">
        <w:rPr>
          <w:rFonts w:ascii="Arial" w:hAnsi="Arial" w:cs="Arial"/>
          <w:sz w:val="22"/>
          <w:szCs w:val="22"/>
        </w:rPr>
        <w:t xml:space="preserve"> de </w:t>
      </w:r>
      <w:r w:rsidRPr="00D4546B">
        <w:rPr>
          <w:rFonts w:ascii="Arial" w:hAnsi="Arial" w:cs="Arial"/>
          <w:sz w:val="22"/>
          <w:szCs w:val="22"/>
        </w:rPr>
        <w:t>Córdoba</w:t>
      </w:r>
      <w:r w:rsidRPr="00D4546B">
        <w:rPr>
          <w:rFonts w:ascii="Arial" w:hAnsi="Arial" w:cs="Arial"/>
          <w:sz w:val="22"/>
          <w:szCs w:val="22"/>
        </w:rPr>
        <w:fldChar w:fldCharType="end"/>
      </w:r>
      <w:r w:rsidRPr="00D4546B">
        <w:rPr>
          <w:rFonts w:ascii="Arial" w:hAnsi="Arial" w:cs="Arial"/>
          <w:sz w:val="22"/>
          <w:szCs w:val="22"/>
        </w:rPr>
        <w:t xml:space="preserve"> adoptó el </w:t>
      </w:r>
      <w:r w:rsidRPr="00D4546B">
        <w:rPr>
          <w:rFonts w:ascii="Arial" w:hAnsi="Arial" w:cs="Arial"/>
          <w:sz w:val="22"/>
          <w:szCs w:val="22"/>
        </w:rPr>
        <w:fldChar w:fldCharType="begin"/>
      </w:r>
      <w:r w:rsidRPr="00D4546B">
        <w:rPr>
          <w:rFonts w:ascii="Arial" w:hAnsi="Arial" w:cs="Arial"/>
          <w:sz w:val="22"/>
          <w:szCs w:val="22"/>
        </w:rPr>
        <w:instrText xml:space="preserve"> LINK Excel.SheetMacroEnabled.12 "\\\\MH-EXMOSSSA01.MHEXT.RED\\EncuestasPSFF_Archivos\\Decreto028\\BD\\Excel\\Matriz_2018_PlanDesempeño_Departamento_Córdoba_Sector_Educación.xlsm" "Principal!F18C9" \a \t  \* MERGEFORMAT </w:instrText>
      </w:r>
      <w:r w:rsidRPr="00D4546B">
        <w:rPr>
          <w:rFonts w:ascii="Arial" w:hAnsi="Arial" w:cs="Arial"/>
          <w:sz w:val="22"/>
          <w:szCs w:val="22"/>
        </w:rPr>
        <w:fldChar w:fldCharType="separate"/>
      </w:r>
      <w:r w:rsidRPr="00D4546B">
        <w:rPr>
          <w:rFonts w:ascii="Arial" w:hAnsi="Arial" w:cs="Arial"/>
          <w:sz w:val="22"/>
          <w:szCs w:val="22"/>
        </w:rPr>
        <w:t>Plan de Desempeño</w:t>
      </w:r>
      <w:r w:rsidRPr="00D4546B">
        <w:rPr>
          <w:rFonts w:ascii="Arial" w:hAnsi="Arial" w:cs="Arial"/>
          <w:sz w:val="22"/>
          <w:szCs w:val="22"/>
        </w:rPr>
        <w:fldChar w:fldCharType="end"/>
      </w:r>
      <w:r w:rsidRPr="00D4546B">
        <w:rPr>
          <w:rFonts w:ascii="Arial" w:hAnsi="Arial" w:cs="Arial"/>
          <w:sz w:val="22"/>
          <w:szCs w:val="22"/>
        </w:rPr>
        <w:t xml:space="preserve"> recomendado mediante </w:t>
      </w:r>
      <w:r w:rsidRPr="00D4546B">
        <w:rPr>
          <w:rFonts w:ascii="Arial" w:hAnsi="Arial" w:cs="Arial"/>
          <w:sz w:val="22"/>
          <w:szCs w:val="22"/>
        </w:rPr>
        <w:fldChar w:fldCharType="begin"/>
      </w:r>
      <w:r w:rsidRPr="00D4546B">
        <w:rPr>
          <w:rFonts w:ascii="Arial" w:hAnsi="Arial" w:cs="Arial"/>
          <w:sz w:val="22"/>
          <w:szCs w:val="22"/>
        </w:rPr>
        <w:instrText xml:space="preserve"> LINK Excel.SheetMacroEnabled.12 "\\\\MH-EXMOSSSA01.MHEXT.RED\\EncuestasPSFF_Archivos\\Decreto028\\BD\\Excel\\Matriz_2018_PlanDesempeño_Departamento_Córdoba_Sector_Educación.xlsm" "Principal!F11C8" \a \t  \* MERGEFORMAT </w:instrText>
      </w:r>
      <w:r w:rsidRPr="00D4546B">
        <w:rPr>
          <w:rFonts w:ascii="Arial" w:hAnsi="Arial" w:cs="Arial"/>
          <w:sz w:val="22"/>
          <w:szCs w:val="22"/>
        </w:rPr>
        <w:fldChar w:fldCharType="separate"/>
      </w:r>
      <w:r w:rsidRPr="00D4546B">
        <w:rPr>
          <w:rFonts w:ascii="Arial" w:hAnsi="Arial" w:cs="Arial"/>
          <w:sz w:val="22"/>
          <w:szCs w:val="22"/>
        </w:rPr>
        <w:t>Decreto Departamental No. 0434 del 23 de Agosto del 2017</w:t>
      </w:r>
      <w:r w:rsidRPr="00D4546B">
        <w:rPr>
          <w:rFonts w:ascii="Arial" w:hAnsi="Arial" w:cs="Arial"/>
          <w:sz w:val="22"/>
          <w:szCs w:val="22"/>
        </w:rPr>
        <w:fldChar w:fldCharType="end"/>
      </w:r>
      <w:r w:rsidRPr="00D4546B">
        <w:rPr>
          <w:rFonts w:ascii="Arial" w:hAnsi="Arial" w:cs="Arial"/>
          <w:sz w:val="22"/>
          <w:szCs w:val="22"/>
        </w:rPr>
        <w:t xml:space="preserve"> y fue aprobado por parte de la Dirección General de Apoyo Fiscal a través de la </w:t>
      </w:r>
      <w:r w:rsidRPr="00D4546B">
        <w:rPr>
          <w:rFonts w:ascii="Arial" w:hAnsi="Arial" w:cs="Arial"/>
          <w:sz w:val="22"/>
          <w:szCs w:val="22"/>
        </w:rPr>
        <w:fldChar w:fldCharType="begin"/>
      </w:r>
      <w:r w:rsidRPr="00D4546B">
        <w:rPr>
          <w:rFonts w:ascii="Arial" w:hAnsi="Arial" w:cs="Arial"/>
          <w:sz w:val="22"/>
          <w:szCs w:val="22"/>
        </w:rPr>
        <w:instrText xml:space="preserve"> LINK Excel.SheetMacroEnabled.12 "\\\\MH-EXMOSSSA01.MHEXT.RED\\EncuestasPSFF_Archivos\\Decreto028\\BD\\Excel\\Matriz_2018_PlanDesempeño_Departamento_Córdoba_Sector_Educación.xlsm" "Principal!F12C7" \a \t  \* MERGEFORMAT </w:instrText>
      </w:r>
      <w:r w:rsidRPr="00D4546B">
        <w:rPr>
          <w:rFonts w:ascii="Arial" w:hAnsi="Arial" w:cs="Arial"/>
          <w:sz w:val="22"/>
          <w:szCs w:val="22"/>
        </w:rPr>
        <w:fldChar w:fldCharType="separate"/>
      </w:r>
      <w:r w:rsidRPr="00D4546B">
        <w:rPr>
          <w:rFonts w:ascii="Arial" w:hAnsi="Arial" w:cs="Arial"/>
          <w:sz w:val="22"/>
          <w:szCs w:val="22"/>
        </w:rPr>
        <w:t>Resolución DAF No. 3332 del 18 de octubre del 2017</w:t>
      </w:r>
      <w:r w:rsidRPr="00D4546B">
        <w:rPr>
          <w:rFonts w:ascii="Arial" w:hAnsi="Arial" w:cs="Arial"/>
          <w:sz w:val="22"/>
          <w:szCs w:val="22"/>
        </w:rPr>
        <w:fldChar w:fldCharType="end"/>
      </w:r>
      <w:r w:rsidRPr="00D4546B">
        <w:rPr>
          <w:rFonts w:ascii="Arial" w:hAnsi="Arial" w:cs="Arial"/>
          <w:sz w:val="22"/>
          <w:szCs w:val="22"/>
        </w:rPr>
        <w:t xml:space="preserve">. Se estableció una duración de </w:t>
      </w:r>
      <w:r w:rsidRPr="00D4546B">
        <w:rPr>
          <w:rFonts w:ascii="Arial" w:hAnsi="Arial" w:cs="Arial"/>
          <w:sz w:val="22"/>
          <w:szCs w:val="22"/>
        </w:rPr>
        <w:fldChar w:fldCharType="begin"/>
      </w:r>
      <w:r w:rsidRPr="00D4546B">
        <w:rPr>
          <w:rFonts w:ascii="Arial" w:hAnsi="Arial" w:cs="Arial"/>
          <w:sz w:val="22"/>
          <w:szCs w:val="22"/>
        </w:rPr>
        <w:instrText xml:space="preserve"> LINK Excel.SheetMacroEnabled.12 "\\\\MH-EXMOSSSA01.MHEXT.RED\\EncuestasPSFF_Archivos\\Decreto028\\BD\\Excel\\Matriz_2018_PlanDesempeño_Departamento_Córdoba_Sector_Educación.xlsm" "Principal!F13C7" \a \t  \* MERGEFORMAT </w:instrText>
      </w:r>
      <w:r w:rsidRPr="00D4546B">
        <w:rPr>
          <w:rFonts w:ascii="Arial" w:hAnsi="Arial" w:cs="Arial"/>
          <w:sz w:val="22"/>
          <w:szCs w:val="22"/>
        </w:rPr>
        <w:fldChar w:fldCharType="separate"/>
      </w:r>
      <w:r w:rsidRPr="00D4546B">
        <w:rPr>
          <w:rFonts w:ascii="Arial" w:hAnsi="Arial" w:cs="Arial"/>
          <w:sz w:val="22"/>
          <w:szCs w:val="22"/>
        </w:rPr>
        <w:t>15</w:t>
      </w:r>
      <w:r w:rsidRPr="00D4546B">
        <w:rPr>
          <w:rFonts w:ascii="Arial" w:hAnsi="Arial" w:cs="Arial"/>
          <w:sz w:val="22"/>
          <w:szCs w:val="22"/>
        </w:rPr>
        <w:fldChar w:fldCharType="end"/>
      </w:r>
      <w:r w:rsidRPr="00D4546B">
        <w:rPr>
          <w:rFonts w:ascii="Arial" w:hAnsi="Arial" w:cs="Arial"/>
          <w:sz w:val="22"/>
          <w:szCs w:val="22"/>
        </w:rPr>
        <w:t xml:space="preserve"> meses para que la entidad desarrollara los objetivos y actividades a las que se comprometió con la adopción del </w:t>
      </w:r>
      <w:r w:rsidRPr="00D4546B">
        <w:rPr>
          <w:rFonts w:ascii="Arial" w:hAnsi="Arial" w:cs="Arial"/>
          <w:sz w:val="22"/>
          <w:szCs w:val="22"/>
        </w:rPr>
        <w:fldChar w:fldCharType="begin"/>
      </w:r>
      <w:r w:rsidRPr="00D4546B">
        <w:rPr>
          <w:rFonts w:ascii="Arial" w:hAnsi="Arial" w:cs="Arial"/>
          <w:sz w:val="22"/>
          <w:szCs w:val="22"/>
        </w:rPr>
        <w:instrText xml:space="preserve"> LINK Excel.SheetMacroEnabled.12 "\\\\MH-EXMOSSSA01.MHEXT.RED\\EncuestasPSFF_Archivos\\Decreto028\\BD\\Excel\\Matriz_2018_PlanDesempeño_Departamento_Córdoba_Sector_Educación.xlsm" "Principal!F18C9" \a \t  \* MERGEFORMAT </w:instrText>
      </w:r>
      <w:r w:rsidRPr="00D4546B">
        <w:rPr>
          <w:rFonts w:ascii="Arial" w:hAnsi="Arial" w:cs="Arial"/>
          <w:sz w:val="22"/>
          <w:szCs w:val="22"/>
        </w:rPr>
        <w:fldChar w:fldCharType="separate"/>
      </w:r>
      <w:r w:rsidRPr="00D4546B">
        <w:rPr>
          <w:rFonts w:ascii="Arial" w:hAnsi="Arial" w:cs="Arial"/>
          <w:sz w:val="22"/>
          <w:szCs w:val="22"/>
        </w:rPr>
        <w:t>Plan de Desempeño</w:t>
      </w:r>
      <w:r w:rsidRPr="00D4546B">
        <w:rPr>
          <w:rFonts w:ascii="Arial" w:hAnsi="Arial" w:cs="Arial"/>
          <w:sz w:val="22"/>
          <w:szCs w:val="22"/>
        </w:rPr>
        <w:fldChar w:fldCharType="end"/>
      </w:r>
      <w:r w:rsidRPr="00D4546B">
        <w:rPr>
          <w:rFonts w:ascii="Arial" w:hAnsi="Arial" w:cs="Arial"/>
          <w:sz w:val="22"/>
          <w:szCs w:val="22"/>
        </w:rPr>
        <w:t xml:space="preserve">. En ese sentido, su desarrollo contempló el inicio desde el </w:t>
      </w:r>
      <w:r w:rsidRPr="00D4546B">
        <w:rPr>
          <w:rFonts w:ascii="Arial" w:hAnsi="Arial" w:cs="Arial"/>
          <w:sz w:val="22"/>
          <w:szCs w:val="22"/>
        </w:rPr>
        <w:fldChar w:fldCharType="begin"/>
      </w:r>
      <w:r w:rsidRPr="00D4546B">
        <w:rPr>
          <w:rFonts w:ascii="Arial" w:hAnsi="Arial" w:cs="Arial"/>
          <w:sz w:val="22"/>
          <w:szCs w:val="22"/>
        </w:rPr>
        <w:instrText xml:space="preserve"> LINK Excel.SheetMacroEnabled.12 "\\\\MH-EXMOSSSA01.MHEXT.RED\\EncuestasPSFF_Archivos\\Decreto028\\BD\\Excel\\Matriz_2018_PlanDesempeño_Departamento_Córdoba_Sector_Educación.xlsm" "Principal!F13C8" \a \t  \* MERGEFORMAT </w:instrText>
      </w:r>
      <w:r w:rsidRPr="00D4546B">
        <w:rPr>
          <w:rFonts w:ascii="Arial" w:hAnsi="Arial" w:cs="Arial"/>
          <w:sz w:val="22"/>
          <w:szCs w:val="22"/>
        </w:rPr>
        <w:fldChar w:fldCharType="separate"/>
      </w:r>
      <w:r w:rsidRPr="00D4546B">
        <w:rPr>
          <w:rFonts w:ascii="Arial" w:hAnsi="Arial" w:cs="Arial"/>
          <w:sz w:val="22"/>
          <w:szCs w:val="22"/>
        </w:rPr>
        <w:t>15 de Noviembre del 2017</w:t>
      </w:r>
      <w:r w:rsidRPr="00D4546B">
        <w:rPr>
          <w:rFonts w:ascii="Arial" w:hAnsi="Arial" w:cs="Arial"/>
          <w:sz w:val="22"/>
          <w:szCs w:val="22"/>
        </w:rPr>
        <w:fldChar w:fldCharType="end"/>
      </w:r>
      <w:r w:rsidRPr="00D4546B">
        <w:rPr>
          <w:rFonts w:ascii="Arial" w:hAnsi="Arial" w:cs="Arial"/>
          <w:sz w:val="22"/>
          <w:szCs w:val="22"/>
        </w:rPr>
        <w:t xml:space="preserve">, finalizando el </w:t>
      </w:r>
      <w:r w:rsidRPr="00D4546B">
        <w:rPr>
          <w:rFonts w:ascii="Arial" w:hAnsi="Arial" w:cs="Arial"/>
          <w:sz w:val="22"/>
          <w:szCs w:val="22"/>
        </w:rPr>
        <w:fldChar w:fldCharType="begin"/>
      </w:r>
      <w:r w:rsidRPr="00D4546B">
        <w:rPr>
          <w:rFonts w:ascii="Arial" w:hAnsi="Arial" w:cs="Arial"/>
          <w:sz w:val="22"/>
          <w:szCs w:val="22"/>
        </w:rPr>
        <w:instrText xml:space="preserve"> LINK Excel.SheetMacroEnabled.12 "\\\\MH-EXMOSSSA01.MHEXT.RED\\EncuestasPSFF_Archivos\\Decreto028\\BD\\Excel\\Matriz_2018_PlanDesempeño_Departamento_Córdoba_Sector_Educación.xlsm" "Principal!F13C9" \a \f 4 \r  \* MERGEFORMAT </w:instrText>
      </w:r>
      <w:r w:rsidRPr="00D4546B">
        <w:rPr>
          <w:rFonts w:ascii="Arial" w:hAnsi="Arial" w:cs="Arial"/>
          <w:sz w:val="22"/>
          <w:szCs w:val="22"/>
        </w:rPr>
        <w:fldChar w:fldCharType="separate"/>
      </w:r>
      <w:r w:rsidRPr="00D4546B">
        <w:rPr>
          <w:rFonts w:ascii="Arial" w:hAnsi="Arial" w:cs="Arial"/>
          <w:sz w:val="22"/>
          <w:szCs w:val="22"/>
        </w:rPr>
        <w:t>15 de Febrero del 2019</w:t>
      </w:r>
      <w:r w:rsidRPr="00D4546B">
        <w:rPr>
          <w:rFonts w:ascii="Arial" w:hAnsi="Arial" w:cs="Arial"/>
          <w:sz w:val="22"/>
          <w:szCs w:val="22"/>
        </w:rPr>
        <w:fldChar w:fldCharType="end"/>
      </w:r>
      <w:r w:rsidRPr="00D4546B">
        <w:rPr>
          <w:rFonts w:ascii="Arial" w:hAnsi="Arial" w:cs="Arial"/>
          <w:sz w:val="22"/>
          <w:szCs w:val="22"/>
        </w:rPr>
        <w:t xml:space="preserve">. Para su evaluación la DAF contempló </w:t>
      </w:r>
      <w:r w:rsidRPr="00D4546B">
        <w:rPr>
          <w:rFonts w:ascii="Arial" w:hAnsi="Arial" w:cs="Arial"/>
          <w:sz w:val="22"/>
          <w:szCs w:val="22"/>
        </w:rPr>
        <w:fldChar w:fldCharType="begin"/>
      </w:r>
      <w:r w:rsidRPr="00D4546B">
        <w:rPr>
          <w:rFonts w:ascii="Arial" w:hAnsi="Arial" w:cs="Arial"/>
          <w:sz w:val="22"/>
          <w:szCs w:val="22"/>
        </w:rPr>
        <w:instrText xml:space="preserve"> LINK Excel.SheetMacroEnabled.12 "\\\\MH-EXMOSSSA01.MHEXT.RED\\EncuestasPSFF_Archivos\\Decreto028\\BD\\Excel\\Matriz_2018_PlanDesempeño_Departamento_Córdoba_Sector_Educación.xlsm" "Principal!F16C7" \a \t  \* MERGEFORMAT </w:instrText>
      </w:r>
      <w:r w:rsidRPr="00D4546B">
        <w:rPr>
          <w:rFonts w:ascii="Arial" w:hAnsi="Arial" w:cs="Arial"/>
          <w:sz w:val="22"/>
          <w:szCs w:val="22"/>
        </w:rPr>
        <w:fldChar w:fldCharType="separate"/>
      </w:r>
      <w:r w:rsidRPr="00D4546B">
        <w:rPr>
          <w:rFonts w:ascii="Arial" w:hAnsi="Arial" w:cs="Arial"/>
          <w:sz w:val="22"/>
          <w:szCs w:val="22"/>
        </w:rPr>
        <w:t>3</w:t>
      </w:r>
      <w:r w:rsidRPr="00D4546B">
        <w:rPr>
          <w:rFonts w:ascii="Arial" w:hAnsi="Arial" w:cs="Arial"/>
          <w:sz w:val="22"/>
          <w:szCs w:val="22"/>
        </w:rPr>
        <w:fldChar w:fldCharType="end"/>
      </w:r>
      <w:r w:rsidRPr="00D4546B">
        <w:rPr>
          <w:rFonts w:ascii="Arial" w:hAnsi="Arial" w:cs="Arial"/>
          <w:sz w:val="22"/>
          <w:szCs w:val="22"/>
        </w:rPr>
        <w:t xml:space="preserve"> meses con fecha de inicio desde el </w:t>
      </w:r>
      <w:r w:rsidRPr="00D4546B">
        <w:rPr>
          <w:rFonts w:ascii="Arial" w:hAnsi="Arial" w:cs="Arial"/>
          <w:sz w:val="22"/>
          <w:szCs w:val="22"/>
        </w:rPr>
        <w:fldChar w:fldCharType="begin"/>
      </w:r>
      <w:r w:rsidRPr="00D4546B">
        <w:rPr>
          <w:rFonts w:ascii="Arial" w:hAnsi="Arial" w:cs="Arial"/>
          <w:sz w:val="22"/>
          <w:szCs w:val="22"/>
        </w:rPr>
        <w:instrText xml:space="preserve"> LINK Excel.SheetMacroEnabled.12 "\\\\MH-EXMOSSSA01.MHEXT.RED\\EncuestasPSFF_Archivos\\Decreto028\\BD\\Excel\\Matriz_2018_PlanDesempeño_Departamento_Córdoba_Sector_Educación.xlsm" "Principal!F17C7" \a \f 4 \r  \* MERGEFORMAT </w:instrText>
      </w:r>
      <w:r w:rsidRPr="00D4546B">
        <w:rPr>
          <w:rFonts w:ascii="Arial" w:hAnsi="Arial" w:cs="Arial"/>
          <w:sz w:val="22"/>
          <w:szCs w:val="22"/>
        </w:rPr>
        <w:fldChar w:fldCharType="separate"/>
      </w:r>
      <w:r w:rsidRPr="00D4546B">
        <w:rPr>
          <w:rFonts w:ascii="Arial" w:hAnsi="Arial" w:cs="Arial"/>
          <w:sz w:val="22"/>
          <w:szCs w:val="22"/>
        </w:rPr>
        <w:t>15 de Febrero del 2019</w:t>
      </w:r>
      <w:r w:rsidRPr="00D4546B">
        <w:rPr>
          <w:rFonts w:ascii="Arial" w:hAnsi="Arial" w:cs="Arial"/>
          <w:sz w:val="22"/>
          <w:szCs w:val="22"/>
        </w:rPr>
        <w:fldChar w:fldCharType="end"/>
      </w:r>
      <w:r w:rsidRPr="00D4546B">
        <w:rPr>
          <w:rFonts w:ascii="Arial" w:hAnsi="Arial" w:cs="Arial"/>
          <w:sz w:val="22"/>
          <w:szCs w:val="22"/>
        </w:rPr>
        <w:t xml:space="preserve">, finalizando el </w:t>
      </w:r>
      <w:r w:rsidRPr="00D4546B">
        <w:rPr>
          <w:rFonts w:ascii="Arial" w:hAnsi="Arial" w:cs="Arial"/>
          <w:sz w:val="22"/>
          <w:szCs w:val="22"/>
        </w:rPr>
        <w:fldChar w:fldCharType="begin"/>
      </w:r>
      <w:r w:rsidRPr="00D4546B">
        <w:rPr>
          <w:rFonts w:ascii="Arial" w:hAnsi="Arial" w:cs="Arial"/>
          <w:sz w:val="22"/>
          <w:szCs w:val="22"/>
        </w:rPr>
        <w:instrText xml:space="preserve"> LINK Excel.SheetMacroEnabled.12 "\\\\MH-EXMOSSSA01.MHEXT.RED\\EncuestasPSFF_Archivos\\Decreto028\\BD\\Excel\\Matriz_2018_PlanDesempeño_Departamento_Córdoba_Sector_Educación.xlsm" "Principal!F17C8" \a \f 4 \r  \* MERGEFORMAT </w:instrText>
      </w:r>
      <w:r w:rsidRPr="00D4546B">
        <w:rPr>
          <w:rFonts w:ascii="Arial" w:hAnsi="Arial" w:cs="Arial"/>
          <w:sz w:val="22"/>
          <w:szCs w:val="22"/>
        </w:rPr>
        <w:fldChar w:fldCharType="separate"/>
      </w:r>
      <w:r w:rsidRPr="00D4546B">
        <w:rPr>
          <w:rFonts w:ascii="Arial" w:hAnsi="Arial" w:cs="Arial"/>
          <w:sz w:val="22"/>
          <w:szCs w:val="22"/>
        </w:rPr>
        <w:t>16 de Mayo del 2019</w:t>
      </w:r>
      <w:r w:rsidRPr="00D4546B">
        <w:rPr>
          <w:rFonts w:ascii="Arial" w:hAnsi="Arial" w:cs="Arial"/>
          <w:sz w:val="22"/>
          <w:szCs w:val="22"/>
        </w:rPr>
        <w:fldChar w:fldCharType="end"/>
      </w:r>
      <w:r w:rsidRPr="00D4546B">
        <w:rPr>
          <w:rFonts w:ascii="Arial" w:hAnsi="Arial" w:cs="Arial"/>
          <w:sz w:val="22"/>
          <w:szCs w:val="22"/>
        </w:rPr>
        <w:t>.</w:t>
      </w:r>
    </w:p>
    <w:p w:rsidR="004662E4" w:rsidRPr="00D4546B" w:rsidRDefault="004662E4" w:rsidP="000A5BEA">
      <w:pPr>
        <w:jc w:val="both"/>
        <w:rPr>
          <w:rFonts w:ascii="Arial" w:hAnsi="Arial" w:cs="Arial"/>
          <w:sz w:val="22"/>
          <w:szCs w:val="22"/>
        </w:rPr>
      </w:pPr>
    </w:p>
    <w:p w:rsidR="004662E4" w:rsidRPr="00D4546B" w:rsidRDefault="004662E4" w:rsidP="000A5BEA">
      <w:pPr>
        <w:pStyle w:val="NormalWeb"/>
        <w:shd w:val="clear" w:color="auto" w:fill="FFFFFF"/>
        <w:spacing w:before="0" w:beforeAutospacing="0" w:after="0" w:afterAutospacing="0"/>
        <w:jc w:val="both"/>
        <w:rPr>
          <w:rFonts w:ascii="Arial" w:hAnsi="Arial" w:cs="Arial"/>
          <w:color w:val="000000"/>
          <w:sz w:val="22"/>
          <w:szCs w:val="22"/>
          <w:bdr w:val="none" w:sz="0" w:space="0" w:color="auto" w:frame="1"/>
          <w:lang w:val="es-ES"/>
        </w:rPr>
      </w:pPr>
      <w:r w:rsidRPr="00D4546B">
        <w:rPr>
          <w:rFonts w:ascii="Arial" w:hAnsi="Arial" w:cs="Arial"/>
          <w:color w:val="000000"/>
          <w:sz w:val="22"/>
          <w:szCs w:val="22"/>
          <w:bdr w:val="none" w:sz="0" w:space="0" w:color="auto" w:frame="1"/>
          <w:lang w:val="es-ES"/>
        </w:rPr>
        <w:t>La evaluación a la ejecución del Plan de Desempeño realizada en la vigencia 2019 evidenció el cumplimiento parcial de los objetivos y actividades, determinando la procedencia de efectuar la reformulación y extensión de la vigencia de la Medida Preventiva de Plan de Desempeño adoptada en el sector educación en el Departamento de Córdoba, mediante la expedición de la Resolución No. 1446 del 16 de mayo de 2019, de conformidad con lo establecido en el numeral 2 del artículo 2.6.3.4.1.4 del Decreto 1068 de 2015.</w:t>
      </w:r>
    </w:p>
    <w:p w:rsidR="004662E4" w:rsidRPr="00D4546B" w:rsidRDefault="004662E4" w:rsidP="000A5BEA">
      <w:pPr>
        <w:pStyle w:val="NormalWeb"/>
        <w:shd w:val="clear" w:color="auto" w:fill="FFFFFF"/>
        <w:spacing w:before="0" w:beforeAutospacing="0" w:after="0" w:afterAutospacing="0"/>
        <w:jc w:val="both"/>
        <w:rPr>
          <w:rFonts w:ascii="Arial" w:hAnsi="Arial" w:cs="Arial"/>
          <w:sz w:val="22"/>
          <w:szCs w:val="22"/>
        </w:rPr>
      </w:pPr>
    </w:p>
    <w:p w:rsidR="004662E4" w:rsidRPr="00D4546B" w:rsidRDefault="004662E4" w:rsidP="000A5BEA">
      <w:pPr>
        <w:pStyle w:val="NormalWeb"/>
        <w:shd w:val="clear" w:color="auto" w:fill="FFFFFF"/>
        <w:spacing w:before="0" w:beforeAutospacing="0" w:after="0" w:afterAutospacing="0"/>
        <w:jc w:val="both"/>
        <w:rPr>
          <w:rFonts w:ascii="Arial" w:hAnsi="Arial" w:cs="Arial"/>
          <w:sz w:val="22"/>
          <w:szCs w:val="22"/>
        </w:rPr>
      </w:pPr>
      <w:r w:rsidRPr="00D4546B">
        <w:rPr>
          <w:rFonts w:ascii="Arial" w:hAnsi="Arial" w:cs="Arial"/>
          <w:sz w:val="22"/>
          <w:szCs w:val="22"/>
        </w:rPr>
        <w:lastRenderedPageBreak/>
        <w:t>El</w:t>
      </w:r>
      <w:r w:rsidR="008040A0">
        <w:rPr>
          <w:rFonts w:ascii="Arial" w:hAnsi="Arial" w:cs="Arial"/>
          <w:sz w:val="22"/>
          <w:szCs w:val="22"/>
        </w:rPr>
        <w:t xml:space="preserve"> </w:t>
      </w:r>
      <w:r w:rsidRPr="00D4546B">
        <w:rPr>
          <w:rFonts w:ascii="Arial" w:hAnsi="Arial" w:cs="Arial"/>
          <w:sz w:val="22"/>
          <w:szCs w:val="22"/>
        </w:rPr>
        <w:fldChar w:fldCharType="begin"/>
      </w:r>
      <w:r w:rsidRPr="00D4546B">
        <w:rPr>
          <w:rFonts w:ascii="Arial" w:hAnsi="Arial" w:cs="Arial"/>
          <w:sz w:val="22"/>
          <w:szCs w:val="22"/>
        </w:rPr>
        <w:instrText xml:space="preserve"> LINK Excel.SheetMacroEnabled.12 "\\\\MH-EXMOSSSA01.MHEXT.RED\\EncuestasPSFF_Archivos\\Decreto028\\BD\\Excel\\Matriz_2018_PlanDesempeño_Departamento_Córdoba_Sector_Educación.xlsm" "Principal!F6C7" \a \t  \* MERGEFORMAT </w:instrText>
      </w:r>
      <w:r w:rsidRPr="00D4546B">
        <w:rPr>
          <w:rFonts w:ascii="Arial" w:hAnsi="Arial" w:cs="Arial"/>
          <w:sz w:val="22"/>
          <w:szCs w:val="22"/>
        </w:rPr>
        <w:fldChar w:fldCharType="separate"/>
      </w:r>
      <w:r w:rsidRPr="00D4546B">
        <w:rPr>
          <w:rFonts w:ascii="Arial" w:hAnsi="Arial" w:cs="Arial"/>
          <w:sz w:val="22"/>
          <w:szCs w:val="22"/>
        </w:rPr>
        <w:t>Departamento de Córdoba</w:t>
      </w:r>
      <w:r w:rsidRPr="00D4546B">
        <w:rPr>
          <w:rFonts w:ascii="Arial" w:hAnsi="Arial" w:cs="Arial"/>
          <w:sz w:val="22"/>
          <w:szCs w:val="22"/>
        </w:rPr>
        <w:fldChar w:fldCharType="end"/>
      </w:r>
      <w:r w:rsidRPr="00D4546B">
        <w:rPr>
          <w:rFonts w:ascii="Arial" w:hAnsi="Arial" w:cs="Arial"/>
          <w:sz w:val="22"/>
          <w:szCs w:val="22"/>
        </w:rPr>
        <w:t xml:space="preserve"> adoptó mediante el </w:t>
      </w:r>
      <w:r w:rsidRPr="00D4546B">
        <w:rPr>
          <w:rFonts w:ascii="Arial" w:hAnsi="Arial" w:cs="Arial"/>
          <w:sz w:val="22"/>
          <w:szCs w:val="22"/>
        </w:rPr>
        <w:fldChar w:fldCharType="begin"/>
      </w:r>
      <w:r w:rsidRPr="00D4546B">
        <w:rPr>
          <w:rFonts w:ascii="Arial" w:hAnsi="Arial" w:cs="Arial"/>
          <w:sz w:val="22"/>
          <w:szCs w:val="22"/>
        </w:rPr>
        <w:instrText xml:space="preserve"> LINK Excel.SheetMacroEnabled.12 "\\\\MH-EXMOSSSA01.MHEXT.RED\\EncuestasPSFF_Archivos\\Decreto028\\BD\\Excel\\Matriz_2018_PlanDesempeño_Departamento_Córdoba_Sector_Educación.xlsm" "Principal!F11C8" \a \t  \* MERGEFORMAT </w:instrText>
      </w:r>
      <w:r w:rsidRPr="00D4546B">
        <w:rPr>
          <w:rFonts w:ascii="Arial" w:hAnsi="Arial" w:cs="Arial"/>
          <w:sz w:val="22"/>
          <w:szCs w:val="22"/>
        </w:rPr>
        <w:fldChar w:fldCharType="separate"/>
      </w:r>
      <w:r w:rsidRPr="00D4546B">
        <w:rPr>
          <w:rFonts w:ascii="Arial" w:hAnsi="Arial" w:cs="Arial"/>
          <w:sz w:val="22"/>
          <w:szCs w:val="22"/>
        </w:rPr>
        <w:t>Decreto Departamental No. 0367 del 23 de julio del 201</w:t>
      </w:r>
      <w:r w:rsidRPr="00D4546B">
        <w:rPr>
          <w:rFonts w:ascii="Arial" w:hAnsi="Arial" w:cs="Arial"/>
          <w:sz w:val="22"/>
          <w:szCs w:val="22"/>
        </w:rPr>
        <w:fldChar w:fldCharType="end"/>
      </w:r>
      <w:r w:rsidRPr="00D4546B">
        <w:rPr>
          <w:rFonts w:ascii="Arial" w:hAnsi="Arial" w:cs="Arial"/>
          <w:sz w:val="22"/>
          <w:szCs w:val="22"/>
        </w:rPr>
        <w:t>9 la reformulación y extensión del Plan de Desempeño de conformidad con las observaciones realizadas por la Dirección General de Apoyo Fiscal en coordinación con el Ministerio de Educación Nacional.</w:t>
      </w:r>
      <w:r w:rsidR="008040A0">
        <w:rPr>
          <w:rFonts w:ascii="Arial" w:hAnsi="Arial" w:cs="Arial"/>
          <w:sz w:val="22"/>
          <w:szCs w:val="22"/>
        </w:rPr>
        <w:t xml:space="preserve"> </w:t>
      </w:r>
      <w:r w:rsidRPr="00D4546B">
        <w:rPr>
          <w:rFonts w:ascii="Arial" w:hAnsi="Arial" w:cs="Arial"/>
          <w:sz w:val="22"/>
          <w:szCs w:val="22"/>
        </w:rPr>
        <w:t xml:space="preserve">De acuerdo con lo anterior, el Decreto fue aprobado por parte de la Dirección General de Apoyo Fiscal a través de la </w:t>
      </w:r>
      <w:r w:rsidRPr="00D4546B">
        <w:rPr>
          <w:rFonts w:ascii="Arial" w:hAnsi="Arial" w:cs="Arial"/>
          <w:sz w:val="22"/>
          <w:szCs w:val="22"/>
        </w:rPr>
        <w:fldChar w:fldCharType="begin"/>
      </w:r>
      <w:r w:rsidRPr="00D4546B">
        <w:rPr>
          <w:rFonts w:ascii="Arial" w:hAnsi="Arial" w:cs="Arial"/>
          <w:sz w:val="22"/>
          <w:szCs w:val="22"/>
        </w:rPr>
        <w:instrText xml:space="preserve"> LINK Excel.SheetMacroEnabled.12 "\\\\MH-EXMOSSSA01.MHEXT.RED\\EncuestasPSFF_Archivos\\Decreto028\\BD\\Excel\\Matriz_2018_PlanDesempeño_Departamento_Córdoba_Sector_Educación.xlsm" "Principal!F12C7" \a \t  \* MERGEFORMAT </w:instrText>
      </w:r>
      <w:r w:rsidRPr="00D4546B">
        <w:rPr>
          <w:rFonts w:ascii="Arial" w:hAnsi="Arial" w:cs="Arial"/>
          <w:sz w:val="22"/>
          <w:szCs w:val="22"/>
        </w:rPr>
        <w:fldChar w:fldCharType="separate"/>
      </w:r>
      <w:r w:rsidRPr="00D4546B">
        <w:rPr>
          <w:rFonts w:ascii="Arial" w:hAnsi="Arial" w:cs="Arial"/>
          <w:sz w:val="22"/>
          <w:szCs w:val="22"/>
        </w:rPr>
        <w:t>Resolución DAF No. 2775 del 21 de agosto del 201</w:t>
      </w:r>
      <w:r w:rsidRPr="00D4546B">
        <w:rPr>
          <w:rFonts w:ascii="Arial" w:hAnsi="Arial" w:cs="Arial"/>
          <w:sz w:val="22"/>
          <w:szCs w:val="22"/>
        </w:rPr>
        <w:fldChar w:fldCharType="end"/>
      </w:r>
      <w:r w:rsidRPr="00D4546B">
        <w:rPr>
          <w:rFonts w:ascii="Arial" w:hAnsi="Arial" w:cs="Arial"/>
          <w:sz w:val="22"/>
          <w:szCs w:val="22"/>
        </w:rPr>
        <w:t xml:space="preserve">9. Se estableció una duración de </w:t>
      </w:r>
      <w:r w:rsidRPr="00D4546B">
        <w:rPr>
          <w:rFonts w:ascii="Arial" w:hAnsi="Arial" w:cs="Arial"/>
          <w:sz w:val="22"/>
          <w:szCs w:val="22"/>
        </w:rPr>
        <w:fldChar w:fldCharType="begin"/>
      </w:r>
      <w:r w:rsidRPr="00D4546B">
        <w:rPr>
          <w:rFonts w:ascii="Arial" w:hAnsi="Arial" w:cs="Arial"/>
          <w:sz w:val="22"/>
          <w:szCs w:val="22"/>
        </w:rPr>
        <w:instrText xml:space="preserve"> LINK Excel.SheetMacroEnabled.12 "\\\\MH-EXMOSSSA01.MHEXT.RED\\EncuestasPSFF_Archivos\\Decreto028\\BD\\Excel\\Matriz_2018_PlanDesempeño_Departamento_Córdoba_Sector_Educación.xlsm" "Principal!F13C7" \a \t  \* MERGEFORMAT </w:instrText>
      </w:r>
      <w:r w:rsidRPr="00D4546B">
        <w:rPr>
          <w:rFonts w:ascii="Arial" w:hAnsi="Arial" w:cs="Arial"/>
          <w:sz w:val="22"/>
          <w:szCs w:val="22"/>
        </w:rPr>
        <w:fldChar w:fldCharType="separate"/>
      </w:r>
      <w:r w:rsidRPr="00D4546B">
        <w:rPr>
          <w:rFonts w:ascii="Arial" w:hAnsi="Arial" w:cs="Arial"/>
          <w:sz w:val="22"/>
          <w:szCs w:val="22"/>
        </w:rPr>
        <w:t>15</w:t>
      </w:r>
      <w:r w:rsidRPr="00D4546B">
        <w:rPr>
          <w:rFonts w:ascii="Arial" w:hAnsi="Arial" w:cs="Arial"/>
          <w:sz w:val="22"/>
          <w:szCs w:val="22"/>
        </w:rPr>
        <w:fldChar w:fldCharType="end"/>
      </w:r>
      <w:r w:rsidRPr="00D4546B">
        <w:rPr>
          <w:rFonts w:ascii="Arial" w:hAnsi="Arial" w:cs="Arial"/>
          <w:sz w:val="22"/>
          <w:szCs w:val="22"/>
        </w:rPr>
        <w:t xml:space="preserve"> meses para que la entidad desarrollara los objetivos y actividades a las que se comprometió con la adopción del </w:t>
      </w:r>
      <w:r w:rsidRPr="00D4546B">
        <w:rPr>
          <w:rFonts w:ascii="Arial" w:hAnsi="Arial" w:cs="Arial"/>
          <w:sz w:val="22"/>
          <w:szCs w:val="22"/>
        </w:rPr>
        <w:fldChar w:fldCharType="begin"/>
      </w:r>
      <w:r w:rsidRPr="00D4546B">
        <w:rPr>
          <w:rFonts w:ascii="Arial" w:hAnsi="Arial" w:cs="Arial"/>
          <w:sz w:val="22"/>
          <w:szCs w:val="22"/>
        </w:rPr>
        <w:instrText xml:space="preserve"> LINK Excel.SheetMacroEnabled.12 "\\\\MH-EXMOSSSA01.MHEXT.RED\\EncuestasPSFF_Archivos\\Decreto028\\BD\\Excel\\Matriz_2018_PlanDesempeño_Departamento_Córdoba_Sector_Educación.xlsm" "Principal!F18C9" \a \t  \* MERGEFORMAT </w:instrText>
      </w:r>
      <w:r w:rsidRPr="00D4546B">
        <w:rPr>
          <w:rFonts w:ascii="Arial" w:hAnsi="Arial" w:cs="Arial"/>
          <w:sz w:val="22"/>
          <w:szCs w:val="22"/>
        </w:rPr>
        <w:fldChar w:fldCharType="separate"/>
      </w:r>
      <w:r w:rsidRPr="00D4546B">
        <w:rPr>
          <w:rFonts w:ascii="Arial" w:hAnsi="Arial" w:cs="Arial"/>
          <w:sz w:val="22"/>
          <w:szCs w:val="22"/>
        </w:rPr>
        <w:t>Plan de Desempeño</w:t>
      </w:r>
      <w:r w:rsidRPr="00D4546B">
        <w:rPr>
          <w:rFonts w:ascii="Arial" w:hAnsi="Arial" w:cs="Arial"/>
          <w:sz w:val="22"/>
          <w:szCs w:val="22"/>
        </w:rPr>
        <w:fldChar w:fldCharType="end"/>
      </w:r>
      <w:r w:rsidRPr="00D4546B">
        <w:rPr>
          <w:rFonts w:ascii="Arial" w:hAnsi="Arial" w:cs="Arial"/>
          <w:sz w:val="22"/>
          <w:szCs w:val="22"/>
        </w:rPr>
        <w:t xml:space="preserve">. </w:t>
      </w:r>
    </w:p>
    <w:p w:rsidR="004662E4" w:rsidRPr="00D4546B" w:rsidRDefault="004662E4" w:rsidP="000A5BEA">
      <w:pPr>
        <w:pStyle w:val="NormalWeb"/>
        <w:shd w:val="clear" w:color="auto" w:fill="FFFFFF"/>
        <w:spacing w:before="0" w:beforeAutospacing="0" w:after="0" w:afterAutospacing="0"/>
        <w:jc w:val="both"/>
        <w:rPr>
          <w:rFonts w:ascii="Arial" w:hAnsi="Arial" w:cs="Arial"/>
          <w:color w:val="201F1E"/>
        </w:rPr>
      </w:pPr>
    </w:p>
    <w:p w:rsidR="004662E4" w:rsidRPr="00D4546B" w:rsidRDefault="004662E4" w:rsidP="000A5BEA">
      <w:pPr>
        <w:pStyle w:val="NormalWeb"/>
        <w:shd w:val="clear" w:color="auto" w:fill="FFFFFF"/>
        <w:spacing w:before="0" w:beforeAutospacing="0" w:after="0" w:afterAutospacing="0"/>
        <w:jc w:val="both"/>
        <w:rPr>
          <w:rFonts w:ascii="Arial" w:hAnsi="Arial" w:cs="Arial"/>
          <w:color w:val="000000"/>
          <w:sz w:val="22"/>
          <w:szCs w:val="22"/>
          <w:bdr w:val="none" w:sz="0" w:space="0" w:color="auto" w:frame="1"/>
          <w:lang w:val="es-ES"/>
        </w:rPr>
      </w:pPr>
      <w:r w:rsidRPr="00D4546B">
        <w:rPr>
          <w:rFonts w:ascii="Arial" w:hAnsi="Arial" w:cs="Arial"/>
          <w:color w:val="000000"/>
          <w:sz w:val="22"/>
          <w:szCs w:val="22"/>
          <w:bdr w:val="none" w:sz="0" w:space="0" w:color="auto" w:frame="1"/>
          <w:lang w:val="es-ES"/>
        </w:rPr>
        <w:t>Este informe corresponde a una evaluación parcial de seguimiento de las actuaciones y avances alcanzados por la Gobernación frente a las actividades del Plan de Desempeño durante el periodo comprendido entre 1 de enero de 2019 y 31 de diciembre de 2019.</w:t>
      </w:r>
    </w:p>
    <w:p w:rsidR="00BA2152" w:rsidRPr="00D4546B" w:rsidRDefault="00BA2152" w:rsidP="000A5BEA">
      <w:pPr>
        <w:pStyle w:val="NormalWeb"/>
        <w:shd w:val="clear" w:color="auto" w:fill="FFFFFF"/>
        <w:spacing w:before="0" w:beforeAutospacing="0" w:after="0" w:afterAutospacing="0"/>
        <w:jc w:val="both"/>
        <w:rPr>
          <w:rFonts w:ascii="Arial" w:hAnsi="Arial" w:cs="Arial"/>
          <w:color w:val="000000"/>
          <w:sz w:val="22"/>
          <w:szCs w:val="22"/>
          <w:bdr w:val="none" w:sz="0" w:space="0" w:color="auto" w:frame="1"/>
          <w:lang w:val="es-ES"/>
        </w:rPr>
      </w:pPr>
    </w:p>
    <w:p w:rsidR="00BA2152" w:rsidRPr="00D4546B" w:rsidRDefault="00BA2152" w:rsidP="000A5BEA">
      <w:pPr>
        <w:tabs>
          <w:tab w:val="left" w:pos="5985"/>
        </w:tabs>
        <w:jc w:val="both"/>
        <w:rPr>
          <w:rFonts w:ascii="Arial" w:hAnsi="Arial" w:cs="Arial"/>
          <w:sz w:val="21"/>
          <w:szCs w:val="21"/>
          <w:lang w:val="es-ES_tradnl"/>
        </w:rPr>
      </w:pPr>
      <w:r w:rsidRPr="00D4546B">
        <w:rPr>
          <w:rFonts w:ascii="Arial" w:hAnsi="Arial" w:cs="Arial"/>
          <w:sz w:val="21"/>
          <w:szCs w:val="21"/>
          <w:lang w:val="es-ES_tradnl"/>
        </w:rPr>
        <w:t xml:space="preserve">Ahora bien, producto de declaratoria pandemia por el Nuevo Coronavirus COVID-19 y en virtud del artículo 6 del Decreto 491 de 2020, la Dirección General de Apoyo Fiscal determinó la necesidad de tomar medidas extraordinarias y urgentes relacionadas con los términos de vigencia de las Medidas Preventivas de Plan de Desempeño adoptadas y actualmente vigentes, por lo cual mediante Resolución No. 0967 del 03 de abril de 2020 se suspendió el término de la vigencia de los planes de desempeño, incluida la del Departamento de </w:t>
      </w:r>
      <w:r w:rsidR="00D43675">
        <w:rPr>
          <w:rFonts w:ascii="Arial" w:hAnsi="Arial" w:cs="Arial"/>
          <w:sz w:val="21"/>
          <w:szCs w:val="21"/>
          <w:lang w:val="es-ES_tradnl"/>
        </w:rPr>
        <w:t>Córdoba</w:t>
      </w:r>
      <w:r w:rsidRPr="00D4546B">
        <w:rPr>
          <w:rFonts w:ascii="Arial" w:hAnsi="Arial" w:cs="Arial"/>
          <w:sz w:val="21"/>
          <w:szCs w:val="21"/>
          <w:lang w:val="es-ES_tradnl"/>
        </w:rPr>
        <w:t>, período durante el cual la Dirección General de Apoyo Fiscal no realizó evaluación y seguimiento a las medidas.</w:t>
      </w:r>
    </w:p>
    <w:p w:rsidR="00BA2152" w:rsidRPr="00D4546B" w:rsidRDefault="00BA2152" w:rsidP="000A5BEA">
      <w:pPr>
        <w:pStyle w:val="Prrafodelista"/>
        <w:tabs>
          <w:tab w:val="num" w:pos="426"/>
        </w:tabs>
        <w:ind w:left="426" w:hanging="426"/>
        <w:rPr>
          <w:rFonts w:ascii="Arial" w:hAnsi="Arial" w:cs="Arial"/>
          <w:sz w:val="21"/>
          <w:szCs w:val="21"/>
          <w:lang w:val="es-ES_tradnl"/>
        </w:rPr>
      </w:pPr>
    </w:p>
    <w:p w:rsidR="00BA2152" w:rsidRPr="00D4546B" w:rsidRDefault="00BA2152" w:rsidP="000A5BEA">
      <w:pPr>
        <w:tabs>
          <w:tab w:val="left" w:pos="5985"/>
        </w:tabs>
        <w:jc w:val="both"/>
        <w:rPr>
          <w:rFonts w:ascii="Arial" w:hAnsi="Arial" w:cs="Arial"/>
          <w:sz w:val="21"/>
          <w:szCs w:val="21"/>
          <w:lang w:val="es-ES_tradnl"/>
        </w:rPr>
      </w:pPr>
      <w:r w:rsidRPr="00D4546B">
        <w:rPr>
          <w:rFonts w:ascii="Arial" w:hAnsi="Arial" w:cs="Arial"/>
          <w:sz w:val="21"/>
          <w:szCs w:val="21"/>
          <w:lang w:val="es-ES_tradnl"/>
        </w:rPr>
        <w:t>Transcurridos diez (10) meses de la declaratoria de suspensión de los términos, se identificó que a pesar de la continuidad de la afectación del COVID-19, se ha logrado alcanzar una normalidad administrativa, y los gobiernos subnacionales han implementado las herramientas tecnológicas suficientes para garantizar la comunicación interinstitucional y con la ciudadanía.</w:t>
      </w:r>
    </w:p>
    <w:p w:rsidR="00BA2152" w:rsidRPr="00D4546B" w:rsidRDefault="00BA2152" w:rsidP="000A5BEA">
      <w:pPr>
        <w:tabs>
          <w:tab w:val="left" w:pos="5985"/>
        </w:tabs>
        <w:jc w:val="both"/>
        <w:rPr>
          <w:rFonts w:ascii="Arial" w:hAnsi="Arial" w:cs="Arial"/>
          <w:sz w:val="21"/>
          <w:szCs w:val="21"/>
          <w:lang w:val="es-ES_tradnl"/>
        </w:rPr>
      </w:pPr>
    </w:p>
    <w:p w:rsidR="00BA2152" w:rsidRPr="00D4546B" w:rsidRDefault="00BA2152" w:rsidP="000A5BEA">
      <w:pPr>
        <w:tabs>
          <w:tab w:val="left" w:pos="5985"/>
        </w:tabs>
        <w:jc w:val="both"/>
        <w:rPr>
          <w:rFonts w:ascii="Arial" w:hAnsi="Arial" w:cs="Arial"/>
          <w:sz w:val="21"/>
          <w:szCs w:val="21"/>
          <w:lang w:val="es-ES_tradnl"/>
        </w:rPr>
      </w:pPr>
      <w:r w:rsidRPr="00D4546B">
        <w:rPr>
          <w:rFonts w:ascii="Arial" w:hAnsi="Arial" w:cs="Arial"/>
          <w:sz w:val="21"/>
          <w:szCs w:val="21"/>
          <w:lang w:val="es-ES_tradnl"/>
        </w:rPr>
        <w:t xml:space="preserve">En virtud de lo anterior, esta Dirección a través de la Resolución 0301 del 09 de febrero de 2021, derogó la Resolución 0967 del 03 de abril de 2020, reanudando el término de ejecución de los Planes de Desempeño vigentes, incluido del Plan de Desempeño del Departamento de Sucre, el cual comenzará a contarse transcurridos 10 días hábiles a partir de la fecha de su publicación de la Resolución en la página </w:t>
      </w:r>
      <w:r w:rsidRPr="00D4546B">
        <w:rPr>
          <w:rFonts w:ascii="Arial" w:hAnsi="Arial" w:cs="Arial"/>
          <w:i/>
          <w:iCs/>
          <w:sz w:val="21"/>
          <w:szCs w:val="21"/>
          <w:lang w:val="es-ES_tradnl"/>
        </w:rPr>
        <w:t xml:space="preserve">Web </w:t>
      </w:r>
      <w:r w:rsidRPr="00D4546B">
        <w:rPr>
          <w:rFonts w:ascii="Arial" w:hAnsi="Arial" w:cs="Arial"/>
          <w:sz w:val="21"/>
          <w:szCs w:val="21"/>
          <w:lang w:val="es-ES_tradnl"/>
        </w:rPr>
        <w:t>del Ministerio de Hacienda y Crédito Público, esto es, el 9 de febrero de 2021.</w:t>
      </w:r>
    </w:p>
    <w:p w:rsidR="00BA2152" w:rsidRPr="00D4546B" w:rsidRDefault="00BA2152" w:rsidP="000A5BEA">
      <w:pPr>
        <w:pStyle w:val="NormalWeb"/>
        <w:shd w:val="clear" w:color="auto" w:fill="FFFFFF"/>
        <w:spacing w:before="0" w:beforeAutospacing="0" w:after="0" w:afterAutospacing="0"/>
        <w:jc w:val="both"/>
        <w:rPr>
          <w:rFonts w:ascii="Arial" w:hAnsi="Arial" w:cs="Arial"/>
          <w:color w:val="201F1E"/>
        </w:rPr>
      </w:pPr>
    </w:p>
    <w:p w:rsidR="00BA2152" w:rsidRDefault="00BA2152" w:rsidP="000A5BEA">
      <w:pPr>
        <w:jc w:val="both"/>
        <w:rPr>
          <w:rFonts w:ascii="Arial" w:hAnsi="Arial" w:cs="Arial"/>
          <w:bCs/>
          <w:sz w:val="22"/>
          <w:szCs w:val="22"/>
          <w:lang w:val="es-CO"/>
        </w:rPr>
      </w:pPr>
      <w:r w:rsidRPr="00D4546B">
        <w:rPr>
          <w:rFonts w:ascii="Arial" w:hAnsi="Arial" w:cs="Arial"/>
          <w:bCs/>
          <w:sz w:val="22"/>
          <w:szCs w:val="22"/>
          <w:lang w:val="es-CO"/>
        </w:rPr>
        <w:t>En este sentido, a continuación, se presenta la evaluación del cumplimiento de las obligaciones y actividades incluidas en el Plan de Desempeño con base en la información remitida por la Entidad Territorial, a partir del cual se espera contar con información actualizada para realizar una nueva evaluación a la medida.</w:t>
      </w:r>
    </w:p>
    <w:p w:rsidR="006C09E2" w:rsidRDefault="006C09E2" w:rsidP="000A5BEA">
      <w:pPr>
        <w:jc w:val="both"/>
        <w:rPr>
          <w:rFonts w:ascii="Arial" w:hAnsi="Arial" w:cs="Arial"/>
          <w:bCs/>
          <w:sz w:val="22"/>
          <w:szCs w:val="22"/>
          <w:lang w:val="es-CO"/>
        </w:rPr>
      </w:pPr>
    </w:p>
    <w:p w:rsidR="006C09E2" w:rsidRDefault="006C09E2" w:rsidP="000A5BEA">
      <w:pPr>
        <w:jc w:val="both"/>
        <w:rPr>
          <w:rFonts w:ascii="Arial" w:hAnsi="Arial" w:cs="Arial"/>
          <w:bCs/>
          <w:sz w:val="22"/>
          <w:szCs w:val="22"/>
          <w:lang w:val="es-CO"/>
        </w:rPr>
      </w:pPr>
    </w:p>
    <w:p w:rsidR="006C09E2" w:rsidRDefault="006C09E2" w:rsidP="000A5BEA">
      <w:pPr>
        <w:jc w:val="both"/>
        <w:rPr>
          <w:rFonts w:ascii="Arial" w:hAnsi="Arial" w:cs="Arial"/>
          <w:bCs/>
          <w:sz w:val="22"/>
          <w:szCs w:val="22"/>
          <w:lang w:val="es-CO"/>
        </w:rPr>
      </w:pPr>
    </w:p>
    <w:p w:rsidR="006C09E2" w:rsidRDefault="006C09E2" w:rsidP="000A5BEA">
      <w:pPr>
        <w:jc w:val="both"/>
        <w:rPr>
          <w:rFonts w:ascii="Arial" w:hAnsi="Arial" w:cs="Arial"/>
          <w:bCs/>
          <w:sz w:val="22"/>
          <w:szCs w:val="22"/>
          <w:lang w:val="es-CO"/>
        </w:rPr>
      </w:pPr>
    </w:p>
    <w:p w:rsidR="006C09E2" w:rsidRDefault="006C09E2" w:rsidP="000A5BEA">
      <w:pPr>
        <w:jc w:val="both"/>
        <w:rPr>
          <w:rFonts w:ascii="Arial" w:hAnsi="Arial" w:cs="Arial"/>
          <w:bCs/>
          <w:sz w:val="22"/>
          <w:szCs w:val="22"/>
          <w:lang w:val="es-CO"/>
        </w:rPr>
      </w:pPr>
    </w:p>
    <w:p w:rsidR="006C09E2" w:rsidRDefault="006C09E2" w:rsidP="000A5BEA">
      <w:pPr>
        <w:jc w:val="both"/>
        <w:rPr>
          <w:rFonts w:ascii="Arial" w:hAnsi="Arial" w:cs="Arial"/>
          <w:bCs/>
          <w:sz w:val="22"/>
          <w:szCs w:val="22"/>
          <w:lang w:val="es-CO"/>
        </w:rPr>
      </w:pPr>
    </w:p>
    <w:p w:rsidR="006C09E2" w:rsidRDefault="006C09E2" w:rsidP="000A5BEA">
      <w:pPr>
        <w:jc w:val="both"/>
        <w:rPr>
          <w:rFonts w:ascii="Arial" w:hAnsi="Arial" w:cs="Arial"/>
          <w:bCs/>
          <w:sz w:val="22"/>
          <w:szCs w:val="22"/>
          <w:lang w:val="es-CO"/>
        </w:rPr>
      </w:pPr>
    </w:p>
    <w:p w:rsidR="006C09E2" w:rsidRPr="00D4546B" w:rsidRDefault="006C09E2" w:rsidP="000A5BEA">
      <w:pPr>
        <w:jc w:val="both"/>
        <w:rPr>
          <w:rFonts w:ascii="Arial" w:hAnsi="Arial" w:cs="Arial"/>
          <w:bCs/>
          <w:sz w:val="22"/>
          <w:szCs w:val="22"/>
          <w:lang w:val="es-CO"/>
        </w:rPr>
      </w:pPr>
    </w:p>
    <w:p w:rsidR="00BA2152" w:rsidRPr="00D4546B" w:rsidRDefault="00BA2152" w:rsidP="000A5BEA">
      <w:pPr>
        <w:pStyle w:val="NormalWeb"/>
        <w:shd w:val="clear" w:color="auto" w:fill="FFFFFF"/>
        <w:spacing w:before="0" w:beforeAutospacing="0" w:after="0" w:afterAutospacing="0"/>
        <w:jc w:val="both"/>
        <w:rPr>
          <w:rFonts w:ascii="Arial" w:hAnsi="Arial" w:cs="Arial"/>
          <w:color w:val="201F1E"/>
        </w:rPr>
      </w:pPr>
    </w:p>
    <w:p w:rsidR="004662E4" w:rsidRPr="00D4546B" w:rsidRDefault="004662E4" w:rsidP="000A5BEA">
      <w:pPr>
        <w:pStyle w:val="Prrafodelista"/>
        <w:numPr>
          <w:ilvl w:val="0"/>
          <w:numId w:val="9"/>
        </w:numPr>
        <w:jc w:val="both"/>
        <w:rPr>
          <w:rFonts w:ascii="Arial" w:hAnsi="Arial" w:cs="Arial"/>
          <w:b/>
          <w:sz w:val="22"/>
          <w:szCs w:val="22"/>
        </w:rPr>
      </w:pPr>
      <w:r w:rsidRPr="00D4546B">
        <w:rPr>
          <w:rFonts w:ascii="Arial" w:hAnsi="Arial" w:cs="Arial"/>
          <w:b/>
          <w:sz w:val="22"/>
          <w:szCs w:val="22"/>
        </w:rPr>
        <w:lastRenderedPageBreak/>
        <w:t>Caracterización Sectorial</w:t>
      </w:r>
    </w:p>
    <w:p w:rsidR="008170BE" w:rsidRDefault="008170BE" w:rsidP="006C09E2">
      <w:pPr>
        <w:jc w:val="center"/>
        <w:rPr>
          <w:rFonts w:ascii="Arial" w:hAnsi="Arial" w:cs="Arial"/>
          <w:sz w:val="22"/>
          <w:szCs w:val="22"/>
        </w:rPr>
      </w:pPr>
      <w:r w:rsidRPr="00D4546B">
        <w:rPr>
          <w:rFonts w:ascii="Arial" w:hAnsi="Arial" w:cs="Arial"/>
          <w:noProof/>
          <w:lang w:val="es-CO" w:eastAsia="es-CO"/>
        </w:rPr>
        <w:drawing>
          <wp:inline distT="0" distB="0" distL="0" distR="0">
            <wp:extent cx="5290702" cy="7064375"/>
            <wp:effectExtent l="0" t="0" r="5715" b="317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4731" cy="7069755"/>
                    </a:xfrm>
                    <a:prstGeom prst="rect">
                      <a:avLst/>
                    </a:prstGeom>
                    <a:noFill/>
                    <a:ln>
                      <a:noFill/>
                    </a:ln>
                  </pic:spPr>
                </pic:pic>
              </a:graphicData>
            </a:graphic>
          </wp:inline>
        </w:drawing>
      </w:r>
    </w:p>
    <w:p w:rsidR="006C09E2" w:rsidRPr="00D4546B" w:rsidRDefault="006C09E2" w:rsidP="006C09E2">
      <w:pPr>
        <w:jc w:val="center"/>
        <w:rPr>
          <w:rFonts w:ascii="Arial" w:hAnsi="Arial" w:cs="Arial"/>
          <w:sz w:val="22"/>
          <w:szCs w:val="22"/>
        </w:rPr>
      </w:pPr>
    </w:p>
    <w:p w:rsidR="004662E4" w:rsidRPr="00D4546B" w:rsidRDefault="004662E4" w:rsidP="000A5BEA">
      <w:pPr>
        <w:jc w:val="both"/>
        <w:rPr>
          <w:rFonts w:ascii="Arial" w:hAnsi="Arial" w:cs="Arial"/>
          <w:sz w:val="22"/>
          <w:szCs w:val="22"/>
        </w:rPr>
      </w:pPr>
    </w:p>
    <w:p w:rsidR="004662E4" w:rsidRPr="00D4546B" w:rsidRDefault="004662E4" w:rsidP="000A5BEA">
      <w:pPr>
        <w:pStyle w:val="Prrafodelista"/>
        <w:numPr>
          <w:ilvl w:val="0"/>
          <w:numId w:val="8"/>
        </w:numPr>
        <w:jc w:val="both"/>
        <w:rPr>
          <w:rFonts w:ascii="Arial" w:hAnsi="Arial" w:cs="Arial"/>
          <w:b/>
          <w:sz w:val="22"/>
          <w:szCs w:val="22"/>
        </w:rPr>
      </w:pPr>
      <w:r w:rsidRPr="00D4546B">
        <w:rPr>
          <w:rFonts w:ascii="Arial" w:hAnsi="Arial" w:cs="Arial"/>
          <w:b/>
          <w:sz w:val="22"/>
          <w:szCs w:val="22"/>
        </w:rPr>
        <w:lastRenderedPageBreak/>
        <w:t>Evaluación Financiera</w:t>
      </w:r>
    </w:p>
    <w:p w:rsidR="004662E4" w:rsidRPr="00D4546B" w:rsidRDefault="004662E4" w:rsidP="000A5BEA">
      <w:pPr>
        <w:jc w:val="both"/>
        <w:rPr>
          <w:rFonts w:ascii="Arial" w:hAnsi="Arial" w:cs="Arial"/>
          <w:b/>
          <w:sz w:val="22"/>
          <w:szCs w:val="22"/>
        </w:rPr>
      </w:pPr>
    </w:p>
    <w:p w:rsidR="00753D6E" w:rsidRPr="00D4546B" w:rsidRDefault="00753D6E" w:rsidP="00753D6E">
      <w:pPr>
        <w:pStyle w:val="Sinespaciado"/>
        <w:jc w:val="both"/>
        <w:rPr>
          <w:rFonts w:ascii="Arial" w:hAnsi="Arial" w:cs="Arial"/>
          <w:lang w:val="es-ES_tradnl"/>
        </w:rPr>
      </w:pPr>
      <w:r w:rsidRPr="00D4546B">
        <w:rPr>
          <w:rFonts w:ascii="Arial" w:hAnsi="Arial" w:cs="Arial"/>
          <w:lang w:val="es-ES_tradnl"/>
        </w:rPr>
        <w:t xml:space="preserve">En lo </w:t>
      </w:r>
      <w:r w:rsidRPr="00D4546B">
        <w:rPr>
          <w:rFonts w:ascii="Arial" w:hAnsi="Arial" w:cs="Arial"/>
        </w:rPr>
        <w:t xml:space="preserve">financiero, durante la vigencia 2019 se asignaron al Departamento </w:t>
      </w:r>
      <w:r w:rsidRPr="00D4546B">
        <w:rPr>
          <w:rFonts w:ascii="Arial" w:hAnsi="Arial" w:cs="Arial"/>
          <w:lang w:val="es-ES_tradnl"/>
        </w:rPr>
        <w:t>$730.877 millones del SGP-Educación ($725.041 millones para prestación del servicio y $5.836 millones para cancelaciones). Para el año 2020, se asignó un total de $</w:t>
      </w:r>
      <w:r w:rsidR="00D4546B" w:rsidRPr="00D4546B">
        <w:rPr>
          <w:rFonts w:ascii="Arial" w:hAnsi="Arial" w:cs="Arial"/>
          <w:lang w:val="es-ES_tradnl"/>
        </w:rPr>
        <w:t xml:space="preserve">779.785 </w:t>
      </w:r>
      <w:r w:rsidRPr="00D4546B">
        <w:rPr>
          <w:rFonts w:ascii="Arial" w:hAnsi="Arial" w:cs="Arial"/>
          <w:lang w:val="es-ES_tradnl"/>
        </w:rPr>
        <w:t>millones ($</w:t>
      </w:r>
      <w:r w:rsidR="00D4546B" w:rsidRPr="00D4546B">
        <w:rPr>
          <w:rFonts w:ascii="Arial" w:hAnsi="Arial" w:cs="Arial"/>
          <w:lang w:val="es-ES_tradnl"/>
        </w:rPr>
        <w:t xml:space="preserve">772.113 </w:t>
      </w:r>
      <w:r w:rsidRPr="00D4546B">
        <w:rPr>
          <w:rFonts w:ascii="Arial" w:hAnsi="Arial" w:cs="Arial"/>
          <w:lang w:val="es-ES_tradnl"/>
        </w:rPr>
        <w:t>millones para prestación del servicio</w:t>
      </w:r>
      <w:r w:rsidR="00D4546B" w:rsidRPr="00D4546B">
        <w:rPr>
          <w:rFonts w:ascii="Arial" w:hAnsi="Arial" w:cs="Arial"/>
          <w:lang w:val="es-ES_tradnl"/>
        </w:rPr>
        <w:t>, $6.753 millones para Cancelaciones</w:t>
      </w:r>
      <w:r w:rsidRPr="00D4546B">
        <w:rPr>
          <w:rFonts w:ascii="Arial" w:hAnsi="Arial" w:cs="Arial"/>
          <w:lang w:val="es-ES_tradnl"/>
        </w:rPr>
        <w:t xml:space="preserve"> y $9</w:t>
      </w:r>
      <w:r w:rsidR="00D4546B" w:rsidRPr="00D4546B">
        <w:rPr>
          <w:rFonts w:ascii="Arial" w:hAnsi="Arial" w:cs="Arial"/>
          <w:lang w:val="es-ES_tradnl"/>
        </w:rPr>
        <w:t>19</w:t>
      </w:r>
      <w:r w:rsidRPr="00D4546B">
        <w:rPr>
          <w:rFonts w:ascii="Arial" w:hAnsi="Arial" w:cs="Arial"/>
          <w:lang w:val="es-ES_tradnl"/>
        </w:rPr>
        <w:t xml:space="preserve"> millones de Calidad – Matrícula Oficial).</w:t>
      </w:r>
    </w:p>
    <w:p w:rsidR="00753D6E" w:rsidRPr="00D4546B" w:rsidRDefault="00753D6E" w:rsidP="000A5BEA">
      <w:pPr>
        <w:jc w:val="both"/>
        <w:rPr>
          <w:rFonts w:ascii="Arial" w:hAnsi="Arial" w:cs="Arial"/>
          <w:b/>
          <w:sz w:val="22"/>
          <w:szCs w:val="22"/>
        </w:rPr>
      </w:pPr>
    </w:p>
    <w:p w:rsidR="004662E4" w:rsidRPr="006C09E2" w:rsidRDefault="004662E4" w:rsidP="000A5BEA">
      <w:pPr>
        <w:pStyle w:val="Prrafodelista"/>
        <w:numPr>
          <w:ilvl w:val="0"/>
          <w:numId w:val="10"/>
        </w:numPr>
        <w:jc w:val="both"/>
        <w:rPr>
          <w:rFonts w:ascii="Arial" w:hAnsi="Arial" w:cs="Arial"/>
          <w:i/>
          <w:sz w:val="22"/>
          <w:szCs w:val="22"/>
        </w:rPr>
      </w:pPr>
      <w:r w:rsidRPr="006C09E2">
        <w:rPr>
          <w:rFonts w:ascii="Arial" w:hAnsi="Arial" w:cs="Arial"/>
          <w:i/>
          <w:sz w:val="22"/>
          <w:szCs w:val="22"/>
        </w:rPr>
        <w:t xml:space="preserve">Ingresos: </w:t>
      </w:r>
    </w:p>
    <w:p w:rsidR="004662E4" w:rsidRPr="00D4546B" w:rsidRDefault="004662E4" w:rsidP="000A5BEA">
      <w:pPr>
        <w:jc w:val="both"/>
        <w:rPr>
          <w:rFonts w:ascii="Arial" w:hAnsi="Arial" w:cs="Arial"/>
          <w:sz w:val="22"/>
          <w:szCs w:val="22"/>
        </w:rPr>
      </w:pPr>
    </w:p>
    <w:p w:rsidR="00D4546B" w:rsidRPr="00D4546B" w:rsidRDefault="00D4546B" w:rsidP="00D4546B">
      <w:pPr>
        <w:jc w:val="both"/>
        <w:rPr>
          <w:rFonts w:ascii="Arial" w:hAnsi="Arial" w:cs="Arial"/>
          <w:bCs/>
          <w:sz w:val="22"/>
          <w:szCs w:val="22"/>
          <w:lang w:val="es-ES_tradnl"/>
        </w:rPr>
      </w:pPr>
      <w:r w:rsidRPr="00D4546B">
        <w:rPr>
          <w:rFonts w:ascii="Arial" w:eastAsia="Times New Roman" w:hAnsi="Arial" w:cs="Arial"/>
          <w:sz w:val="22"/>
          <w:szCs w:val="22"/>
          <w:lang w:val="es-CO"/>
        </w:rPr>
        <w:t xml:space="preserve">A diciembre de 2020, de acuerdo con la información reportada por la Entidad Territorial en la Categoría de Ingresos del Formulario Único Territorial – FUT, el Departamento </w:t>
      </w:r>
      <w:r w:rsidRPr="00D4546B">
        <w:rPr>
          <w:rFonts w:ascii="Arial" w:hAnsi="Arial" w:cs="Arial"/>
          <w:bCs/>
          <w:sz w:val="22"/>
          <w:szCs w:val="22"/>
          <w:lang w:val="es-ES_tradnl"/>
        </w:rPr>
        <w:t>recaudó $781.749 millones en el sector educación, de los cuales el 99.7% corresponde a ingresos corrientes de transferencias del Sistema General de Participaciones (SGP) – Educación ($779.785) y el 0.3% restante de los ingresos ($1.964 millones) corresponde a recursos de capital, entre rendimientos financieros, recursos del balance y reintegros. La información de recursos corrientes es consistente con el monto de recursos asignados del SGP por la Nación a la entidad.</w:t>
      </w:r>
    </w:p>
    <w:p w:rsidR="00D4546B" w:rsidRDefault="00D4546B" w:rsidP="000A5BEA">
      <w:pPr>
        <w:jc w:val="both"/>
        <w:rPr>
          <w:rFonts w:ascii="Arial" w:hAnsi="Arial" w:cs="Arial"/>
          <w:bCs/>
          <w:sz w:val="22"/>
          <w:szCs w:val="22"/>
          <w:lang w:val="es-ES_tradnl"/>
        </w:rPr>
      </w:pPr>
    </w:p>
    <w:tbl>
      <w:tblPr>
        <w:tblW w:w="5000" w:type="pct"/>
        <w:tblCellMar>
          <w:left w:w="70" w:type="dxa"/>
          <w:right w:w="70" w:type="dxa"/>
        </w:tblCellMar>
        <w:tblLook w:val="04A0" w:firstRow="1" w:lastRow="0" w:firstColumn="1" w:lastColumn="0" w:noHBand="0" w:noVBand="1"/>
      </w:tblPr>
      <w:tblGrid>
        <w:gridCol w:w="3092"/>
        <w:gridCol w:w="2822"/>
        <w:gridCol w:w="2578"/>
        <w:gridCol w:w="341"/>
      </w:tblGrid>
      <w:tr w:rsidR="00D4546B" w:rsidRPr="00D4546B" w:rsidTr="00D071CA">
        <w:trPr>
          <w:trHeight w:val="20"/>
        </w:trPr>
        <w:tc>
          <w:tcPr>
            <w:tcW w:w="4831" w:type="pct"/>
            <w:gridSpan w:val="3"/>
            <w:tcBorders>
              <w:top w:val="single" w:sz="4" w:space="0" w:color="auto"/>
              <w:left w:val="single" w:sz="4" w:space="0" w:color="auto"/>
              <w:bottom w:val="single" w:sz="4" w:space="0" w:color="auto"/>
              <w:right w:val="single" w:sz="4" w:space="0" w:color="000000"/>
            </w:tcBorders>
            <w:shd w:val="clear" w:color="000000" w:fill="666699"/>
            <w:vAlign w:val="center"/>
            <w:hideMark/>
          </w:tcPr>
          <w:p w:rsidR="00D4546B" w:rsidRPr="00D4546B" w:rsidRDefault="00D4546B" w:rsidP="00D4546B">
            <w:pPr>
              <w:jc w:val="center"/>
              <w:rPr>
                <w:rFonts w:ascii="Arial" w:eastAsia="Times New Roman" w:hAnsi="Arial" w:cs="Arial"/>
                <w:b/>
                <w:bCs/>
                <w:color w:val="FFFFFF"/>
                <w:sz w:val="18"/>
                <w:szCs w:val="18"/>
                <w:lang w:val="es-CO" w:eastAsia="es-CO"/>
              </w:rPr>
            </w:pPr>
            <w:r w:rsidRPr="00D4546B">
              <w:rPr>
                <w:rFonts w:ascii="Arial" w:eastAsia="Times New Roman" w:hAnsi="Arial" w:cs="Arial"/>
                <w:b/>
                <w:bCs/>
                <w:color w:val="FFFFFF"/>
                <w:sz w:val="18"/>
                <w:szCs w:val="18"/>
                <w:lang w:val="es-CO" w:eastAsia="es-CO"/>
              </w:rPr>
              <w:t>TABLA</w:t>
            </w:r>
            <w:r w:rsidR="00D071CA">
              <w:rPr>
                <w:rFonts w:ascii="Arial" w:eastAsia="Times New Roman" w:hAnsi="Arial" w:cs="Arial"/>
                <w:b/>
                <w:bCs/>
                <w:color w:val="FFFFFF"/>
                <w:sz w:val="18"/>
                <w:szCs w:val="18"/>
                <w:lang w:val="es-CO" w:eastAsia="es-CO"/>
              </w:rPr>
              <w:t xml:space="preserve"> </w:t>
            </w:r>
            <w:r w:rsidRPr="00D4546B">
              <w:rPr>
                <w:rFonts w:ascii="Arial" w:eastAsia="Times New Roman" w:hAnsi="Arial" w:cs="Arial"/>
                <w:b/>
                <w:bCs/>
                <w:color w:val="FFFFFF"/>
                <w:sz w:val="18"/>
                <w:szCs w:val="18"/>
                <w:lang w:val="es-CO" w:eastAsia="es-CO"/>
              </w:rPr>
              <w:t>1. INGRESOS A DICIEMBRE DE 2019 Y 2020</w:t>
            </w:r>
            <w:r w:rsidR="008040A0">
              <w:rPr>
                <w:rFonts w:ascii="Arial" w:eastAsia="Times New Roman" w:hAnsi="Arial" w:cs="Arial"/>
                <w:b/>
                <w:bCs/>
                <w:color w:val="FFFFFF"/>
                <w:sz w:val="18"/>
                <w:szCs w:val="18"/>
                <w:lang w:val="es-CO" w:eastAsia="es-CO"/>
              </w:rPr>
              <w:t xml:space="preserve"> </w:t>
            </w:r>
          </w:p>
        </w:tc>
        <w:tc>
          <w:tcPr>
            <w:tcW w:w="169" w:type="pct"/>
            <w:tcBorders>
              <w:top w:val="nil"/>
              <w:left w:val="nil"/>
              <w:bottom w:val="nil"/>
              <w:right w:val="nil"/>
            </w:tcBorders>
            <w:shd w:val="clear" w:color="auto" w:fill="auto"/>
            <w:noWrap/>
            <w:vAlign w:val="bottom"/>
            <w:hideMark/>
          </w:tcPr>
          <w:p w:rsidR="00D4546B" w:rsidRPr="00D4546B" w:rsidRDefault="00D4546B" w:rsidP="00D4546B">
            <w:pPr>
              <w:jc w:val="center"/>
              <w:rPr>
                <w:rFonts w:ascii="Arial" w:eastAsia="Times New Roman" w:hAnsi="Arial" w:cs="Arial"/>
                <w:b/>
                <w:bCs/>
                <w:color w:val="FFFFFF"/>
                <w:sz w:val="18"/>
                <w:szCs w:val="18"/>
                <w:lang w:val="es-CO" w:eastAsia="es-CO"/>
              </w:rPr>
            </w:pPr>
          </w:p>
        </w:tc>
      </w:tr>
      <w:tr w:rsidR="00D4546B" w:rsidRPr="00D4546B" w:rsidTr="00D071CA">
        <w:trPr>
          <w:trHeight w:val="20"/>
        </w:trPr>
        <w:tc>
          <w:tcPr>
            <w:tcW w:w="4831" w:type="pct"/>
            <w:gridSpan w:val="3"/>
            <w:tcBorders>
              <w:top w:val="single" w:sz="4" w:space="0" w:color="auto"/>
              <w:left w:val="single" w:sz="4" w:space="0" w:color="auto"/>
              <w:bottom w:val="single" w:sz="4" w:space="0" w:color="auto"/>
              <w:right w:val="single" w:sz="4" w:space="0" w:color="000000"/>
            </w:tcBorders>
            <w:shd w:val="clear" w:color="000000" w:fill="666699"/>
            <w:vAlign w:val="center"/>
            <w:hideMark/>
          </w:tcPr>
          <w:p w:rsidR="00D4546B" w:rsidRPr="00D4546B" w:rsidRDefault="00D4546B" w:rsidP="00D4546B">
            <w:pPr>
              <w:jc w:val="center"/>
              <w:rPr>
                <w:rFonts w:ascii="Arial" w:eastAsia="Times New Roman" w:hAnsi="Arial" w:cs="Arial"/>
                <w:b/>
                <w:bCs/>
                <w:color w:val="FFFFFF"/>
                <w:sz w:val="18"/>
                <w:szCs w:val="18"/>
                <w:lang w:val="es-CO" w:eastAsia="es-CO"/>
              </w:rPr>
            </w:pPr>
            <w:r w:rsidRPr="00D4546B">
              <w:rPr>
                <w:rFonts w:ascii="Arial" w:eastAsia="Times New Roman" w:hAnsi="Arial" w:cs="Arial"/>
                <w:b/>
                <w:bCs/>
                <w:color w:val="FFFFFF"/>
                <w:sz w:val="18"/>
                <w:szCs w:val="18"/>
                <w:lang w:val="es-CO" w:eastAsia="es-CO"/>
              </w:rPr>
              <w:t xml:space="preserve"> (MILLONES DE $)</w:t>
            </w:r>
            <w:r w:rsidR="008040A0">
              <w:rPr>
                <w:rFonts w:ascii="Arial" w:eastAsia="Times New Roman" w:hAnsi="Arial" w:cs="Arial"/>
                <w:b/>
                <w:bCs/>
                <w:color w:val="FFFFFF"/>
                <w:sz w:val="18"/>
                <w:szCs w:val="18"/>
                <w:lang w:val="es-CO" w:eastAsia="es-CO"/>
              </w:rPr>
              <w:t xml:space="preserve"> </w:t>
            </w:r>
          </w:p>
        </w:tc>
        <w:tc>
          <w:tcPr>
            <w:tcW w:w="169" w:type="pct"/>
            <w:tcBorders>
              <w:top w:val="nil"/>
              <w:left w:val="nil"/>
              <w:bottom w:val="nil"/>
              <w:right w:val="nil"/>
            </w:tcBorders>
            <w:shd w:val="clear" w:color="auto" w:fill="auto"/>
            <w:noWrap/>
            <w:vAlign w:val="bottom"/>
            <w:hideMark/>
          </w:tcPr>
          <w:p w:rsidR="00D4546B" w:rsidRPr="00D4546B" w:rsidRDefault="00D4546B" w:rsidP="00D4546B">
            <w:pPr>
              <w:jc w:val="center"/>
              <w:rPr>
                <w:rFonts w:ascii="Arial" w:eastAsia="Times New Roman" w:hAnsi="Arial" w:cs="Arial"/>
                <w:b/>
                <w:bCs/>
                <w:color w:val="FFFFFF"/>
                <w:sz w:val="18"/>
                <w:szCs w:val="18"/>
                <w:lang w:val="es-CO" w:eastAsia="es-CO"/>
              </w:rPr>
            </w:pPr>
          </w:p>
        </w:tc>
      </w:tr>
      <w:tr w:rsidR="00D071CA" w:rsidRPr="00D4546B" w:rsidTr="00D071CA">
        <w:trPr>
          <w:trHeight w:val="20"/>
        </w:trPr>
        <w:tc>
          <w:tcPr>
            <w:tcW w:w="1759" w:type="pct"/>
            <w:tcBorders>
              <w:top w:val="nil"/>
              <w:left w:val="single" w:sz="4" w:space="0" w:color="auto"/>
              <w:bottom w:val="single" w:sz="4" w:space="0" w:color="auto"/>
              <w:right w:val="single" w:sz="4" w:space="0" w:color="auto"/>
            </w:tcBorders>
            <w:shd w:val="clear" w:color="000000" w:fill="CCCCFF"/>
            <w:vAlign w:val="center"/>
            <w:hideMark/>
          </w:tcPr>
          <w:p w:rsidR="00D4546B" w:rsidRPr="00D4546B" w:rsidRDefault="00D4546B" w:rsidP="00D4546B">
            <w:pPr>
              <w:jc w:val="center"/>
              <w:rPr>
                <w:rFonts w:ascii="Arial" w:eastAsia="Times New Roman" w:hAnsi="Arial" w:cs="Arial"/>
                <w:b/>
                <w:bCs/>
                <w:color w:val="000000"/>
                <w:sz w:val="18"/>
                <w:szCs w:val="18"/>
                <w:lang w:val="es-CO" w:eastAsia="es-CO"/>
              </w:rPr>
            </w:pPr>
            <w:r w:rsidRPr="00D4546B">
              <w:rPr>
                <w:rFonts w:ascii="Arial" w:eastAsia="Times New Roman" w:hAnsi="Arial" w:cs="Arial"/>
                <w:b/>
                <w:bCs/>
                <w:color w:val="000000"/>
                <w:sz w:val="18"/>
                <w:szCs w:val="18"/>
                <w:lang w:val="es-CO" w:eastAsia="es-CO"/>
              </w:rPr>
              <w:t xml:space="preserve"> Vigencias</w:t>
            </w:r>
            <w:r w:rsidR="008040A0">
              <w:rPr>
                <w:rFonts w:ascii="Arial" w:eastAsia="Times New Roman" w:hAnsi="Arial" w:cs="Arial"/>
                <w:b/>
                <w:bCs/>
                <w:color w:val="000000"/>
                <w:sz w:val="18"/>
                <w:szCs w:val="18"/>
                <w:lang w:val="es-CO" w:eastAsia="es-CO"/>
              </w:rPr>
              <w:t xml:space="preserve"> </w:t>
            </w:r>
          </w:p>
        </w:tc>
        <w:tc>
          <w:tcPr>
            <w:tcW w:w="1606" w:type="pct"/>
            <w:tcBorders>
              <w:top w:val="nil"/>
              <w:left w:val="nil"/>
              <w:bottom w:val="single" w:sz="4" w:space="0" w:color="auto"/>
              <w:right w:val="single" w:sz="4" w:space="0" w:color="auto"/>
            </w:tcBorders>
            <w:shd w:val="clear" w:color="000000" w:fill="CCCCFF"/>
            <w:vAlign w:val="center"/>
            <w:hideMark/>
          </w:tcPr>
          <w:p w:rsidR="00D4546B" w:rsidRPr="00D4546B" w:rsidRDefault="00D4546B" w:rsidP="00D4546B">
            <w:pPr>
              <w:jc w:val="center"/>
              <w:rPr>
                <w:rFonts w:ascii="Arial" w:eastAsia="Times New Roman" w:hAnsi="Arial" w:cs="Arial"/>
                <w:b/>
                <w:bCs/>
                <w:color w:val="000000"/>
                <w:sz w:val="18"/>
                <w:szCs w:val="18"/>
                <w:lang w:val="es-CO" w:eastAsia="es-CO"/>
              </w:rPr>
            </w:pPr>
            <w:r w:rsidRPr="00D4546B">
              <w:rPr>
                <w:rFonts w:ascii="Arial" w:eastAsia="Times New Roman" w:hAnsi="Arial" w:cs="Arial"/>
                <w:b/>
                <w:bCs/>
                <w:color w:val="000000"/>
                <w:sz w:val="18"/>
                <w:szCs w:val="18"/>
                <w:lang w:val="es-CO" w:eastAsia="es-CO"/>
              </w:rPr>
              <w:t>2019</w:t>
            </w:r>
          </w:p>
        </w:tc>
        <w:tc>
          <w:tcPr>
            <w:tcW w:w="1467" w:type="pct"/>
            <w:tcBorders>
              <w:top w:val="nil"/>
              <w:left w:val="nil"/>
              <w:bottom w:val="single" w:sz="4" w:space="0" w:color="auto"/>
              <w:right w:val="single" w:sz="4" w:space="0" w:color="auto"/>
            </w:tcBorders>
            <w:shd w:val="clear" w:color="000000" w:fill="CCCCFF"/>
            <w:vAlign w:val="center"/>
            <w:hideMark/>
          </w:tcPr>
          <w:p w:rsidR="00D4546B" w:rsidRPr="00D4546B" w:rsidRDefault="008040A0" w:rsidP="00D4546B">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D4546B" w:rsidRPr="00D4546B">
              <w:rPr>
                <w:rFonts w:ascii="Arial" w:eastAsia="Times New Roman" w:hAnsi="Arial" w:cs="Arial"/>
                <w:b/>
                <w:bCs/>
                <w:color w:val="000000"/>
                <w:sz w:val="18"/>
                <w:szCs w:val="18"/>
                <w:lang w:val="es-CO" w:eastAsia="es-CO"/>
              </w:rPr>
              <w:t xml:space="preserve">2.020 </w:t>
            </w:r>
          </w:p>
        </w:tc>
        <w:tc>
          <w:tcPr>
            <w:tcW w:w="169" w:type="pct"/>
            <w:tcBorders>
              <w:top w:val="nil"/>
              <w:left w:val="nil"/>
              <w:bottom w:val="nil"/>
              <w:right w:val="nil"/>
            </w:tcBorders>
            <w:shd w:val="clear" w:color="auto" w:fill="auto"/>
            <w:noWrap/>
            <w:vAlign w:val="bottom"/>
            <w:hideMark/>
          </w:tcPr>
          <w:p w:rsidR="00D4546B" w:rsidRPr="00D4546B" w:rsidRDefault="00D4546B" w:rsidP="00D4546B">
            <w:pPr>
              <w:jc w:val="center"/>
              <w:rPr>
                <w:rFonts w:ascii="Arial" w:eastAsia="Times New Roman" w:hAnsi="Arial" w:cs="Arial"/>
                <w:b/>
                <w:bCs/>
                <w:color w:val="000000"/>
                <w:sz w:val="18"/>
                <w:szCs w:val="18"/>
                <w:lang w:val="es-CO" w:eastAsia="es-CO"/>
              </w:rPr>
            </w:pPr>
          </w:p>
        </w:tc>
      </w:tr>
      <w:tr w:rsidR="00D071CA" w:rsidRPr="00D4546B" w:rsidTr="00D071CA">
        <w:trPr>
          <w:trHeight w:val="20"/>
        </w:trPr>
        <w:tc>
          <w:tcPr>
            <w:tcW w:w="1759" w:type="pct"/>
            <w:tcBorders>
              <w:top w:val="nil"/>
              <w:left w:val="single" w:sz="4" w:space="0" w:color="auto"/>
              <w:bottom w:val="single" w:sz="4" w:space="0" w:color="auto"/>
              <w:right w:val="single" w:sz="4" w:space="0" w:color="auto"/>
            </w:tcBorders>
            <w:shd w:val="clear" w:color="000000" w:fill="CCCCFF"/>
            <w:vAlign w:val="center"/>
            <w:hideMark/>
          </w:tcPr>
          <w:p w:rsidR="00D4546B" w:rsidRPr="00D4546B" w:rsidRDefault="00D4546B" w:rsidP="00D4546B">
            <w:pPr>
              <w:jc w:val="center"/>
              <w:rPr>
                <w:rFonts w:ascii="Arial" w:eastAsia="Times New Roman" w:hAnsi="Arial" w:cs="Arial"/>
                <w:b/>
                <w:bCs/>
                <w:color w:val="000000"/>
                <w:sz w:val="18"/>
                <w:szCs w:val="18"/>
                <w:lang w:val="es-CO" w:eastAsia="es-CO"/>
              </w:rPr>
            </w:pPr>
            <w:r w:rsidRPr="00D4546B">
              <w:rPr>
                <w:rFonts w:ascii="Arial" w:eastAsia="Times New Roman" w:hAnsi="Arial" w:cs="Arial"/>
                <w:b/>
                <w:bCs/>
                <w:color w:val="000000"/>
                <w:sz w:val="18"/>
                <w:szCs w:val="18"/>
                <w:lang w:val="es-CO" w:eastAsia="es-CO"/>
              </w:rPr>
              <w:t xml:space="preserve"> Asignación SGP-educación </w:t>
            </w:r>
          </w:p>
        </w:tc>
        <w:tc>
          <w:tcPr>
            <w:tcW w:w="1606" w:type="pct"/>
            <w:tcBorders>
              <w:top w:val="nil"/>
              <w:left w:val="nil"/>
              <w:bottom w:val="single" w:sz="4" w:space="0" w:color="auto"/>
              <w:right w:val="single" w:sz="4" w:space="0" w:color="auto"/>
            </w:tcBorders>
            <w:shd w:val="clear" w:color="000000" w:fill="CCCCFF"/>
            <w:noWrap/>
            <w:vAlign w:val="bottom"/>
            <w:hideMark/>
          </w:tcPr>
          <w:p w:rsidR="00D4546B" w:rsidRPr="00D4546B" w:rsidRDefault="008040A0" w:rsidP="00D071CA">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D4546B" w:rsidRPr="00D4546B">
              <w:rPr>
                <w:rFonts w:ascii="Arial" w:eastAsia="Times New Roman" w:hAnsi="Arial" w:cs="Arial"/>
                <w:b/>
                <w:bCs/>
                <w:color w:val="000000"/>
                <w:sz w:val="18"/>
                <w:szCs w:val="18"/>
                <w:lang w:val="es-CO" w:eastAsia="es-CO"/>
              </w:rPr>
              <w:t xml:space="preserve">730.877 </w:t>
            </w:r>
          </w:p>
        </w:tc>
        <w:tc>
          <w:tcPr>
            <w:tcW w:w="1467" w:type="pct"/>
            <w:tcBorders>
              <w:top w:val="nil"/>
              <w:left w:val="nil"/>
              <w:bottom w:val="single" w:sz="4" w:space="0" w:color="auto"/>
              <w:right w:val="single" w:sz="4" w:space="0" w:color="auto"/>
            </w:tcBorders>
            <w:shd w:val="clear" w:color="000000" w:fill="CCCCFF"/>
            <w:vAlign w:val="center"/>
            <w:hideMark/>
          </w:tcPr>
          <w:p w:rsidR="00D4546B" w:rsidRPr="00D4546B" w:rsidRDefault="005D5DA0" w:rsidP="00D071CA">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779.785</w:t>
            </w:r>
          </w:p>
        </w:tc>
        <w:tc>
          <w:tcPr>
            <w:tcW w:w="169" w:type="pct"/>
            <w:tcBorders>
              <w:top w:val="nil"/>
              <w:left w:val="nil"/>
              <w:bottom w:val="nil"/>
              <w:right w:val="nil"/>
            </w:tcBorders>
            <w:shd w:val="clear" w:color="auto" w:fill="auto"/>
            <w:noWrap/>
            <w:vAlign w:val="bottom"/>
            <w:hideMark/>
          </w:tcPr>
          <w:p w:rsidR="00D4546B" w:rsidRPr="00D4546B" w:rsidRDefault="00D4546B" w:rsidP="00D4546B">
            <w:pPr>
              <w:jc w:val="center"/>
              <w:rPr>
                <w:rFonts w:ascii="Arial" w:eastAsia="Times New Roman" w:hAnsi="Arial" w:cs="Arial"/>
                <w:b/>
                <w:bCs/>
                <w:color w:val="000000"/>
                <w:sz w:val="18"/>
                <w:szCs w:val="18"/>
                <w:lang w:val="es-CO" w:eastAsia="es-CO"/>
              </w:rPr>
            </w:pPr>
          </w:p>
        </w:tc>
      </w:tr>
      <w:tr w:rsidR="00D071CA" w:rsidRPr="00D4546B" w:rsidTr="00D071CA">
        <w:trPr>
          <w:trHeight w:val="20"/>
        </w:trPr>
        <w:tc>
          <w:tcPr>
            <w:tcW w:w="1759" w:type="pct"/>
            <w:tcBorders>
              <w:top w:val="nil"/>
              <w:left w:val="single" w:sz="4" w:space="0" w:color="auto"/>
              <w:bottom w:val="single" w:sz="4" w:space="0" w:color="auto"/>
              <w:right w:val="single" w:sz="4" w:space="0" w:color="auto"/>
            </w:tcBorders>
            <w:shd w:val="clear" w:color="000000" w:fill="CCCCFF"/>
            <w:vAlign w:val="center"/>
            <w:hideMark/>
          </w:tcPr>
          <w:p w:rsidR="00D4546B" w:rsidRPr="00D4546B" w:rsidRDefault="00D4546B" w:rsidP="00D4546B">
            <w:pPr>
              <w:jc w:val="center"/>
              <w:rPr>
                <w:rFonts w:ascii="Arial" w:eastAsia="Times New Roman" w:hAnsi="Arial" w:cs="Arial"/>
                <w:b/>
                <w:bCs/>
                <w:color w:val="000000"/>
                <w:sz w:val="18"/>
                <w:szCs w:val="18"/>
                <w:lang w:val="es-CO" w:eastAsia="es-CO"/>
              </w:rPr>
            </w:pPr>
            <w:r w:rsidRPr="00D4546B">
              <w:rPr>
                <w:rFonts w:ascii="Arial" w:eastAsia="Times New Roman" w:hAnsi="Arial" w:cs="Arial"/>
                <w:b/>
                <w:bCs/>
                <w:color w:val="000000"/>
                <w:sz w:val="18"/>
                <w:szCs w:val="18"/>
                <w:lang w:val="es-CO" w:eastAsia="es-CO"/>
              </w:rPr>
              <w:t xml:space="preserve"> Giro MEN-ET</w:t>
            </w:r>
            <w:r w:rsidR="008040A0">
              <w:rPr>
                <w:rFonts w:ascii="Arial" w:eastAsia="Times New Roman" w:hAnsi="Arial" w:cs="Arial"/>
                <w:b/>
                <w:bCs/>
                <w:color w:val="000000"/>
                <w:sz w:val="18"/>
                <w:szCs w:val="18"/>
                <w:lang w:val="es-CO" w:eastAsia="es-CO"/>
              </w:rPr>
              <w:t xml:space="preserve"> </w:t>
            </w:r>
          </w:p>
        </w:tc>
        <w:tc>
          <w:tcPr>
            <w:tcW w:w="1606" w:type="pct"/>
            <w:tcBorders>
              <w:top w:val="nil"/>
              <w:left w:val="nil"/>
              <w:bottom w:val="single" w:sz="4" w:space="0" w:color="auto"/>
              <w:right w:val="single" w:sz="4" w:space="0" w:color="auto"/>
            </w:tcBorders>
            <w:shd w:val="clear" w:color="000000" w:fill="CCCCFF"/>
            <w:noWrap/>
            <w:vAlign w:val="bottom"/>
            <w:hideMark/>
          </w:tcPr>
          <w:p w:rsidR="00D4546B" w:rsidRPr="00D4546B" w:rsidRDefault="008040A0" w:rsidP="00D071CA">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D4546B" w:rsidRPr="00D4546B">
              <w:rPr>
                <w:rFonts w:ascii="Arial" w:eastAsia="Times New Roman" w:hAnsi="Arial" w:cs="Arial"/>
                <w:b/>
                <w:bCs/>
                <w:color w:val="000000"/>
                <w:sz w:val="18"/>
                <w:szCs w:val="18"/>
                <w:lang w:val="es-CO" w:eastAsia="es-CO"/>
              </w:rPr>
              <w:t xml:space="preserve">730.877 </w:t>
            </w:r>
          </w:p>
        </w:tc>
        <w:tc>
          <w:tcPr>
            <w:tcW w:w="1467" w:type="pct"/>
            <w:tcBorders>
              <w:top w:val="nil"/>
              <w:left w:val="nil"/>
              <w:bottom w:val="single" w:sz="4" w:space="0" w:color="auto"/>
              <w:right w:val="single" w:sz="4" w:space="0" w:color="auto"/>
            </w:tcBorders>
            <w:shd w:val="clear" w:color="000000" w:fill="CCCCFF"/>
            <w:vAlign w:val="center"/>
            <w:hideMark/>
          </w:tcPr>
          <w:p w:rsidR="00D4546B" w:rsidRPr="00D4546B" w:rsidRDefault="005D5DA0" w:rsidP="00D071CA">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779.785</w:t>
            </w:r>
            <w:r w:rsidR="00D4546B" w:rsidRPr="00D4546B">
              <w:rPr>
                <w:rFonts w:ascii="Arial" w:eastAsia="Times New Roman" w:hAnsi="Arial" w:cs="Arial"/>
                <w:b/>
                <w:bCs/>
                <w:color w:val="000000"/>
                <w:sz w:val="18"/>
                <w:szCs w:val="18"/>
                <w:lang w:val="es-CO" w:eastAsia="es-CO"/>
              </w:rPr>
              <w:t xml:space="preserve"> </w:t>
            </w:r>
          </w:p>
        </w:tc>
        <w:tc>
          <w:tcPr>
            <w:tcW w:w="169" w:type="pct"/>
            <w:tcBorders>
              <w:top w:val="nil"/>
              <w:left w:val="nil"/>
              <w:bottom w:val="nil"/>
              <w:right w:val="nil"/>
            </w:tcBorders>
            <w:shd w:val="clear" w:color="auto" w:fill="auto"/>
            <w:noWrap/>
            <w:vAlign w:val="bottom"/>
            <w:hideMark/>
          </w:tcPr>
          <w:p w:rsidR="00D4546B" w:rsidRPr="00D4546B" w:rsidRDefault="00D4546B" w:rsidP="00D4546B">
            <w:pPr>
              <w:jc w:val="center"/>
              <w:rPr>
                <w:rFonts w:ascii="Arial" w:eastAsia="Times New Roman" w:hAnsi="Arial" w:cs="Arial"/>
                <w:b/>
                <w:bCs/>
                <w:color w:val="000000"/>
                <w:sz w:val="18"/>
                <w:szCs w:val="18"/>
                <w:lang w:val="es-CO" w:eastAsia="es-CO"/>
              </w:rPr>
            </w:pPr>
          </w:p>
        </w:tc>
      </w:tr>
      <w:tr w:rsidR="00D071CA" w:rsidRPr="00D4546B" w:rsidTr="00D071CA">
        <w:trPr>
          <w:trHeight w:val="20"/>
        </w:trPr>
        <w:tc>
          <w:tcPr>
            <w:tcW w:w="1759" w:type="pct"/>
            <w:tcBorders>
              <w:top w:val="nil"/>
              <w:left w:val="single" w:sz="4" w:space="0" w:color="auto"/>
              <w:bottom w:val="single" w:sz="4" w:space="0" w:color="auto"/>
              <w:right w:val="single" w:sz="4" w:space="0" w:color="auto"/>
            </w:tcBorders>
            <w:shd w:val="clear" w:color="000000" w:fill="CCCCFF"/>
            <w:vAlign w:val="center"/>
            <w:hideMark/>
          </w:tcPr>
          <w:p w:rsidR="00D4546B" w:rsidRPr="00D4546B" w:rsidRDefault="00D4546B" w:rsidP="00D4546B">
            <w:pPr>
              <w:jc w:val="center"/>
              <w:rPr>
                <w:rFonts w:ascii="Arial" w:eastAsia="Times New Roman" w:hAnsi="Arial" w:cs="Arial"/>
                <w:b/>
                <w:bCs/>
                <w:color w:val="000000"/>
                <w:sz w:val="18"/>
                <w:szCs w:val="18"/>
                <w:lang w:val="es-CO" w:eastAsia="es-CO"/>
              </w:rPr>
            </w:pPr>
            <w:r w:rsidRPr="00D4546B">
              <w:rPr>
                <w:rFonts w:ascii="Arial" w:eastAsia="Times New Roman" w:hAnsi="Arial" w:cs="Arial"/>
                <w:b/>
                <w:bCs/>
                <w:color w:val="000000"/>
                <w:sz w:val="18"/>
                <w:szCs w:val="18"/>
                <w:lang w:val="es-CO" w:eastAsia="es-CO"/>
              </w:rPr>
              <w:t xml:space="preserve"> RUBRO</w:t>
            </w:r>
            <w:r w:rsidR="008040A0">
              <w:rPr>
                <w:rFonts w:ascii="Arial" w:eastAsia="Times New Roman" w:hAnsi="Arial" w:cs="Arial"/>
                <w:b/>
                <w:bCs/>
                <w:color w:val="000000"/>
                <w:sz w:val="18"/>
                <w:szCs w:val="18"/>
                <w:lang w:val="es-CO" w:eastAsia="es-CO"/>
              </w:rPr>
              <w:t xml:space="preserve"> </w:t>
            </w:r>
          </w:p>
        </w:tc>
        <w:tc>
          <w:tcPr>
            <w:tcW w:w="1606" w:type="pct"/>
            <w:tcBorders>
              <w:top w:val="nil"/>
              <w:left w:val="nil"/>
              <w:bottom w:val="single" w:sz="4" w:space="0" w:color="auto"/>
              <w:right w:val="single" w:sz="4" w:space="0" w:color="auto"/>
            </w:tcBorders>
            <w:shd w:val="clear" w:color="000000" w:fill="CCCCFF"/>
            <w:vAlign w:val="center"/>
            <w:hideMark/>
          </w:tcPr>
          <w:p w:rsidR="00D4546B" w:rsidRPr="00D4546B" w:rsidRDefault="00D4546B" w:rsidP="00D4546B">
            <w:pPr>
              <w:jc w:val="center"/>
              <w:rPr>
                <w:rFonts w:ascii="Arial" w:eastAsia="Times New Roman" w:hAnsi="Arial" w:cs="Arial"/>
                <w:b/>
                <w:bCs/>
                <w:color w:val="000000"/>
                <w:sz w:val="18"/>
                <w:szCs w:val="18"/>
                <w:lang w:val="es-CO" w:eastAsia="es-CO"/>
              </w:rPr>
            </w:pPr>
            <w:r w:rsidRPr="00D4546B">
              <w:rPr>
                <w:rFonts w:ascii="Arial" w:eastAsia="Times New Roman" w:hAnsi="Arial" w:cs="Arial"/>
                <w:b/>
                <w:bCs/>
                <w:color w:val="000000"/>
                <w:sz w:val="18"/>
                <w:szCs w:val="18"/>
                <w:lang w:val="es-CO" w:eastAsia="es-CO"/>
              </w:rPr>
              <w:t xml:space="preserve"> RECAUDO</w:t>
            </w:r>
            <w:r w:rsidR="008040A0">
              <w:rPr>
                <w:rFonts w:ascii="Arial" w:eastAsia="Times New Roman" w:hAnsi="Arial" w:cs="Arial"/>
                <w:b/>
                <w:bCs/>
                <w:color w:val="000000"/>
                <w:sz w:val="18"/>
                <w:szCs w:val="18"/>
                <w:lang w:val="es-CO" w:eastAsia="es-CO"/>
              </w:rPr>
              <w:t xml:space="preserve"> </w:t>
            </w:r>
          </w:p>
        </w:tc>
        <w:tc>
          <w:tcPr>
            <w:tcW w:w="1467" w:type="pct"/>
            <w:tcBorders>
              <w:top w:val="nil"/>
              <w:left w:val="nil"/>
              <w:bottom w:val="single" w:sz="4" w:space="0" w:color="auto"/>
              <w:right w:val="single" w:sz="4" w:space="0" w:color="auto"/>
            </w:tcBorders>
            <w:shd w:val="clear" w:color="000000" w:fill="CCCCFF"/>
            <w:vAlign w:val="center"/>
            <w:hideMark/>
          </w:tcPr>
          <w:p w:rsidR="00D4546B" w:rsidRPr="00D4546B" w:rsidRDefault="00D4546B" w:rsidP="00D4546B">
            <w:pPr>
              <w:jc w:val="center"/>
              <w:rPr>
                <w:rFonts w:ascii="Arial" w:eastAsia="Times New Roman" w:hAnsi="Arial" w:cs="Arial"/>
                <w:b/>
                <w:bCs/>
                <w:color w:val="000000"/>
                <w:sz w:val="18"/>
                <w:szCs w:val="18"/>
                <w:lang w:val="es-CO" w:eastAsia="es-CO"/>
              </w:rPr>
            </w:pPr>
            <w:r w:rsidRPr="00D4546B">
              <w:rPr>
                <w:rFonts w:ascii="Arial" w:eastAsia="Times New Roman" w:hAnsi="Arial" w:cs="Arial"/>
                <w:b/>
                <w:bCs/>
                <w:color w:val="000000"/>
                <w:sz w:val="18"/>
                <w:szCs w:val="18"/>
                <w:lang w:val="es-CO" w:eastAsia="es-CO"/>
              </w:rPr>
              <w:t xml:space="preserve"> RECAUDO</w:t>
            </w:r>
            <w:r w:rsidR="008040A0">
              <w:rPr>
                <w:rFonts w:ascii="Arial" w:eastAsia="Times New Roman" w:hAnsi="Arial" w:cs="Arial"/>
                <w:b/>
                <w:bCs/>
                <w:color w:val="000000"/>
                <w:sz w:val="18"/>
                <w:szCs w:val="18"/>
                <w:lang w:val="es-CO" w:eastAsia="es-CO"/>
              </w:rPr>
              <w:t xml:space="preserve"> </w:t>
            </w:r>
          </w:p>
        </w:tc>
        <w:tc>
          <w:tcPr>
            <w:tcW w:w="169" w:type="pct"/>
            <w:tcBorders>
              <w:top w:val="nil"/>
              <w:left w:val="nil"/>
              <w:bottom w:val="nil"/>
              <w:right w:val="nil"/>
            </w:tcBorders>
            <w:shd w:val="clear" w:color="auto" w:fill="auto"/>
            <w:noWrap/>
            <w:vAlign w:val="bottom"/>
            <w:hideMark/>
          </w:tcPr>
          <w:p w:rsidR="00D4546B" w:rsidRPr="00D4546B" w:rsidRDefault="00D4546B" w:rsidP="00D4546B">
            <w:pPr>
              <w:jc w:val="center"/>
              <w:rPr>
                <w:rFonts w:ascii="Arial" w:eastAsia="Times New Roman" w:hAnsi="Arial" w:cs="Arial"/>
                <w:b/>
                <w:bCs/>
                <w:color w:val="000000"/>
                <w:sz w:val="18"/>
                <w:szCs w:val="18"/>
                <w:lang w:val="es-CO" w:eastAsia="es-CO"/>
              </w:rPr>
            </w:pPr>
          </w:p>
        </w:tc>
      </w:tr>
      <w:tr w:rsidR="00D071CA" w:rsidRPr="00D4546B" w:rsidTr="00D071CA">
        <w:trPr>
          <w:trHeight w:val="20"/>
        </w:trPr>
        <w:tc>
          <w:tcPr>
            <w:tcW w:w="1759" w:type="pct"/>
            <w:tcBorders>
              <w:top w:val="nil"/>
              <w:left w:val="single" w:sz="4" w:space="0" w:color="auto"/>
              <w:bottom w:val="single" w:sz="4" w:space="0" w:color="auto"/>
              <w:right w:val="single" w:sz="4" w:space="0" w:color="auto"/>
            </w:tcBorders>
            <w:shd w:val="clear" w:color="000000" w:fill="CCCCFF"/>
            <w:vAlign w:val="center"/>
            <w:hideMark/>
          </w:tcPr>
          <w:p w:rsidR="00D4546B" w:rsidRPr="00D4546B" w:rsidRDefault="00D4546B" w:rsidP="00D4546B">
            <w:pPr>
              <w:jc w:val="both"/>
              <w:rPr>
                <w:rFonts w:ascii="Arial" w:eastAsia="Times New Roman" w:hAnsi="Arial" w:cs="Arial"/>
                <w:b/>
                <w:bCs/>
                <w:color w:val="000000"/>
                <w:sz w:val="18"/>
                <w:szCs w:val="18"/>
                <w:lang w:val="es-CO" w:eastAsia="es-CO"/>
              </w:rPr>
            </w:pPr>
            <w:r w:rsidRPr="00D4546B">
              <w:rPr>
                <w:rFonts w:ascii="Arial" w:eastAsia="Times New Roman" w:hAnsi="Arial" w:cs="Arial"/>
                <w:b/>
                <w:bCs/>
                <w:color w:val="000000"/>
                <w:sz w:val="18"/>
                <w:szCs w:val="18"/>
                <w:lang w:val="es-CO" w:eastAsia="es-CO"/>
              </w:rPr>
              <w:t xml:space="preserve"> Ingresos Corrientes</w:t>
            </w:r>
            <w:r w:rsidR="008040A0">
              <w:rPr>
                <w:rFonts w:ascii="Arial" w:eastAsia="Times New Roman" w:hAnsi="Arial" w:cs="Arial"/>
                <w:b/>
                <w:bCs/>
                <w:color w:val="000000"/>
                <w:sz w:val="18"/>
                <w:szCs w:val="18"/>
                <w:lang w:val="es-CO" w:eastAsia="es-CO"/>
              </w:rPr>
              <w:t xml:space="preserve"> </w:t>
            </w:r>
          </w:p>
        </w:tc>
        <w:tc>
          <w:tcPr>
            <w:tcW w:w="1606" w:type="pct"/>
            <w:tcBorders>
              <w:top w:val="nil"/>
              <w:left w:val="nil"/>
              <w:bottom w:val="single" w:sz="4" w:space="0" w:color="auto"/>
              <w:right w:val="single" w:sz="4" w:space="0" w:color="auto"/>
            </w:tcBorders>
            <w:shd w:val="clear" w:color="000000" w:fill="CCCCFF"/>
            <w:noWrap/>
            <w:vAlign w:val="center"/>
            <w:hideMark/>
          </w:tcPr>
          <w:p w:rsidR="00D4546B" w:rsidRPr="00D4546B" w:rsidRDefault="00D4546B" w:rsidP="00D4546B">
            <w:pPr>
              <w:jc w:val="right"/>
              <w:rPr>
                <w:rFonts w:ascii="Arial" w:eastAsia="Times New Roman" w:hAnsi="Arial" w:cs="Arial"/>
                <w:b/>
                <w:bCs/>
                <w:color w:val="000000"/>
                <w:sz w:val="18"/>
                <w:szCs w:val="18"/>
                <w:lang w:val="es-CO" w:eastAsia="es-CO"/>
              </w:rPr>
            </w:pPr>
            <w:r w:rsidRPr="00D4546B">
              <w:rPr>
                <w:rFonts w:ascii="Arial" w:eastAsia="Times New Roman" w:hAnsi="Arial" w:cs="Arial"/>
                <w:b/>
                <w:bCs/>
                <w:color w:val="000000"/>
                <w:sz w:val="18"/>
                <w:szCs w:val="18"/>
                <w:lang w:val="es-CO" w:eastAsia="es-CO"/>
              </w:rPr>
              <w:t>730.896</w:t>
            </w:r>
          </w:p>
        </w:tc>
        <w:tc>
          <w:tcPr>
            <w:tcW w:w="1467" w:type="pct"/>
            <w:tcBorders>
              <w:top w:val="nil"/>
              <w:left w:val="nil"/>
              <w:bottom w:val="single" w:sz="4" w:space="0" w:color="auto"/>
              <w:right w:val="single" w:sz="4" w:space="0" w:color="auto"/>
            </w:tcBorders>
            <w:shd w:val="clear" w:color="000000" w:fill="CCCCFF"/>
            <w:vAlign w:val="center"/>
            <w:hideMark/>
          </w:tcPr>
          <w:p w:rsidR="00D4546B" w:rsidRPr="00D4546B" w:rsidRDefault="008040A0" w:rsidP="00D4546B">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D4546B" w:rsidRPr="00D4546B">
              <w:rPr>
                <w:rFonts w:ascii="Arial" w:eastAsia="Times New Roman" w:hAnsi="Arial" w:cs="Arial"/>
                <w:b/>
                <w:bCs/>
                <w:color w:val="000000"/>
                <w:sz w:val="18"/>
                <w:szCs w:val="18"/>
                <w:lang w:val="es-CO" w:eastAsia="es-CO"/>
              </w:rPr>
              <w:t xml:space="preserve">779.785 </w:t>
            </w:r>
          </w:p>
        </w:tc>
        <w:tc>
          <w:tcPr>
            <w:tcW w:w="169" w:type="pct"/>
            <w:tcBorders>
              <w:top w:val="nil"/>
              <w:left w:val="nil"/>
              <w:bottom w:val="nil"/>
              <w:right w:val="nil"/>
            </w:tcBorders>
            <w:shd w:val="clear" w:color="auto" w:fill="auto"/>
            <w:noWrap/>
            <w:vAlign w:val="bottom"/>
            <w:hideMark/>
          </w:tcPr>
          <w:p w:rsidR="00D4546B" w:rsidRPr="00D4546B" w:rsidRDefault="00D4546B" w:rsidP="00D4546B">
            <w:pPr>
              <w:jc w:val="right"/>
              <w:rPr>
                <w:rFonts w:ascii="Arial" w:eastAsia="Times New Roman" w:hAnsi="Arial" w:cs="Arial"/>
                <w:b/>
                <w:bCs/>
                <w:color w:val="000000"/>
                <w:sz w:val="18"/>
                <w:szCs w:val="18"/>
                <w:lang w:val="es-CO" w:eastAsia="es-CO"/>
              </w:rPr>
            </w:pPr>
          </w:p>
        </w:tc>
      </w:tr>
      <w:tr w:rsidR="00D4546B" w:rsidRPr="00D4546B" w:rsidTr="00D071CA">
        <w:trPr>
          <w:trHeight w:val="20"/>
        </w:trPr>
        <w:tc>
          <w:tcPr>
            <w:tcW w:w="1759" w:type="pct"/>
            <w:tcBorders>
              <w:top w:val="nil"/>
              <w:left w:val="single" w:sz="4" w:space="0" w:color="auto"/>
              <w:bottom w:val="single" w:sz="4" w:space="0" w:color="auto"/>
              <w:right w:val="single" w:sz="4" w:space="0" w:color="auto"/>
            </w:tcBorders>
            <w:shd w:val="clear" w:color="auto" w:fill="auto"/>
            <w:vAlign w:val="center"/>
            <w:hideMark/>
          </w:tcPr>
          <w:p w:rsidR="00D4546B" w:rsidRPr="00D4546B" w:rsidRDefault="00D4546B" w:rsidP="00D4546B">
            <w:pPr>
              <w:rPr>
                <w:rFonts w:ascii="Arial" w:eastAsia="Times New Roman" w:hAnsi="Arial" w:cs="Arial"/>
                <w:b/>
                <w:bCs/>
                <w:color w:val="000000"/>
                <w:sz w:val="18"/>
                <w:szCs w:val="18"/>
                <w:lang w:val="es-CO" w:eastAsia="es-CO"/>
              </w:rPr>
            </w:pPr>
            <w:r w:rsidRPr="00D4546B">
              <w:rPr>
                <w:rFonts w:ascii="Arial" w:eastAsia="Times New Roman" w:hAnsi="Arial" w:cs="Arial"/>
                <w:b/>
                <w:bCs/>
                <w:color w:val="000000"/>
                <w:sz w:val="18"/>
                <w:szCs w:val="18"/>
                <w:lang w:val="es-CO" w:eastAsia="es-CO"/>
              </w:rPr>
              <w:t xml:space="preserve"> Sistema General de Participaciones -Educación</w:t>
            </w:r>
            <w:r w:rsidR="008040A0">
              <w:rPr>
                <w:rFonts w:ascii="Arial" w:eastAsia="Times New Roman" w:hAnsi="Arial" w:cs="Arial"/>
                <w:b/>
                <w:bCs/>
                <w:color w:val="000000"/>
                <w:sz w:val="18"/>
                <w:szCs w:val="18"/>
                <w:lang w:val="es-CO" w:eastAsia="es-CO"/>
              </w:rPr>
              <w:t xml:space="preserve"> </w:t>
            </w:r>
          </w:p>
        </w:tc>
        <w:tc>
          <w:tcPr>
            <w:tcW w:w="1606" w:type="pct"/>
            <w:tcBorders>
              <w:top w:val="nil"/>
              <w:left w:val="nil"/>
              <w:bottom w:val="single" w:sz="4" w:space="0" w:color="auto"/>
              <w:right w:val="single" w:sz="4" w:space="0" w:color="auto"/>
            </w:tcBorders>
            <w:shd w:val="clear" w:color="auto" w:fill="auto"/>
            <w:vAlign w:val="center"/>
            <w:hideMark/>
          </w:tcPr>
          <w:p w:rsidR="00D4546B" w:rsidRPr="00D4546B" w:rsidRDefault="008040A0" w:rsidP="00D4546B">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D4546B" w:rsidRPr="00D4546B">
              <w:rPr>
                <w:rFonts w:ascii="Arial" w:eastAsia="Times New Roman" w:hAnsi="Arial" w:cs="Arial"/>
                <w:b/>
                <w:bCs/>
                <w:color w:val="000000"/>
                <w:sz w:val="18"/>
                <w:szCs w:val="18"/>
                <w:lang w:val="es-CO" w:eastAsia="es-CO"/>
              </w:rPr>
              <w:t xml:space="preserve">730.896 </w:t>
            </w:r>
          </w:p>
        </w:tc>
        <w:tc>
          <w:tcPr>
            <w:tcW w:w="1467" w:type="pct"/>
            <w:tcBorders>
              <w:top w:val="nil"/>
              <w:left w:val="nil"/>
              <w:bottom w:val="single" w:sz="4" w:space="0" w:color="auto"/>
              <w:right w:val="single" w:sz="4" w:space="0" w:color="auto"/>
            </w:tcBorders>
            <w:shd w:val="clear" w:color="auto" w:fill="auto"/>
            <w:vAlign w:val="center"/>
            <w:hideMark/>
          </w:tcPr>
          <w:p w:rsidR="00D4546B" w:rsidRPr="00D4546B" w:rsidRDefault="008040A0" w:rsidP="00D4546B">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D4546B" w:rsidRPr="00D4546B">
              <w:rPr>
                <w:rFonts w:ascii="Arial" w:eastAsia="Times New Roman" w:hAnsi="Arial" w:cs="Arial"/>
                <w:b/>
                <w:bCs/>
                <w:color w:val="000000"/>
                <w:sz w:val="18"/>
                <w:szCs w:val="18"/>
                <w:lang w:val="es-CO" w:eastAsia="es-CO"/>
              </w:rPr>
              <w:t xml:space="preserve">779.785 </w:t>
            </w:r>
          </w:p>
        </w:tc>
        <w:tc>
          <w:tcPr>
            <w:tcW w:w="169" w:type="pct"/>
            <w:tcBorders>
              <w:top w:val="nil"/>
              <w:left w:val="nil"/>
              <w:bottom w:val="nil"/>
              <w:right w:val="nil"/>
            </w:tcBorders>
            <w:shd w:val="clear" w:color="auto" w:fill="auto"/>
            <w:noWrap/>
            <w:vAlign w:val="bottom"/>
            <w:hideMark/>
          </w:tcPr>
          <w:p w:rsidR="00D4546B" w:rsidRPr="00D4546B" w:rsidRDefault="00D4546B" w:rsidP="00D4546B">
            <w:pPr>
              <w:jc w:val="right"/>
              <w:rPr>
                <w:rFonts w:ascii="Arial" w:eastAsia="Times New Roman" w:hAnsi="Arial" w:cs="Arial"/>
                <w:b/>
                <w:bCs/>
                <w:color w:val="000000"/>
                <w:sz w:val="18"/>
                <w:szCs w:val="18"/>
                <w:lang w:val="es-CO" w:eastAsia="es-CO"/>
              </w:rPr>
            </w:pPr>
          </w:p>
        </w:tc>
      </w:tr>
      <w:tr w:rsidR="00D4546B" w:rsidRPr="00D4546B" w:rsidTr="006C09E2">
        <w:trPr>
          <w:trHeight w:val="20"/>
        </w:trPr>
        <w:tc>
          <w:tcPr>
            <w:tcW w:w="1759" w:type="pct"/>
            <w:tcBorders>
              <w:top w:val="nil"/>
              <w:left w:val="single" w:sz="4" w:space="0" w:color="auto"/>
              <w:bottom w:val="single" w:sz="4" w:space="0" w:color="auto"/>
              <w:right w:val="single" w:sz="4" w:space="0" w:color="auto"/>
            </w:tcBorders>
            <w:shd w:val="clear" w:color="auto" w:fill="auto"/>
            <w:vAlign w:val="center"/>
            <w:hideMark/>
          </w:tcPr>
          <w:p w:rsidR="00D4546B" w:rsidRPr="00D4546B" w:rsidRDefault="00D4546B" w:rsidP="003C2A5D">
            <w:pPr>
              <w:rPr>
                <w:rFonts w:ascii="Arial" w:eastAsia="Times New Roman" w:hAnsi="Arial" w:cs="Arial"/>
                <w:b/>
                <w:bCs/>
                <w:color w:val="000000"/>
                <w:sz w:val="18"/>
                <w:szCs w:val="18"/>
                <w:lang w:val="es-CO" w:eastAsia="es-CO"/>
              </w:rPr>
            </w:pPr>
            <w:r w:rsidRPr="00D4546B">
              <w:rPr>
                <w:rFonts w:ascii="Arial" w:eastAsia="Times New Roman" w:hAnsi="Arial" w:cs="Arial"/>
                <w:b/>
                <w:bCs/>
                <w:color w:val="000000"/>
                <w:sz w:val="18"/>
                <w:szCs w:val="18"/>
                <w:lang w:val="es-CO" w:eastAsia="es-CO"/>
              </w:rPr>
              <w:t xml:space="preserve"> Prestación de servicios</w:t>
            </w:r>
          </w:p>
        </w:tc>
        <w:tc>
          <w:tcPr>
            <w:tcW w:w="1606" w:type="pct"/>
            <w:tcBorders>
              <w:top w:val="nil"/>
              <w:left w:val="nil"/>
              <w:bottom w:val="single" w:sz="4" w:space="0" w:color="auto"/>
              <w:right w:val="single" w:sz="4" w:space="0" w:color="auto"/>
            </w:tcBorders>
            <w:shd w:val="clear" w:color="auto" w:fill="auto"/>
            <w:vAlign w:val="center"/>
            <w:hideMark/>
          </w:tcPr>
          <w:p w:rsidR="00D4546B" w:rsidRPr="00D4546B" w:rsidRDefault="008040A0" w:rsidP="00D4546B">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D4546B" w:rsidRPr="00D4546B">
              <w:rPr>
                <w:rFonts w:ascii="Arial" w:eastAsia="Times New Roman" w:hAnsi="Arial" w:cs="Arial"/>
                <w:b/>
                <w:bCs/>
                <w:color w:val="000000"/>
                <w:sz w:val="18"/>
                <w:szCs w:val="18"/>
                <w:lang w:val="es-CO" w:eastAsia="es-CO"/>
              </w:rPr>
              <w:t xml:space="preserve">725.060 </w:t>
            </w:r>
          </w:p>
        </w:tc>
        <w:tc>
          <w:tcPr>
            <w:tcW w:w="1467" w:type="pct"/>
            <w:tcBorders>
              <w:top w:val="nil"/>
              <w:left w:val="nil"/>
              <w:bottom w:val="single" w:sz="4" w:space="0" w:color="auto"/>
              <w:right w:val="single" w:sz="4" w:space="0" w:color="auto"/>
            </w:tcBorders>
            <w:shd w:val="clear" w:color="auto" w:fill="auto"/>
            <w:vAlign w:val="center"/>
            <w:hideMark/>
          </w:tcPr>
          <w:p w:rsidR="00D4546B" w:rsidRPr="00D4546B" w:rsidRDefault="008040A0" w:rsidP="00D4546B">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D4546B" w:rsidRPr="00D4546B">
              <w:rPr>
                <w:rFonts w:ascii="Arial" w:eastAsia="Times New Roman" w:hAnsi="Arial" w:cs="Arial"/>
                <w:b/>
                <w:bCs/>
                <w:color w:val="000000"/>
                <w:sz w:val="18"/>
                <w:szCs w:val="18"/>
                <w:lang w:val="es-CO" w:eastAsia="es-CO"/>
              </w:rPr>
              <w:t xml:space="preserve">772.113 </w:t>
            </w:r>
          </w:p>
        </w:tc>
        <w:tc>
          <w:tcPr>
            <w:tcW w:w="169" w:type="pct"/>
            <w:tcBorders>
              <w:top w:val="nil"/>
              <w:left w:val="nil"/>
              <w:bottom w:val="nil"/>
              <w:right w:val="nil"/>
            </w:tcBorders>
            <w:shd w:val="clear" w:color="auto" w:fill="auto"/>
            <w:noWrap/>
            <w:vAlign w:val="bottom"/>
          </w:tcPr>
          <w:p w:rsidR="00D4546B" w:rsidRPr="00D4546B" w:rsidRDefault="003C2A5D" w:rsidP="00D4546B">
            <w:pPr>
              <w:jc w:val="right"/>
              <w:rPr>
                <w:rFonts w:ascii="Calibri" w:eastAsia="Times New Roman" w:hAnsi="Calibri" w:cs="Calibri"/>
                <w:color w:val="FF0000"/>
                <w:sz w:val="18"/>
                <w:szCs w:val="18"/>
                <w:lang w:val="es-CO" w:eastAsia="es-CO"/>
              </w:rPr>
            </w:pPr>
            <w:r>
              <w:rPr>
                <w:rFonts w:ascii="Calibri" w:eastAsia="Times New Roman" w:hAnsi="Calibri" w:cs="Calibri"/>
                <w:color w:val="FF0000"/>
                <w:sz w:val="18"/>
                <w:szCs w:val="18"/>
                <w:lang w:val="es-CO" w:eastAsia="es-CO"/>
              </w:rPr>
              <w:t>(1)</w:t>
            </w:r>
          </w:p>
        </w:tc>
      </w:tr>
      <w:tr w:rsidR="00D4546B" w:rsidRPr="00D4546B" w:rsidTr="00D071CA">
        <w:trPr>
          <w:trHeight w:val="20"/>
        </w:trPr>
        <w:tc>
          <w:tcPr>
            <w:tcW w:w="1759" w:type="pct"/>
            <w:tcBorders>
              <w:top w:val="nil"/>
              <w:left w:val="single" w:sz="4" w:space="0" w:color="auto"/>
              <w:bottom w:val="single" w:sz="4" w:space="0" w:color="auto"/>
              <w:right w:val="single" w:sz="4" w:space="0" w:color="auto"/>
            </w:tcBorders>
            <w:shd w:val="clear" w:color="auto" w:fill="auto"/>
            <w:vAlign w:val="center"/>
            <w:hideMark/>
          </w:tcPr>
          <w:p w:rsidR="00D4546B" w:rsidRPr="00D4546B" w:rsidRDefault="008040A0" w:rsidP="00D4546B">
            <w:pPr>
              <w:ind w:firstLineChars="100" w:firstLine="180"/>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w:t>
            </w:r>
            <w:r w:rsidR="00D4546B" w:rsidRPr="00D4546B">
              <w:rPr>
                <w:rFonts w:ascii="Arial" w:eastAsia="Times New Roman" w:hAnsi="Arial" w:cs="Arial"/>
                <w:color w:val="000000"/>
                <w:sz w:val="18"/>
                <w:szCs w:val="18"/>
                <w:lang w:val="es-CO" w:eastAsia="es-CO"/>
              </w:rPr>
              <w:t>Con Situación de Fondos</w:t>
            </w:r>
            <w:r>
              <w:rPr>
                <w:rFonts w:ascii="Arial" w:eastAsia="Times New Roman" w:hAnsi="Arial" w:cs="Arial"/>
                <w:color w:val="000000"/>
                <w:sz w:val="18"/>
                <w:szCs w:val="18"/>
                <w:lang w:val="es-CO" w:eastAsia="es-CO"/>
              </w:rPr>
              <w:t xml:space="preserve"> </w:t>
            </w:r>
          </w:p>
        </w:tc>
        <w:tc>
          <w:tcPr>
            <w:tcW w:w="1606" w:type="pct"/>
            <w:tcBorders>
              <w:top w:val="nil"/>
              <w:left w:val="nil"/>
              <w:bottom w:val="single" w:sz="4" w:space="0" w:color="auto"/>
              <w:right w:val="single" w:sz="4" w:space="0" w:color="auto"/>
            </w:tcBorders>
            <w:shd w:val="clear" w:color="auto" w:fill="auto"/>
            <w:vAlign w:val="center"/>
            <w:hideMark/>
          </w:tcPr>
          <w:p w:rsidR="00D4546B" w:rsidRPr="00D4546B" w:rsidRDefault="008040A0" w:rsidP="00D4546B">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D4546B" w:rsidRPr="00D4546B">
              <w:rPr>
                <w:rFonts w:ascii="Arial" w:eastAsia="Times New Roman" w:hAnsi="Arial" w:cs="Arial"/>
                <w:b/>
                <w:bCs/>
                <w:color w:val="000000"/>
                <w:sz w:val="18"/>
                <w:szCs w:val="18"/>
                <w:lang w:val="es-CO" w:eastAsia="es-CO"/>
              </w:rPr>
              <w:t xml:space="preserve">613.809 </w:t>
            </w:r>
          </w:p>
        </w:tc>
        <w:tc>
          <w:tcPr>
            <w:tcW w:w="1467" w:type="pct"/>
            <w:tcBorders>
              <w:top w:val="nil"/>
              <w:left w:val="nil"/>
              <w:bottom w:val="single" w:sz="4" w:space="0" w:color="auto"/>
              <w:right w:val="single" w:sz="4" w:space="0" w:color="auto"/>
            </w:tcBorders>
            <w:shd w:val="clear" w:color="auto" w:fill="auto"/>
            <w:vAlign w:val="center"/>
            <w:hideMark/>
          </w:tcPr>
          <w:p w:rsidR="00D4546B" w:rsidRPr="00D4546B" w:rsidRDefault="008040A0" w:rsidP="00D4546B">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D4546B" w:rsidRPr="00D4546B">
              <w:rPr>
                <w:rFonts w:ascii="Arial" w:eastAsia="Times New Roman" w:hAnsi="Arial" w:cs="Arial"/>
                <w:b/>
                <w:bCs/>
                <w:color w:val="000000"/>
                <w:sz w:val="18"/>
                <w:szCs w:val="18"/>
                <w:lang w:val="es-CO" w:eastAsia="es-CO"/>
              </w:rPr>
              <w:t xml:space="preserve">652.864 </w:t>
            </w:r>
          </w:p>
        </w:tc>
        <w:tc>
          <w:tcPr>
            <w:tcW w:w="169" w:type="pct"/>
            <w:tcBorders>
              <w:top w:val="nil"/>
              <w:left w:val="nil"/>
              <w:bottom w:val="nil"/>
              <w:right w:val="nil"/>
            </w:tcBorders>
            <w:shd w:val="clear" w:color="auto" w:fill="auto"/>
            <w:noWrap/>
            <w:vAlign w:val="bottom"/>
            <w:hideMark/>
          </w:tcPr>
          <w:p w:rsidR="00D4546B" w:rsidRPr="00D4546B" w:rsidRDefault="00D4546B" w:rsidP="00D4546B">
            <w:pPr>
              <w:jc w:val="right"/>
              <w:rPr>
                <w:rFonts w:ascii="Arial" w:eastAsia="Times New Roman" w:hAnsi="Arial" w:cs="Arial"/>
                <w:b/>
                <w:bCs/>
                <w:color w:val="000000"/>
                <w:sz w:val="18"/>
                <w:szCs w:val="18"/>
                <w:lang w:val="es-CO" w:eastAsia="es-CO"/>
              </w:rPr>
            </w:pPr>
          </w:p>
        </w:tc>
      </w:tr>
      <w:tr w:rsidR="00D4546B" w:rsidRPr="00D4546B" w:rsidTr="00D071CA">
        <w:trPr>
          <w:trHeight w:val="20"/>
        </w:trPr>
        <w:tc>
          <w:tcPr>
            <w:tcW w:w="1759" w:type="pct"/>
            <w:tcBorders>
              <w:top w:val="nil"/>
              <w:left w:val="single" w:sz="4" w:space="0" w:color="auto"/>
              <w:bottom w:val="single" w:sz="4" w:space="0" w:color="auto"/>
              <w:right w:val="single" w:sz="4" w:space="0" w:color="auto"/>
            </w:tcBorders>
            <w:shd w:val="clear" w:color="auto" w:fill="auto"/>
            <w:vAlign w:val="center"/>
            <w:hideMark/>
          </w:tcPr>
          <w:p w:rsidR="00D4546B" w:rsidRPr="00D4546B" w:rsidRDefault="008040A0" w:rsidP="00D4546B">
            <w:pPr>
              <w:ind w:firstLineChars="100" w:firstLine="180"/>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w:t>
            </w:r>
            <w:r w:rsidR="00D4546B" w:rsidRPr="00D4546B">
              <w:rPr>
                <w:rFonts w:ascii="Arial" w:eastAsia="Times New Roman" w:hAnsi="Arial" w:cs="Arial"/>
                <w:color w:val="000000"/>
                <w:sz w:val="18"/>
                <w:szCs w:val="18"/>
                <w:lang w:val="es-CO" w:eastAsia="es-CO"/>
              </w:rPr>
              <w:t>Sin Situación de Fondos</w:t>
            </w:r>
            <w:r>
              <w:rPr>
                <w:rFonts w:ascii="Arial" w:eastAsia="Times New Roman" w:hAnsi="Arial" w:cs="Arial"/>
                <w:color w:val="000000"/>
                <w:sz w:val="18"/>
                <w:szCs w:val="18"/>
                <w:lang w:val="es-CO" w:eastAsia="es-CO"/>
              </w:rPr>
              <w:t xml:space="preserve"> </w:t>
            </w:r>
          </w:p>
        </w:tc>
        <w:tc>
          <w:tcPr>
            <w:tcW w:w="1606" w:type="pct"/>
            <w:tcBorders>
              <w:top w:val="nil"/>
              <w:left w:val="nil"/>
              <w:bottom w:val="single" w:sz="4" w:space="0" w:color="auto"/>
              <w:right w:val="single" w:sz="4" w:space="0" w:color="auto"/>
            </w:tcBorders>
            <w:shd w:val="clear" w:color="auto" w:fill="auto"/>
            <w:vAlign w:val="center"/>
            <w:hideMark/>
          </w:tcPr>
          <w:p w:rsidR="00D4546B" w:rsidRPr="00D4546B" w:rsidRDefault="008040A0" w:rsidP="00D4546B">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D4546B" w:rsidRPr="00D4546B">
              <w:rPr>
                <w:rFonts w:ascii="Arial" w:eastAsia="Times New Roman" w:hAnsi="Arial" w:cs="Arial"/>
                <w:b/>
                <w:bCs/>
                <w:color w:val="000000"/>
                <w:sz w:val="18"/>
                <w:szCs w:val="18"/>
                <w:lang w:val="es-CO" w:eastAsia="es-CO"/>
              </w:rPr>
              <w:t xml:space="preserve">111.251 </w:t>
            </w:r>
          </w:p>
        </w:tc>
        <w:tc>
          <w:tcPr>
            <w:tcW w:w="1467" w:type="pct"/>
            <w:tcBorders>
              <w:top w:val="nil"/>
              <w:left w:val="nil"/>
              <w:bottom w:val="single" w:sz="4" w:space="0" w:color="auto"/>
              <w:right w:val="single" w:sz="4" w:space="0" w:color="auto"/>
            </w:tcBorders>
            <w:shd w:val="clear" w:color="auto" w:fill="auto"/>
            <w:vAlign w:val="center"/>
            <w:hideMark/>
          </w:tcPr>
          <w:p w:rsidR="00D4546B" w:rsidRPr="00D4546B" w:rsidRDefault="008040A0" w:rsidP="00D4546B">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D4546B" w:rsidRPr="00D4546B">
              <w:rPr>
                <w:rFonts w:ascii="Arial" w:eastAsia="Times New Roman" w:hAnsi="Arial" w:cs="Arial"/>
                <w:b/>
                <w:bCs/>
                <w:color w:val="000000"/>
                <w:sz w:val="18"/>
                <w:szCs w:val="18"/>
                <w:lang w:val="es-CO" w:eastAsia="es-CO"/>
              </w:rPr>
              <w:t xml:space="preserve">119.249 </w:t>
            </w:r>
          </w:p>
        </w:tc>
        <w:tc>
          <w:tcPr>
            <w:tcW w:w="169" w:type="pct"/>
            <w:tcBorders>
              <w:top w:val="nil"/>
              <w:left w:val="nil"/>
              <w:bottom w:val="nil"/>
              <w:right w:val="nil"/>
            </w:tcBorders>
            <w:shd w:val="clear" w:color="auto" w:fill="auto"/>
            <w:noWrap/>
            <w:vAlign w:val="bottom"/>
            <w:hideMark/>
          </w:tcPr>
          <w:p w:rsidR="00D4546B" w:rsidRPr="00D4546B" w:rsidRDefault="00D4546B" w:rsidP="00D4546B">
            <w:pPr>
              <w:jc w:val="right"/>
              <w:rPr>
                <w:rFonts w:ascii="Arial" w:eastAsia="Times New Roman" w:hAnsi="Arial" w:cs="Arial"/>
                <w:b/>
                <w:bCs/>
                <w:color w:val="000000"/>
                <w:sz w:val="18"/>
                <w:szCs w:val="18"/>
                <w:lang w:val="es-CO" w:eastAsia="es-CO"/>
              </w:rPr>
            </w:pPr>
          </w:p>
        </w:tc>
      </w:tr>
      <w:tr w:rsidR="00D4546B" w:rsidRPr="00D4546B" w:rsidTr="00D071CA">
        <w:trPr>
          <w:trHeight w:val="20"/>
        </w:trPr>
        <w:tc>
          <w:tcPr>
            <w:tcW w:w="1759" w:type="pct"/>
            <w:tcBorders>
              <w:top w:val="nil"/>
              <w:left w:val="single" w:sz="4" w:space="0" w:color="auto"/>
              <w:bottom w:val="single" w:sz="4" w:space="0" w:color="auto"/>
              <w:right w:val="single" w:sz="4" w:space="0" w:color="auto"/>
            </w:tcBorders>
            <w:shd w:val="clear" w:color="auto" w:fill="auto"/>
            <w:vAlign w:val="center"/>
            <w:hideMark/>
          </w:tcPr>
          <w:p w:rsidR="00D4546B" w:rsidRPr="00D4546B" w:rsidRDefault="00D4546B" w:rsidP="00D4546B">
            <w:pPr>
              <w:rPr>
                <w:rFonts w:ascii="Arial" w:eastAsia="Times New Roman" w:hAnsi="Arial" w:cs="Arial"/>
                <w:b/>
                <w:bCs/>
                <w:color w:val="000000"/>
                <w:sz w:val="18"/>
                <w:szCs w:val="18"/>
                <w:lang w:val="es-CO" w:eastAsia="es-CO"/>
              </w:rPr>
            </w:pPr>
            <w:r w:rsidRPr="00D4546B">
              <w:rPr>
                <w:rFonts w:ascii="Arial" w:eastAsia="Times New Roman" w:hAnsi="Arial" w:cs="Arial"/>
                <w:b/>
                <w:bCs/>
                <w:color w:val="000000"/>
                <w:sz w:val="18"/>
                <w:szCs w:val="18"/>
                <w:lang w:val="es-CO" w:eastAsia="es-CO"/>
              </w:rPr>
              <w:t xml:space="preserve"> Cancelaciones </w:t>
            </w:r>
          </w:p>
        </w:tc>
        <w:tc>
          <w:tcPr>
            <w:tcW w:w="1606" w:type="pct"/>
            <w:tcBorders>
              <w:top w:val="nil"/>
              <w:left w:val="nil"/>
              <w:bottom w:val="single" w:sz="4" w:space="0" w:color="auto"/>
              <w:right w:val="single" w:sz="4" w:space="0" w:color="auto"/>
            </w:tcBorders>
            <w:shd w:val="clear" w:color="auto" w:fill="auto"/>
            <w:vAlign w:val="center"/>
            <w:hideMark/>
          </w:tcPr>
          <w:p w:rsidR="00D4546B" w:rsidRPr="00D4546B" w:rsidRDefault="008040A0" w:rsidP="00D4546B">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D4546B" w:rsidRPr="00D4546B">
              <w:rPr>
                <w:rFonts w:ascii="Arial" w:eastAsia="Times New Roman" w:hAnsi="Arial" w:cs="Arial"/>
                <w:b/>
                <w:bCs/>
                <w:color w:val="000000"/>
                <w:sz w:val="18"/>
                <w:szCs w:val="18"/>
                <w:lang w:val="es-CO" w:eastAsia="es-CO"/>
              </w:rPr>
              <w:t xml:space="preserve">5.836 </w:t>
            </w:r>
          </w:p>
        </w:tc>
        <w:tc>
          <w:tcPr>
            <w:tcW w:w="1467" w:type="pct"/>
            <w:tcBorders>
              <w:top w:val="nil"/>
              <w:left w:val="nil"/>
              <w:bottom w:val="single" w:sz="4" w:space="0" w:color="auto"/>
              <w:right w:val="single" w:sz="4" w:space="0" w:color="auto"/>
            </w:tcBorders>
            <w:shd w:val="clear" w:color="auto" w:fill="auto"/>
            <w:vAlign w:val="center"/>
            <w:hideMark/>
          </w:tcPr>
          <w:p w:rsidR="00D4546B" w:rsidRPr="00D4546B" w:rsidRDefault="008040A0" w:rsidP="00D4546B">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D4546B" w:rsidRPr="00D4546B">
              <w:rPr>
                <w:rFonts w:ascii="Arial" w:eastAsia="Times New Roman" w:hAnsi="Arial" w:cs="Arial"/>
                <w:b/>
                <w:bCs/>
                <w:color w:val="000000"/>
                <w:sz w:val="18"/>
                <w:szCs w:val="18"/>
                <w:lang w:val="es-CO" w:eastAsia="es-CO"/>
              </w:rPr>
              <w:t xml:space="preserve">6.753 </w:t>
            </w:r>
          </w:p>
        </w:tc>
        <w:tc>
          <w:tcPr>
            <w:tcW w:w="169" w:type="pct"/>
            <w:tcBorders>
              <w:top w:val="nil"/>
              <w:left w:val="nil"/>
              <w:bottom w:val="nil"/>
              <w:right w:val="nil"/>
            </w:tcBorders>
            <w:shd w:val="clear" w:color="auto" w:fill="auto"/>
            <w:noWrap/>
            <w:vAlign w:val="bottom"/>
            <w:hideMark/>
          </w:tcPr>
          <w:p w:rsidR="00D4546B" w:rsidRPr="00D4546B" w:rsidRDefault="00D4546B" w:rsidP="00D4546B">
            <w:pPr>
              <w:jc w:val="right"/>
              <w:rPr>
                <w:rFonts w:ascii="Arial" w:eastAsia="Times New Roman" w:hAnsi="Arial" w:cs="Arial"/>
                <w:b/>
                <w:bCs/>
                <w:color w:val="000000"/>
                <w:sz w:val="18"/>
                <w:szCs w:val="18"/>
                <w:lang w:val="es-CO" w:eastAsia="es-CO"/>
              </w:rPr>
            </w:pPr>
          </w:p>
        </w:tc>
      </w:tr>
      <w:tr w:rsidR="00D4546B" w:rsidRPr="00D4546B" w:rsidTr="00D071CA">
        <w:trPr>
          <w:trHeight w:val="20"/>
        </w:trPr>
        <w:tc>
          <w:tcPr>
            <w:tcW w:w="1759" w:type="pct"/>
            <w:tcBorders>
              <w:top w:val="nil"/>
              <w:left w:val="single" w:sz="4" w:space="0" w:color="auto"/>
              <w:bottom w:val="single" w:sz="4" w:space="0" w:color="auto"/>
              <w:right w:val="single" w:sz="4" w:space="0" w:color="auto"/>
            </w:tcBorders>
            <w:shd w:val="clear" w:color="auto" w:fill="auto"/>
            <w:vAlign w:val="center"/>
            <w:hideMark/>
          </w:tcPr>
          <w:p w:rsidR="00D4546B" w:rsidRPr="00D4546B" w:rsidRDefault="00D4546B" w:rsidP="00D4546B">
            <w:pPr>
              <w:rPr>
                <w:rFonts w:ascii="Arial" w:eastAsia="Times New Roman" w:hAnsi="Arial" w:cs="Arial"/>
                <w:b/>
                <w:bCs/>
                <w:color w:val="000000"/>
                <w:sz w:val="18"/>
                <w:szCs w:val="18"/>
                <w:lang w:val="es-CO" w:eastAsia="es-CO"/>
              </w:rPr>
            </w:pPr>
            <w:r w:rsidRPr="00D4546B">
              <w:rPr>
                <w:rFonts w:ascii="Arial" w:eastAsia="Times New Roman" w:hAnsi="Arial" w:cs="Arial"/>
                <w:b/>
                <w:bCs/>
                <w:color w:val="000000"/>
                <w:sz w:val="18"/>
                <w:szCs w:val="18"/>
                <w:lang w:val="es-CO" w:eastAsia="es-CO"/>
              </w:rPr>
              <w:t xml:space="preserve"> Calidad </w:t>
            </w:r>
          </w:p>
        </w:tc>
        <w:tc>
          <w:tcPr>
            <w:tcW w:w="1606" w:type="pct"/>
            <w:tcBorders>
              <w:top w:val="nil"/>
              <w:left w:val="nil"/>
              <w:bottom w:val="single" w:sz="4" w:space="0" w:color="auto"/>
              <w:right w:val="single" w:sz="4" w:space="0" w:color="auto"/>
            </w:tcBorders>
            <w:shd w:val="clear" w:color="auto" w:fill="auto"/>
            <w:vAlign w:val="center"/>
            <w:hideMark/>
          </w:tcPr>
          <w:p w:rsidR="00D4546B" w:rsidRPr="00D4546B" w:rsidRDefault="008040A0" w:rsidP="00D4546B">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D4546B" w:rsidRPr="00D4546B">
              <w:rPr>
                <w:rFonts w:ascii="Arial" w:eastAsia="Times New Roman" w:hAnsi="Arial" w:cs="Arial"/>
                <w:b/>
                <w:bCs/>
                <w:color w:val="000000"/>
                <w:sz w:val="18"/>
                <w:szCs w:val="18"/>
                <w:lang w:val="es-CO" w:eastAsia="es-CO"/>
              </w:rPr>
              <w:t xml:space="preserve">- </w:t>
            </w:r>
          </w:p>
        </w:tc>
        <w:tc>
          <w:tcPr>
            <w:tcW w:w="1467" w:type="pct"/>
            <w:tcBorders>
              <w:top w:val="nil"/>
              <w:left w:val="nil"/>
              <w:bottom w:val="single" w:sz="4" w:space="0" w:color="auto"/>
              <w:right w:val="single" w:sz="4" w:space="0" w:color="auto"/>
            </w:tcBorders>
            <w:shd w:val="clear" w:color="auto" w:fill="auto"/>
            <w:vAlign w:val="center"/>
            <w:hideMark/>
          </w:tcPr>
          <w:p w:rsidR="00D4546B" w:rsidRPr="00D4546B" w:rsidRDefault="008040A0" w:rsidP="00D4546B">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D4546B" w:rsidRPr="00D4546B">
              <w:rPr>
                <w:rFonts w:ascii="Arial" w:eastAsia="Times New Roman" w:hAnsi="Arial" w:cs="Arial"/>
                <w:b/>
                <w:bCs/>
                <w:color w:val="000000"/>
                <w:sz w:val="18"/>
                <w:szCs w:val="18"/>
                <w:lang w:val="es-CO" w:eastAsia="es-CO"/>
              </w:rPr>
              <w:t xml:space="preserve">919 </w:t>
            </w:r>
          </w:p>
        </w:tc>
        <w:tc>
          <w:tcPr>
            <w:tcW w:w="169" w:type="pct"/>
            <w:tcBorders>
              <w:top w:val="nil"/>
              <w:left w:val="nil"/>
              <w:bottom w:val="nil"/>
              <w:right w:val="nil"/>
            </w:tcBorders>
            <w:shd w:val="clear" w:color="auto" w:fill="auto"/>
            <w:noWrap/>
            <w:vAlign w:val="bottom"/>
            <w:hideMark/>
          </w:tcPr>
          <w:p w:rsidR="00D4546B" w:rsidRPr="00D4546B" w:rsidRDefault="00D4546B" w:rsidP="00D4546B">
            <w:pPr>
              <w:jc w:val="right"/>
              <w:rPr>
                <w:rFonts w:ascii="Arial" w:eastAsia="Times New Roman" w:hAnsi="Arial" w:cs="Arial"/>
                <w:b/>
                <w:bCs/>
                <w:color w:val="000000"/>
                <w:sz w:val="18"/>
                <w:szCs w:val="18"/>
                <w:lang w:val="es-CO" w:eastAsia="es-CO"/>
              </w:rPr>
            </w:pPr>
          </w:p>
        </w:tc>
      </w:tr>
      <w:tr w:rsidR="00D4546B" w:rsidRPr="00D4546B" w:rsidTr="00D071CA">
        <w:trPr>
          <w:trHeight w:val="20"/>
        </w:trPr>
        <w:tc>
          <w:tcPr>
            <w:tcW w:w="1759" w:type="pct"/>
            <w:tcBorders>
              <w:top w:val="nil"/>
              <w:left w:val="single" w:sz="4" w:space="0" w:color="auto"/>
              <w:bottom w:val="single" w:sz="4" w:space="0" w:color="auto"/>
              <w:right w:val="single" w:sz="4" w:space="0" w:color="auto"/>
            </w:tcBorders>
            <w:shd w:val="clear" w:color="auto" w:fill="auto"/>
            <w:vAlign w:val="center"/>
            <w:hideMark/>
          </w:tcPr>
          <w:p w:rsidR="00D4546B" w:rsidRPr="00D4546B" w:rsidRDefault="00D4546B" w:rsidP="00D4546B">
            <w:pPr>
              <w:rPr>
                <w:rFonts w:ascii="Arial" w:eastAsia="Times New Roman" w:hAnsi="Arial" w:cs="Arial"/>
                <w:b/>
                <w:bCs/>
                <w:color w:val="000000"/>
                <w:sz w:val="18"/>
                <w:szCs w:val="18"/>
                <w:lang w:val="es-CO" w:eastAsia="es-CO"/>
              </w:rPr>
            </w:pPr>
            <w:r w:rsidRPr="00D4546B">
              <w:rPr>
                <w:rFonts w:ascii="Arial" w:eastAsia="Times New Roman" w:hAnsi="Arial" w:cs="Arial"/>
                <w:b/>
                <w:bCs/>
                <w:color w:val="000000"/>
                <w:sz w:val="18"/>
                <w:szCs w:val="18"/>
                <w:lang w:val="es-CO" w:eastAsia="es-CO"/>
              </w:rPr>
              <w:t xml:space="preserve"> Gratuidad </w:t>
            </w:r>
          </w:p>
        </w:tc>
        <w:tc>
          <w:tcPr>
            <w:tcW w:w="1606" w:type="pct"/>
            <w:tcBorders>
              <w:top w:val="nil"/>
              <w:left w:val="nil"/>
              <w:bottom w:val="single" w:sz="4" w:space="0" w:color="auto"/>
              <w:right w:val="single" w:sz="4" w:space="0" w:color="auto"/>
            </w:tcBorders>
            <w:shd w:val="clear" w:color="auto" w:fill="auto"/>
            <w:vAlign w:val="center"/>
            <w:hideMark/>
          </w:tcPr>
          <w:p w:rsidR="00D4546B" w:rsidRPr="00D4546B" w:rsidRDefault="008040A0" w:rsidP="00D4546B">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D4546B" w:rsidRPr="00D4546B">
              <w:rPr>
                <w:rFonts w:ascii="Arial" w:eastAsia="Times New Roman" w:hAnsi="Arial" w:cs="Arial"/>
                <w:b/>
                <w:bCs/>
                <w:color w:val="000000"/>
                <w:sz w:val="18"/>
                <w:szCs w:val="18"/>
                <w:lang w:val="es-CO" w:eastAsia="es-CO"/>
              </w:rPr>
              <w:t xml:space="preserve">- </w:t>
            </w:r>
          </w:p>
        </w:tc>
        <w:tc>
          <w:tcPr>
            <w:tcW w:w="1467" w:type="pct"/>
            <w:tcBorders>
              <w:top w:val="nil"/>
              <w:left w:val="nil"/>
              <w:bottom w:val="single" w:sz="4" w:space="0" w:color="auto"/>
              <w:right w:val="single" w:sz="4" w:space="0" w:color="auto"/>
            </w:tcBorders>
            <w:shd w:val="clear" w:color="auto" w:fill="auto"/>
            <w:vAlign w:val="center"/>
            <w:hideMark/>
          </w:tcPr>
          <w:p w:rsidR="00D4546B" w:rsidRPr="00D4546B" w:rsidRDefault="00D4546B" w:rsidP="00D4546B">
            <w:pPr>
              <w:jc w:val="right"/>
              <w:rPr>
                <w:rFonts w:ascii="Arial" w:eastAsia="Times New Roman" w:hAnsi="Arial" w:cs="Arial"/>
                <w:b/>
                <w:bCs/>
                <w:color w:val="000000"/>
                <w:sz w:val="18"/>
                <w:szCs w:val="18"/>
                <w:lang w:val="es-CO" w:eastAsia="es-CO"/>
              </w:rPr>
            </w:pPr>
            <w:r w:rsidRPr="00D4546B">
              <w:rPr>
                <w:rFonts w:ascii="Arial" w:eastAsia="Times New Roman" w:hAnsi="Arial" w:cs="Arial"/>
                <w:b/>
                <w:bCs/>
                <w:color w:val="000000"/>
                <w:sz w:val="18"/>
                <w:szCs w:val="18"/>
                <w:lang w:val="es-CO" w:eastAsia="es-CO"/>
              </w:rPr>
              <w:t> </w:t>
            </w:r>
          </w:p>
        </w:tc>
        <w:tc>
          <w:tcPr>
            <w:tcW w:w="169" w:type="pct"/>
            <w:tcBorders>
              <w:top w:val="nil"/>
              <w:left w:val="nil"/>
              <w:bottom w:val="nil"/>
              <w:right w:val="nil"/>
            </w:tcBorders>
            <w:shd w:val="clear" w:color="auto" w:fill="auto"/>
            <w:noWrap/>
            <w:vAlign w:val="bottom"/>
            <w:hideMark/>
          </w:tcPr>
          <w:p w:rsidR="00D4546B" w:rsidRPr="00D4546B" w:rsidRDefault="00D4546B" w:rsidP="00D4546B">
            <w:pPr>
              <w:jc w:val="right"/>
              <w:rPr>
                <w:rFonts w:ascii="Arial" w:eastAsia="Times New Roman" w:hAnsi="Arial" w:cs="Arial"/>
                <w:b/>
                <w:bCs/>
                <w:color w:val="000000"/>
                <w:sz w:val="18"/>
                <w:szCs w:val="18"/>
                <w:lang w:val="es-CO" w:eastAsia="es-CO"/>
              </w:rPr>
            </w:pPr>
          </w:p>
        </w:tc>
      </w:tr>
      <w:tr w:rsidR="00D071CA" w:rsidRPr="00D4546B" w:rsidTr="00D071CA">
        <w:trPr>
          <w:trHeight w:val="20"/>
        </w:trPr>
        <w:tc>
          <w:tcPr>
            <w:tcW w:w="1759" w:type="pct"/>
            <w:tcBorders>
              <w:top w:val="nil"/>
              <w:left w:val="single" w:sz="4" w:space="0" w:color="auto"/>
              <w:bottom w:val="single" w:sz="4" w:space="0" w:color="auto"/>
              <w:right w:val="single" w:sz="4" w:space="0" w:color="auto"/>
            </w:tcBorders>
            <w:shd w:val="clear" w:color="000000" w:fill="CCCCFF"/>
            <w:vAlign w:val="center"/>
            <w:hideMark/>
          </w:tcPr>
          <w:p w:rsidR="00D4546B" w:rsidRPr="00D4546B" w:rsidRDefault="00D4546B" w:rsidP="00D4546B">
            <w:pPr>
              <w:jc w:val="both"/>
              <w:rPr>
                <w:rFonts w:ascii="Arial" w:eastAsia="Times New Roman" w:hAnsi="Arial" w:cs="Arial"/>
                <w:b/>
                <w:bCs/>
                <w:color w:val="000000"/>
                <w:sz w:val="18"/>
                <w:szCs w:val="18"/>
                <w:lang w:val="es-CO" w:eastAsia="es-CO"/>
              </w:rPr>
            </w:pPr>
            <w:r w:rsidRPr="00D4546B">
              <w:rPr>
                <w:rFonts w:ascii="Arial" w:eastAsia="Times New Roman" w:hAnsi="Arial" w:cs="Arial"/>
                <w:b/>
                <w:bCs/>
                <w:color w:val="000000"/>
                <w:sz w:val="18"/>
                <w:szCs w:val="18"/>
                <w:lang w:val="es-CO" w:eastAsia="es-CO"/>
              </w:rPr>
              <w:t xml:space="preserve"> INGRESOS DE CAPITAL</w:t>
            </w:r>
            <w:r w:rsidR="008040A0">
              <w:rPr>
                <w:rFonts w:ascii="Arial" w:eastAsia="Times New Roman" w:hAnsi="Arial" w:cs="Arial"/>
                <w:b/>
                <w:bCs/>
                <w:color w:val="000000"/>
                <w:sz w:val="18"/>
                <w:szCs w:val="18"/>
                <w:lang w:val="es-CO" w:eastAsia="es-CO"/>
              </w:rPr>
              <w:t xml:space="preserve"> </w:t>
            </w:r>
          </w:p>
        </w:tc>
        <w:tc>
          <w:tcPr>
            <w:tcW w:w="1606" w:type="pct"/>
            <w:tcBorders>
              <w:top w:val="nil"/>
              <w:left w:val="nil"/>
              <w:bottom w:val="single" w:sz="4" w:space="0" w:color="auto"/>
              <w:right w:val="single" w:sz="4" w:space="0" w:color="auto"/>
            </w:tcBorders>
            <w:shd w:val="clear" w:color="000000" w:fill="CCCCFF"/>
            <w:vAlign w:val="center"/>
            <w:hideMark/>
          </w:tcPr>
          <w:p w:rsidR="00D4546B" w:rsidRPr="00D4546B" w:rsidRDefault="008040A0" w:rsidP="00D4546B">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D4546B" w:rsidRPr="00D4546B">
              <w:rPr>
                <w:rFonts w:ascii="Arial" w:eastAsia="Times New Roman" w:hAnsi="Arial" w:cs="Arial"/>
                <w:b/>
                <w:bCs/>
                <w:color w:val="000000"/>
                <w:sz w:val="18"/>
                <w:szCs w:val="18"/>
                <w:lang w:val="es-CO" w:eastAsia="es-CO"/>
              </w:rPr>
              <w:t xml:space="preserve">2.067 </w:t>
            </w:r>
          </w:p>
        </w:tc>
        <w:tc>
          <w:tcPr>
            <w:tcW w:w="1467" w:type="pct"/>
            <w:tcBorders>
              <w:top w:val="nil"/>
              <w:left w:val="nil"/>
              <w:bottom w:val="single" w:sz="4" w:space="0" w:color="auto"/>
              <w:right w:val="single" w:sz="4" w:space="0" w:color="auto"/>
            </w:tcBorders>
            <w:shd w:val="clear" w:color="000000" w:fill="CCCCFF"/>
            <w:vAlign w:val="center"/>
            <w:hideMark/>
          </w:tcPr>
          <w:p w:rsidR="00D4546B" w:rsidRPr="00D4546B" w:rsidRDefault="008040A0" w:rsidP="00D4546B">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D4546B" w:rsidRPr="00D4546B">
              <w:rPr>
                <w:rFonts w:ascii="Arial" w:eastAsia="Times New Roman" w:hAnsi="Arial" w:cs="Arial"/>
                <w:b/>
                <w:bCs/>
                <w:color w:val="000000"/>
                <w:sz w:val="18"/>
                <w:szCs w:val="18"/>
                <w:lang w:val="es-CO" w:eastAsia="es-CO"/>
              </w:rPr>
              <w:t xml:space="preserve">1.964 </w:t>
            </w:r>
          </w:p>
        </w:tc>
        <w:tc>
          <w:tcPr>
            <w:tcW w:w="169" w:type="pct"/>
            <w:tcBorders>
              <w:top w:val="nil"/>
              <w:left w:val="nil"/>
              <w:bottom w:val="nil"/>
              <w:right w:val="nil"/>
            </w:tcBorders>
            <w:shd w:val="clear" w:color="auto" w:fill="auto"/>
            <w:noWrap/>
            <w:vAlign w:val="bottom"/>
            <w:hideMark/>
          </w:tcPr>
          <w:p w:rsidR="00D4546B" w:rsidRPr="00D4546B" w:rsidRDefault="00D4546B" w:rsidP="00D4546B">
            <w:pPr>
              <w:jc w:val="right"/>
              <w:rPr>
                <w:rFonts w:ascii="Arial" w:eastAsia="Times New Roman" w:hAnsi="Arial" w:cs="Arial"/>
                <w:b/>
                <w:bCs/>
                <w:color w:val="000000"/>
                <w:sz w:val="18"/>
                <w:szCs w:val="18"/>
                <w:lang w:val="es-CO" w:eastAsia="es-CO"/>
              </w:rPr>
            </w:pPr>
          </w:p>
        </w:tc>
      </w:tr>
      <w:tr w:rsidR="00D4546B" w:rsidRPr="00D4546B" w:rsidTr="00D071CA">
        <w:trPr>
          <w:trHeight w:val="20"/>
        </w:trPr>
        <w:tc>
          <w:tcPr>
            <w:tcW w:w="1759" w:type="pct"/>
            <w:tcBorders>
              <w:top w:val="nil"/>
              <w:left w:val="single" w:sz="4" w:space="0" w:color="auto"/>
              <w:bottom w:val="single" w:sz="4" w:space="0" w:color="auto"/>
              <w:right w:val="single" w:sz="4" w:space="0" w:color="auto"/>
            </w:tcBorders>
            <w:shd w:val="clear" w:color="auto" w:fill="auto"/>
            <w:vAlign w:val="center"/>
            <w:hideMark/>
          </w:tcPr>
          <w:p w:rsidR="00D4546B" w:rsidRPr="00D4546B" w:rsidRDefault="00D4546B" w:rsidP="00D4546B">
            <w:pPr>
              <w:jc w:val="both"/>
              <w:rPr>
                <w:rFonts w:ascii="Arial" w:eastAsia="Times New Roman" w:hAnsi="Arial" w:cs="Arial"/>
                <w:b/>
                <w:bCs/>
                <w:color w:val="000000"/>
                <w:sz w:val="18"/>
                <w:szCs w:val="18"/>
                <w:lang w:val="es-CO" w:eastAsia="es-CO"/>
              </w:rPr>
            </w:pPr>
            <w:r w:rsidRPr="00D4546B">
              <w:rPr>
                <w:rFonts w:ascii="Arial" w:eastAsia="Times New Roman" w:hAnsi="Arial" w:cs="Arial"/>
                <w:b/>
                <w:bCs/>
                <w:color w:val="000000"/>
                <w:sz w:val="18"/>
                <w:szCs w:val="18"/>
                <w:lang w:val="es-CO" w:eastAsia="es-CO"/>
              </w:rPr>
              <w:t xml:space="preserve"> Rendimientos Financieros</w:t>
            </w:r>
            <w:r w:rsidR="008040A0">
              <w:rPr>
                <w:rFonts w:ascii="Arial" w:eastAsia="Times New Roman" w:hAnsi="Arial" w:cs="Arial"/>
                <w:b/>
                <w:bCs/>
                <w:color w:val="000000"/>
                <w:sz w:val="18"/>
                <w:szCs w:val="18"/>
                <w:lang w:val="es-CO" w:eastAsia="es-CO"/>
              </w:rPr>
              <w:t xml:space="preserve"> </w:t>
            </w:r>
          </w:p>
        </w:tc>
        <w:tc>
          <w:tcPr>
            <w:tcW w:w="1606" w:type="pct"/>
            <w:tcBorders>
              <w:top w:val="nil"/>
              <w:left w:val="nil"/>
              <w:bottom w:val="single" w:sz="4" w:space="0" w:color="auto"/>
              <w:right w:val="single" w:sz="4" w:space="0" w:color="auto"/>
            </w:tcBorders>
            <w:shd w:val="clear" w:color="auto" w:fill="auto"/>
            <w:vAlign w:val="center"/>
            <w:hideMark/>
          </w:tcPr>
          <w:p w:rsidR="00D4546B" w:rsidRPr="00D4546B" w:rsidRDefault="008040A0" w:rsidP="00D4546B">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D4546B" w:rsidRPr="00D4546B">
              <w:rPr>
                <w:rFonts w:ascii="Arial" w:eastAsia="Times New Roman" w:hAnsi="Arial" w:cs="Arial"/>
                <w:b/>
                <w:bCs/>
                <w:color w:val="000000"/>
                <w:sz w:val="18"/>
                <w:szCs w:val="18"/>
                <w:lang w:val="es-CO" w:eastAsia="es-CO"/>
              </w:rPr>
              <w:t xml:space="preserve">170 </w:t>
            </w:r>
          </w:p>
        </w:tc>
        <w:tc>
          <w:tcPr>
            <w:tcW w:w="1467" w:type="pct"/>
            <w:tcBorders>
              <w:top w:val="nil"/>
              <w:left w:val="nil"/>
              <w:bottom w:val="single" w:sz="4" w:space="0" w:color="auto"/>
              <w:right w:val="single" w:sz="4" w:space="0" w:color="auto"/>
            </w:tcBorders>
            <w:shd w:val="clear" w:color="auto" w:fill="auto"/>
            <w:vAlign w:val="center"/>
            <w:hideMark/>
          </w:tcPr>
          <w:p w:rsidR="00D4546B" w:rsidRPr="00D4546B" w:rsidRDefault="008040A0" w:rsidP="00D4546B">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D4546B" w:rsidRPr="00D4546B">
              <w:rPr>
                <w:rFonts w:ascii="Arial" w:eastAsia="Times New Roman" w:hAnsi="Arial" w:cs="Arial"/>
                <w:b/>
                <w:bCs/>
                <w:color w:val="000000"/>
                <w:sz w:val="18"/>
                <w:szCs w:val="18"/>
                <w:lang w:val="es-CO" w:eastAsia="es-CO"/>
              </w:rPr>
              <w:t xml:space="preserve">828 </w:t>
            </w:r>
          </w:p>
        </w:tc>
        <w:tc>
          <w:tcPr>
            <w:tcW w:w="169" w:type="pct"/>
            <w:tcBorders>
              <w:top w:val="nil"/>
              <w:left w:val="nil"/>
              <w:bottom w:val="nil"/>
              <w:right w:val="nil"/>
            </w:tcBorders>
            <w:shd w:val="clear" w:color="auto" w:fill="auto"/>
            <w:noWrap/>
            <w:vAlign w:val="bottom"/>
            <w:hideMark/>
          </w:tcPr>
          <w:p w:rsidR="00D4546B" w:rsidRPr="00D4546B" w:rsidRDefault="00D4546B" w:rsidP="00D4546B">
            <w:pPr>
              <w:jc w:val="right"/>
              <w:rPr>
                <w:rFonts w:ascii="Arial" w:eastAsia="Times New Roman" w:hAnsi="Arial" w:cs="Arial"/>
                <w:b/>
                <w:bCs/>
                <w:color w:val="000000"/>
                <w:sz w:val="18"/>
                <w:szCs w:val="18"/>
                <w:lang w:val="es-CO" w:eastAsia="es-CO"/>
              </w:rPr>
            </w:pPr>
          </w:p>
        </w:tc>
      </w:tr>
      <w:tr w:rsidR="00D4546B" w:rsidRPr="00D4546B" w:rsidTr="00D071CA">
        <w:trPr>
          <w:trHeight w:val="20"/>
        </w:trPr>
        <w:tc>
          <w:tcPr>
            <w:tcW w:w="1759" w:type="pct"/>
            <w:tcBorders>
              <w:top w:val="nil"/>
              <w:left w:val="single" w:sz="4" w:space="0" w:color="auto"/>
              <w:bottom w:val="single" w:sz="4" w:space="0" w:color="auto"/>
              <w:right w:val="single" w:sz="4" w:space="0" w:color="auto"/>
            </w:tcBorders>
            <w:shd w:val="clear" w:color="auto" w:fill="auto"/>
            <w:vAlign w:val="center"/>
            <w:hideMark/>
          </w:tcPr>
          <w:p w:rsidR="00D4546B" w:rsidRPr="00D4546B" w:rsidRDefault="008040A0" w:rsidP="00D4546B">
            <w:pPr>
              <w:jc w:val="both"/>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w:t>
            </w:r>
            <w:r w:rsidR="00D4546B" w:rsidRPr="00D4546B">
              <w:rPr>
                <w:rFonts w:ascii="Arial" w:eastAsia="Times New Roman" w:hAnsi="Arial" w:cs="Arial"/>
                <w:color w:val="000000"/>
                <w:sz w:val="18"/>
                <w:szCs w:val="18"/>
                <w:lang w:val="es-CO" w:eastAsia="es-CO"/>
              </w:rPr>
              <w:t>Rendimiento Prestación</w:t>
            </w:r>
            <w:r>
              <w:rPr>
                <w:rFonts w:ascii="Arial" w:eastAsia="Times New Roman" w:hAnsi="Arial" w:cs="Arial"/>
                <w:color w:val="000000"/>
                <w:sz w:val="18"/>
                <w:szCs w:val="18"/>
                <w:lang w:val="es-CO" w:eastAsia="es-CO"/>
              </w:rPr>
              <w:t xml:space="preserve"> </w:t>
            </w:r>
          </w:p>
        </w:tc>
        <w:tc>
          <w:tcPr>
            <w:tcW w:w="1606" w:type="pct"/>
            <w:tcBorders>
              <w:top w:val="nil"/>
              <w:left w:val="nil"/>
              <w:bottom w:val="single" w:sz="4" w:space="0" w:color="auto"/>
              <w:right w:val="single" w:sz="4" w:space="0" w:color="auto"/>
            </w:tcBorders>
            <w:shd w:val="clear" w:color="auto" w:fill="auto"/>
            <w:vAlign w:val="center"/>
            <w:hideMark/>
          </w:tcPr>
          <w:p w:rsidR="00D4546B" w:rsidRPr="00D4546B" w:rsidRDefault="008040A0" w:rsidP="00D4546B">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D4546B" w:rsidRPr="00D4546B">
              <w:rPr>
                <w:rFonts w:ascii="Arial" w:eastAsia="Times New Roman" w:hAnsi="Arial" w:cs="Arial"/>
                <w:b/>
                <w:bCs/>
                <w:color w:val="000000"/>
                <w:sz w:val="18"/>
                <w:szCs w:val="18"/>
                <w:lang w:val="es-CO" w:eastAsia="es-CO"/>
              </w:rPr>
              <w:t xml:space="preserve">- </w:t>
            </w:r>
          </w:p>
        </w:tc>
        <w:tc>
          <w:tcPr>
            <w:tcW w:w="1467" w:type="pct"/>
            <w:tcBorders>
              <w:top w:val="nil"/>
              <w:left w:val="nil"/>
              <w:bottom w:val="single" w:sz="4" w:space="0" w:color="auto"/>
              <w:right w:val="single" w:sz="4" w:space="0" w:color="auto"/>
            </w:tcBorders>
            <w:shd w:val="clear" w:color="auto" w:fill="auto"/>
            <w:vAlign w:val="center"/>
            <w:hideMark/>
          </w:tcPr>
          <w:p w:rsidR="00D4546B" w:rsidRPr="00D4546B" w:rsidRDefault="00D4546B" w:rsidP="00D4546B">
            <w:pPr>
              <w:jc w:val="right"/>
              <w:rPr>
                <w:rFonts w:ascii="Arial" w:eastAsia="Times New Roman" w:hAnsi="Arial" w:cs="Arial"/>
                <w:b/>
                <w:bCs/>
                <w:color w:val="000000"/>
                <w:sz w:val="18"/>
                <w:szCs w:val="18"/>
                <w:lang w:val="es-CO" w:eastAsia="es-CO"/>
              </w:rPr>
            </w:pPr>
            <w:r w:rsidRPr="00D4546B">
              <w:rPr>
                <w:rFonts w:ascii="Arial" w:eastAsia="Times New Roman" w:hAnsi="Arial" w:cs="Arial"/>
                <w:b/>
                <w:bCs/>
                <w:color w:val="000000"/>
                <w:sz w:val="18"/>
                <w:szCs w:val="18"/>
                <w:lang w:val="es-CO" w:eastAsia="es-CO"/>
              </w:rPr>
              <w:t> </w:t>
            </w:r>
          </w:p>
        </w:tc>
        <w:tc>
          <w:tcPr>
            <w:tcW w:w="169" w:type="pct"/>
            <w:tcBorders>
              <w:top w:val="nil"/>
              <w:left w:val="nil"/>
              <w:bottom w:val="nil"/>
              <w:right w:val="nil"/>
            </w:tcBorders>
            <w:shd w:val="clear" w:color="auto" w:fill="auto"/>
            <w:noWrap/>
            <w:vAlign w:val="bottom"/>
            <w:hideMark/>
          </w:tcPr>
          <w:p w:rsidR="00D4546B" w:rsidRPr="00D4546B" w:rsidRDefault="00D4546B" w:rsidP="00D4546B">
            <w:pPr>
              <w:jc w:val="right"/>
              <w:rPr>
                <w:rFonts w:ascii="Arial" w:eastAsia="Times New Roman" w:hAnsi="Arial" w:cs="Arial"/>
                <w:b/>
                <w:bCs/>
                <w:color w:val="000000"/>
                <w:sz w:val="18"/>
                <w:szCs w:val="18"/>
                <w:lang w:val="es-CO" w:eastAsia="es-CO"/>
              </w:rPr>
            </w:pPr>
          </w:p>
        </w:tc>
      </w:tr>
      <w:tr w:rsidR="00D4546B" w:rsidRPr="00D4546B" w:rsidTr="00D071CA">
        <w:trPr>
          <w:trHeight w:val="20"/>
        </w:trPr>
        <w:tc>
          <w:tcPr>
            <w:tcW w:w="1759" w:type="pct"/>
            <w:tcBorders>
              <w:top w:val="nil"/>
              <w:left w:val="single" w:sz="4" w:space="0" w:color="auto"/>
              <w:bottom w:val="single" w:sz="4" w:space="0" w:color="auto"/>
              <w:right w:val="single" w:sz="4" w:space="0" w:color="auto"/>
            </w:tcBorders>
            <w:shd w:val="clear" w:color="auto" w:fill="auto"/>
            <w:vAlign w:val="center"/>
            <w:hideMark/>
          </w:tcPr>
          <w:p w:rsidR="00D4546B" w:rsidRPr="00D4546B" w:rsidRDefault="008040A0" w:rsidP="00D4546B">
            <w:pPr>
              <w:jc w:val="both"/>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w:t>
            </w:r>
            <w:r w:rsidR="00D4546B" w:rsidRPr="00D4546B">
              <w:rPr>
                <w:rFonts w:ascii="Arial" w:eastAsia="Times New Roman" w:hAnsi="Arial" w:cs="Arial"/>
                <w:color w:val="000000"/>
                <w:sz w:val="18"/>
                <w:szCs w:val="18"/>
                <w:lang w:val="es-CO" w:eastAsia="es-CO"/>
              </w:rPr>
              <w:t xml:space="preserve">Rendimiento Calidad </w:t>
            </w:r>
          </w:p>
        </w:tc>
        <w:tc>
          <w:tcPr>
            <w:tcW w:w="1606" w:type="pct"/>
            <w:tcBorders>
              <w:top w:val="nil"/>
              <w:left w:val="nil"/>
              <w:bottom w:val="single" w:sz="4" w:space="0" w:color="auto"/>
              <w:right w:val="single" w:sz="4" w:space="0" w:color="auto"/>
            </w:tcBorders>
            <w:shd w:val="clear" w:color="auto" w:fill="auto"/>
            <w:vAlign w:val="center"/>
            <w:hideMark/>
          </w:tcPr>
          <w:p w:rsidR="00D4546B" w:rsidRPr="00D4546B" w:rsidRDefault="008040A0" w:rsidP="00D4546B">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D4546B" w:rsidRPr="00D4546B">
              <w:rPr>
                <w:rFonts w:ascii="Arial" w:eastAsia="Times New Roman" w:hAnsi="Arial" w:cs="Arial"/>
                <w:b/>
                <w:bCs/>
                <w:color w:val="000000"/>
                <w:sz w:val="18"/>
                <w:szCs w:val="18"/>
                <w:lang w:val="es-CO" w:eastAsia="es-CO"/>
              </w:rPr>
              <w:t xml:space="preserve">- </w:t>
            </w:r>
          </w:p>
        </w:tc>
        <w:tc>
          <w:tcPr>
            <w:tcW w:w="1467" w:type="pct"/>
            <w:tcBorders>
              <w:top w:val="nil"/>
              <w:left w:val="nil"/>
              <w:bottom w:val="single" w:sz="4" w:space="0" w:color="auto"/>
              <w:right w:val="single" w:sz="4" w:space="0" w:color="auto"/>
            </w:tcBorders>
            <w:shd w:val="clear" w:color="auto" w:fill="auto"/>
            <w:vAlign w:val="center"/>
            <w:hideMark/>
          </w:tcPr>
          <w:p w:rsidR="00D4546B" w:rsidRPr="00D4546B" w:rsidRDefault="00D4546B" w:rsidP="00D4546B">
            <w:pPr>
              <w:jc w:val="right"/>
              <w:rPr>
                <w:rFonts w:ascii="Arial" w:eastAsia="Times New Roman" w:hAnsi="Arial" w:cs="Arial"/>
                <w:b/>
                <w:bCs/>
                <w:color w:val="000000"/>
                <w:sz w:val="18"/>
                <w:szCs w:val="18"/>
                <w:lang w:val="es-CO" w:eastAsia="es-CO"/>
              </w:rPr>
            </w:pPr>
            <w:r w:rsidRPr="00D4546B">
              <w:rPr>
                <w:rFonts w:ascii="Arial" w:eastAsia="Times New Roman" w:hAnsi="Arial" w:cs="Arial"/>
                <w:b/>
                <w:bCs/>
                <w:color w:val="000000"/>
                <w:sz w:val="18"/>
                <w:szCs w:val="18"/>
                <w:lang w:val="es-CO" w:eastAsia="es-CO"/>
              </w:rPr>
              <w:t> </w:t>
            </w:r>
          </w:p>
        </w:tc>
        <w:tc>
          <w:tcPr>
            <w:tcW w:w="169" w:type="pct"/>
            <w:tcBorders>
              <w:top w:val="nil"/>
              <w:left w:val="nil"/>
              <w:bottom w:val="nil"/>
              <w:right w:val="nil"/>
            </w:tcBorders>
            <w:shd w:val="clear" w:color="auto" w:fill="auto"/>
            <w:noWrap/>
            <w:vAlign w:val="bottom"/>
            <w:hideMark/>
          </w:tcPr>
          <w:p w:rsidR="00D4546B" w:rsidRPr="00D4546B" w:rsidRDefault="00D4546B" w:rsidP="00D4546B">
            <w:pPr>
              <w:jc w:val="right"/>
              <w:rPr>
                <w:rFonts w:ascii="Arial" w:eastAsia="Times New Roman" w:hAnsi="Arial" w:cs="Arial"/>
                <w:b/>
                <w:bCs/>
                <w:color w:val="000000"/>
                <w:sz w:val="18"/>
                <w:szCs w:val="18"/>
                <w:lang w:val="es-CO" w:eastAsia="es-CO"/>
              </w:rPr>
            </w:pPr>
          </w:p>
        </w:tc>
      </w:tr>
      <w:tr w:rsidR="00D4546B" w:rsidRPr="00D4546B" w:rsidTr="00D071CA">
        <w:trPr>
          <w:trHeight w:val="20"/>
        </w:trPr>
        <w:tc>
          <w:tcPr>
            <w:tcW w:w="1759" w:type="pct"/>
            <w:tcBorders>
              <w:top w:val="nil"/>
              <w:left w:val="single" w:sz="4" w:space="0" w:color="auto"/>
              <w:bottom w:val="single" w:sz="4" w:space="0" w:color="auto"/>
              <w:right w:val="single" w:sz="4" w:space="0" w:color="auto"/>
            </w:tcBorders>
            <w:shd w:val="clear" w:color="auto" w:fill="auto"/>
            <w:vAlign w:val="center"/>
            <w:hideMark/>
          </w:tcPr>
          <w:p w:rsidR="00D4546B" w:rsidRPr="00D4546B" w:rsidRDefault="00D4546B" w:rsidP="00D4546B">
            <w:pPr>
              <w:jc w:val="both"/>
              <w:rPr>
                <w:rFonts w:ascii="Arial" w:eastAsia="Times New Roman" w:hAnsi="Arial" w:cs="Arial"/>
                <w:b/>
                <w:bCs/>
                <w:color w:val="000000"/>
                <w:sz w:val="18"/>
                <w:szCs w:val="18"/>
                <w:lang w:val="es-CO" w:eastAsia="es-CO"/>
              </w:rPr>
            </w:pPr>
            <w:r w:rsidRPr="00D4546B">
              <w:rPr>
                <w:rFonts w:ascii="Arial" w:eastAsia="Times New Roman" w:hAnsi="Arial" w:cs="Arial"/>
                <w:b/>
                <w:bCs/>
                <w:color w:val="000000"/>
                <w:sz w:val="18"/>
                <w:szCs w:val="18"/>
                <w:lang w:val="es-CO" w:eastAsia="es-CO"/>
              </w:rPr>
              <w:t xml:space="preserve"> Recursos del Balance</w:t>
            </w:r>
            <w:r w:rsidR="008040A0">
              <w:rPr>
                <w:rFonts w:ascii="Arial" w:eastAsia="Times New Roman" w:hAnsi="Arial" w:cs="Arial"/>
                <w:b/>
                <w:bCs/>
                <w:color w:val="000000"/>
                <w:sz w:val="18"/>
                <w:szCs w:val="18"/>
                <w:lang w:val="es-CO" w:eastAsia="es-CO"/>
              </w:rPr>
              <w:t xml:space="preserve"> </w:t>
            </w:r>
          </w:p>
        </w:tc>
        <w:tc>
          <w:tcPr>
            <w:tcW w:w="1606" w:type="pct"/>
            <w:tcBorders>
              <w:top w:val="nil"/>
              <w:left w:val="nil"/>
              <w:bottom w:val="single" w:sz="4" w:space="0" w:color="auto"/>
              <w:right w:val="single" w:sz="4" w:space="0" w:color="auto"/>
            </w:tcBorders>
            <w:shd w:val="clear" w:color="auto" w:fill="auto"/>
            <w:noWrap/>
            <w:vAlign w:val="center"/>
            <w:hideMark/>
          </w:tcPr>
          <w:p w:rsidR="00D4546B" w:rsidRPr="00D4546B" w:rsidRDefault="00D4546B" w:rsidP="00D4546B">
            <w:pPr>
              <w:jc w:val="right"/>
              <w:rPr>
                <w:rFonts w:ascii="Arial" w:eastAsia="Times New Roman" w:hAnsi="Arial" w:cs="Arial"/>
                <w:b/>
                <w:bCs/>
                <w:color w:val="000000"/>
                <w:sz w:val="18"/>
                <w:szCs w:val="18"/>
                <w:lang w:val="es-CO" w:eastAsia="es-CO"/>
              </w:rPr>
            </w:pPr>
            <w:r w:rsidRPr="00D4546B">
              <w:rPr>
                <w:rFonts w:ascii="Arial" w:eastAsia="Times New Roman" w:hAnsi="Arial" w:cs="Arial"/>
                <w:b/>
                <w:bCs/>
                <w:color w:val="000000"/>
                <w:sz w:val="18"/>
                <w:szCs w:val="18"/>
                <w:lang w:val="es-CO" w:eastAsia="es-CO"/>
              </w:rPr>
              <w:t>1.897</w:t>
            </w:r>
          </w:p>
        </w:tc>
        <w:tc>
          <w:tcPr>
            <w:tcW w:w="1467" w:type="pct"/>
            <w:tcBorders>
              <w:top w:val="nil"/>
              <w:left w:val="nil"/>
              <w:bottom w:val="single" w:sz="4" w:space="0" w:color="auto"/>
              <w:right w:val="single" w:sz="4" w:space="0" w:color="auto"/>
            </w:tcBorders>
            <w:shd w:val="clear" w:color="auto" w:fill="auto"/>
            <w:vAlign w:val="center"/>
            <w:hideMark/>
          </w:tcPr>
          <w:p w:rsidR="00D4546B" w:rsidRPr="00D4546B" w:rsidRDefault="008040A0" w:rsidP="00D4546B">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D4546B" w:rsidRPr="00D4546B">
              <w:rPr>
                <w:rFonts w:ascii="Arial" w:eastAsia="Times New Roman" w:hAnsi="Arial" w:cs="Arial"/>
                <w:b/>
                <w:bCs/>
                <w:color w:val="000000"/>
                <w:sz w:val="18"/>
                <w:szCs w:val="18"/>
                <w:lang w:val="es-CO" w:eastAsia="es-CO"/>
              </w:rPr>
              <w:t xml:space="preserve">1.067 </w:t>
            </w:r>
          </w:p>
        </w:tc>
        <w:tc>
          <w:tcPr>
            <w:tcW w:w="169" w:type="pct"/>
            <w:tcBorders>
              <w:top w:val="nil"/>
              <w:left w:val="nil"/>
              <w:bottom w:val="nil"/>
              <w:right w:val="nil"/>
            </w:tcBorders>
            <w:shd w:val="clear" w:color="auto" w:fill="auto"/>
            <w:noWrap/>
            <w:vAlign w:val="bottom"/>
            <w:hideMark/>
          </w:tcPr>
          <w:p w:rsidR="00D4546B" w:rsidRPr="00D4546B" w:rsidRDefault="00D4546B" w:rsidP="00D4546B">
            <w:pPr>
              <w:jc w:val="right"/>
              <w:rPr>
                <w:rFonts w:ascii="Arial" w:eastAsia="Times New Roman" w:hAnsi="Arial" w:cs="Arial"/>
                <w:b/>
                <w:bCs/>
                <w:color w:val="000000"/>
                <w:sz w:val="18"/>
                <w:szCs w:val="18"/>
                <w:lang w:val="es-CO" w:eastAsia="es-CO"/>
              </w:rPr>
            </w:pPr>
          </w:p>
        </w:tc>
      </w:tr>
      <w:tr w:rsidR="00D4546B" w:rsidRPr="00D4546B" w:rsidTr="00D071CA">
        <w:trPr>
          <w:trHeight w:val="20"/>
        </w:trPr>
        <w:tc>
          <w:tcPr>
            <w:tcW w:w="1759" w:type="pct"/>
            <w:tcBorders>
              <w:top w:val="nil"/>
              <w:left w:val="single" w:sz="4" w:space="0" w:color="auto"/>
              <w:bottom w:val="single" w:sz="4" w:space="0" w:color="auto"/>
              <w:right w:val="single" w:sz="4" w:space="0" w:color="auto"/>
            </w:tcBorders>
            <w:shd w:val="clear" w:color="auto" w:fill="auto"/>
            <w:vAlign w:val="center"/>
            <w:hideMark/>
          </w:tcPr>
          <w:p w:rsidR="00D4546B" w:rsidRPr="00D4546B" w:rsidRDefault="008040A0" w:rsidP="00D4546B">
            <w:pPr>
              <w:jc w:val="both"/>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w:t>
            </w:r>
            <w:r w:rsidR="00D4546B" w:rsidRPr="00D4546B">
              <w:rPr>
                <w:rFonts w:ascii="Arial" w:eastAsia="Times New Roman" w:hAnsi="Arial" w:cs="Arial"/>
                <w:color w:val="000000"/>
                <w:sz w:val="18"/>
                <w:szCs w:val="18"/>
                <w:lang w:val="es-CO" w:eastAsia="es-CO"/>
              </w:rPr>
              <w:t xml:space="preserve">Superávit fiscal de la vigencia anterior </w:t>
            </w:r>
          </w:p>
        </w:tc>
        <w:tc>
          <w:tcPr>
            <w:tcW w:w="1606" w:type="pct"/>
            <w:tcBorders>
              <w:top w:val="nil"/>
              <w:left w:val="nil"/>
              <w:bottom w:val="single" w:sz="4" w:space="0" w:color="auto"/>
              <w:right w:val="single" w:sz="4" w:space="0" w:color="auto"/>
            </w:tcBorders>
            <w:shd w:val="clear" w:color="auto" w:fill="auto"/>
            <w:noWrap/>
            <w:vAlign w:val="center"/>
            <w:hideMark/>
          </w:tcPr>
          <w:p w:rsidR="00D4546B" w:rsidRPr="00D4546B" w:rsidRDefault="00D4546B" w:rsidP="00D4546B">
            <w:pPr>
              <w:jc w:val="right"/>
              <w:rPr>
                <w:rFonts w:ascii="Arial" w:eastAsia="Times New Roman" w:hAnsi="Arial" w:cs="Arial"/>
                <w:b/>
                <w:bCs/>
                <w:color w:val="000000"/>
                <w:sz w:val="18"/>
                <w:szCs w:val="18"/>
                <w:lang w:val="es-CO" w:eastAsia="es-CO"/>
              </w:rPr>
            </w:pPr>
            <w:r w:rsidRPr="00D4546B">
              <w:rPr>
                <w:rFonts w:ascii="Arial" w:eastAsia="Times New Roman" w:hAnsi="Arial" w:cs="Arial"/>
                <w:b/>
                <w:bCs/>
                <w:color w:val="000000"/>
                <w:sz w:val="18"/>
                <w:szCs w:val="18"/>
                <w:lang w:val="es-CO" w:eastAsia="es-CO"/>
              </w:rPr>
              <w:t>1.897</w:t>
            </w:r>
          </w:p>
        </w:tc>
        <w:tc>
          <w:tcPr>
            <w:tcW w:w="1467" w:type="pct"/>
            <w:tcBorders>
              <w:top w:val="nil"/>
              <w:left w:val="nil"/>
              <w:bottom w:val="single" w:sz="4" w:space="0" w:color="auto"/>
              <w:right w:val="single" w:sz="4" w:space="0" w:color="auto"/>
            </w:tcBorders>
            <w:shd w:val="clear" w:color="auto" w:fill="auto"/>
            <w:vAlign w:val="center"/>
            <w:hideMark/>
          </w:tcPr>
          <w:p w:rsidR="00D4546B" w:rsidRPr="00D4546B" w:rsidRDefault="008040A0" w:rsidP="00D4546B">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D4546B" w:rsidRPr="00D4546B">
              <w:rPr>
                <w:rFonts w:ascii="Arial" w:eastAsia="Times New Roman" w:hAnsi="Arial" w:cs="Arial"/>
                <w:b/>
                <w:bCs/>
                <w:color w:val="000000"/>
                <w:sz w:val="18"/>
                <w:szCs w:val="18"/>
                <w:lang w:val="es-CO" w:eastAsia="es-CO"/>
              </w:rPr>
              <w:t xml:space="preserve">1.067 </w:t>
            </w:r>
          </w:p>
        </w:tc>
        <w:tc>
          <w:tcPr>
            <w:tcW w:w="169" w:type="pct"/>
            <w:tcBorders>
              <w:top w:val="nil"/>
              <w:left w:val="nil"/>
              <w:bottom w:val="nil"/>
              <w:right w:val="nil"/>
            </w:tcBorders>
            <w:shd w:val="clear" w:color="auto" w:fill="auto"/>
            <w:noWrap/>
            <w:vAlign w:val="bottom"/>
            <w:hideMark/>
          </w:tcPr>
          <w:p w:rsidR="00D4546B" w:rsidRPr="00D4546B" w:rsidRDefault="00D4546B" w:rsidP="00D4546B">
            <w:pPr>
              <w:jc w:val="right"/>
              <w:rPr>
                <w:rFonts w:ascii="Arial" w:eastAsia="Times New Roman" w:hAnsi="Arial" w:cs="Arial"/>
                <w:b/>
                <w:bCs/>
                <w:color w:val="000000"/>
                <w:sz w:val="18"/>
                <w:szCs w:val="18"/>
                <w:lang w:val="es-CO" w:eastAsia="es-CO"/>
              </w:rPr>
            </w:pPr>
          </w:p>
        </w:tc>
      </w:tr>
      <w:tr w:rsidR="00D4546B" w:rsidRPr="00D4546B" w:rsidTr="00D071CA">
        <w:trPr>
          <w:trHeight w:val="20"/>
        </w:trPr>
        <w:tc>
          <w:tcPr>
            <w:tcW w:w="1759" w:type="pct"/>
            <w:tcBorders>
              <w:top w:val="nil"/>
              <w:left w:val="single" w:sz="4" w:space="0" w:color="auto"/>
              <w:bottom w:val="single" w:sz="4" w:space="0" w:color="auto"/>
              <w:right w:val="single" w:sz="4" w:space="0" w:color="auto"/>
            </w:tcBorders>
            <w:shd w:val="clear" w:color="auto" w:fill="auto"/>
            <w:vAlign w:val="center"/>
            <w:hideMark/>
          </w:tcPr>
          <w:p w:rsidR="00D4546B" w:rsidRPr="00D4546B" w:rsidRDefault="00D4546B" w:rsidP="00D4546B">
            <w:pPr>
              <w:jc w:val="both"/>
              <w:rPr>
                <w:rFonts w:ascii="Arial" w:eastAsia="Times New Roman" w:hAnsi="Arial" w:cs="Arial"/>
                <w:color w:val="000000"/>
                <w:sz w:val="18"/>
                <w:szCs w:val="18"/>
                <w:lang w:val="es-CO" w:eastAsia="es-CO"/>
              </w:rPr>
            </w:pPr>
            <w:r w:rsidRPr="00D4546B">
              <w:rPr>
                <w:rFonts w:ascii="Arial" w:eastAsia="Times New Roman" w:hAnsi="Arial" w:cs="Arial"/>
                <w:color w:val="000000"/>
                <w:sz w:val="18"/>
                <w:szCs w:val="18"/>
                <w:lang w:val="es-CO" w:eastAsia="es-CO"/>
              </w:rPr>
              <w:t xml:space="preserve"> Superávit Fiscal de vigencias anteriores no incorporado </w:t>
            </w:r>
          </w:p>
        </w:tc>
        <w:tc>
          <w:tcPr>
            <w:tcW w:w="1606" w:type="pct"/>
            <w:tcBorders>
              <w:top w:val="nil"/>
              <w:left w:val="nil"/>
              <w:bottom w:val="single" w:sz="4" w:space="0" w:color="auto"/>
              <w:right w:val="single" w:sz="4" w:space="0" w:color="auto"/>
            </w:tcBorders>
            <w:shd w:val="clear" w:color="auto" w:fill="auto"/>
            <w:noWrap/>
            <w:vAlign w:val="center"/>
            <w:hideMark/>
          </w:tcPr>
          <w:p w:rsidR="00D4546B" w:rsidRPr="00D4546B" w:rsidRDefault="00D4546B" w:rsidP="00D4546B">
            <w:pPr>
              <w:jc w:val="right"/>
              <w:rPr>
                <w:rFonts w:ascii="Arial" w:eastAsia="Times New Roman" w:hAnsi="Arial" w:cs="Arial"/>
                <w:b/>
                <w:bCs/>
                <w:color w:val="000000"/>
                <w:sz w:val="18"/>
                <w:szCs w:val="18"/>
                <w:lang w:val="es-CO" w:eastAsia="es-CO"/>
              </w:rPr>
            </w:pPr>
            <w:r w:rsidRPr="00D4546B">
              <w:rPr>
                <w:rFonts w:ascii="Arial" w:eastAsia="Times New Roman" w:hAnsi="Arial" w:cs="Arial"/>
                <w:b/>
                <w:bCs/>
                <w:color w:val="000000"/>
                <w:sz w:val="18"/>
                <w:szCs w:val="18"/>
                <w:lang w:val="es-CO" w:eastAsia="es-CO"/>
              </w:rPr>
              <w:t>0</w:t>
            </w:r>
          </w:p>
        </w:tc>
        <w:tc>
          <w:tcPr>
            <w:tcW w:w="1467" w:type="pct"/>
            <w:tcBorders>
              <w:top w:val="nil"/>
              <w:left w:val="nil"/>
              <w:bottom w:val="single" w:sz="4" w:space="0" w:color="auto"/>
              <w:right w:val="single" w:sz="4" w:space="0" w:color="auto"/>
            </w:tcBorders>
            <w:shd w:val="clear" w:color="auto" w:fill="auto"/>
            <w:vAlign w:val="center"/>
            <w:hideMark/>
          </w:tcPr>
          <w:p w:rsidR="00D4546B" w:rsidRPr="00D4546B" w:rsidRDefault="00D4546B" w:rsidP="00D4546B">
            <w:pPr>
              <w:jc w:val="right"/>
              <w:rPr>
                <w:rFonts w:ascii="Arial" w:eastAsia="Times New Roman" w:hAnsi="Arial" w:cs="Arial"/>
                <w:b/>
                <w:bCs/>
                <w:color w:val="000000"/>
                <w:sz w:val="18"/>
                <w:szCs w:val="18"/>
                <w:lang w:val="es-CO" w:eastAsia="es-CO"/>
              </w:rPr>
            </w:pPr>
            <w:r w:rsidRPr="00D4546B">
              <w:rPr>
                <w:rFonts w:ascii="Arial" w:eastAsia="Times New Roman" w:hAnsi="Arial" w:cs="Arial"/>
                <w:b/>
                <w:bCs/>
                <w:color w:val="000000"/>
                <w:sz w:val="18"/>
                <w:szCs w:val="18"/>
                <w:lang w:val="es-CO" w:eastAsia="es-CO"/>
              </w:rPr>
              <w:t> </w:t>
            </w:r>
          </w:p>
        </w:tc>
        <w:tc>
          <w:tcPr>
            <w:tcW w:w="169" w:type="pct"/>
            <w:tcBorders>
              <w:top w:val="nil"/>
              <w:left w:val="nil"/>
              <w:bottom w:val="nil"/>
              <w:right w:val="nil"/>
            </w:tcBorders>
            <w:shd w:val="clear" w:color="auto" w:fill="auto"/>
            <w:noWrap/>
            <w:vAlign w:val="bottom"/>
            <w:hideMark/>
          </w:tcPr>
          <w:p w:rsidR="00D4546B" w:rsidRPr="00D4546B" w:rsidRDefault="00D4546B" w:rsidP="00D4546B">
            <w:pPr>
              <w:jc w:val="right"/>
              <w:rPr>
                <w:rFonts w:ascii="Arial" w:eastAsia="Times New Roman" w:hAnsi="Arial" w:cs="Arial"/>
                <w:b/>
                <w:bCs/>
                <w:color w:val="000000"/>
                <w:sz w:val="18"/>
                <w:szCs w:val="18"/>
                <w:lang w:val="es-CO" w:eastAsia="es-CO"/>
              </w:rPr>
            </w:pPr>
          </w:p>
        </w:tc>
      </w:tr>
      <w:tr w:rsidR="00D4546B" w:rsidRPr="00D4546B" w:rsidTr="00D071CA">
        <w:trPr>
          <w:trHeight w:val="20"/>
        </w:trPr>
        <w:tc>
          <w:tcPr>
            <w:tcW w:w="1759" w:type="pct"/>
            <w:tcBorders>
              <w:top w:val="nil"/>
              <w:left w:val="single" w:sz="4" w:space="0" w:color="auto"/>
              <w:bottom w:val="single" w:sz="4" w:space="0" w:color="auto"/>
              <w:right w:val="single" w:sz="4" w:space="0" w:color="auto"/>
            </w:tcBorders>
            <w:shd w:val="clear" w:color="auto" w:fill="auto"/>
            <w:vAlign w:val="center"/>
            <w:hideMark/>
          </w:tcPr>
          <w:p w:rsidR="00D4546B" w:rsidRPr="00D4546B" w:rsidRDefault="008040A0" w:rsidP="00D4546B">
            <w:pPr>
              <w:jc w:val="both"/>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w:t>
            </w:r>
            <w:r w:rsidR="00D4546B" w:rsidRPr="00D4546B">
              <w:rPr>
                <w:rFonts w:ascii="Arial" w:eastAsia="Times New Roman" w:hAnsi="Arial" w:cs="Arial"/>
                <w:color w:val="000000"/>
                <w:sz w:val="18"/>
                <w:szCs w:val="18"/>
                <w:lang w:val="es-CO" w:eastAsia="es-CO"/>
              </w:rPr>
              <w:t>Superávit fiscal Prestación</w:t>
            </w:r>
            <w:r>
              <w:rPr>
                <w:rFonts w:ascii="Arial" w:eastAsia="Times New Roman" w:hAnsi="Arial" w:cs="Arial"/>
                <w:color w:val="000000"/>
                <w:sz w:val="18"/>
                <w:szCs w:val="18"/>
                <w:lang w:val="es-CO" w:eastAsia="es-CO"/>
              </w:rPr>
              <w:t xml:space="preserve"> </w:t>
            </w:r>
          </w:p>
        </w:tc>
        <w:tc>
          <w:tcPr>
            <w:tcW w:w="1606" w:type="pct"/>
            <w:tcBorders>
              <w:top w:val="nil"/>
              <w:left w:val="nil"/>
              <w:bottom w:val="single" w:sz="4" w:space="0" w:color="auto"/>
              <w:right w:val="single" w:sz="4" w:space="0" w:color="auto"/>
            </w:tcBorders>
            <w:shd w:val="clear" w:color="auto" w:fill="auto"/>
            <w:vAlign w:val="center"/>
            <w:hideMark/>
          </w:tcPr>
          <w:p w:rsidR="00D4546B" w:rsidRPr="00D4546B" w:rsidRDefault="008040A0" w:rsidP="00D4546B">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D4546B" w:rsidRPr="00D4546B">
              <w:rPr>
                <w:rFonts w:ascii="Arial" w:eastAsia="Times New Roman" w:hAnsi="Arial" w:cs="Arial"/>
                <w:b/>
                <w:bCs/>
                <w:color w:val="000000"/>
                <w:sz w:val="18"/>
                <w:szCs w:val="18"/>
                <w:lang w:val="es-CO" w:eastAsia="es-CO"/>
              </w:rPr>
              <w:t xml:space="preserve">- </w:t>
            </w:r>
          </w:p>
        </w:tc>
        <w:tc>
          <w:tcPr>
            <w:tcW w:w="1467" w:type="pct"/>
            <w:tcBorders>
              <w:top w:val="nil"/>
              <w:left w:val="nil"/>
              <w:bottom w:val="single" w:sz="4" w:space="0" w:color="auto"/>
              <w:right w:val="single" w:sz="4" w:space="0" w:color="auto"/>
            </w:tcBorders>
            <w:shd w:val="clear" w:color="auto" w:fill="auto"/>
            <w:vAlign w:val="center"/>
            <w:hideMark/>
          </w:tcPr>
          <w:p w:rsidR="00D4546B" w:rsidRPr="00D4546B" w:rsidRDefault="00D4546B" w:rsidP="00D4546B">
            <w:pPr>
              <w:jc w:val="right"/>
              <w:rPr>
                <w:rFonts w:ascii="Arial" w:eastAsia="Times New Roman" w:hAnsi="Arial" w:cs="Arial"/>
                <w:b/>
                <w:bCs/>
                <w:color w:val="000000"/>
                <w:sz w:val="18"/>
                <w:szCs w:val="18"/>
                <w:lang w:val="es-CO" w:eastAsia="es-CO"/>
              </w:rPr>
            </w:pPr>
            <w:r w:rsidRPr="00D4546B">
              <w:rPr>
                <w:rFonts w:ascii="Arial" w:eastAsia="Times New Roman" w:hAnsi="Arial" w:cs="Arial"/>
                <w:b/>
                <w:bCs/>
                <w:color w:val="000000"/>
                <w:sz w:val="18"/>
                <w:szCs w:val="18"/>
                <w:lang w:val="es-CO" w:eastAsia="es-CO"/>
              </w:rPr>
              <w:t> </w:t>
            </w:r>
          </w:p>
        </w:tc>
        <w:tc>
          <w:tcPr>
            <w:tcW w:w="169" w:type="pct"/>
            <w:tcBorders>
              <w:top w:val="nil"/>
              <w:left w:val="nil"/>
              <w:bottom w:val="nil"/>
              <w:right w:val="nil"/>
            </w:tcBorders>
            <w:shd w:val="clear" w:color="auto" w:fill="auto"/>
            <w:noWrap/>
            <w:vAlign w:val="bottom"/>
            <w:hideMark/>
          </w:tcPr>
          <w:p w:rsidR="00D4546B" w:rsidRPr="00D4546B" w:rsidRDefault="00D4546B" w:rsidP="00D4546B">
            <w:pPr>
              <w:jc w:val="right"/>
              <w:rPr>
                <w:rFonts w:ascii="Arial" w:eastAsia="Times New Roman" w:hAnsi="Arial" w:cs="Arial"/>
                <w:b/>
                <w:bCs/>
                <w:color w:val="000000"/>
                <w:sz w:val="18"/>
                <w:szCs w:val="18"/>
                <w:lang w:val="es-CO" w:eastAsia="es-CO"/>
              </w:rPr>
            </w:pPr>
          </w:p>
        </w:tc>
      </w:tr>
      <w:tr w:rsidR="00D4546B" w:rsidRPr="00D4546B" w:rsidTr="00D071CA">
        <w:trPr>
          <w:trHeight w:val="20"/>
        </w:trPr>
        <w:tc>
          <w:tcPr>
            <w:tcW w:w="1759" w:type="pct"/>
            <w:tcBorders>
              <w:top w:val="nil"/>
              <w:left w:val="single" w:sz="4" w:space="0" w:color="auto"/>
              <w:bottom w:val="single" w:sz="4" w:space="0" w:color="auto"/>
              <w:right w:val="single" w:sz="4" w:space="0" w:color="auto"/>
            </w:tcBorders>
            <w:shd w:val="clear" w:color="auto" w:fill="auto"/>
            <w:vAlign w:val="center"/>
            <w:hideMark/>
          </w:tcPr>
          <w:p w:rsidR="00D4546B" w:rsidRPr="00D4546B" w:rsidRDefault="008040A0" w:rsidP="00D4546B">
            <w:pPr>
              <w:jc w:val="both"/>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w:t>
            </w:r>
            <w:r w:rsidR="00D4546B" w:rsidRPr="00D4546B">
              <w:rPr>
                <w:rFonts w:ascii="Arial" w:eastAsia="Times New Roman" w:hAnsi="Arial" w:cs="Arial"/>
                <w:color w:val="000000"/>
                <w:sz w:val="18"/>
                <w:szCs w:val="18"/>
                <w:lang w:val="es-CO" w:eastAsia="es-CO"/>
              </w:rPr>
              <w:t xml:space="preserve">Superávit fiscal Calidad </w:t>
            </w:r>
          </w:p>
        </w:tc>
        <w:tc>
          <w:tcPr>
            <w:tcW w:w="1606" w:type="pct"/>
            <w:tcBorders>
              <w:top w:val="nil"/>
              <w:left w:val="nil"/>
              <w:bottom w:val="single" w:sz="4" w:space="0" w:color="auto"/>
              <w:right w:val="single" w:sz="4" w:space="0" w:color="auto"/>
            </w:tcBorders>
            <w:shd w:val="clear" w:color="auto" w:fill="auto"/>
            <w:vAlign w:val="center"/>
            <w:hideMark/>
          </w:tcPr>
          <w:p w:rsidR="00D4546B" w:rsidRPr="00D4546B" w:rsidRDefault="008040A0" w:rsidP="00D4546B">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D4546B" w:rsidRPr="00D4546B">
              <w:rPr>
                <w:rFonts w:ascii="Arial" w:eastAsia="Times New Roman" w:hAnsi="Arial" w:cs="Arial"/>
                <w:b/>
                <w:bCs/>
                <w:color w:val="000000"/>
                <w:sz w:val="18"/>
                <w:szCs w:val="18"/>
                <w:lang w:val="es-CO" w:eastAsia="es-CO"/>
              </w:rPr>
              <w:t xml:space="preserve">- </w:t>
            </w:r>
          </w:p>
        </w:tc>
        <w:tc>
          <w:tcPr>
            <w:tcW w:w="1467" w:type="pct"/>
            <w:tcBorders>
              <w:top w:val="nil"/>
              <w:left w:val="nil"/>
              <w:bottom w:val="single" w:sz="4" w:space="0" w:color="auto"/>
              <w:right w:val="single" w:sz="4" w:space="0" w:color="auto"/>
            </w:tcBorders>
            <w:shd w:val="clear" w:color="auto" w:fill="auto"/>
            <w:vAlign w:val="center"/>
            <w:hideMark/>
          </w:tcPr>
          <w:p w:rsidR="00D4546B" w:rsidRPr="00D4546B" w:rsidRDefault="00D4546B" w:rsidP="00D4546B">
            <w:pPr>
              <w:jc w:val="right"/>
              <w:rPr>
                <w:rFonts w:ascii="Arial" w:eastAsia="Times New Roman" w:hAnsi="Arial" w:cs="Arial"/>
                <w:color w:val="000000"/>
                <w:sz w:val="18"/>
                <w:szCs w:val="18"/>
                <w:lang w:val="es-CO" w:eastAsia="es-CO"/>
              </w:rPr>
            </w:pPr>
            <w:r w:rsidRPr="00D4546B">
              <w:rPr>
                <w:rFonts w:ascii="Arial" w:eastAsia="Times New Roman" w:hAnsi="Arial" w:cs="Arial"/>
                <w:color w:val="000000"/>
                <w:sz w:val="18"/>
                <w:szCs w:val="18"/>
                <w:lang w:val="es-CO" w:eastAsia="es-CO"/>
              </w:rPr>
              <w:t> </w:t>
            </w:r>
          </w:p>
        </w:tc>
        <w:tc>
          <w:tcPr>
            <w:tcW w:w="169" w:type="pct"/>
            <w:tcBorders>
              <w:top w:val="nil"/>
              <w:left w:val="nil"/>
              <w:bottom w:val="nil"/>
              <w:right w:val="nil"/>
            </w:tcBorders>
            <w:shd w:val="clear" w:color="auto" w:fill="auto"/>
            <w:noWrap/>
            <w:vAlign w:val="bottom"/>
            <w:hideMark/>
          </w:tcPr>
          <w:p w:rsidR="00D4546B" w:rsidRPr="00D4546B" w:rsidRDefault="00D4546B" w:rsidP="00D4546B">
            <w:pPr>
              <w:jc w:val="right"/>
              <w:rPr>
                <w:rFonts w:ascii="Arial" w:eastAsia="Times New Roman" w:hAnsi="Arial" w:cs="Arial"/>
                <w:color w:val="000000"/>
                <w:sz w:val="18"/>
                <w:szCs w:val="18"/>
                <w:lang w:val="es-CO" w:eastAsia="es-CO"/>
              </w:rPr>
            </w:pPr>
          </w:p>
        </w:tc>
      </w:tr>
      <w:tr w:rsidR="00D4546B" w:rsidRPr="00D4546B" w:rsidTr="00D071CA">
        <w:trPr>
          <w:trHeight w:val="20"/>
        </w:trPr>
        <w:tc>
          <w:tcPr>
            <w:tcW w:w="1759" w:type="pct"/>
            <w:tcBorders>
              <w:top w:val="nil"/>
              <w:left w:val="single" w:sz="4" w:space="0" w:color="auto"/>
              <w:bottom w:val="single" w:sz="4" w:space="0" w:color="auto"/>
              <w:right w:val="single" w:sz="4" w:space="0" w:color="auto"/>
            </w:tcBorders>
            <w:shd w:val="clear" w:color="auto" w:fill="auto"/>
            <w:vAlign w:val="center"/>
            <w:hideMark/>
          </w:tcPr>
          <w:p w:rsidR="00D4546B" w:rsidRPr="00D4546B" w:rsidRDefault="00D4546B" w:rsidP="00D4546B">
            <w:pPr>
              <w:jc w:val="both"/>
              <w:rPr>
                <w:rFonts w:ascii="Arial" w:eastAsia="Times New Roman" w:hAnsi="Arial" w:cs="Arial"/>
                <w:b/>
                <w:bCs/>
                <w:color w:val="000000"/>
                <w:sz w:val="18"/>
                <w:szCs w:val="18"/>
                <w:lang w:val="es-CO" w:eastAsia="es-CO"/>
              </w:rPr>
            </w:pPr>
            <w:r w:rsidRPr="00D4546B">
              <w:rPr>
                <w:rFonts w:ascii="Arial" w:eastAsia="Times New Roman" w:hAnsi="Arial" w:cs="Arial"/>
                <w:b/>
                <w:bCs/>
                <w:color w:val="000000"/>
                <w:sz w:val="18"/>
                <w:szCs w:val="18"/>
                <w:lang w:val="es-CO" w:eastAsia="es-CO"/>
              </w:rPr>
              <w:t xml:space="preserve"> Reintegros</w:t>
            </w:r>
            <w:r w:rsidR="008040A0">
              <w:rPr>
                <w:rFonts w:ascii="Arial" w:eastAsia="Times New Roman" w:hAnsi="Arial" w:cs="Arial"/>
                <w:b/>
                <w:bCs/>
                <w:color w:val="000000"/>
                <w:sz w:val="18"/>
                <w:szCs w:val="18"/>
                <w:lang w:val="es-CO" w:eastAsia="es-CO"/>
              </w:rPr>
              <w:t xml:space="preserve"> </w:t>
            </w:r>
          </w:p>
        </w:tc>
        <w:tc>
          <w:tcPr>
            <w:tcW w:w="1606" w:type="pct"/>
            <w:tcBorders>
              <w:top w:val="nil"/>
              <w:left w:val="nil"/>
              <w:bottom w:val="single" w:sz="4" w:space="0" w:color="auto"/>
              <w:right w:val="single" w:sz="4" w:space="0" w:color="auto"/>
            </w:tcBorders>
            <w:shd w:val="clear" w:color="auto" w:fill="auto"/>
            <w:vAlign w:val="center"/>
            <w:hideMark/>
          </w:tcPr>
          <w:p w:rsidR="00D4546B" w:rsidRPr="00D4546B" w:rsidRDefault="008040A0" w:rsidP="00D4546B">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D4546B" w:rsidRPr="00D4546B">
              <w:rPr>
                <w:rFonts w:ascii="Arial" w:eastAsia="Times New Roman" w:hAnsi="Arial" w:cs="Arial"/>
                <w:b/>
                <w:bCs/>
                <w:color w:val="000000"/>
                <w:sz w:val="18"/>
                <w:szCs w:val="18"/>
                <w:lang w:val="es-CO" w:eastAsia="es-CO"/>
              </w:rPr>
              <w:t xml:space="preserve">- </w:t>
            </w:r>
          </w:p>
        </w:tc>
        <w:tc>
          <w:tcPr>
            <w:tcW w:w="1467" w:type="pct"/>
            <w:tcBorders>
              <w:top w:val="nil"/>
              <w:left w:val="nil"/>
              <w:bottom w:val="single" w:sz="4" w:space="0" w:color="auto"/>
              <w:right w:val="single" w:sz="4" w:space="0" w:color="auto"/>
            </w:tcBorders>
            <w:shd w:val="clear" w:color="auto" w:fill="auto"/>
            <w:vAlign w:val="center"/>
            <w:hideMark/>
          </w:tcPr>
          <w:p w:rsidR="00D4546B" w:rsidRPr="00D4546B" w:rsidRDefault="008040A0" w:rsidP="00D4546B">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D4546B" w:rsidRPr="00D4546B">
              <w:rPr>
                <w:rFonts w:ascii="Arial" w:eastAsia="Times New Roman" w:hAnsi="Arial" w:cs="Arial"/>
                <w:b/>
                <w:bCs/>
                <w:color w:val="000000"/>
                <w:sz w:val="18"/>
                <w:szCs w:val="18"/>
                <w:lang w:val="es-CO" w:eastAsia="es-CO"/>
              </w:rPr>
              <w:t xml:space="preserve">69 </w:t>
            </w:r>
          </w:p>
        </w:tc>
        <w:tc>
          <w:tcPr>
            <w:tcW w:w="169" w:type="pct"/>
            <w:tcBorders>
              <w:top w:val="nil"/>
              <w:left w:val="nil"/>
              <w:bottom w:val="nil"/>
              <w:right w:val="nil"/>
            </w:tcBorders>
            <w:shd w:val="clear" w:color="auto" w:fill="auto"/>
            <w:noWrap/>
            <w:vAlign w:val="bottom"/>
            <w:hideMark/>
          </w:tcPr>
          <w:p w:rsidR="00D4546B" w:rsidRPr="00D4546B" w:rsidRDefault="00D4546B" w:rsidP="00D4546B">
            <w:pPr>
              <w:jc w:val="right"/>
              <w:rPr>
                <w:rFonts w:ascii="Arial" w:eastAsia="Times New Roman" w:hAnsi="Arial" w:cs="Arial"/>
                <w:b/>
                <w:bCs/>
                <w:color w:val="000000"/>
                <w:sz w:val="18"/>
                <w:szCs w:val="18"/>
                <w:lang w:val="es-CO" w:eastAsia="es-CO"/>
              </w:rPr>
            </w:pPr>
          </w:p>
        </w:tc>
      </w:tr>
      <w:tr w:rsidR="00D071CA" w:rsidRPr="00D4546B" w:rsidTr="00D071CA">
        <w:trPr>
          <w:trHeight w:val="20"/>
        </w:trPr>
        <w:tc>
          <w:tcPr>
            <w:tcW w:w="1759" w:type="pct"/>
            <w:tcBorders>
              <w:top w:val="nil"/>
              <w:left w:val="single" w:sz="4" w:space="0" w:color="auto"/>
              <w:bottom w:val="single" w:sz="4" w:space="0" w:color="auto"/>
              <w:right w:val="single" w:sz="4" w:space="0" w:color="auto"/>
            </w:tcBorders>
            <w:shd w:val="clear" w:color="000000" w:fill="666699"/>
            <w:vAlign w:val="center"/>
            <w:hideMark/>
          </w:tcPr>
          <w:p w:rsidR="00D4546B" w:rsidRPr="00D4546B" w:rsidRDefault="00D4546B" w:rsidP="00D4546B">
            <w:pPr>
              <w:jc w:val="both"/>
              <w:rPr>
                <w:rFonts w:ascii="Arial" w:eastAsia="Times New Roman" w:hAnsi="Arial" w:cs="Arial"/>
                <w:b/>
                <w:bCs/>
                <w:color w:val="FFFFFF"/>
                <w:sz w:val="18"/>
                <w:szCs w:val="18"/>
                <w:lang w:val="es-CO" w:eastAsia="es-CO"/>
              </w:rPr>
            </w:pPr>
            <w:r w:rsidRPr="00D4546B">
              <w:rPr>
                <w:rFonts w:ascii="Arial" w:eastAsia="Times New Roman" w:hAnsi="Arial" w:cs="Arial"/>
                <w:b/>
                <w:bCs/>
                <w:color w:val="FFFFFF"/>
                <w:sz w:val="18"/>
                <w:szCs w:val="18"/>
                <w:lang w:val="es-CO" w:eastAsia="es-CO"/>
              </w:rPr>
              <w:t xml:space="preserve"> INGRESOS TOTALES</w:t>
            </w:r>
            <w:r w:rsidR="008040A0">
              <w:rPr>
                <w:rFonts w:ascii="Arial" w:eastAsia="Times New Roman" w:hAnsi="Arial" w:cs="Arial"/>
                <w:b/>
                <w:bCs/>
                <w:color w:val="FFFFFF"/>
                <w:sz w:val="18"/>
                <w:szCs w:val="18"/>
                <w:lang w:val="es-CO" w:eastAsia="es-CO"/>
              </w:rPr>
              <w:t xml:space="preserve"> </w:t>
            </w:r>
          </w:p>
        </w:tc>
        <w:tc>
          <w:tcPr>
            <w:tcW w:w="1606" w:type="pct"/>
            <w:tcBorders>
              <w:top w:val="nil"/>
              <w:left w:val="nil"/>
              <w:bottom w:val="single" w:sz="4" w:space="0" w:color="auto"/>
              <w:right w:val="single" w:sz="4" w:space="0" w:color="auto"/>
            </w:tcBorders>
            <w:shd w:val="clear" w:color="000000" w:fill="666699"/>
            <w:vAlign w:val="center"/>
            <w:hideMark/>
          </w:tcPr>
          <w:p w:rsidR="00D4546B" w:rsidRPr="00D4546B" w:rsidRDefault="008040A0" w:rsidP="005D5DA0">
            <w:pPr>
              <w:jc w:val="right"/>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 xml:space="preserve"> </w:t>
            </w:r>
            <w:r w:rsidR="00D4546B" w:rsidRPr="00D4546B">
              <w:rPr>
                <w:rFonts w:ascii="Arial" w:eastAsia="Times New Roman" w:hAnsi="Arial" w:cs="Arial"/>
                <w:b/>
                <w:bCs/>
                <w:color w:val="FFFFFF"/>
                <w:sz w:val="18"/>
                <w:szCs w:val="18"/>
                <w:lang w:val="es-CO" w:eastAsia="es-CO"/>
              </w:rPr>
              <w:t xml:space="preserve">732.963 </w:t>
            </w:r>
          </w:p>
        </w:tc>
        <w:tc>
          <w:tcPr>
            <w:tcW w:w="1467" w:type="pct"/>
            <w:tcBorders>
              <w:top w:val="nil"/>
              <w:left w:val="nil"/>
              <w:bottom w:val="single" w:sz="4" w:space="0" w:color="auto"/>
              <w:right w:val="single" w:sz="4" w:space="0" w:color="auto"/>
            </w:tcBorders>
            <w:shd w:val="clear" w:color="000000" w:fill="666699"/>
            <w:vAlign w:val="center"/>
            <w:hideMark/>
          </w:tcPr>
          <w:p w:rsidR="00D4546B" w:rsidRPr="00D4546B" w:rsidRDefault="008040A0" w:rsidP="005D5DA0">
            <w:pPr>
              <w:jc w:val="right"/>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 xml:space="preserve"> </w:t>
            </w:r>
            <w:r w:rsidR="00D4546B" w:rsidRPr="00D4546B">
              <w:rPr>
                <w:rFonts w:ascii="Arial" w:eastAsia="Times New Roman" w:hAnsi="Arial" w:cs="Arial"/>
                <w:b/>
                <w:bCs/>
                <w:color w:val="FFFFFF"/>
                <w:sz w:val="18"/>
                <w:szCs w:val="18"/>
                <w:lang w:val="es-CO" w:eastAsia="es-CO"/>
              </w:rPr>
              <w:t xml:space="preserve">781.749 </w:t>
            </w:r>
          </w:p>
        </w:tc>
        <w:tc>
          <w:tcPr>
            <w:tcW w:w="169" w:type="pct"/>
            <w:tcBorders>
              <w:top w:val="nil"/>
              <w:left w:val="nil"/>
              <w:bottom w:val="nil"/>
              <w:right w:val="nil"/>
            </w:tcBorders>
            <w:shd w:val="clear" w:color="auto" w:fill="auto"/>
            <w:noWrap/>
            <w:vAlign w:val="bottom"/>
            <w:hideMark/>
          </w:tcPr>
          <w:p w:rsidR="00D4546B" w:rsidRPr="00D4546B" w:rsidRDefault="00D4546B" w:rsidP="00D4546B">
            <w:pPr>
              <w:jc w:val="center"/>
              <w:rPr>
                <w:rFonts w:ascii="Arial" w:eastAsia="Times New Roman" w:hAnsi="Arial" w:cs="Arial"/>
                <w:b/>
                <w:bCs/>
                <w:color w:val="FFFFFF"/>
                <w:sz w:val="18"/>
                <w:szCs w:val="18"/>
                <w:lang w:val="es-CO" w:eastAsia="es-CO"/>
              </w:rPr>
            </w:pPr>
          </w:p>
        </w:tc>
      </w:tr>
      <w:tr w:rsidR="00D4546B" w:rsidRPr="00D4546B" w:rsidTr="00D071CA">
        <w:trPr>
          <w:trHeight w:val="20"/>
        </w:trPr>
        <w:tc>
          <w:tcPr>
            <w:tcW w:w="1759" w:type="pct"/>
            <w:tcBorders>
              <w:top w:val="nil"/>
              <w:left w:val="nil"/>
              <w:bottom w:val="nil"/>
              <w:right w:val="nil"/>
            </w:tcBorders>
            <w:shd w:val="clear" w:color="auto" w:fill="auto"/>
            <w:noWrap/>
            <w:vAlign w:val="bottom"/>
            <w:hideMark/>
          </w:tcPr>
          <w:p w:rsidR="00D4546B" w:rsidRPr="00D4546B" w:rsidRDefault="00D4546B" w:rsidP="00D4546B">
            <w:pPr>
              <w:rPr>
                <w:rFonts w:eastAsia="Times New Roman"/>
                <w:sz w:val="18"/>
                <w:szCs w:val="18"/>
                <w:lang w:val="es-CO" w:eastAsia="es-CO"/>
              </w:rPr>
            </w:pPr>
          </w:p>
        </w:tc>
        <w:tc>
          <w:tcPr>
            <w:tcW w:w="1606" w:type="pct"/>
            <w:tcBorders>
              <w:top w:val="nil"/>
              <w:left w:val="nil"/>
              <w:bottom w:val="nil"/>
              <w:right w:val="nil"/>
            </w:tcBorders>
            <w:shd w:val="clear" w:color="auto" w:fill="auto"/>
            <w:noWrap/>
            <w:vAlign w:val="bottom"/>
            <w:hideMark/>
          </w:tcPr>
          <w:p w:rsidR="00D4546B" w:rsidRPr="00D4546B" w:rsidRDefault="00D4546B" w:rsidP="00D4546B">
            <w:pPr>
              <w:rPr>
                <w:rFonts w:eastAsia="Times New Roman"/>
                <w:sz w:val="18"/>
                <w:szCs w:val="18"/>
                <w:lang w:val="es-CO" w:eastAsia="es-CO"/>
              </w:rPr>
            </w:pPr>
          </w:p>
        </w:tc>
        <w:tc>
          <w:tcPr>
            <w:tcW w:w="1467" w:type="pct"/>
            <w:tcBorders>
              <w:top w:val="nil"/>
              <w:left w:val="nil"/>
              <w:bottom w:val="nil"/>
              <w:right w:val="nil"/>
            </w:tcBorders>
            <w:shd w:val="clear" w:color="auto" w:fill="auto"/>
            <w:noWrap/>
            <w:vAlign w:val="bottom"/>
            <w:hideMark/>
          </w:tcPr>
          <w:p w:rsidR="00D4546B" w:rsidRPr="00D4546B" w:rsidRDefault="00D4546B" w:rsidP="00D4546B">
            <w:pPr>
              <w:rPr>
                <w:rFonts w:eastAsia="Times New Roman"/>
                <w:sz w:val="18"/>
                <w:szCs w:val="18"/>
                <w:lang w:val="es-CO" w:eastAsia="es-CO"/>
              </w:rPr>
            </w:pPr>
          </w:p>
        </w:tc>
        <w:tc>
          <w:tcPr>
            <w:tcW w:w="169" w:type="pct"/>
            <w:tcBorders>
              <w:top w:val="nil"/>
              <w:left w:val="nil"/>
              <w:bottom w:val="nil"/>
              <w:right w:val="nil"/>
            </w:tcBorders>
            <w:shd w:val="clear" w:color="auto" w:fill="auto"/>
            <w:noWrap/>
            <w:vAlign w:val="bottom"/>
            <w:hideMark/>
          </w:tcPr>
          <w:p w:rsidR="00D4546B" w:rsidRPr="00D4546B" w:rsidRDefault="00D4546B" w:rsidP="00D4546B">
            <w:pPr>
              <w:rPr>
                <w:rFonts w:eastAsia="Times New Roman"/>
                <w:sz w:val="18"/>
                <w:szCs w:val="18"/>
                <w:lang w:val="es-CO" w:eastAsia="es-CO"/>
              </w:rPr>
            </w:pPr>
          </w:p>
        </w:tc>
      </w:tr>
    </w:tbl>
    <w:p w:rsidR="008040A0" w:rsidRPr="00D4546B" w:rsidRDefault="008040A0" w:rsidP="008040A0">
      <w:pPr>
        <w:jc w:val="center"/>
        <w:rPr>
          <w:rStyle w:val="nfasissutil"/>
          <w:rFonts w:cs="Arial"/>
          <w:i/>
        </w:rPr>
      </w:pPr>
      <w:r w:rsidRPr="00D4546B">
        <w:rPr>
          <w:rStyle w:val="nfasissutil"/>
          <w:rFonts w:cs="Arial"/>
          <w:i/>
        </w:rPr>
        <w:t xml:space="preserve">Fuente: </w:t>
      </w:r>
      <w:r>
        <w:rPr>
          <w:rStyle w:val="nfasissutil"/>
          <w:rFonts w:cs="Arial"/>
          <w:i/>
        </w:rPr>
        <w:t xml:space="preserve">Información reportada por la Entidad Territorial en la Categoría de Ingresos del FUT </w:t>
      </w:r>
      <w:r w:rsidRPr="00D4546B">
        <w:rPr>
          <w:rStyle w:val="nfasissutil"/>
          <w:rFonts w:cs="Arial"/>
          <w:i/>
        </w:rPr>
        <w:t>con corte a diciembre de 2.019</w:t>
      </w:r>
      <w:r>
        <w:rPr>
          <w:rStyle w:val="nfasissutil"/>
          <w:rFonts w:cs="Arial"/>
          <w:i/>
        </w:rPr>
        <w:t xml:space="preserve"> y a diciembre de 2020.</w:t>
      </w:r>
    </w:p>
    <w:p w:rsidR="00D4546B" w:rsidRPr="003C2A5D" w:rsidRDefault="00D4546B" w:rsidP="000A5BEA">
      <w:pPr>
        <w:jc w:val="both"/>
        <w:rPr>
          <w:rFonts w:ascii="Arial" w:hAnsi="Arial" w:cs="Arial"/>
          <w:bCs/>
          <w:sz w:val="22"/>
          <w:szCs w:val="22"/>
          <w:lang w:val="es-ES_tradnl"/>
        </w:rPr>
      </w:pPr>
    </w:p>
    <w:p w:rsidR="00D4546B" w:rsidRPr="003C2A5D" w:rsidRDefault="00D4546B" w:rsidP="00D4546B">
      <w:pPr>
        <w:jc w:val="both"/>
        <w:rPr>
          <w:rFonts w:ascii="Arial" w:hAnsi="Arial" w:cs="Arial"/>
          <w:bCs/>
          <w:sz w:val="22"/>
          <w:szCs w:val="22"/>
          <w:lang w:val="es-ES_tradnl"/>
        </w:rPr>
      </w:pPr>
    </w:p>
    <w:p w:rsidR="00D4546B" w:rsidRPr="003C2A5D" w:rsidRDefault="00D4546B" w:rsidP="00D4546B">
      <w:pPr>
        <w:jc w:val="both"/>
        <w:rPr>
          <w:rFonts w:ascii="Arial" w:hAnsi="Arial" w:cs="Arial"/>
          <w:bCs/>
          <w:sz w:val="22"/>
          <w:szCs w:val="22"/>
          <w:lang w:val="es-ES_tradnl"/>
        </w:rPr>
      </w:pPr>
    </w:p>
    <w:p w:rsidR="004662E4" w:rsidRPr="003C2A5D" w:rsidRDefault="00D071CA" w:rsidP="006204C3">
      <w:pPr>
        <w:pStyle w:val="Prrafodelista"/>
        <w:numPr>
          <w:ilvl w:val="0"/>
          <w:numId w:val="29"/>
        </w:numPr>
        <w:ind w:left="426" w:hanging="426"/>
        <w:jc w:val="both"/>
        <w:rPr>
          <w:rFonts w:ascii="Arial" w:hAnsi="Arial" w:cs="Arial"/>
          <w:bCs/>
          <w:strike/>
          <w:sz w:val="22"/>
          <w:szCs w:val="22"/>
          <w:lang w:val="es-ES_tradnl"/>
        </w:rPr>
      </w:pPr>
      <w:r w:rsidRPr="003C2A5D">
        <w:rPr>
          <w:rFonts w:ascii="Arial" w:hAnsi="Arial" w:cs="Arial"/>
          <w:bCs/>
          <w:sz w:val="22"/>
          <w:szCs w:val="22"/>
          <w:lang w:val="es-ES_tradnl"/>
        </w:rPr>
        <w:t>Para la vigencia 2019, l</w:t>
      </w:r>
      <w:r w:rsidR="004662E4" w:rsidRPr="003C2A5D">
        <w:rPr>
          <w:rFonts w:ascii="Arial" w:hAnsi="Arial" w:cs="Arial"/>
          <w:bCs/>
          <w:sz w:val="22"/>
          <w:szCs w:val="22"/>
          <w:lang w:val="es-ES_tradnl"/>
        </w:rPr>
        <w:t xml:space="preserve">a información de los ingresos corrientes correspondiente a la asignación de Población atendida con y sin situación de fondos presenta inconsistencias entre las ejecuciones </w:t>
      </w:r>
      <w:r w:rsidRPr="003C2A5D">
        <w:rPr>
          <w:rFonts w:ascii="Arial" w:hAnsi="Arial" w:cs="Arial"/>
          <w:bCs/>
          <w:sz w:val="22"/>
          <w:szCs w:val="22"/>
          <w:lang w:val="es-ES_tradnl"/>
        </w:rPr>
        <w:t xml:space="preserve">presupuestales </w:t>
      </w:r>
      <w:r w:rsidR="004662E4" w:rsidRPr="003C2A5D">
        <w:rPr>
          <w:rFonts w:ascii="Arial" w:hAnsi="Arial" w:cs="Arial"/>
          <w:bCs/>
          <w:sz w:val="22"/>
          <w:szCs w:val="22"/>
          <w:lang w:val="es-ES_tradnl"/>
        </w:rPr>
        <w:t>y el reporte FUT realizado por la entidad territorial</w:t>
      </w:r>
      <w:r w:rsidRPr="003C2A5D">
        <w:rPr>
          <w:rFonts w:ascii="Arial" w:hAnsi="Arial" w:cs="Arial"/>
          <w:bCs/>
          <w:sz w:val="22"/>
          <w:szCs w:val="22"/>
          <w:lang w:val="es-ES_tradnl"/>
        </w:rPr>
        <w:t>; mientras que l</w:t>
      </w:r>
      <w:r w:rsidR="004662E4" w:rsidRPr="003C2A5D">
        <w:rPr>
          <w:rFonts w:ascii="Arial" w:hAnsi="Arial" w:cs="Arial"/>
          <w:bCs/>
          <w:sz w:val="22"/>
          <w:szCs w:val="22"/>
          <w:lang w:val="es-ES_tradnl"/>
        </w:rPr>
        <w:t>a información relacionada con los ingresos de capital no presenta discrepancias entre las ejecuciones presupuestales y el reporte FUT.</w:t>
      </w:r>
      <w:r w:rsidR="004662E4" w:rsidRPr="003C2A5D">
        <w:rPr>
          <w:rFonts w:ascii="Arial" w:hAnsi="Arial" w:cs="Arial"/>
          <w:bCs/>
          <w:strike/>
          <w:sz w:val="22"/>
          <w:szCs w:val="22"/>
          <w:lang w:val="es-ES_tradnl"/>
        </w:rPr>
        <w:t xml:space="preserve"> </w:t>
      </w:r>
    </w:p>
    <w:p w:rsidR="004662E4" w:rsidRPr="003C2A5D" w:rsidRDefault="004662E4" w:rsidP="000A5BEA">
      <w:pPr>
        <w:jc w:val="both"/>
        <w:rPr>
          <w:rFonts w:ascii="Arial" w:hAnsi="Arial" w:cs="Arial"/>
          <w:bCs/>
          <w:sz w:val="22"/>
          <w:szCs w:val="22"/>
          <w:lang w:val="es-ES_tradnl"/>
        </w:rPr>
      </w:pPr>
    </w:p>
    <w:p w:rsidR="004662E4" w:rsidRPr="00AB6A00" w:rsidRDefault="004662E4" w:rsidP="000A5BEA">
      <w:pPr>
        <w:pStyle w:val="Prrafodelista"/>
        <w:numPr>
          <w:ilvl w:val="0"/>
          <w:numId w:val="10"/>
        </w:numPr>
        <w:jc w:val="both"/>
        <w:rPr>
          <w:rFonts w:ascii="Arial" w:hAnsi="Arial" w:cs="Arial"/>
          <w:i/>
          <w:sz w:val="22"/>
          <w:szCs w:val="22"/>
        </w:rPr>
      </w:pPr>
      <w:r w:rsidRPr="00AB6A00">
        <w:rPr>
          <w:rFonts w:ascii="Arial" w:hAnsi="Arial" w:cs="Arial"/>
          <w:i/>
          <w:sz w:val="22"/>
          <w:szCs w:val="22"/>
        </w:rPr>
        <w:t xml:space="preserve">Gastos: </w:t>
      </w:r>
    </w:p>
    <w:p w:rsidR="004662E4" w:rsidRDefault="004662E4" w:rsidP="000A5BEA">
      <w:pPr>
        <w:jc w:val="both"/>
        <w:rPr>
          <w:rFonts w:ascii="Arial" w:hAnsi="Arial" w:cs="Arial"/>
          <w:sz w:val="22"/>
          <w:szCs w:val="22"/>
        </w:rPr>
      </w:pPr>
    </w:p>
    <w:p w:rsidR="00BF557D" w:rsidRDefault="00BF557D" w:rsidP="00BF557D">
      <w:pPr>
        <w:jc w:val="both"/>
        <w:rPr>
          <w:rFonts w:ascii="Arial" w:eastAsia="Times New Roman" w:hAnsi="Arial" w:cs="Arial"/>
          <w:sz w:val="22"/>
          <w:szCs w:val="22"/>
          <w:lang w:val="es-CO"/>
        </w:rPr>
      </w:pPr>
      <w:r>
        <w:rPr>
          <w:rFonts w:ascii="Arial" w:eastAsia="Times New Roman" w:hAnsi="Arial" w:cs="Arial"/>
          <w:sz w:val="22"/>
          <w:szCs w:val="22"/>
          <w:lang w:val="es-CO"/>
        </w:rPr>
        <w:t>De conformidad con la información reportada por la Entidad Territorial en las Categorías de Gastos de Inversión y de Funcionamiento del FUT</w:t>
      </w:r>
      <w:r w:rsidRPr="00620B98">
        <w:rPr>
          <w:rFonts w:ascii="Arial" w:eastAsia="Times New Roman" w:hAnsi="Arial" w:cs="Arial"/>
          <w:sz w:val="22"/>
          <w:szCs w:val="22"/>
          <w:lang w:val="es-CO"/>
        </w:rPr>
        <w:t>, durante el año 20</w:t>
      </w:r>
      <w:r>
        <w:rPr>
          <w:rFonts w:ascii="Arial" w:eastAsia="Times New Roman" w:hAnsi="Arial" w:cs="Arial"/>
          <w:sz w:val="22"/>
          <w:szCs w:val="22"/>
          <w:lang w:val="es-CO"/>
        </w:rPr>
        <w:t>20</w:t>
      </w:r>
      <w:r w:rsidRPr="00620B98">
        <w:rPr>
          <w:rFonts w:ascii="Arial" w:eastAsia="Times New Roman" w:hAnsi="Arial" w:cs="Arial"/>
          <w:sz w:val="22"/>
          <w:szCs w:val="22"/>
          <w:lang w:val="es-CO"/>
        </w:rPr>
        <w:t xml:space="preserve"> se comprometieron $</w:t>
      </w:r>
      <w:r>
        <w:rPr>
          <w:rFonts w:ascii="Arial" w:eastAsia="Times New Roman" w:hAnsi="Arial" w:cs="Arial"/>
          <w:sz w:val="22"/>
          <w:szCs w:val="22"/>
          <w:lang w:val="es-CO"/>
        </w:rPr>
        <w:t xml:space="preserve">779.575 </w:t>
      </w:r>
      <w:r w:rsidRPr="00620B98">
        <w:rPr>
          <w:rFonts w:ascii="Arial" w:eastAsia="Times New Roman" w:hAnsi="Arial" w:cs="Arial"/>
          <w:sz w:val="22"/>
          <w:szCs w:val="22"/>
          <w:lang w:val="es-CO"/>
        </w:rPr>
        <w:t>millones con cargo a los recursos del SGP asignados al sector, de los cuales se obligaron $</w:t>
      </w:r>
      <w:r>
        <w:rPr>
          <w:rFonts w:ascii="Arial" w:eastAsia="Times New Roman" w:hAnsi="Arial" w:cs="Arial"/>
          <w:sz w:val="22"/>
          <w:szCs w:val="22"/>
          <w:lang w:val="es-CO"/>
        </w:rPr>
        <w:t xml:space="preserve">776.131 </w:t>
      </w:r>
      <w:r w:rsidRPr="00620B98">
        <w:rPr>
          <w:rFonts w:ascii="Arial" w:eastAsia="Times New Roman" w:hAnsi="Arial" w:cs="Arial"/>
          <w:sz w:val="22"/>
          <w:szCs w:val="22"/>
          <w:lang w:val="es-CO"/>
        </w:rPr>
        <w:t>millones y se pagaron $</w:t>
      </w:r>
      <w:r>
        <w:rPr>
          <w:rFonts w:ascii="Arial" w:eastAsia="Times New Roman" w:hAnsi="Arial" w:cs="Arial"/>
          <w:sz w:val="22"/>
          <w:szCs w:val="22"/>
          <w:lang w:val="es-CO"/>
        </w:rPr>
        <w:t xml:space="preserve">772.171 </w:t>
      </w:r>
      <w:r w:rsidRPr="00620B98">
        <w:rPr>
          <w:rFonts w:ascii="Arial" w:eastAsia="Times New Roman" w:hAnsi="Arial" w:cs="Arial"/>
          <w:sz w:val="22"/>
          <w:szCs w:val="22"/>
          <w:lang w:val="es-CO"/>
        </w:rPr>
        <w:t xml:space="preserve">millones. Los gastos financiados con recursos del SGP de la vigencia y las anteriores se comprometieron de la siguiente manera: </w:t>
      </w:r>
      <w:r w:rsidR="006204C3">
        <w:rPr>
          <w:rFonts w:ascii="Arial" w:eastAsia="Times New Roman" w:hAnsi="Arial" w:cs="Arial"/>
          <w:sz w:val="22"/>
          <w:szCs w:val="22"/>
          <w:lang w:val="es-CO"/>
        </w:rPr>
        <w:t xml:space="preserve">95.83% </w:t>
      </w:r>
      <w:r w:rsidRPr="00620B98">
        <w:rPr>
          <w:rFonts w:ascii="Arial" w:eastAsia="Times New Roman" w:hAnsi="Arial" w:cs="Arial"/>
          <w:sz w:val="22"/>
          <w:szCs w:val="22"/>
          <w:lang w:val="es-CO"/>
        </w:rPr>
        <w:t xml:space="preserve">en cobertura, </w:t>
      </w:r>
      <w:r w:rsidR="006204C3">
        <w:rPr>
          <w:rFonts w:ascii="Arial" w:eastAsia="Times New Roman" w:hAnsi="Arial" w:cs="Arial"/>
          <w:sz w:val="22"/>
          <w:szCs w:val="22"/>
          <w:lang w:val="es-CO"/>
        </w:rPr>
        <w:t xml:space="preserve">.52% </w:t>
      </w:r>
      <w:r w:rsidRPr="00620B98">
        <w:rPr>
          <w:rFonts w:ascii="Arial" w:eastAsia="Times New Roman" w:hAnsi="Arial" w:cs="Arial"/>
          <w:sz w:val="22"/>
          <w:szCs w:val="22"/>
          <w:lang w:val="es-CO"/>
        </w:rPr>
        <w:t xml:space="preserve">en calidad, </w:t>
      </w:r>
      <w:r w:rsidR="006204C3">
        <w:rPr>
          <w:rFonts w:ascii="Arial" w:eastAsia="Times New Roman" w:hAnsi="Arial" w:cs="Arial"/>
          <w:sz w:val="22"/>
          <w:szCs w:val="22"/>
          <w:lang w:val="es-CO"/>
        </w:rPr>
        <w:t>0.32%</w:t>
      </w:r>
      <w:r w:rsidRPr="00620B98">
        <w:rPr>
          <w:rFonts w:ascii="Arial" w:eastAsia="Times New Roman" w:hAnsi="Arial" w:cs="Arial"/>
          <w:sz w:val="22"/>
          <w:szCs w:val="22"/>
          <w:lang w:val="es-CO"/>
        </w:rPr>
        <w:t xml:space="preserve"> en eficiencia</w:t>
      </w:r>
      <w:r w:rsidR="006204C3">
        <w:rPr>
          <w:rFonts w:ascii="Arial" w:eastAsia="Times New Roman" w:hAnsi="Arial" w:cs="Arial"/>
          <w:sz w:val="22"/>
          <w:szCs w:val="22"/>
          <w:lang w:val="es-CO"/>
        </w:rPr>
        <w:t xml:space="preserve">, 3.30% en el pago de déficit en educación </w:t>
      </w:r>
      <w:r w:rsidRPr="00620B98">
        <w:rPr>
          <w:rFonts w:ascii="Arial" w:eastAsia="Times New Roman" w:hAnsi="Arial" w:cs="Arial"/>
          <w:sz w:val="22"/>
          <w:szCs w:val="22"/>
          <w:lang w:val="es-CO"/>
        </w:rPr>
        <w:t xml:space="preserve">y </w:t>
      </w:r>
      <w:r w:rsidR="006204C3">
        <w:rPr>
          <w:rFonts w:ascii="Arial" w:eastAsia="Times New Roman" w:hAnsi="Arial" w:cs="Arial"/>
          <w:sz w:val="22"/>
          <w:szCs w:val="22"/>
          <w:lang w:val="es-CO"/>
        </w:rPr>
        <w:t xml:space="preserve">0.03% </w:t>
      </w:r>
      <w:r w:rsidRPr="00620B98">
        <w:rPr>
          <w:rFonts w:ascii="Arial" w:eastAsia="Times New Roman" w:hAnsi="Arial" w:cs="Arial"/>
          <w:sz w:val="22"/>
          <w:szCs w:val="22"/>
          <w:lang w:val="es-CO"/>
        </w:rPr>
        <w:t>en N</w:t>
      </w:r>
      <w:r>
        <w:rPr>
          <w:rFonts w:ascii="Arial" w:eastAsia="Times New Roman" w:hAnsi="Arial" w:cs="Arial"/>
          <w:sz w:val="22"/>
          <w:szCs w:val="22"/>
          <w:lang w:val="es-CO"/>
        </w:rPr>
        <w:t>ecesidades Educativas Especiales</w:t>
      </w:r>
      <w:r w:rsidRPr="00620B98">
        <w:rPr>
          <w:rFonts w:ascii="Arial" w:eastAsia="Times New Roman" w:hAnsi="Arial" w:cs="Arial"/>
          <w:sz w:val="22"/>
          <w:szCs w:val="22"/>
          <w:lang w:val="es-CO"/>
        </w:rPr>
        <w:t>.</w:t>
      </w:r>
    </w:p>
    <w:p w:rsidR="00BF557D" w:rsidRDefault="00BF557D" w:rsidP="000A5BEA">
      <w:pPr>
        <w:jc w:val="both"/>
        <w:rPr>
          <w:rFonts w:ascii="Arial" w:hAnsi="Arial" w:cs="Arial"/>
          <w:sz w:val="22"/>
          <w:szCs w:val="22"/>
        </w:rPr>
      </w:pPr>
    </w:p>
    <w:tbl>
      <w:tblPr>
        <w:tblW w:w="5000" w:type="pct"/>
        <w:tblCellMar>
          <w:left w:w="70" w:type="dxa"/>
          <w:right w:w="70" w:type="dxa"/>
        </w:tblCellMar>
        <w:tblLook w:val="04A0" w:firstRow="1" w:lastRow="0" w:firstColumn="1" w:lastColumn="0" w:noHBand="0" w:noVBand="1"/>
      </w:tblPr>
      <w:tblGrid>
        <w:gridCol w:w="6630"/>
        <w:gridCol w:w="1148"/>
        <w:gridCol w:w="719"/>
        <w:gridCol w:w="336"/>
      </w:tblGrid>
      <w:tr w:rsidR="006204C3" w:rsidRPr="006204C3" w:rsidTr="006204C3">
        <w:trPr>
          <w:trHeight w:val="20"/>
        </w:trPr>
        <w:tc>
          <w:tcPr>
            <w:tcW w:w="4810" w:type="pct"/>
            <w:gridSpan w:val="3"/>
            <w:tcBorders>
              <w:top w:val="single" w:sz="4" w:space="0" w:color="auto"/>
              <w:left w:val="single" w:sz="4" w:space="0" w:color="auto"/>
              <w:bottom w:val="single" w:sz="4" w:space="0" w:color="auto"/>
              <w:right w:val="single" w:sz="4" w:space="0" w:color="auto"/>
            </w:tcBorders>
            <w:shd w:val="clear" w:color="000000" w:fill="666699"/>
            <w:vAlign w:val="center"/>
            <w:hideMark/>
          </w:tcPr>
          <w:p w:rsidR="006204C3" w:rsidRPr="006204C3" w:rsidRDefault="006204C3" w:rsidP="006204C3">
            <w:pPr>
              <w:jc w:val="center"/>
              <w:rPr>
                <w:rFonts w:ascii="Arial" w:eastAsia="Times New Roman" w:hAnsi="Arial" w:cs="Arial"/>
                <w:b/>
                <w:bCs/>
                <w:color w:val="FFFFFF"/>
                <w:sz w:val="16"/>
                <w:szCs w:val="16"/>
                <w:lang w:val="es-CO" w:eastAsia="es-CO"/>
              </w:rPr>
            </w:pPr>
            <w:r w:rsidRPr="006204C3">
              <w:rPr>
                <w:rFonts w:ascii="Arial" w:eastAsia="Times New Roman" w:hAnsi="Arial" w:cs="Arial"/>
                <w:b/>
                <w:bCs/>
                <w:color w:val="FFFFFF"/>
                <w:sz w:val="16"/>
                <w:szCs w:val="16"/>
                <w:lang w:val="es-CO" w:eastAsia="es-CO"/>
              </w:rPr>
              <w:t xml:space="preserve">TABLA 2. GASTOS DE LA ENTIDAD TERRITORIAL </w:t>
            </w:r>
            <w:r w:rsidR="00F018CE">
              <w:rPr>
                <w:rFonts w:ascii="Arial" w:eastAsia="Times New Roman" w:hAnsi="Arial" w:cs="Arial"/>
                <w:b/>
                <w:bCs/>
                <w:color w:val="FFFFFF"/>
                <w:sz w:val="16"/>
                <w:szCs w:val="16"/>
                <w:lang w:val="es-CO" w:eastAsia="es-CO"/>
              </w:rPr>
              <w:t xml:space="preserve">2019 y 2020 </w:t>
            </w:r>
            <w:r w:rsidRPr="006204C3">
              <w:rPr>
                <w:rFonts w:ascii="Arial" w:eastAsia="Times New Roman" w:hAnsi="Arial" w:cs="Arial"/>
                <w:b/>
                <w:bCs/>
                <w:color w:val="FFFFFF"/>
                <w:sz w:val="16"/>
                <w:szCs w:val="16"/>
                <w:lang w:val="es-CO" w:eastAsia="es-CO"/>
              </w:rPr>
              <w:t>(MILLONES</w:t>
            </w:r>
            <w:r>
              <w:rPr>
                <w:rFonts w:ascii="Arial" w:eastAsia="Times New Roman" w:hAnsi="Arial" w:cs="Arial"/>
                <w:b/>
                <w:bCs/>
                <w:color w:val="FFFFFF"/>
                <w:sz w:val="16"/>
                <w:szCs w:val="16"/>
                <w:lang w:val="es-CO" w:eastAsia="es-CO"/>
              </w:rPr>
              <w:t xml:space="preserve"> </w:t>
            </w:r>
            <w:r w:rsidRPr="006204C3">
              <w:rPr>
                <w:rFonts w:ascii="Arial" w:eastAsia="Times New Roman" w:hAnsi="Arial" w:cs="Arial"/>
                <w:b/>
                <w:bCs/>
                <w:color w:val="FFFFFF"/>
                <w:sz w:val="16"/>
                <w:szCs w:val="16"/>
                <w:lang w:val="es-CO" w:eastAsia="es-CO"/>
              </w:rPr>
              <w:t>DE $)</w:t>
            </w:r>
            <w:r w:rsidRPr="006204C3">
              <w:rPr>
                <w:rFonts w:ascii="Arial" w:eastAsia="Times New Roman" w:hAnsi="Arial" w:cs="Arial"/>
                <w:color w:val="FFFFFF"/>
                <w:sz w:val="16"/>
                <w:szCs w:val="16"/>
                <w:lang w:val="es-CO" w:eastAsia="es-CO"/>
              </w:rPr>
              <w:t> </w:t>
            </w:r>
          </w:p>
        </w:tc>
        <w:tc>
          <w:tcPr>
            <w:tcW w:w="190" w:type="pct"/>
            <w:tcBorders>
              <w:top w:val="nil"/>
              <w:left w:val="nil"/>
              <w:bottom w:val="nil"/>
              <w:right w:val="nil"/>
            </w:tcBorders>
            <w:shd w:val="clear" w:color="auto" w:fill="auto"/>
            <w:noWrap/>
            <w:vAlign w:val="bottom"/>
            <w:hideMark/>
          </w:tcPr>
          <w:p w:rsidR="006204C3" w:rsidRPr="006204C3" w:rsidRDefault="006204C3" w:rsidP="006204C3">
            <w:pPr>
              <w:jc w:val="center"/>
              <w:rPr>
                <w:rFonts w:ascii="Arial" w:eastAsia="Times New Roman" w:hAnsi="Arial" w:cs="Arial"/>
                <w:b/>
                <w:bCs/>
                <w:color w:val="FFFFFF"/>
                <w:sz w:val="16"/>
                <w:szCs w:val="16"/>
                <w:lang w:val="es-CO" w:eastAsia="es-CO"/>
              </w:rPr>
            </w:pPr>
          </w:p>
        </w:tc>
      </w:tr>
      <w:tr w:rsidR="006204C3" w:rsidRPr="006204C3" w:rsidTr="006204C3">
        <w:trPr>
          <w:trHeight w:val="20"/>
        </w:trPr>
        <w:tc>
          <w:tcPr>
            <w:tcW w:w="3753" w:type="pct"/>
            <w:tcBorders>
              <w:top w:val="nil"/>
              <w:left w:val="single" w:sz="4" w:space="0" w:color="auto"/>
              <w:bottom w:val="single" w:sz="4" w:space="0" w:color="auto"/>
              <w:right w:val="single" w:sz="4" w:space="0" w:color="auto"/>
            </w:tcBorders>
            <w:shd w:val="clear" w:color="000000" w:fill="CCCCFF"/>
            <w:vAlign w:val="center"/>
            <w:hideMark/>
          </w:tcPr>
          <w:p w:rsidR="006204C3" w:rsidRPr="006204C3" w:rsidRDefault="006204C3" w:rsidP="006204C3">
            <w:pPr>
              <w:jc w:val="center"/>
              <w:rPr>
                <w:rFonts w:ascii="Arial" w:eastAsia="Times New Roman" w:hAnsi="Arial" w:cs="Arial"/>
                <w:b/>
                <w:bCs/>
                <w:color w:val="000000"/>
                <w:sz w:val="16"/>
                <w:szCs w:val="16"/>
                <w:lang w:val="es-CO" w:eastAsia="es-CO"/>
              </w:rPr>
            </w:pPr>
            <w:r w:rsidRPr="006204C3">
              <w:rPr>
                <w:rFonts w:ascii="Arial" w:eastAsia="Times New Roman" w:hAnsi="Arial" w:cs="Arial"/>
                <w:b/>
                <w:bCs/>
                <w:color w:val="000000"/>
                <w:sz w:val="16"/>
                <w:szCs w:val="16"/>
                <w:lang w:val="es-CO" w:eastAsia="es-CO"/>
              </w:rPr>
              <w:t>RUBRO</w:t>
            </w:r>
            <w:r w:rsidRPr="006204C3">
              <w:rPr>
                <w:rFonts w:ascii="Arial" w:eastAsia="Times New Roman" w:hAnsi="Arial" w:cs="Arial"/>
                <w:color w:val="000000"/>
                <w:sz w:val="16"/>
                <w:szCs w:val="16"/>
                <w:lang w:val="es-CO" w:eastAsia="es-CO"/>
              </w:rPr>
              <w:t> </w:t>
            </w:r>
          </w:p>
        </w:tc>
        <w:tc>
          <w:tcPr>
            <w:tcW w:w="650" w:type="pct"/>
            <w:tcBorders>
              <w:top w:val="nil"/>
              <w:left w:val="nil"/>
              <w:bottom w:val="single" w:sz="4" w:space="0" w:color="auto"/>
              <w:right w:val="single" w:sz="4" w:space="0" w:color="auto"/>
            </w:tcBorders>
            <w:shd w:val="clear" w:color="000000" w:fill="CCCCFF"/>
            <w:vAlign w:val="center"/>
            <w:hideMark/>
          </w:tcPr>
          <w:p w:rsidR="006204C3" w:rsidRPr="006204C3" w:rsidRDefault="006204C3" w:rsidP="006204C3">
            <w:pPr>
              <w:jc w:val="center"/>
              <w:rPr>
                <w:rFonts w:ascii="Arial" w:eastAsia="Times New Roman" w:hAnsi="Arial" w:cs="Arial"/>
                <w:b/>
                <w:bCs/>
                <w:color w:val="000000"/>
                <w:sz w:val="16"/>
                <w:szCs w:val="16"/>
                <w:lang w:val="es-CO" w:eastAsia="es-CO"/>
              </w:rPr>
            </w:pPr>
            <w:r w:rsidRPr="006204C3">
              <w:rPr>
                <w:rFonts w:ascii="Arial" w:eastAsia="Times New Roman" w:hAnsi="Arial" w:cs="Arial"/>
                <w:b/>
                <w:bCs/>
                <w:color w:val="000000"/>
                <w:sz w:val="16"/>
                <w:szCs w:val="16"/>
                <w:lang w:val="es-CO" w:eastAsia="es-CO"/>
              </w:rPr>
              <w:t>2019</w:t>
            </w:r>
          </w:p>
        </w:tc>
        <w:tc>
          <w:tcPr>
            <w:tcW w:w="407" w:type="pct"/>
            <w:tcBorders>
              <w:top w:val="nil"/>
              <w:left w:val="nil"/>
              <w:bottom w:val="single" w:sz="4" w:space="0" w:color="auto"/>
              <w:right w:val="single" w:sz="4" w:space="0" w:color="auto"/>
            </w:tcBorders>
            <w:shd w:val="clear" w:color="000000" w:fill="CCCCFF"/>
            <w:vAlign w:val="center"/>
            <w:hideMark/>
          </w:tcPr>
          <w:p w:rsidR="006204C3" w:rsidRPr="006204C3" w:rsidRDefault="006204C3" w:rsidP="006204C3">
            <w:pPr>
              <w:jc w:val="center"/>
              <w:rPr>
                <w:rFonts w:ascii="Arial" w:eastAsia="Times New Roman" w:hAnsi="Arial" w:cs="Arial"/>
                <w:b/>
                <w:bCs/>
                <w:color w:val="000000"/>
                <w:sz w:val="16"/>
                <w:szCs w:val="16"/>
                <w:lang w:val="es-CO" w:eastAsia="es-CO"/>
              </w:rPr>
            </w:pPr>
            <w:r w:rsidRPr="006204C3">
              <w:rPr>
                <w:rFonts w:ascii="Arial" w:eastAsia="Times New Roman" w:hAnsi="Arial" w:cs="Arial"/>
                <w:b/>
                <w:bCs/>
                <w:color w:val="000000"/>
                <w:sz w:val="16"/>
                <w:szCs w:val="16"/>
                <w:lang w:val="es-CO" w:eastAsia="es-CO"/>
              </w:rPr>
              <w:t>2020</w:t>
            </w:r>
          </w:p>
        </w:tc>
        <w:tc>
          <w:tcPr>
            <w:tcW w:w="190" w:type="pct"/>
            <w:tcBorders>
              <w:top w:val="nil"/>
              <w:left w:val="nil"/>
              <w:bottom w:val="nil"/>
              <w:right w:val="nil"/>
            </w:tcBorders>
            <w:shd w:val="clear" w:color="auto" w:fill="auto"/>
            <w:noWrap/>
            <w:vAlign w:val="bottom"/>
            <w:hideMark/>
          </w:tcPr>
          <w:p w:rsidR="006204C3" w:rsidRPr="006204C3" w:rsidRDefault="006204C3" w:rsidP="006204C3">
            <w:pPr>
              <w:jc w:val="center"/>
              <w:rPr>
                <w:rFonts w:ascii="Arial" w:eastAsia="Times New Roman" w:hAnsi="Arial" w:cs="Arial"/>
                <w:b/>
                <w:bCs/>
                <w:color w:val="000000"/>
                <w:sz w:val="16"/>
                <w:szCs w:val="16"/>
                <w:lang w:val="es-CO" w:eastAsia="es-CO"/>
              </w:rPr>
            </w:pPr>
          </w:p>
        </w:tc>
      </w:tr>
      <w:tr w:rsidR="006204C3" w:rsidRPr="006204C3" w:rsidTr="006204C3">
        <w:trPr>
          <w:trHeight w:val="20"/>
        </w:trPr>
        <w:tc>
          <w:tcPr>
            <w:tcW w:w="3753" w:type="pct"/>
            <w:tcBorders>
              <w:top w:val="nil"/>
              <w:left w:val="single" w:sz="4" w:space="0" w:color="auto"/>
              <w:bottom w:val="single" w:sz="4" w:space="0" w:color="auto"/>
              <w:right w:val="single" w:sz="4" w:space="0" w:color="auto"/>
            </w:tcBorders>
            <w:shd w:val="clear" w:color="000000" w:fill="666699"/>
            <w:vAlign w:val="center"/>
            <w:hideMark/>
          </w:tcPr>
          <w:p w:rsidR="006204C3" w:rsidRPr="006204C3" w:rsidRDefault="006204C3" w:rsidP="006204C3">
            <w:pPr>
              <w:rPr>
                <w:rFonts w:ascii="Arial" w:eastAsia="Times New Roman" w:hAnsi="Arial" w:cs="Arial"/>
                <w:b/>
                <w:bCs/>
                <w:color w:val="FFFFFF"/>
                <w:sz w:val="16"/>
                <w:szCs w:val="16"/>
                <w:lang w:val="es-CO" w:eastAsia="es-CO"/>
              </w:rPr>
            </w:pPr>
            <w:r w:rsidRPr="006204C3">
              <w:rPr>
                <w:rFonts w:ascii="Arial" w:eastAsia="Times New Roman" w:hAnsi="Arial" w:cs="Arial"/>
                <w:b/>
                <w:bCs/>
                <w:color w:val="FFFFFF"/>
                <w:sz w:val="16"/>
                <w:szCs w:val="16"/>
                <w:lang w:val="es-CO" w:eastAsia="es-CO"/>
              </w:rPr>
              <w:t>COMPROMISOS SGP – Educación</w:t>
            </w:r>
            <w:r w:rsidRPr="006204C3">
              <w:rPr>
                <w:rFonts w:ascii="Arial" w:eastAsia="Times New Roman" w:hAnsi="Arial" w:cs="Arial"/>
                <w:color w:val="FFFFFF"/>
                <w:sz w:val="16"/>
                <w:szCs w:val="16"/>
                <w:lang w:val="es-CO" w:eastAsia="es-CO"/>
              </w:rPr>
              <w:t> </w:t>
            </w:r>
          </w:p>
        </w:tc>
        <w:tc>
          <w:tcPr>
            <w:tcW w:w="650" w:type="pct"/>
            <w:tcBorders>
              <w:top w:val="nil"/>
              <w:left w:val="nil"/>
              <w:bottom w:val="single" w:sz="4" w:space="0" w:color="auto"/>
              <w:right w:val="single" w:sz="4" w:space="0" w:color="auto"/>
            </w:tcBorders>
            <w:shd w:val="clear" w:color="000000" w:fill="666699"/>
            <w:vAlign w:val="center"/>
            <w:hideMark/>
          </w:tcPr>
          <w:p w:rsidR="006204C3" w:rsidRPr="006204C3" w:rsidRDefault="006204C3" w:rsidP="006204C3">
            <w:pPr>
              <w:jc w:val="right"/>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 xml:space="preserve"> </w:t>
            </w:r>
            <w:r w:rsidRPr="006204C3">
              <w:rPr>
                <w:rFonts w:ascii="Arial" w:eastAsia="Times New Roman" w:hAnsi="Arial" w:cs="Arial"/>
                <w:b/>
                <w:bCs/>
                <w:color w:val="FFFFFF"/>
                <w:sz w:val="16"/>
                <w:szCs w:val="16"/>
                <w:lang w:val="es-CO" w:eastAsia="es-CO"/>
              </w:rPr>
              <w:t xml:space="preserve">732.641 </w:t>
            </w:r>
          </w:p>
        </w:tc>
        <w:tc>
          <w:tcPr>
            <w:tcW w:w="407" w:type="pct"/>
            <w:tcBorders>
              <w:top w:val="nil"/>
              <w:left w:val="nil"/>
              <w:bottom w:val="single" w:sz="4" w:space="0" w:color="auto"/>
              <w:right w:val="single" w:sz="4" w:space="0" w:color="auto"/>
            </w:tcBorders>
            <w:shd w:val="clear" w:color="000000" w:fill="666699"/>
            <w:vAlign w:val="center"/>
            <w:hideMark/>
          </w:tcPr>
          <w:p w:rsidR="006204C3" w:rsidRPr="006204C3" w:rsidRDefault="006204C3" w:rsidP="006204C3">
            <w:pPr>
              <w:jc w:val="right"/>
              <w:rPr>
                <w:rFonts w:ascii="Arial" w:eastAsia="Times New Roman" w:hAnsi="Arial" w:cs="Arial"/>
                <w:b/>
                <w:bCs/>
                <w:color w:val="FFFFFF"/>
                <w:sz w:val="16"/>
                <w:szCs w:val="16"/>
                <w:lang w:val="es-CO" w:eastAsia="es-CO"/>
              </w:rPr>
            </w:pPr>
            <w:r w:rsidRPr="006204C3">
              <w:rPr>
                <w:rFonts w:ascii="Arial" w:eastAsia="Times New Roman" w:hAnsi="Arial" w:cs="Arial"/>
                <w:b/>
                <w:bCs/>
                <w:color w:val="FFFFFF"/>
                <w:sz w:val="16"/>
                <w:szCs w:val="16"/>
                <w:lang w:val="es-CO" w:eastAsia="es-CO"/>
              </w:rPr>
              <w:t xml:space="preserve">779.575 </w:t>
            </w:r>
          </w:p>
        </w:tc>
        <w:tc>
          <w:tcPr>
            <w:tcW w:w="190" w:type="pct"/>
            <w:tcBorders>
              <w:top w:val="nil"/>
              <w:left w:val="nil"/>
              <w:bottom w:val="nil"/>
              <w:right w:val="nil"/>
            </w:tcBorders>
            <w:shd w:val="clear" w:color="auto" w:fill="auto"/>
            <w:noWrap/>
            <w:vAlign w:val="bottom"/>
            <w:hideMark/>
          </w:tcPr>
          <w:p w:rsidR="006204C3" w:rsidRPr="006204C3" w:rsidRDefault="006204C3" w:rsidP="006204C3">
            <w:pPr>
              <w:rPr>
                <w:rFonts w:ascii="Arial" w:eastAsia="Times New Roman" w:hAnsi="Arial" w:cs="Arial"/>
                <w:b/>
                <w:bCs/>
                <w:color w:val="FFFFFF"/>
                <w:sz w:val="16"/>
                <w:szCs w:val="16"/>
                <w:lang w:val="es-CO" w:eastAsia="es-CO"/>
              </w:rPr>
            </w:pPr>
          </w:p>
        </w:tc>
      </w:tr>
      <w:tr w:rsidR="006204C3" w:rsidRPr="006204C3" w:rsidTr="006204C3">
        <w:trPr>
          <w:trHeight w:val="20"/>
        </w:trPr>
        <w:tc>
          <w:tcPr>
            <w:tcW w:w="3753" w:type="pct"/>
            <w:tcBorders>
              <w:top w:val="nil"/>
              <w:left w:val="single" w:sz="4" w:space="0" w:color="auto"/>
              <w:bottom w:val="single" w:sz="4" w:space="0" w:color="auto"/>
              <w:right w:val="single" w:sz="4" w:space="0" w:color="auto"/>
            </w:tcBorders>
            <w:shd w:val="clear" w:color="000000" w:fill="CCCCFF"/>
            <w:vAlign w:val="center"/>
            <w:hideMark/>
          </w:tcPr>
          <w:p w:rsidR="006204C3" w:rsidRPr="006204C3" w:rsidRDefault="006204C3" w:rsidP="006204C3">
            <w:pPr>
              <w:rPr>
                <w:rFonts w:ascii="Arial" w:eastAsia="Times New Roman" w:hAnsi="Arial" w:cs="Arial"/>
                <w:b/>
                <w:bCs/>
                <w:color w:val="000000"/>
                <w:sz w:val="16"/>
                <w:szCs w:val="16"/>
                <w:lang w:val="es-CO" w:eastAsia="es-CO"/>
              </w:rPr>
            </w:pPr>
            <w:r w:rsidRPr="006204C3">
              <w:rPr>
                <w:rFonts w:ascii="Arial" w:eastAsia="Times New Roman" w:hAnsi="Arial" w:cs="Arial"/>
                <w:b/>
                <w:bCs/>
                <w:color w:val="000000"/>
                <w:sz w:val="16"/>
                <w:szCs w:val="16"/>
                <w:lang w:val="es-CO" w:eastAsia="es-CO"/>
              </w:rPr>
              <w:t>COBERTURA</w:t>
            </w:r>
            <w:r w:rsidRPr="006204C3">
              <w:rPr>
                <w:rFonts w:ascii="Arial" w:eastAsia="Times New Roman" w:hAnsi="Arial" w:cs="Arial"/>
                <w:color w:val="000000"/>
                <w:sz w:val="16"/>
                <w:szCs w:val="16"/>
                <w:lang w:val="es-CO" w:eastAsia="es-CO"/>
              </w:rPr>
              <w:t> </w:t>
            </w:r>
          </w:p>
        </w:tc>
        <w:tc>
          <w:tcPr>
            <w:tcW w:w="650" w:type="pct"/>
            <w:tcBorders>
              <w:top w:val="nil"/>
              <w:left w:val="nil"/>
              <w:bottom w:val="single" w:sz="4" w:space="0" w:color="auto"/>
              <w:right w:val="single" w:sz="4" w:space="0" w:color="auto"/>
            </w:tcBorders>
            <w:shd w:val="clear" w:color="000000" w:fill="CCCCFF"/>
            <w:vAlign w:val="center"/>
            <w:hideMark/>
          </w:tcPr>
          <w:p w:rsidR="006204C3" w:rsidRPr="006204C3" w:rsidRDefault="006204C3" w:rsidP="006204C3">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xml:space="preserve"> </w:t>
            </w:r>
            <w:r w:rsidRPr="006204C3">
              <w:rPr>
                <w:rFonts w:ascii="Arial" w:eastAsia="Times New Roman" w:hAnsi="Arial" w:cs="Arial"/>
                <w:b/>
                <w:bCs/>
                <w:color w:val="000000"/>
                <w:sz w:val="16"/>
                <w:szCs w:val="16"/>
                <w:lang w:val="es-CO" w:eastAsia="es-CO"/>
              </w:rPr>
              <w:t xml:space="preserve">683.096 </w:t>
            </w:r>
          </w:p>
        </w:tc>
        <w:tc>
          <w:tcPr>
            <w:tcW w:w="407" w:type="pct"/>
            <w:tcBorders>
              <w:top w:val="nil"/>
              <w:left w:val="nil"/>
              <w:bottom w:val="single" w:sz="4" w:space="0" w:color="auto"/>
              <w:right w:val="single" w:sz="4" w:space="0" w:color="auto"/>
            </w:tcBorders>
            <w:shd w:val="clear" w:color="000000" w:fill="CCCCFF"/>
            <w:vAlign w:val="center"/>
            <w:hideMark/>
          </w:tcPr>
          <w:p w:rsidR="006204C3" w:rsidRPr="006204C3" w:rsidRDefault="006204C3" w:rsidP="006204C3">
            <w:pPr>
              <w:jc w:val="right"/>
              <w:rPr>
                <w:rFonts w:ascii="Arial" w:eastAsia="Times New Roman" w:hAnsi="Arial" w:cs="Arial"/>
                <w:b/>
                <w:bCs/>
                <w:color w:val="000000"/>
                <w:sz w:val="16"/>
                <w:szCs w:val="16"/>
                <w:lang w:val="es-CO" w:eastAsia="es-CO"/>
              </w:rPr>
            </w:pPr>
            <w:r w:rsidRPr="006204C3">
              <w:rPr>
                <w:rFonts w:ascii="Arial" w:eastAsia="Times New Roman" w:hAnsi="Arial" w:cs="Arial"/>
                <w:b/>
                <w:bCs/>
                <w:color w:val="000000"/>
                <w:sz w:val="16"/>
                <w:szCs w:val="16"/>
                <w:lang w:val="es-CO" w:eastAsia="es-CO"/>
              </w:rPr>
              <w:t xml:space="preserve">747.078 </w:t>
            </w:r>
          </w:p>
        </w:tc>
        <w:tc>
          <w:tcPr>
            <w:tcW w:w="190" w:type="pct"/>
            <w:tcBorders>
              <w:top w:val="nil"/>
              <w:left w:val="nil"/>
              <w:bottom w:val="nil"/>
              <w:right w:val="nil"/>
            </w:tcBorders>
            <w:shd w:val="clear" w:color="auto" w:fill="auto"/>
            <w:noWrap/>
            <w:vAlign w:val="bottom"/>
            <w:hideMark/>
          </w:tcPr>
          <w:p w:rsidR="006204C3" w:rsidRPr="006204C3" w:rsidRDefault="006204C3" w:rsidP="006204C3">
            <w:pPr>
              <w:rPr>
                <w:rFonts w:ascii="Arial" w:eastAsia="Times New Roman" w:hAnsi="Arial" w:cs="Arial"/>
                <w:b/>
                <w:bCs/>
                <w:color w:val="000000"/>
                <w:sz w:val="16"/>
                <w:szCs w:val="16"/>
                <w:lang w:val="es-CO" w:eastAsia="es-CO"/>
              </w:rPr>
            </w:pPr>
          </w:p>
        </w:tc>
      </w:tr>
      <w:tr w:rsidR="006204C3" w:rsidRPr="006204C3" w:rsidTr="006204C3">
        <w:trPr>
          <w:trHeight w:val="20"/>
        </w:trPr>
        <w:tc>
          <w:tcPr>
            <w:tcW w:w="3753" w:type="pct"/>
            <w:tcBorders>
              <w:top w:val="nil"/>
              <w:left w:val="single" w:sz="4" w:space="0" w:color="auto"/>
              <w:bottom w:val="single" w:sz="4" w:space="0" w:color="auto"/>
              <w:right w:val="single" w:sz="4" w:space="0" w:color="auto"/>
            </w:tcBorders>
            <w:shd w:val="clear" w:color="auto" w:fill="auto"/>
            <w:vAlign w:val="center"/>
            <w:hideMark/>
          </w:tcPr>
          <w:p w:rsidR="006204C3" w:rsidRPr="006204C3" w:rsidRDefault="006204C3" w:rsidP="006204C3">
            <w:pPr>
              <w:rPr>
                <w:rFonts w:ascii="Arial" w:eastAsia="Times New Roman" w:hAnsi="Arial" w:cs="Arial"/>
                <w:b/>
                <w:bCs/>
                <w:color w:val="000000"/>
                <w:sz w:val="16"/>
                <w:szCs w:val="16"/>
                <w:lang w:val="es-CO" w:eastAsia="es-CO"/>
              </w:rPr>
            </w:pPr>
            <w:r w:rsidRPr="006204C3">
              <w:rPr>
                <w:rFonts w:ascii="Arial" w:eastAsia="Times New Roman" w:hAnsi="Arial" w:cs="Arial"/>
                <w:b/>
                <w:bCs/>
                <w:color w:val="000000"/>
                <w:sz w:val="16"/>
                <w:szCs w:val="16"/>
                <w:lang w:val="es-CO" w:eastAsia="es-CO"/>
              </w:rPr>
              <w:t>Gastos de Personal</w:t>
            </w:r>
          </w:p>
        </w:tc>
        <w:tc>
          <w:tcPr>
            <w:tcW w:w="650" w:type="pct"/>
            <w:tcBorders>
              <w:top w:val="nil"/>
              <w:left w:val="nil"/>
              <w:bottom w:val="single" w:sz="4" w:space="0" w:color="auto"/>
              <w:right w:val="single" w:sz="4" w:space="0" w:color="auto"/>
            </w:tcBorders>
            <w:shd w:val="clear" w:color="auto" w:fill="auto"/>
            <w:vAlign w:val="center"/>
            <w:hideMark/>
          </w:tcPr>
          <w:p w:rsidR="006204C3" w:rsidRPr="006204C3" w:rsidRDefault="006204C3" w:rsidP="006204C3">
            <w:pPr>
              <w:jc w:val="right"/>
              <w:rPr>
                <w:rFonts w:ascii="Arial" w:eastAsia="Times New Roman" w:hAnsi="Arial" w:cs="Arial"/>
                <w:b/>
                <w:bCs/>
                <w:sz w:val="16"/>
                <w:szCs w:val="16"/>
                <w:lang w:val="es-CO" w:eastAsia="es-CO"/>
              </w:rPr>
            </w:pPr>
            <w:r w:rsidRPr="006204C3">
              <w:rPr>
                <w:rFonts w:ascii="Arial" w:eastAsia="Times New Roman" w:hAnsi="Arial" w:cs="Arial"/>
                <w:b/>
                <w:bCs/>
                <w:sz w:val="16"/>
                <w:szCs w:val="16"/>
                <w:lang w:val="es-CO" w:eastAsia="es-CO"/>
              </w:rPr>
              <w:t>501.326</w:t>
            </w:r>
          </w:p>
        </w:tc>
        <w:tc>
          <w:tcPr>
            <w:tcW w:w="407" w:type="pct"/>
            <w:tcBorders>
              <w:top w:val="nil"/>
              <w:left w:val="nil"/>
              <w:bottom w:val="single" w:sz="4" w:space="0" w:color="auto"/>
              <w:right w:val="single" w:sz="4" w:space="0" w:color="auto"/>
            </w:tcBorders>
            <w:shd w:val="clear" w:color="auto" w:fill="auto"/>
            <w:vAlign w:val="center"/>
            <w:hideMark/>
          </w:tcPr>
          <w:p w:rsidR="006204C3" w:rsidRPr="006204C3" w:rsidRDefault="006204C3" w:rsidP="006204C3">
            <w:pPr>
              <w:jc w:val="right"/>
              <w:rPr>
                <w:rFonts w:ascii="Arial" w:eastAsia="Times New Roman" w:hAnsi="Arial" w:cs="Arial"/>
                <w:b/>
                <w:bCs/>
                <w:sz w:val="16"/>
                <w:szCs w:val="16"/>
                <w:lang w:val="es-CO" w:eastAsia="es-CO"/>
              </w:rPr>
            </w:pPr>
            <w:r w:rsidRPr="006204C3">
              <w:rPr>
                <w:rFonts w:ascii="Arial" w:eastAsia="Times New Roman" w:hAnsi="Arial" w:cs="Arial"/>
                <w:b/>
                <w:bCs/>
                <w:sz w:val="16"/>
                <w:szCs w:val="16"/>
                <w:lang w:val="es-CO" w:eastAsia="es-CO"/>
              </w:rPr>
              <w:t>559.980</w:t>
            </w:r>
          </w:p>
        </w:tc>
        <w:tc>
          <w:tcPr>
            <w:tcW w:w="190" w:type="pct"/>
            <w:tcBorders>
              <w:top w:val="nil"/>
              <w:left w:val="nil"/>
              <w:bottom w:val="nil"/>
              <w:right w:val="nil"/>
            </w:tcBorders>
            <w:shd w:val="clear" w:color="auto" w:fill="auto"/>
            <w:noWrap/>
            <w:vAlign w:val="bottom"/>
            <w:hideMark/>
          </w:tcPr>
          <w:p w:rsidR="006204C3" w:rsidRPr="006204C3" w:rsidRDefault="003C2A5D" w:rsidP="006204C3">
            <w:pPr>
              <w:rPr>
                <w:rFonts w:ascii="Arial" w:eastAsia="Times New Roman" w:hAnsi="Arial" w:cs="Arial"/>
                <w:color w:val="FF0000"/>
                <w:sz w:val="16"/>
                <w:szCs w:val="16"/>
                <w:lang w:val="es-CO" w:eastAsia="es-CO"/>
              </w:rPr>
            </w:pPr>
            <w:r>
              <w:rPr>
                <w:rFonts w:ascii="Arial" w:eastAsia="Times New Roman" w:hAnsi="Arial" w:cs="Arial"/>
                <w:color w:val="FF0000"/>
                <w:sz w:val="16"/>
                <w:szCs w:val="16"/>
                <w:lang w:val="es-CO" w:eastAsia="es-CO"/>
              </w:rPr>
              <w:t>(1)</w:t>
            </w:r>
          </w:p>
        </w:tc>
      </w:tr>
      <w:tr w:rsidR="006204C3" w:rsidRPr="006204C3" w:rsidTr="006204C3">
        <w:trPr>
          <w:trHeight w:val="20"/>
        </w:trPr>
        <w:tc>
          <w:tcPr>
            <w:tcW w:w="3753" w:type="pct"/>
            <w:tcBorders>
              <w:top w:val="nil"/>
              <w:left w:val="single" w:sz="4" w:space="0" w:color="auto"/>
              <w:bottom w:val="single" w:sz="4" w:space="0" w:color="auto"/>
              <w:right w:val="single" w:sz="4" w:space="0" w:color="auto"/>
            </w:tcBorders>
            <w:shd w:val="clear" w:color="auto" w:fill="auto"/>
            <w:vAlign w:val="center"/>
            <w:hideMark/>
          </w:tcPr>
          <w:p w:rsidR="006204C3" w:rsidRPr="006204C3" w:rsidRDefault="006204C3" w:rsidP="006204C3">
            <w:pPr>
              <w:ind w:firstLineChars="200" w:firstLine="320"/>
              <w:rPr>
                <w:rFonts w:ascii="Arial" w:eastAsia="Times New Roman" w:hAnsi="Arial" w:cs="Arial"/>
                <w:color w:val="000000"/>
                <w:sz w:val="16"/>
                <w:szCs w:val="16"/>
                <w:lang w:val="es-CO" w:eastAsia="es-CO"/>
              </w:rPr>
            </w:pPr>
            <w:r w:rsidRPr="006204C3">
              <w:rPr>
                <w:rFonts w:ascii="Arial" w:eastAsia="Times New Roman" w:hAnsi="Arial" w:cs="Arial"/>
                <w:color w:val="000000"/>
                <w:sz w:val="16"/>
                <w:szCs w:val="16"/>
                <w:lang w:val="es-CO" w:eastAsia="es-CO"/>
              </w:rPr>
              <w:t> Personal Docente</w:t>
            </w:r>
            <w:r>
              <w:rPr>
                <w:rFonts w:ascii="Arial" w:eastAsia="Times New Roman" w:hAnsi="Arial" w:cs="Arial"/>
                <w:color w:val="000000"/>
                <w:sz w:val="16"/>
                <w:szCs w:val="16"/>
                <w:lang w:val="es-CO" w:eastAsia="es-CO"/>
              </w:rPr>
              <w:t xml:space="preserve"> </w:t>
            </w:r>
          </w:p>
        </w:tc>
        <w:tc>
          <w:tcPr>
            <w:tcW w:w="650" w:type="pct"/>
            <w:tcBorders>
              <w:top w:val="nil"/>
              <w:left w:val="nil"/>
              <w:bottom w:val="single" w:sz="4" w:space="0" w:color="auto"/>
              <w:right w:val="single" w:sz="4" w:space="0" w:color="auto"/>
            </w:tcBorders>
            <w:shd w:val="clear" w:color="auto" w:fill="auto"/>
            <w:vAlign w:val="center"/>
            <w:hideMark/>
          </w:tcPr>
          <w:p w:rsidR="006204C3" w:rsidRPr="006204C3" w:rsidRDefault="006204C3" w:rsidP="006204C3">
            <w:pPr>
              <w:jc w:val="right"/>
              <w:rPr>
                <w:rFonts w:ascii="Arial" w:eastAsia="Times New Roman" w:hAnsi="Arial" w:cs="Arial"/>
                <w:b/>
                <w:bCs/>
                <w:sz w:val="16"/>
                <w:szCs w:val="16"/>
                <w:lang w:val="es-CO" w:eastAsia="es-CO"/>
              </w:rPr>
            </w:pPr>
            <w:r w:rsidRPr="006204C3">
              <w:rPr>
                <w:rFonts w:ascii="Arial" w:eastAsia="Times New Roman" w:hAnsi="Arial" w:cs="Arial"/>
                <w:b/>
                <w:bCs/>
                <w:sz w:val="16"/>
                <w:szCs w:val="16"/>
                <w:lang w:val="es-CO" w:eastAsia="es-CO"/>
              </w:rPr>
              <w:t>427.297</w:t>
            </w:r>
          </w:p>
        </w:tc>
        <w:tc>
          <w:tcPr>
            <w:tcW w:w="407" w:type="pct"/>
            <w:tcBorders>
              <w:top w:val="nil"/>
              <w:left w:val="nil"/>
              <w:bottom w:val="single" w:sz="4" w:space="0" w:color="auto"/>
              <w:right w:val="single" w:sz="4" w:space="0" w:color="auto"/>
            </w:tcBorders>
            <w:shd w:val="clear" w:color="auto" w:fill="auto"/>
            <w:vAlign w:val="center"/>
            <w:hideMark/>
          </w:tcPr>
          <w:p w:rsidR="006204C3" w:rsidRPr="006204C3" w:rsidRDefault="006204C3" w:rsidP="006204C3">
            <w:pPr>
              <w:jc w:val="right"/>
              <w:rPr>
                <w:rFonts w:ascii="Arial" w:eastAsia="Times New Roman" w:hAnsi="Arial" w:cs="Arial"/>
                <w:b/>
                <w:bCs/>
                <w:sz w:val="16"/>
                <w:szCs w:val="16"/>
                <w:lang w:val="es-CO" w:eastAsia="es-CO"/>
              </w:rPr>
            </w:pPr>
            <w:r w:rsidRPr="006204C3">
              <w:rPr>
                <w:rFonts w:ascii="Arial" w:eastAsia="Times New Roman" w:hAnsi="Arial" w:cs="Arial"/>
                <w:b/>
                <w:bCs/>
                <w:sz w:val="16"/>
                <w:szCs w:val="16"/>
                <w:lang w:val="es-CO" w:eastAsia="es-CO"/>
              </w:rPr>
              <w:t>481.546</w:t>
            </w:r>
          </w:p>
        </w:tc>
        <w:tc>
          <w:tcPr>
            <w:tcW w:w="190" w:type="pct"/>
            <w:tcBorders>
              <w:top w:val="nil"/>
              <w:left w:val="nil"/>
              <w:bottom w:val="nil"/>
              <w:right w:val="nil"/>
            </w:tcBorders>
            <w:shd w:val="clear" w:color="auto" w:fill="auto"/>
            <w:noWrap/>
            <w:vAlign w:val="bottom"/>
            <w:hideMark/>
          </w:tcPr>
          <w:p w:rsidR="006204C3" w:rsidRPr="006204C3" w:rsidRDefault="006204C3" w:rsidP="006204C3">
            <w:pPr>
              <w:jc w:val="right"/>
              <w:rPr>
                <w:rFonts w:ascii="Arial" w:eastAsia="Times New Roman" w:hAnsi="Arial" w:cs="Arial"/>
                <w:b/>
                <w:bCs/>
                <w:sz w:val="16"/>
                <w:szCs w:val="16"/>
                <w:lang w:val="es-CO" w:eastAsia="es-CO"/>
              </w:rPr>
            </w:pPr>
          </w:p>
        </w:tc>
      </w:tr>
      <w:tr w:rsidR="006204C3" w:rsidRPr="006204C3" w:rsidTr="006204C3">
        <w:trPr>
          <w:trHeight w:val="20"/>
        </w:trPr>
        <w:tc>
          <w:tcPr>
            <w:tcW w:w="3753" w:type="pct"/>
            <w:tcBorders>
              <w:top w:val="nil"/>
              <w:left w:val="single" w:sz="4" w:space="0" w:color="auto"/>
              <w:bottom w:val="single" w:sz="4" w:space="0" w:color="auto"/>
              <w:right w:val="single" w:sz="4" w:space="0" w:color="auto"/>
            </w:tcBorders>
            <w:shd w:val="clear" w:color="auto" w:fill="auto"/>
            <w:vAlign w:val="center"/>
            <w:hideMark/>
          </w:tcPr>
          <w:p w:rsidR="006204C3" w:rsidRPr="006204C3" w:rsidRDefault="006204C3" w:rsidP="006204C3">
            <w:pPr>
              <w:ind w:firstLineChars="200" w:firstLine="320"/>
              <w:rPr>
                <w:rFonts w:ascii="Arial" w:eastAsia="Times New Roman" w:hAnsi="Arial" w:cs="Arial"/>
                <w:color w:val="000000"/>
                <w:sz w:val="16"/>
                <w:szCs w:val="16"/>
                <w:lang w:val="es-CO" w:eastAsia="es-CO"/>
              </w:rPr>
            </w:pPr>
            <w:r w:rsidRPr="006204C3">
              <w:rPr>
                <w:rFonts w:ascii="Arial" w:eastAsia="Times New Roman" w:hAnsi="Arial" w:cs="Arial"/>
                <w:color w:val="000000"/>
                <w:sz w:val="16"/>
                <w:szCs w:val="16"/>
                <w:lang w:val="es-CO" w:eastAsia="es-CO"/>
              </w:rPr>
              <w:t> Personal Directivo - Docente</w:t>
            </w:r>
            <w:r>
              <w:rPr>
                <w:rFonts w:ascii="Arial" w:eastAsia="Times New Roman" w:hAnsi="Arial" w:cs="Arial"/>
                <w:color w:val="000000"/>
                <w:sz w:val="16"/>
                <w:szCs w:val="16"/>
                <w:lang w:val="es-CO" w:eastAsia="es-CO"/>
              </w:rPr>
              <w:t xml:space="preserve"> </w:t>
            </w:r>
          </w:p>
        </w:tc>
        <w:tc>
          <w:tcPr>
            <w:tcW w:w="650" w:type="pct"/>
            <w:tcBorders>
              <w:top w:val="nil"/>
              <w:left w:val="nil"/>
              <w:bottom w:val="single" w:sz="4" w:space="0" w:color="auto"/>
              <w:right w:val="single" w:sz="4" w:space="0" w:color="auto"/>
            </w:tcBorders>
            <w:shd w:val="clear" w:color="auto" w:fill="auto"/>
            <w:vAlign w:val="center"/>
            <w:hideMark/>
          </w:tcPr>
          <w:p w:rsidR="006204C3" w:rsidRPr="006204C3" w:rsidRDefault="006204C3" w:rsidP="006204C3">
            <w:pPr>
              <w:jc w:val="right"/>
              <w:rPr>
                <w:rFonts w:ascii="Arial" w:eastAsia="Times New Roman" w:hAnsi="Arial" w:cs="Arial"/>
                <w:b/>
                <w:bCs/>
                <w:sz w:val="16"/>
                <w:szCs w:val="16"/>
                <w:lang w:val="es-CO" w:eastAsia="es-CO"/>
              </w:rPr>
            </w:pPr>
            <w:r w:rsidRPr="006204C3">
              <w:rPr>
                <w:rFonts w:ascii="Arial" w:eastAsia="Times New Roman" w:hAnsi="Arial" w:cs="Arial"/>
                <w:b/>
                <w:bCs/>
                <w:sz w:val="16"/>
                <w:szCs w:val="16"/>
                <w:lang w:val="es-CO" w:eastAsia="es-CO"/>
              </w:rPr>
              <w:t>43.247</w:t>
            </w:r>
          </w:p>
        </w:tc>
        <w:tc>
          <w:tcPr>
            <w:tcW w:w="407" w:type="pct"/>
            <w:tcBorders>
              <w:top w:val="nil"/>
              <w:left w:val="nil"/>
              <w:bottom w:val="single" w:sz="4" w:space="0" w:color="auto"/>
              <w:right w:val="single" w:sz="4" w:space="0" w:color="auto"/>
            </w:tcBorders>
            <w:shd w:val="clear" w:color="auto" w:fill="auto"/>
            <w:vAlign w:val="center"/>
            <w:hideMark/>
          </w:tcPr>
          <w:p w:rsidR="006204C3" w:rsidRPr="006204C3" w:rsidRDefault="006204C3" w:rsidP="006204C3">
            <w:pPr>
              <w:jc w:val="right"/>
              <w:rPr>
                <w:rFonts w:ascii="Arial" w:eastAsia="Times New Roman" w:hAnsi="Arial" w:cs="Arial"/>
                <w:b/>
                <w:bCs/>
                <w:sz w:val="16"/>
                <w:szCs w:val="16"/>
                <w:lang w:val="es-CO" w:eastAsia="es-CO"/>
              </w:rPr>
            </w:pPr>
            <w:r w:rsidRPr="006204C3">
              <w:rPr>
                <w:rFonts w:ascii="Arial" w:eastAsia="Times New Roman" w:hAnsi="Arial" w:cs="Arial"/>
                <w:b/>
                <w:bCs/>
                <w:sz w:val="16"/>
                <w:szCs w:val="16"/>
                <w:lang w:val="es-CO" w:eastAsia="es-CO"/>
              </w:rPr>
              <w:t>48.129</w:t>
            </w:r>
          </w:p>
        </w:tc>
        <w:tc>
          <w:tcPr>
            <w:tcW w:w="190" w:type="pct"/>
            <w:tcBorders>
              <w:top w:val="nil"/>
              <w:left w:val="nil"/>
              <w:bottom w:val="nil"/>
              <w:right w:val="nil"/>
            </w:tcBorders>
            <w:shd w:val="clear" w:color="auto" w:fill="auto"/>
            <w:noWrap/>
            <w:vAlign w:val="bottom"/>
            <w:hideMark/>
          </w:tcPr>
          <w:p w:rsidR="006204C3" w:rsidRPr="006204C3" w:rsidRDefault="006204C3" w:rsidP="006204C3">
            <w:pPr>
              <w:jc w:val="right"/>
              <w:rPr>
                <w:rFonts w:ascii="Arial" w:eastAsia="Times New Roman" w:hAnsi="Arial" w:cs="Arial"/>
                <w:b/>
                <w:bCs/>
                <w:sz w:val="16"/>
                <w:szCs w:val="16"/>
                <w:lang w:val="es-CO" w:eastAsia="es-CO"/>
              </w:rPr>
            </w:pPr>
          </w:p>
        </w:tc>
      </w:tr>
      <w:tr w:rsidR="006204C3" w:rsidRPr="006204C3" w:rsidTr="006204C3">
        <w:trPr>
          <w:trHeight w:val="20"/>
        </w:trPr>
        <w:tc>
          <w:tcPr>
            <w:tcW w:w="3753" w:type="pct"/>
            <w:tcBorders>
              <w:top w:val="nil"/>
              <w:left w:val="single" w:sz="4" w:space="0" w:color="auto"/>
              <w:bottom w:val="single" w:sz="4" w:space="0" w:color="auto"/>
              <w:right w:val="single" w:sz="4" w:space="0" w:color="auto"/>
            </w:tcBorders>
            <w:shd w:val="clear" w:color="auto" w:fill="auto"/>
            <w:vAlign w:val="center"/>
            <w:hideMark/>
          </w:tcPr>
          <w:p w:rsidR="006204C3" w:rsidRPr="006204C3" w:rsidRDefault="006204C3" w:rsidP="006204C3">
            <w:pPr>
              <w:ind w:firstLineChars="200" w:firstLine="320"/>
              <w:rPr>
                <w:rFonts w:ascii="Arial" w:eastAsia="Times New Roman" w:hAnsi="Arial" w:cs="Arial"/>
                <w:color w:val="000000"/>
                <w:sz w:val="16"/>
                <w:szCs w:val="16"/>
                <w:lang w:val="es-CO" w:eastAsia="es-CO"/>
              </w:rPr>
            </w:pPr>
            <w:r w:rsidRPr="006204C3">
              <w:rPr>
                <w:rFonts w:ascii="Arial" w:eastAsia="Times New Roman" w:hAnsi="Arial" w:cs="Arial"/>
                <w:color w:val="000000"/>
                <w:sz w:val="16"/>
                <w:szCs w:val="16"/>
                <w:lang w:val="es-CO" w:eastAsia="es-CO"/>
              </w:rPr>
              <w:t> Personal Administrativo de Instituciones Educativas </w:t>
            </w:r>
          </w:p>
        </w:tc>
        <w:tc>
          <w:tcPr>
            <w:tcW w:w="650" w:type="pct"/>
            <w:tcBorders>
              <w:top w:val="nil"/>
              <w:left w:val="nil"/>
              <w:bottom w:val="single" w:sz="4" w:space="0" w:color="auto"/>
              <w:right w:val="single" w:sz="4" w:space="0" w:color="auto"/>
            </w:tcBorders>
            <w:shd w:val="clear" w:color="auto" w:fill="auto"/>
            <w:vAlign w:val="center"/>
            <w:hideMark/>
          </w:tcPr>
          <w:p w:rsidR="006204C3" w:rsidRPr="006204C3" w:rsidRDefault="006204C3" w:rsidP="006204C3">
            <w:pPr>
              <w:jc w:val="right"/>
              <w:rPr>
                <w:rFonts w:ascii="Arial" w:eastAsia="Times New Roman" w:hAnsi="Arial" w:cs="Arial"/>
                <w:b/>
                <w:bCs/>
                <w:sz w:val="16"/>
                <w:szCs w:val="16"/>
                <w:lang w:val="es-CO" w:eastAsia="es-CO"/>
              </w:rPr>
            </w:pPr>
            <w:r w:rsidRPr="006204C3">
              <w:rPr>
                <w:rFonts w:ascii="Arial" w:eastAsia="Times New Roman" w:hAnsi="Arial" w:cs="Arial"/>
                <w:b/>
                <w:bCs/>
                <w:sz w:val="16"/>
                <w:szCs w:val="16"/>
                <w:lang w:val="es-CO" w:eastAsia="es-CO"/>
              </w:rPr>
              <w:t>25.699</w:t>
            </w:r>
          </w:p>
        </w:tc>
        <w:tc>
          <w:tcPr>
            <w:tcW w:w="407" w:type="pct"/>
            <w:tcBorders>
              <w:top w:val="nil"/>
              <w:left w:val="nil"/>
              <w:bottom w:val="single" w:sz="4" w:space="0" w:color="auto"/>
              <w:right w:val="single" w:sz="4" w:space="0" w:color="auto"/>
            </w:tcBorders>
            <w:shd w:val="clear" w:color="auto" w:fill="auto"/>
            <w:vAlign w:val="center"/>
            <w:hideMark/>
          </w:tcPr>
          <w:p w:rsidR="006204C3" w:rsidRPr="006204C3" w:rsidRDefault="006204C3" w:rsidP="006204C3">
            <w:pPr>
              <w:jc w:val="right"/>
              <w:rPr>
                <w:rFonts w:ascii="Arial" w:eastAsia="Times New Roman" w:hAnsi="Arial" w:cs="Arial"/>
                <w:b/>
                <w:bCs/>
                <w:sz w:val="16"/>
                <w:szCs w:val="16"/>
                <w:lang w:val="es-CO" w:eastAsia="es-CO"/>
              </w:rPr>
            </w:pPr>
            <w:r w:rsidRPr="006204C3">
              <w:rPr>
                <w:rFonts w:ascii="Arial" w:eastAsia="Times New Roman" w:hAnsi="Arial" w:cs="Arial"/>
                <w:b/>
                <w:bCs/>
                <w:sz w:val="16"/>
                <w:szCs w:val="16"/>
                <w:lang w:val="es-CO" w:eastAsia="es-CO"/>
              </w:rPr>
              <w:t>25.139</w:t>
            </w:r>
          </w:p>
        </w:tc>
        <w:tc>
          <w:tcPr>
            <w:tcW w:w="190" w:type="pct"/>
            <w:tcBorders>
              <w:top w:val="nil"/>
              <w:left w:val="nil"/>
              <w:bottom w:val="nil"/>
              <w:right w:val="nil"/>
            </w:tcBorders>
            <w:shd w:val="clear" w:color="auto" w:fill="auto"/>
            <w:noWrap/>
            <w:vAlign w:val="bottom"/>
            <w:hideMark/>
          </w:tcPr>
          <w:p w:rsidR="006204C3" w:rsidRPr="006204C3" w:rsidRDefault="006204C3" w:rsidP="006204C3">
            <w:pPr>
              <w:jc w:val="right"/>
              <w:rPr>
                <w:rFonts w:ascii="Arial" w:eastAsia="Times New Roman" w:hAnsi="Arial" w:cs="Arial"/>
                <w:b/>
                <w:bCs/>
                <w:sz w:val="16"/>
                <w:szCs w:val="16"/>
                <w:lang w:val="es-CO" w:eastAsia="es-CO"/>
              </w:rPr>
            </w:pPr>
          </w:p>
        </w:tc>
      </w:tr>
      <w:tr w:rsidR="006204C3" w:rsidRPr="006204C3" w:rsidTr="006204C3">
        <w:trPr>
          <w:trHeight w:val="20"/>
        </w:trPr>
        <w:tc>
          <w:tcPr>
            <w:tcW w:w="3753" w:type="pct"/>
            <w:tcBorders>
              <w:top w:val="nil"/>
              <w:left w:val="single" w:sz="4" w:space="0" w:color="auto"/>
              <w:bottom w:val="single" w:sz="4" w:space="0" w:color="auto"/>
              <w:right w:val="single" w:sz="4" w:space="0" w:color="auto"/>
            </w:tcBorders>
            <w:shd w:val="clear" w:color="auto" w:fill="auto"/>
            <w:vAlign w:val="center"/>
            <w:hideMark/>
          </w:tcPr>
          <w:p w:rsidR="006204C3" w:rsidRPr="006204C3" w:rsidRDefault="006204C3" w:rsidP="006204C3">
            <w:pPr>
              <w:ind w:firstLineChars="200" w:firstLine="320"/>
              <w:rPr>
                <w:rFonts w:ascii="Arial" w:eastAsia="Times New Roman" w:hAnsi="Arial" w:cs="Arial"/>
                <w:color w:val="000000"/>
                <w:sz w:val="16"/>
                <w:szCs w:val="16"/>
                <w:lang w:val="es-CO" w:eastAsia="es-CO"/>
              </w:rPr>
            </w:pPr>
            <w:r w:rsidRPr="006204C3">
              <w:rPr>
                <w:rFonts w:ascii="Arial" w:eastAsia="Times New Roman" w:hAnsi="Arial" w:cs="Arial"/>
                <w:color w:val="000000"/>
                <w:sz w:val="16"/>
                <w:szCs w:val="16"/>
                <w:lang w:val="es-CO" w:eastAsia="es-CO"/>
              </w:rPr>
              <w:t> Personal Administrativo Secretaría de Educación </w:t>
            </w:r>
          </w:p>
        </w:tc>
        <w:tc>
          <w:tcPr>
            <w:tcW w:w="650" w:type="pct"/>
            <w:tcBorders>
              <w:top w:val="nil"/>
              <w:left w:val="nil"/>
              <w:bottom w:val="single" w:sz="4" w:space="0" w:color="auto"/>
              <w:right w:val="single" w:sz="4" w:space="0" w:color="auto"/>
            </w:tcBorders>
            <w:shd w:val="clear" w:color="auto" w:fill="auto"/>
            <w:vAlign w:val="center"/>
            <w:hideMark/>
          </w:tcPr>
          <w:p w:rsidR="006204C3" w:rsidRPr="006204C3" w:rsidRDefault="006204C3" w:rsidP="006204C3">
            <w:pPr>
              <w:jc w:val="right"/>
              <w:rPr>
                <w:rFonts w:ascii="Arial" w:eastAsia="Times New Roman" w:hAnsi="Arial" w:cs="Arial"/>
                <w:b/>
                <w:bCs/>
                <w:sz w:val="16"/>
                <w:szCs w:val="16"/>
                <w:lang w:val="es-CO" w:eastAsia="es-CO"/>
              </w:rPr>
            </w:pPr>
            <w:r w:rsidRPr="006204C3">
              <w:rPr>
                <w:rFonts w:ascii="Arial" w:eastAsia="Times New Roman" w:hAnsi="Arial" w:cs="Arial"/>
                <w:b/>
                <w:bCs/>
                <w:sz w:val="16"/>
                <w:szCs w:val="16"/>
                <w:lang w:val="es-CO" w:eastAsia="es-CO"/>
              </w:rPr>
              <w:t>5.008</w:t>
            </w:r>
          </w:p>
        </w:tc>
        <w:tc>
          <w:tcPr>
            <w:tcW w:w="407" w:type="pct"/>
            <w:tcBorders>
              <w:top w:val="nil"/>
              <w:left w:val="nil"/>
              <w:bottom w:val="single" w:sz="4" w:space="0" w:color="auto"/>
              <w:right w:val="single" w:sz="4" w:space="0" w:color="auto"/>
            </w:tcBorders>
            <w:shd w:val="clear" w:color="auto" w:fill="auto"/>
            <w:vAlign w:val="center"/>
            <w:hideMark/>
          </w:tcPr>
          <w:p w:rsidR="006204C3" w:rsidRPr="006204C3" w:rsidRDefault="006204C3" w:rsidP="006204C3">
            <w:pPr>
              <w:jc w:val="right"/>
              <w:rPr>
                <w:rFonts w:ascii="Arial" w:eastAsia="Times New Roman" w:hAnsi="Arial" w:cs="Arial"/>
                <w:b/>
                <w:bCs/>
                <w:sz w:val="16"/>
                <w:szCs w:val="16"/>
                <w:lang w:val="es-CO" w:eastAsia="es-CO"/>
              </w:rPr>
            </w:pPr>
            <w:r w:rsidRPr="006204C3">
              <w:rPr>
                <w:rFonts w:ascii="Arial" w:eastAsia="Times New Roman" w:hAnsi="Arial" w:cs="Arial"/>
                <w:b/>
                <w:bCs/>
                <w:sz w:val="16"/>
                <w:szCs w:val="16"/>
                <w:lang w:val="es-CO" w:eastAsia="es-CO"/>
              </w:rPr>
              <w:t>5.166</w:t>
            </w:r>
          </w:p>
        </w:tc>
        <w:tc>
          <w:tcPr>
            <w:tcW w:w="190" w:type="pct"/>
            <w:tcBorders>
              <w:top w:val="nil"/>
              <w:left w:val="nil"/>
              <w:bottom w:val="nil"/>
              <w:right w:val="nil"/>
            </w:tcBorders>
            <w:shd w:val="clear" w:color="auto" w:fill="auto"/>
            <w:noWrap/>
            <w:vAlign w:val="bottom"/>
            <w:hideMark/>
          </w:tcPr>
          <w:p w:rsidR="006204C3" w:rsidRPr="006204C3" w:rsidRDefault="006204C3" w:rsidP="006204C3">
            <w:pPr>
              <w:jc w:val="right"/>
              <w:rPr>
                <w:rFonts w:ascii="Arial" w:eastAsia="Times New Roman" w:hAnsi="Arial" w:cs="Arial"/>
                <w:b/>
                <w:bCs/>
                <w:sz w:val="16"/>
                <w:szCs w:val="16"/>
                <w:lang w:val="es-CO" w:eastAsia="es-CO"/>
              </w:rPr>
            </w:pPr>
          </w:p>
        </w:tc>
      </w:tr>
      <w:tr w:rsidR="006204C3" w:rsidRPr="006204C3" w:rsidTr="006204C3">
        <w:trPr>
          <w:trHeight w:val="20"/>
        </w:trPr>
        <w:tc>
          <w:tcPr>
            <w:tcW w:w="3753" w:type="pct"/>
            <w:tcBorders>
              <w:top w:val="nil"/>
              <w:left w:val="single" w:sz="4" w:space="0" w:color="auto"/>
              <w:bottom w:val="single" w:sz="4" w:space="0" w:color="auto"/>
              <w:right w:val="single" w:sz="4" w:space="0" w:color="auto"/>
            </w:tcBorders>
            <w:shd w:val="clear" w:color="auto" w:fill="auto"/>
            <w:vAlign w:val="center"/>
            <w:hideMark/>
          </w:tcPr>
          <w:p w:rsidR="006204C3" w:rsidRPr="006204C3" w:rsidRDefault="006204C3" w:rsidP="006204C3">
            <w:pPr>
              <w:ind w:firstLineChars="200" w:firstLine="320"/>
              <w:rPr>
                <w:rFonts w:ascii="Arial" w:eastAsia="Times New Roman" w:hAnsi="Arial" w:cs="Arial"/>
                <w:color w:val="000000"/>
                <w:sz w:val="16"/>
                <w:szCs w:val="16"/>
                <w:lang w:val="es-CO" w:eastAsia="es-CO"/>
              </w:rPr>
            </w:pPr>
            <w:r w:rsidRPr="006204C3">
              <w:rPr>
                <w:rFonts w:ascii="Arial" w:eastAsia="Times New Roman" w:hAnsi="Arial" w:cs="Arial"/>
                <w:color w:val="000000"/>
                <w:sz w:val="16"/>
                <w:szCs w:val="16"/>
                <w:lang w:val="es-CO" w:eastAsia="es-CO"/>
              </w:rPr>
              <w:t> Viáticos y Gastos de Viaje </w:t>
            </w:r>
          </w:p>
        </w:tc>
        <w:tc>
          <w:tcPr>
            <w:tcW w:w="650" w:type="pct"/>
            <w:tcBorders>
              <w:top w:val="nil"/>
              <w:left w:val="nil"/>
              <w:bottom w:val="single" w:sz="4" w:space="0" w:color="auto"/>
              <w:right w:val="single" w:sz="4" w:space="0" w:color="auto"/>
            </w:tcBorders>
            <w:shd w:val="clear" w:color="auto" w:fill="auto"/>
            <w:vAlign w:val="center"/>
            <w:hideMark/>
          </w:tcPr>
          <w:p w:rsidR="006204C3" w:rsidRPr="006204C3" w:rsidRDefault="006204C3" w:rsidP="006204C3">
            <w:pPr>
              <w:jc w:val="right"/>
              <w:rPr>
                <w:rFonts w:ascii="Arial" w:eastAsia="Times New Roman" w:hAnsi="Arial" w:cs="Arial"/>
                <w:b/>
                <w:bCs/>
                <w:sz w:val="16"/>
                <w:szCs w:val="16"/>
                <w:lang w:val="es-CO" w:eastAsia="es-CO"/>
              </w:rPr>
            </w:pPr>
            <w:r w:rsidRPr="006204C3">
              <w:rPr>
                <w:rFonts w:ascii="Arial" w:eastAsia="Times New Roman" w:hAnsi="Arial" w:cs="Arial"/>
                <w:b/>
                <w:bCs/>
                <w:sz w:val="16"/>
                <w:szCs w:val="16"/>
                <w:lang w:val="es-CO" w:eastAsia="es-CO"/>
              </w:rPr>
              <w:t>74</w:t>
            </w:r>
          </w:p>
        </w:tc>
        <w:tc>
          <w:tcPr>
            <w:tcW w:w="407" w:type="pct"/>
            <w:tcBorders>
              <w:top w:val="nil"/>
              <w:left w:val="nil"/>
              <w:bottom w:val="single" w:sz="4" w:space="0" w:color="auto"/>
              <w:right w:val="single" w:sz="4" w:space="0" w:color="auto"/>
            </w:tcBorders>
            <w:shd w:val="clear" w:color="auto" w:fill="auto"/>
            <w:vAlign w:val="center"/>
            <w:hideMark/>
          </w:tcPr>
          <w:p w:rsidR="006204C3" w:rsidRPr="006204C3" w:rsidRDefault="006204C3" w:rsidP="006204C3">
            <w:pPr>
              <w:jc w:val="right"/>
              <w:rPr>
                <w:rFonts w:ascii="Arial" w:eastAsia="Times New Roman" w:hAnsi="Arial" w:cs="Arial"/>
                <w:b/>
                <w:bCs/>
                <w:sz w:val="16"/>
                <w:szCs w:val="16"/>
                <w:lang w:val="es-CO" w:eastAsia="es-CO"/>
              </w:rPr>
            </w:pPr>
            <w:r w:rsidRPr="006204C3">
              <w:rPr>
                <w:rFonts w:ascii="Arial" w:eastAsia="Times New Roman" w:hAnsi="Arial" w:cs="Arial"/>
                <w:b/>
                <w:bCs/>
                <w:sz w:val="16"/>
                <w:szCs w:val="16"/>
                <w:lang w:val="es-CO" w:eastAsia="es-CO"/>
              </w:rPr>
              <w:t>0</w:t>
            </w:r>
          </w:p>
        </w:tc>
        <w:tc>
          <w:tcPr>
            <w:tcW w:w="190" w:type="pct"/>
            <w:tcBorders>
              <w:top w:val="nil"/>
              <w:left w:val="nil"/>
              <w:bottom w:val="nil"/>
              <w:right w:val="nil"/>
            </w:tcBorders>
            <w:shd w:val="clear" w:color="auto" w:fill="auto"/>
            <w:noWrap/>
            <w:vAlign w:val="bottom"/>
            <w:hideMark/>
          </w:tcPr>
          <w:p w:rsidR="006204C3" w:rsidRPr="006204C3" w:rsidRDefault="006204C3" w:rsidP="006204C3">
            <w:pPr>
              <w:jc w:val="right"/>
              <w:rPr>
                <w:rFonts w:ascii="Arial" w:eastAsia="Times New Roman" w:hAnsi="Arial" w:cs="Arial"/>
                <w:b/>
                <w:bCs/>
                <w:sz w:val="16"/>
                <w:szCs w:val="16"/>
                <w:lang w:val="es-CO" w:eastAsia="es-CO"/>
              </w:rPr>
            </w:pPr>
          </w:p>
        </w:tc>
      </w:tr>
      <w:tr w:rsidR="006204C3" w:rsidRPr="006204C3" w:rsidTr="006204C3">
        <w:trPr>
          <w:trHeight w:val="20"/>
        </w:trPr>
        <w:tc>
          <w:tcPr>
            <w:tcW w:w="3753" w:type="pct"/>
            <w:tcBorders>
              <w:top w:val="nil"/>
              <w:left w:val="single" w:sz="4" w:space="0" w:color="auto"/>
              <w:bottom w:val="single" w:sz="4" w:space="0" w:color="auto"/>
              <w:right w:val="single" w:sz="4" w:space="0" w:color="auto"/>
            </w:tcBorders>
            <w:shd w:val="clear" w:color="auto" w:fill="auto"/>
            <w:vAlign w:val="center"/>
            <w:hideMark/>
          </w:tcPr>
          <w:p w:rsidR="006204C3" w:rsidRPr="006204C3" w:rsidRDefault="006204C3" w:rsidP="006204C3">
            <w:pPr>
              <w:rPr>
                <w:rFonts w:ascii="Arial" w:eastAsia="Times New Roman" w:hAnsi="Arial" w:cs="Arial"/>
                <w:b/>
                <w:bCs/>
                <w:color w:val="000000"/>
                <w:sz w:val="16"/>
                <w:szCs w:val="16"/>
                <w:lang w:val="es-CO" w:eastAsia="es-CO"/>
              </w:rPr>
            </w:pPr>
            <w:r w:rsidRPr="006204C3">
              <w:rPr>
                <w:rFonts w:ascii="Arial" w:eastAsia="Times New Roman" w:hAnsi="Arial" w:cs="Arial"/>
                <w:b/>
                <w:bCs/>
                <w:color w:val="000000"/>
                <w:sz w:val="16"/>
                <w:szCs w:val="16"/>
                <w:lang w:val="es-CO" w:eastAsia="es-CO"/>
              </w:rPr>
              <w:t>Aportes Patronales</w:t>
            </w:r>
            <w:r>
              <w:rPr>
                <w:rFonts w:ascii="Arial" w:eastAsia="Times New Roman" w:hAnsi="Arial" w:cs="Arial"/>
                <w:b/>
                <w:bCs/>
                <w:color w:val="000000"/>
                <w:sz w:val="16"/>
                <w:szCs w:val="16"/>
                <w:lang w:val="es-CO" w:eastAsia="es-CO"/>
              </w:rPr>
              <w:t xml:space="preserve"> </w:t>
            </w:r>
          </w:p>
        </w:tc>
        <w:tc>
          <w:tcPr>
            <w:tcW w:w="650" w:type="pct"/>
            <w:tcBorders>
              <w:top w:val="nil"/>
              <w:left w:val="nil"/>
              <w:bottom w:val="single" w:sz="4" w:space="0" w:color="auto"/>
              <w:right w:val="single" w:sz="4" w:space="0" w:color="auto"/>
            </w:tcBorders>
            <w:shd w:val="clear" w:color="auto" w:fill="auto"/>
            <w:vAlign w:val="center"/>
            <w:hideMark/>
          </w:tcPr>
          <w:p w:rsidR="006204C3" w:rsidRPr="006204C3" w:rsidRDefault="006204C3" w:rsidP="006204C3">
            <w:pPr>
              <w:jc w:val="right"/>
              <w:rPr>
                <w:rFonts w:ascii="Arial" w:eastAsia="Times New Roman" w:hAnsi="Arial" w:cs="Arial"/>
                <w:b/>
                <w:bCs/>
                <w:sz w:val="16"/>
                <w:szCs w:val="16"/>
                <w:lang w:val="es-CO" w:eastAsia="es-CO"/>
              </w:rPr>
            </w:pPr>
            <w:r w:rsidRPr="006204C3">
              <w:rPr>
                <w:rFonts w:ascii="Arial" w:eastAsia="Times New Roman" w:hAnsi="Arial" w:cs="Arial"/>
                <w:b/>
                <w:bCs/>
                <w:sz w:val="16"/>
                <w:szCs w:val="16"/>
                <w:lang w:val="es-CO" w:eastAsia="es-CO"/>
              </w:rPr>
              <w:t>144.120</w:t>
            </w:r>
          </w:p>
        </w:tc>
        <w:tc>
          <w:tcPr>
            <w:tcW w:w="407" w:type="pct"/>
            <w:tcBorders>
              <w:top w:val="nil"/>
              <w:left w:val="nil"/>
              <w:bottom w:val="single" w:sz="4" w:space="0" w:color="auto"/>
              <w:right w:val="single" w:sz="4" w:space="0" w:color="auto"/>
            </w:tcBorders>
            <w:shd w:val="clear" w:color="auto" w:fill="auto"/>
            <w:vAlign w:val="center"/>
            <w:hideMark/>
          </w:tcPr>
          <w:p w:rsidR="006204C3" w:rsidRPr="006204C3" w:rsidRDefault="006204C3" w:rsidP="006204C3">
            <w:pPr>
              <w:jc w:val="right"/>
              <w:rPr>
                <w:rFonts w:ascii="Arial" w:eastAsia="Times New Roman" w:hAnsi="Arial" w:cs="Arial"/>
                <w:b/>
                <w:bCs/>
                <w:sz w:val="16"/>
                <w:szCs w:val="16"/>
                <w:lang w:val="es-CO" w:eastAsia="es-CO"/>
              </w:rPr>
            </w:pPr>
            <w:r w:rsidRPr="006204C3">
              <w:rPr>
                <w:rFonts w:ascii="Arial" w:eastAsia="Times New Roman" w:hAnsi="Arial" w:cs="Arial"/>
                <w:b/>
                <w:bCs/>
                <w:sz w:val="16"/>
                <w:szCs w:val="16"/>
                <w:lang w:val="es-CO" w:eastAsia="es-CO"/>
              </w:rPr>
              <w:t>154.103</w:t>
            </w:r>
          </w:p>
        </w:tc>
        <w:tc>
          <w:tcPr>
            <w:tcW w:w="190" w:type="pct"/>
            <w:tcBorders>
              <w:top w:val="nil"/>
              <w:left w:val="nil"/>
              <w:bottom w:val="nil"/>
              <w:right w:val="nil"/>
            </w:tcBorders>
            <w:shd w:val="clear" w:color="auto" w:fill="auto"/>
            <w:noWrap/>
            <w:vAlign w:val="bottom"/>
            <w:hideMark/>
          </w:tcPr>
          <w:p w:rsidR="006204C3" w:rsidRPr="006204C3" w:rsidRDefault="006204C3" w:rsidP="006204C3">
            <w:pPr>
              <w:jc w:val="right"/>
              <w:rPr>
                <w:rFonts w:ascii="Arial" w:eastAsia="Times New Roman" w:hAnsi="Arial" w:cs="Arial"/>
                <w:b/>
                <w:bCs/>
                <w:sz w:val="16"/>
                <w:szCs w:val="16"/>
                <w:lang w:val="es-CO" w:eastAsia="es-CO"/>
              </w:rPr>
            </w:pPr>
          </w:p>
        </w:tc>
      </w:tr>
      <w:tr w:rsidR="006204C3" w:rsidRPr="006204C3" w:rsidTr="006204C3">
        <w:trPr>
          <w:trHeight w:val="20"/>
        </w:trPr>
        <w:tc>
          <w:tcPr>
            <w:tcW w:w="3753" w:type="pct"/>
            <w:tcBorders>
              <w:top w:val="nil"/>
              <w:left w:val="single" w:sz="4" w:space="0" w:color="auto"/>
              <w:bottom w:val="single" w:sz="4" w:space="0" w:color="auto"/>
              <w:right w:val="single" w:sz="4" w:space="0" w:color="auto"/>
            </w:tcBorders>
            <w:shd w:val="clear" w:color="auto" w:fill="auto"/>
            <w:vAlign w:val="center"/>
            <w:hideMark/>
          </w:tcPr>
          <w:p w:rsidR="006204C3" w:rsidRPr="006204C3" w:rsidRDefault="006204C3" w:rsidP="006204C3">
            <w:pPr>
              <w:ind w:firstLineChars="200" w:firstLine="320"/>
              <w:rPr>
                <w:rFonts w:ascii="Arial" w:eastAsia="Times New Roman" w:hAnsi="Arial" w:cs="Arial"/>
                <w:color w:val="000000"/>
                <w:sz w:val="16"/>
                <w:szCs w:val="16"/>
                <w:lang w:val="es-CO" w:eastAsia="es-CO"/>
              </w:rPr>
            </w:pPr>
            <w:r w:rsidRPr="006204C3">
              <w:rPr>
                <w:rFonts w:ascii="Arial" w:eastAsia="Times New Roman" w:hAnsi="Arial" w:cs="Arial"/>
                <w:color w:val="000000"/>
                <w:sz w:val="16"/>
                <w:szCs w:val="16"/>
                <w:lang w:val="es-CO" w:eastAsia="es-CO"/>
              </w:rPr>
              <w:t> Sin Situación de Fondos (Docentes y Directivos Docentes) </w:t>
            </w:r>
          </w:p>
        </w:tc>
        <w:tc>
          <w:tcPr>
            <w:tcW w:w="650" w:type="pct"/>
            <w:tcBorders>
              <w:top w:val="nil"/>
              <w:left w:val="nil"/>
              <w:bottom w:val="single" w:sz="4" w:space="0" w:color="auto"/>
              <w:right w:val="single" w:sz="4" w:space="0" w:color="auto"/>
            </w:tcBorders>
            <w:shd w:val="clear" w:color="auto" w:fill="auto"/>
            <w:vAlign w:val="center"/>
            <w:hideMark/>
          </w:tcPr>
          <w:p w:rsidR="006204C3" w:rsidRPr="006204C3" w:rsidRDefault="006204C3" w:rsidP="006204C3">
            <w:pPr>
              <w:jc w:val="right"/>
              <w:rPr>
                <w:rFonts w:ascii="Arial" w:eastAsia="Times New Roman" w:hAnsi="Arial" w:cs="Arial"/>
                <w:b/>
                <w:bCs/>
                <w:sz w:val="16"/>
                <w:szCs w:val="16"/>
                <w:lang w:val="es-CO" w:eastAsia="es-CO"/>
              </w:rPr>
            </w:pPr>
            <w:r w:rsidRPr="006204C3">
              <w:rPr>
                <w:rFonts w:ascii="Arial" w:eastAsia="Times New Roman" w:hAnsi="Arial" w:cs="Arial"/>
                <w:b/>
                <w:bCs/>
                <w:sz w:val="16"/>
                <w:szCs w:val="16"/>
                <w:lang w:val="es-CO" w:eastAsia="es-CO"/>
              </w:rPr>
              <w:t>94.346</w:t>
            </w:r>
          </w:p>
        </w:tc>
        <w:tc>
          <w:tcPr>
            <w:tcW w:w="407" w:type="pct"/>
            <w:tcBorders>
              <w:top w:val="nil"/>
              <w:left w:val="nil"/>
              <w:bottom w:val="single" w:sz="4" w:space="0" w:color="auto"/>
              <w:right w:val="single" w:sz="4" w:space="0" w:color="auto"/>
            </w:tcBorders>
            <w:shd w:val="clear" w:color="auto" w:fill="auto"/>
            <w:vAlign w:val="center"/>
            <w:hideMark/>
          </w:tcPr>
          <w:p w:rsidR="006204C3" w:rsidRPr="006204C3" w:rsidRDefault="006204C3" w:rsidP="006204C3">
            <w:pPr>
              <w:jc w:val="right"/>
              <w:rPr>
                <w:rFonts w:ascii="Arial" w:eastAsia="Times New Roman" w:hAnsi="Arial" w:cs="Arial"/>
                <w:b/>
                <w:bCs/>
                <w:sz w:val="16"/>
                <w:szCs w:val="16"/>
                <w:lang w:val="es-CO" w:eastAsia="es-CO"/>
              </w:rPr>
            </w:pPr>
            <w:r w:rsidRPr="006204C3">
              <w:rPr>
                <w:rFonts w:ascii="Arial" w:eastAsia="Times New Roman" w:hAnsi="Arial" w:cs="Arial"/>
                <w:b/>
                <w:bCs/>
                <w:sz w:val="16"/>
                <w:szCs w:val="16"/>
                <w:lang w:val="es-CO" w:eastAsia="es-CO"/>
              </w:rPr>
              <w:t>102.233</w:t>
            </w:r>
          </w:p>
        </w:tc>
        <w:tc>
          <w:tcPr>
            <w:tcW w:w="190" w:type="pct"/>
            <w:tcBorders>
              <w:top w:val="nil"/>
              <w:left w:val="nil"/>
              <w:bottom w:val="nil"/>
              <w:right w:val="nil"/>
            </w:tcBorders>
            <w:shd w:val="clear" w:color="auto" w:fill="auto"/>
            <w:noWrap/>
            <w:vAlign w:val="bottom"/>
            <w:hideMark/>
          </w:tcPr>
          <w:p w:rsidR="006204C3" w:rsidRPr="006204C3" w:rsidRDefault="006204C3" w:rsidP="006204C3">
            <w:pPr>
              <w:jc w:val="right"/>
              <w:rPr>
                <w:rFonts w:ascii="Arial" w:eastAsia="Times New Roman" w:hAnsi="Arial" w:cs="Arial"/>
                <w:b/>
                <w:bCs/>
                <w:sz w:val="16"/>
                <w:szCs w:val="16"/>
                <w:lang w:val="es-CO" w:eastAsia="es-CO"/>
              </w:rPr>
            </w:pPr>
          </w:p>
        </w:tc>
      </w:tr>
      <w:tr w:rsidR="006204C3" w:rsidRPr="006204C3" w:rsidTr="006204C3">
        <w:trPr>
          <w:trHeight w:val="20"/>
        </w:trPr>
        <w:tc>
          <w:tcPr>
            <w:tcW w:w="3753" w:type="pct"/>
            <w:tcBorders>
              <w:top w:val="nil"/>
              <w:left w:val="single" w:sz="4" w:space="0" w:color="auto"/>
              <w:bottom w:val="single" w:sz="4" w:space="0" w:color="auto"/>
              <w:right w:val="single" w:sz="4" w:space="0" w:color="auto"/>
            </w:tcBorders>
            <w:shd w:val="clear" w:color="auto" w:fill="auto"/>
            <w:vAlign w:val="center"/>
            <w:hideMark/>
          </w:tcPr>
          <w:p w:rsidR="006204C3" w:rsidRPr="006204C3" w:rsidRDefault="006204C3" w:rsidP="006204C3">
            <w:pPr>
              <w:ind w:firstLineChars="200" w:firstLine="320"/>
              <w:rPr>
                <w:rFonts w:ascii="Arial" w:eastAsia="Times New Roman" w:hAnsi="Arial" w:cs="Arial"/>
                <w:color w:val="000000"/>
                <w:sz w:val="16"/>
                <w:szCs w:val="16"/>
                <w:lang w:val="es-CO" w:eastAsia="es-CO"/>
              </w:rPr>
            </w:pPr>
            <w:r w:rsidRPr="006204C3">
              <w:rPr>
                <w:rFonts w:ascii="Arial" w:eastAsia="Times New Roman" w:hAnsi="Arial" w:cs="Arial"/>
                <w:color w:val="000000"/>
                <w:sz w:val="16"/>
                <w:szCs w:val="16"/>
                <w:lang w:val="es-CO" w:eastAsia="es-CO"/>
              </w:rPr>
              <w:t> Con situación de fondos (Docentes y Directivos Docentes) </w:t>
            </w:r>
          </w:p>
        </w:tc>
        <w:tc>
          <w:tcPr>
            <w:tcW w:w="650" w:type="pct"/>
            <w:tcBorders>
              <w:top w:val="nil"/>
              <w:left w:val="nil"/>
              <w:bottom w:val="single" w:sz="4" w:space="0" w:color="auto"/>
              <w:right w:val="single" w:sz="4" w:space="0" w:color="auto"/>
            </w:tcBorders>
            <w:shd w:val="clear" w:color="auto" w:fill="auto"/>
            <w:vAlign w:val="center"/>
            <w:hideMark/>
          </w:tcPr>
          <w:p w:rsidR="006204C3" w:rsidRPr="006204C3" w:rsidRDefault="006204C3" w:rsidP="006204C3">
            <w:pPr>
              <w:jc w:val="right"/>
              <w:rPr>
                <w:rFonts w:ascii="Arial" w:eastAsia="Times New Roman" w:hAnsi="Arial" w:cs="Arial"/>
                <w:b/>
                <w:bCs/>
                <w:sz w:val="16"/>
                <w:szCs w:val="16"/>
                <w:lang w:val="es-CO" w:eastAsia="es-CO"/>
              </w:rPr>
            </w:pPr>
            <w:r w:rsidRPr="006204C3">
              <w:rPr>
                <w:rFonts w:ascii="Arial" w:eastAsia="Times New Roman" w:hAnsi="Arial" w:cs="Arial"/>
                <w:b/>
                <w:bCs/>
                <w:sz w:val="16"/>
                <w:szCs w:val="16"/>
                <w:lang w:val="es-CO" w:eastAsia="es-CO"/>
              </w:rPr>
              <w:t>42.244</w:t>
            </w:r>
          </w:p>
        </w:tc>
        <w:tc>
          <w:tcPr>
            <w:tcW w:w="407" w:type="pct"/>
            <w:tcBorders>
              <w:top w:val="nil"/>
              <w:left w:val="nil"/>
              <w:bottom w:val="single" w:sz="4" w:space="0" w:color="auto"/>
              <w:right w:val="single" w:sz="4" w:space="0" w:color="auto"/>
            </w:tcBorders>
            <w:shd w:val="clear" w:color="auto" w:fill="auto"/>
            <w:vAlign w:val="center"/>
            <w:hideMark/>
          </w:tcPr>
          <w:p w:rsidR="006204C3" w:rsidRPr="006204C3" w:rsidRDefault="006204C3" w:rsidP="006204C3">
            <w:pPr>
              <w:jc w:val="right"/>
              <w:rPr>
                <w:rFonts w:ascii="Arial" w:eastAsia="Times New Roman" w:hAnsi="Arial" w:cs="Arial"/>
                <w:b/>
                <w:bCs/>
                <w:sz w:val="16"/>
                <w:szCs w:val="16"/>
                <w:lang w:val="es-CO" w:eastAsia="es-CO"/>
              </w:rPr>
            </w:pPr>
            <w:r w:rsidRPr="006204C3">
              <w:rPr>
                <w:rFonts w:ascii="Arial" w:eastAsia="Times New Roman" w:hAnsi="Arial" w:cs="Arial"/>
                <w:b/>
                <w:bCs/>
                <w:sz w:val="16"/>
                <w:szCs w:val="16"/>
                <w:lang w:val="es-CO" w:eastAsia="es-CO"/>
              </w:rPr>
              <w:t>43.928</w:t>
            </w:r>
          </w:p>
        </w:tc>
        <w:tc>
          <w:tcPr>
            <w:tcW w:w="190" w:type="pct"/>
            <w:tcBorders>
              <w:top w:val="nil"/>
              <w:left w:val="nil"/>
              <w:bottom w:val="nil"/>
              <w:right w:val="nil"/>
            </w:tcBorders>
            <w:shd w:val="clear" w:color="auto" w:fill="auto"/>
            <w:noWrap/>
            <w:vAlign w:val="bottom"/>
            <w:hideMark/>
          </w:tcPr>
          <w:p w:rsidR="006204C3" w:rsidRPr="006204C3" w:rsidRDefault="006204C3" w:rsidP="006204C3">
            <w:pPr>
              <w:jc w:val="right"/>
              <w:rPr>
                <w:rFonts w:ascii="Arial" w:eastAsia="Times New Roman" w:hAnsi="Arial" w:cs="Arial"/>
                <w:b/>
                <w:bCs/>
                <w:sz w:val="16"/>
                <w:szCs w:val="16"/>
                <w:lang w:val="es-CO" w:eastAsia="es-CO"/>
              </w:rPr>
            </w:pPr>
          </w:p>
        </w:tc>
      </w:tr>
      <w:tr w:rsidR="006204C3" w:rsidRPr="006204C3" w:rsidTr="006204C3">
        <w:trPr>
          <w:trHeight w:val="20"/>
        </w:trPr>
        <w:tc>
          <w:tcPr>
            <w:tcW w:w="3753" w:type="pct"/>
            <w:tcBorders>
              <w:top w:val="nil"/>
              <w:left w:val="single" w:sz="4" w:space="0" w:color="auto"/>
              <w:bottom w:val="single" w:sz="4" w:space="0" w:color="auto"/>
              <w:right w:val="single" w:sz="4" w:space="0" w:color="auto"/>
            </w:tcBorders>
            <w:shd w:val="clear" w:color="auto" w:fill="auto"/>
            <w:vAlign w:val="center"/>
            <w:hideMark/>
          </w:tcPr>
          <w:p w:rsidR="006204C3" w:rsidRPr="006204C3" w:rsidRDefault="006204C3" w:rsidP="006204C3">
            <w:pPr>
              <w:ind w:firstLineChars="200" w:firstLine="320"/>
              <w:rPr>
                <w:rFonts w:ascii="Arial" w:eastAsia="Times New Roman" w:hAnsi="Arial" w:cs="Arial"/>
                <w:color w:val="000000"/>
                <w:sz w:val="16"/>
                <w:szCs w:val="16"/>
                <w:lang w:val="es-CO" w:eastAsia="es-CO"/>
              </w:rPr>
            </w:pPr>
            <w:r w:rsidRPr="006204C3">
              <w:rPr>
                <w:rFonts w:ascii="Arial" w:eastAsia="Times New Roman" w:hAnsi="Arial" w:cs="Arial"/>
                <w:color w:val="000000"/>
                <w:sz w:val="16"/>
                <w:szCs w:val="16"/>
                <w:lang w:val="es-CO" w:eastAsia="es-CO"/>
              </w:rPr>
              <w:t> Personal Administrativo de Instituciones Educativas (A.P)</w:t>
            </w:r>
          </w:p>
        </w:tc>
        <w:tc>
          <w:tcPr>
            <w:tcW w:w="650" w:type="pct"/>
            <w:tcBorders>
              <w:top w:val="nil"/>
              <w:left w:val="nil"/>
              <w:bottom w:val="single" w:sz="4" w:space="0" w:color="auto"/>
              <w:right w:val="single" w:sz="4" w:space="0" w:color="auto"/>
            </w:tcBorders>
            <w:shd w:val="clear" w:color="auto" w:fill="auto"/>
            <w:vAlign w:val="center"/>
            <w:hideMark/>
          </w:tcPr>
          <w:p w:rsidR="006204C3" w:rsidRPr="006204C3" w:rsidRDefault="006204C3" w:rsidP="006204C3">
            <w:pPr>
              <w:jc w:val="right"/>
              <w:rPr>
                <w:rFonts w:ascii="Arial" w:eastAsia="Times New Roman" w:hAnsi="Arial" w:cs="Arial"/>
                <w:b/>
                <w:bCs/>
                <w:sz w:val="16"/>
                <w:szCs w:val="16"/>
                <w:lang w:val="es-CO" w:eastAsia="es-CO"/>
              </w:rPr>
            </w:pPr>
            <w:r w:rsidRPr="006204C3">
              <w:rPr>
                <w:rFonts w:ascii="Arial" w:eastAsia="Times New Roman" w:hAnsi="Arial" w:cs="Arial"/>
                <w:b/>
                <w:bCs/>
                <w:sz w:val="16"/>
                <w:szCs w:val="16"/>
                <w:lang w:val="es-CO" w:eastAsia="es-CO"/>
              </w:rPr>
              <w:t>6.374</w:t>
            </w:r>
          </w:p>
        </w:tc>
        <w:tc>
          <w:tcPr>
            <w:tcW w:w="407" w:type="pct"/>
            <w:tcBorders>
              <w:top w:val="nil"/>
              <w:left w:val="nil"/>
              <w:bottom w:val="single" w:sz="4" w:space="0" w:color="auto"/>
              <w:right w:val="single" w:sz="4" w:space="0" w:color="auto"/>
            </w:tcBorders>
            <w:shd w:val="clear" w:color="auto" w:fill="auto"/>
            <w:vAlign w:val="center"/>
            <w:hideMark/>
          </w:tcPr>
          <w:p w:rsidR="006204C3" w:rsidRPr="006204C3" w:rsidRDefault="006204C3" w:rsidP="006204C3">
            <w:pPr>
              <w:jc w:val="right"/>
              <w:rPr>
                <w:rFonts w:ascii="Arial" w:eastAsia="Times New Roman" w:hAnsi="Arial" w:cs="Arial"/>
                <w:b/>
                <w:bCs/>
                <w:sz w:val="16"/>
                <w:szCs w:val="16"/>
                <w:lang w:val="es-CO" w:eastAsia="es-CO"/>
              </w:rPr>
            </w:pPr>
            <w:r w:rsidRPr="006204C3">
              <w:rPr>
                <w:rFonts w:ascii="Arial" w:eastAsia="Times New Roman" w:hAnsi="Arial" w:cs="Arial"/>
                <w:b/>
                <w:bCs/>
                <w:sz w:val="16"/>
                <w:szCs w:val="16"/>
                <w:lang w:val="es-CO" w:eastAsia="es-CO"/>
              </w:rPr>
              <w:t>6.735</w:t>
            </w:r>
          </w:p>
        </w:tc>
        <w:tc>
          <w:tcPr>
            <w:tcW w:w="190" w:type="pct"/>
            <w:tcBorders>
              <w:top w:val="nil"/>
              <w:left w:val="nil"/>
              <w:bottom w:val="nil"/>
              <w:right w:val="nil"/>
            </w:tcBorders>
            <w:shd w:val="clear" w:color="auto" w:fill="auto"/>
            <w:noWrap/>
            <w:vAlign w:val="bottom"/>
            <w:hideMark/>
          </w:tcPr>
          <w:p w:rsidR="006204C3" w:rsidRPr="006204C3" w:rsidRDefault="006204C3" w:rsidP="006204C3">
            <w:pPr>
              <w:jc w:val="right"/>
              <w:rPr>
                <w:rFonts w:ascii="Arial" w:eastAsia="Times New Roman" w:hAnsi="Arial" w:cs="Arial"/>
                <w:b/>
                <w:bCs/>
                <w:sz w:val="16"/>
                <w:szCs w:val="16"/>
                <w:lang w:val="es-CO" w:eastAsia="es-CO"/>
              </w:rPr>
            </w:pPr>
          </w:p>
        </w:tc>
      </w:tr>
      <w:tr w:rsidR="006204C3" w:rsidRPr="006204C3" w:rsidTr="006204C3">
        <w:trPr>
          <w:trHeight w:val="20"/>
        </w:trPr>
        <w:tc>
          <w:tcPr>
            <w:tcW w:w="3753" w:type="pct"/>
            <w:tcBorders>
              <w:top w:val="nil"/>
              <w:left w:val="single" w:sz="4" w:space="0" w:color="auto"/>
              <w:bottom w:val="single" w:sz="4" w:space="0" w:color="auto"/>
              <w:right w:val="single" w:sz="4" w:space="0" w:color="auto"/>
            </w:tcBorders>
            <w:shd w:val="clear" w:color="auto" w:fill="auto"/>
            <w:vAlign w:val="center"/>
            <w:hideMark/>
          </w:tcPr>
          <w:p w:rsidR="006204C3" w:rsidRPr="006204C3" w:rsidRDefault="006204C3" w:rsidP="006204C3">
            <w:pPr>
              <w:ind w:firstLineChars="200" w:firstLine="320"/>
              <w:rPr>
                <w:rFonts w:ascii="Arial" w:eastAsia="Times New Roman" w:hAnsi="Arial" w:cs="Arial"/>
                <w:color w:val="000000"/>
                <w:sz w:val="16"/>
                <w:szCs w:val="16"/>
                <w:lang w:val="es-CO" w:eastAsia="es-CO"/>
              </w:rPr>
            </w:pPr>
            <w:r w:rsidRPr="006204C3">
              <w:rPr>
                <w:rFonts w:ascii="Arial" w:eastAsia="Times New Roman" w:hAnsi="Arial" w:cs="Arial"/>
                <w:color w:val="000000"/>
                <w:sz w:val="16"/>
                <w:szCs w:val="16"/>
                <w:lang w:val="es-CO" w:eastAsia="es-CO"/>
              </w:rPr>
              <w:t> Personal Administrativo Secretaría de Educación (A.P)</w:t>
            </w:r>
          </w:p>
        </w:tc>
        <w:tc>
          <w:tcPr>
            <w:tcW w:w="650" w:type="pct"/>
            <w:tcBorders>
              <w:top w:val="nil"/>
              <w:left w:val="nil"/>
              <w:bottom w:val="single" w:sz="4" w:space="0" w:color="auto"/>
              <w:right w:val="single" w:sz="4" w:space="0" w:color="auto"/>
            </w:tcBorders>
            <w:shd w:val="clear" w:color="auto" w:fill="auto"/>
            <w:vAlign w:val="center"/>
            <w:hideMark/>
          </w:tcPr>
          <w:p w:rsidR="006204C3" w:rsidRPr="006204C3" w:rsidRDefault="006204C3" w:rsidP="006204C3">
            <w:pPr>
              <w:jc w:val="right"/>
              <w:rPr>
                <w:rFonts w:ascii="Arial" w:eastAsia="Times New Roman" w:hAnsi="Arial" w:cs="Arial"/>
                <w:b/>
                <w:bCs/>
                <w:sz w:val="16"/>
                <w:szCs w:val="16"/>
                <w:lang w:val="es-CO" w:eastAsia="es-CO"/>
              </w:rPr>
            </w:pPr>
            <w:r w:rsidRPr="006204C3">
              <w:rPr>
                <w:rFonts w:ascii="Arial" w:eastAsia="Times New Roman" w:hAnsi="Arial" w:cs="Arial"/>
                <w:b/>
                <w:bCs/>
                <w:sz w:val="16"/>
                <w:szCs w:val="16"/>
                <w:lang w:val="es-CO" w:eastAsia="es-CO"/>
              </w:rPr>
              <w:t>1.156</w:t>
            </w:r>
          </w:p>
        </w:tc>
        <w:tc>
          <w:tcPr>
            <w:tcW w:w="407" w:type="pct"/>
            <w:tcBorders>
              <w:top w:val="nil"/>
              <w:left w:val="nil"/>
              <w:bottom w:val="single" w:sz="4" w:space="0" w:color="auto"/>
              <w:right w:val="single" w:sz="4" w:space="0" w:color="auto"/>
            </w:tcBorders>
            <w:shd w:val="clear" w:color="auto" w:fill="auto"/>
            <w:vAlign w:val="center"/>
            <w:hideMark/>
          </w:tcPr>
          <w:p w:rsidR="006204C3" w:rsidRPr="006204C3" w:rsidRDefault="006204C3" w:rsidP="006204C3">
            <w:pPr>
              <w:jc w:val="right"/>
              <w:rPr>
                <w:rFonts w:ascii="Arial" w:eastAsia="Times New Roman" w:hAnsi="Arial" w:cs="Arial"/>
                <w:b/>
                <w:bCs/>
                <w:sz w:val="16"/>
                <w:szCs w:val="16"/>
                <w:lang w:val="es-CO" w:eastAsia="es-CO"/>
              </w:rPr>
            </w:pPr>
            <w:r w:rsidRPr="006204C3">
              <w:rPr>
                <w:rFonts w:ascii="Arial" w:eastAsia="Times New Roman" w:hAnsi="Arial" w:cs="Arial"/>
                <w:b/>
                <w:bCs/>
                <w:sz w:val="16"/>
                <w:szCs w:val="16"/>
                <w:lang w:val="es-CO" w:eastAsia="es-CO"/>
              </w:rPr>
              <w:t>1.207</w:t>
            </w:r>
          </w:p>
        </w:tc>
        <w:tc>
          <w:tcPr>
            <w:tcW w:w="190" w:type="pct"/>
            <w:tcBorders>
              <w:top w:val="nil"/>
              <w:left w:val="nil"/>
              <w:bottom w:val="nil"/>
              <w:right w:val="nil"/>
            </w:tcBorders>
            <w:shd w:val="clear" w:color="auto" w:fill="auto"/>
            <w:noWrap/>
            <w:vAlign w:val="bottom"/>
            <w:hideMark/>
          </w:tcPr>
          <w:p w:rsidR="006204C3" w:rsidRPr="006204C3" w:rsidRDefault="006204C3" w:rsidP="006204C3">
            <w:pPr>
              <w:jc w:val="right"/>
              <w:rPr>
                <w:rFonts w:ascii="Arial" w:eastAsia="Times New Roman" w:hAnsi="Arial" w:cs="Arial"/>
                <w:b/>
                <w:bCs/>
                <w:sz w:val="16"/>
                <w:szCs w:val="16"/>
                <w:lang w:val="es-CO" w:eastAsia="es-CO"/>
              </w:rPr>
            </w:pPr>
          </w:p>
        </w:tc>
      </w:tr>
      <w:tr w:rsidR="006204C3" w:rsidRPr="006204C3" w:rsidTr="006204C3">
        <w:trPr>
          <w:trHeight w:val="20"/>
        </w:trPr>
        <w:tc>
          <w:tcPr>
            <w:tcW w:w="3753" w:type="pct"/>
            <w:tcBorders>
              <w:top w:val="nil"/>
              <w:left w:val="single" w:sz="4" w:space="0" w:color="auto"/>
              <w:bottom w:val="single" w:sz="4" w:space="0" w:color="auto"/>
              <w:right w:val="single" w:sz="4" w:space="0" w:color="auto"/>
            </w:tcBorders>
            <w:shd w:val="clear" w:color="auto" w:fill="auto"/>
            <w:vAlign w:val="center"/>
            <w:hideMark/>
          </w:tcPr>
          <w:p w:rsidR="006204C3" w:rsidRPr="006204C3" w:rsidRDefault="006204C3" w:rsidP="006204C3">
            <w:pPr>
              <w:rPr>
                <w:rFonts w:ascii="Arial" w:eastAsia="Times New Roman" w:hAnsi="Arial" w:cs="Arial"/>
                <w:b/>
                <w:bCs/>
                <w:color w:val="000000"/>
                <w:sz w:val="16"/>
                <w:szCs w:val="16"/>
                <w:lang w:val="es-CO" w:eastAsia="es-CO"/>
              </w:rPr>
            </w:pPr>
            <w:r w:rsidRPr="006204C3">
              <w:rPr>
                <w:rFonts w:ascii="Arial" w:eastAsia="Times New Roman" w:hAnsi="Arial" w:cs="Arial"/>
                <w:b/>
                <w:bCs/>
                <w:color w:val="000000"/>
                <w:sz w:val="16"/>
                <w:szCs w:val="16"/>
                <w:lang w:val="es-CO" w:eastAsia="es-CO"/>
              </w:rPr>
              <w:t>Gastos Generales</w:t>
            </w:r>
            <w:r w:rsidRPr="006204C3">
              <w:rPr>
                <w:rFonts w:ascii="Arial" w:eastAsia="Times New Roman" w:hAnsi="Arial" w:cs="Arial"/>
                <w:color w:val="000000"/>
                <w:sz w:val="16"/>
                <w:szCs w:val="16"/>
                <w:lang w:val="es-CO" w:eastAsia="es-CO"/>
              </w:rPr>
              <w:t> </w:t>
            </w:r>
          </w:p>
        </w:tc>
        <w:tc>
          <w:tcPr>
            <w:tcW w:w="650" w:type="pct"/>
            <w:tcBorders>
              <w:top w:val="nil"/>
              <w:left w:val="nil"/>
              <w:bottom w:val="single" w:sz="4" w:space="0" w:color="auto"/>
              <w:right w:val="single" w:sz="4" w:space="0" w:color="auto"/>
            </w:tcBorders>
            <w:shd w:val="clear" w:color="auto" w:fill="auto"/>
            <w:vAlign w:val="center"/>
            <w:hideMark/>
          </w:tcPr>
          <w:p w:rsidR="006204C3" w:rsidRPr="006204C3" w:rsidRDefault="006204C3" w:rsidP="006204C3">
            <w:pPr>
              <w:jc w:val="right"/>
              <w:rPr>
                <w:rFonts w:ascii="Arial" w:eastAsia="Times New Roman" w:hAnsi="Arial" w:cs="Arial"/>
                <w:b/>
                <w:bCs/>
                <w:sz w:val="16"/>
                <w:szCs w:val="16"/>
                <w:lang w:val="es-CO" w:eastAsia="es-CO"/>
              </w:rPr>
            </w:pPr>
            <w:r w:rsidRPr="006204C3">
              <w:rPr>
                <w:rFonts w:ascii="Arial" w:eastAsia="Times New Roman" w:hAnsi="Arial" w:cs="Arial"/>
                <w:b/>
                <w:bCs/>
                <w:sz w:val="16"/>
                <w:szCs w:val="16"/>
                <w:lang w:val="es-CO" w:eastAsia="es-CO"/>
              </w:rPr>
              <w:t>814</w:t>
            </w:r>
          </w:p>
        </w:tc>
        <w:tc>
          <w:tcPr>
            <w:tcW w:w="407" w:type="pct"/>
            <w:tcBorders>
              <w:top w:val="nil"/>
              <w:left w:val="nil"/>
              <w:bottom w:val="single" w:sz="4" w:space="0" w:color="auto"/>
              <w:right w:val="single" w:sz="4" w:space="0" w:color="auto"/>
            </w:tcBorders>
            <w:shd w:val="clear" w:color="auto" w:fill="auto"/>
            <w:vAlign w:val="center"/>
            <w:hideMark/>
          </w:tcPr>
          <w:p w:rsidR="006204C3" w:rsidRPr="006204C3" w:rsidRDefault="006204C3" w:rsidP="006204C3">
            <w:pPr>
              <w:jc w:val="right"/>
              <w:rPr>
                <w:rFonts w:ascii="Arial" w:eastAsia="Times New Roman" w:hAnsi="Arial" w:cs="Arial"/>
                <w:b/>
                <w:bCs/>
                <w:sz w:val="16"/>
                <w:szCs w:val="16"/>
                <w:lang w:val="es-CO" w:eastAsia="es-CO"/>
              </w:rPr>
            </w:pPr>
            <w:r w:rsidRPr="006204C3">
              <w:rPr>
                <w:rFonts w:ascii="Arial" w:eastAsia="Times New Roman" w:hAnsi="Arial" w:cs="Arial"/>
                <w:b/>
                <w:bCs/>
                <w:sz w:val="16"/>
                <w:szCs w:val="16"/>
                <w:lang w:val="es-CO" w:eastAsia="es-CO"/>
              </w:rPr>
              <w:t>169</w:t>
            </w:r>
          </w:p>
        </w:tc>
        <w:tc>
          <w:tcPr>
            <w:tcW w:w="190" w:type="pct"/>
            <w:tcBorders>
              <w:top w:val="nil"/>
              <w:left w:val="nil"/>
              <w:bottom w:val="nil"/>
              <w:right w:val="nil"/>
            </w:tcBorders>
            <w:shd w:val="clear" w:color="auto" w:fill="auto"/>
            <w:noWrap/>
            <w:vAlign w:val="bottom"/>
            <w:hideMark/>
          </w:tcPr>
          <w:p w:rsidR="006204C3" w:rsidRPr="006204C3" w:rsidRDefault="006204C3" w:rsidP="006204C3">
            <w:pPr>
              <w:jc w:val="right"/>
              <w:rPr>
                <w:rFonts w:ascii="Arial" w:eastAsia="Times New Roman" w:hAnsi="Arial" w:cs="Arial"/>
                <w:b/>
                <w:bCs/>
                <w:sz w:val="16"/>
                <w:szCs w:val="16"/>
                <w:lang w:val="es-CO" w:eastAsia="es-CO"/>
              </w:rPr>
            </w:pPr>
          </w:p>
        </w:tc>
      </w:tr>
      <w:tr w:rsidR="006204C3" w:rsidRPr="006204C3" w:rsidTr="006204C3">
        <w:trPr>
          <w:trHeight w:val="20"/>
        </w:trPr>
        <w:tc>
          <w:tcPr>
            <w:tcW w:w="3753" w:type="pct"/>
            <w:tcBorders>
              <w:top w:val="nil"/>
              <w:left w:val="single" w:sz="4" w:space="0" w:color="auto"/>
              <w:bottom w:val="single" w:sz="4" w:space="0" w:color="auto"/>
              <w:right w:val="single" w:sz="4" w:space="0" w:color="auto"/>
            </w:tcBorders>
            <w:shd w:val="clear" w:color="auto" w:fill="auto"/>
            <w:vAlign w:val="center"/>
            <w:hideMark/>
          </w:tcPr>
          <w:p w:rsidR="006204C3" w:rsidRPr="006204C3" w:rsidRDefault="006204C3" w:rsidP="006204C3">
            <w:pPr>
              <w:rPr>
                <w:rFonts w:ascii="Arial" w:eastAsia="Times New Roman" w:hAnsi="Arial" w:cs="Arial"/>
                <w:b/>
                <w:bCs/>
                <w:color w:val="000000"/>
                <w:sz w:val="16"/>
                <w:szCs w:val="16"/>
                <w:lang w:val="es-CO" w:eastAsia="es-CO"/>
              </w:rPr>
            </w:pPr>
            <w:r w:rsidRPr="006204C3">
              <w:rPr>
                <w:rFonts w:ascii="Arial" w:eastAsia="Times New Roman" w:hAnsi="Arial" w:cs="Arial"/>
                <w:b/>
                <w:bCs/>
                <w:color w:val="000000"/>
                <w:sz w:val="16"/>
                <w:szCs w:val="16"/>
                <w:lang w:val="es-CO" w:eastAsia="es-CO"/>
              </w:rPr>
              <w:t>Contratos para la Prestación del Servicio Educativo</w:t>
            </w:r>
            <w:r w:rsidRPr="006204C3">
              <w:rPr>
                <w:rFonts w:ascii="Arial" w:eastAsia="Times New Roman" w:hAnsi="Arial" w:cs="Arial"/>
                <w:color w:val="000000"/>
                <w:sz w:val="16"/>
                <w:szCs w:val="16"/>
                <w:lang w:val="es-CO" w:eastAsia="es-CO"/>
              </w:rPr>
              <w:t> </w:t>
            </w:r>
          </w:p>
        </w:tc>
        <w:tc>
          <w:tcPr>
            <w:tcW w:w="650" w:type="pct"/>
            <w:tcBorders>
              <w:top w:val="nil"/>
              <w:left w:val="nil"/>
              <w:bottom w:val="single" w:sz="4" w:space="0" w:color="auto"/>
              <w:right w:val="single" w:sz="4" w:space="0" w:color="auto"/>
            </w:tcBorders>
            <w:shd w:val="clear" w:color="auto" w:fill="auto"/>
            <w:vAlign w:val="center"/>
            <w:hideMark/>
          </w:tcPr>
          <w:p w:rsidR="006204C3" w:rsidRPr="006204C3" w:rsidRDefault="006204C3" w:rsidP="006204C3">
            <w:pPr>
              <w:jc w:val="right"/>
              <w:rPr>
                <w:rFonts w:ascii="Arial" w:eastAsia="Times New Roman" w:hAnsi="Arial" w:cs="Arial"/>
                <w:b/>
                <w:bCs/>
                <w:sz w:val="16"/>
                <w:szCs w:val="16"/>
                <w:lang w:val="es-CO" w:eastAsia="es-CO"/>
              </w:rPr>
            </w:pPr>
            <w:r w:rsidRPr="006204C3">
              <w:rPr>
                <w:rFonts w:ascii="Arial" w:eastAsia="Times New Roman" w:hAnsi="Arial" w:cs="Arial"/>
                <w:b/>
                <w:bCs/>
                <w:sz w:val="16"/>
                <w:szCs w:val="16"/>
                <w:lang w:val="es-CO" w:eastAsia="es-CO"/>
              </w:rPr>
              <w:t>25.460</w:t>
            </w:r>
          </w:p>
        </w:tc>
        <w:tc>
          <w:tcPr>
            <w:tcW w:w="407" w:type="pct"/>
            <w:tcBorders>
              <w:top w:val="nil"/>
              <w:left w:val="nil"/>
              <w:bottom w:val="single" w:sz="4" w:space="0" w:color="auto"/>
              <w:right w:val="single" w:sz="4" w:space="0" w:color="auto"/>
            </w:tcBorders>
            <w:shd w:val="clear" w:color="auto" w:fill="auto"/>
            <w:vAlign w:val="center"/>
            <w:hideMark/>
          </w:tcPr>
          <w:p w:rsidR="006204C3" w:rsidRPr="006204C3" w:rsidRDefault="006204C3" w:rsidP="006204C3">
            <w:pPr>
              <w:jc w:val="right"/>
              <w:rPr>
                <w:rFonts w:ascii="Arial" w:eastAsia="Times New Roman" w:hAnsi="Arial" w:cs="Arial"/>
                <w:b/>
                <w:bCs/>
                <w:sz w:val="16"/>
                <w:szCs w:val="16"/>
                <w:lang w:val="es-CO" w:eastAsia="es-CO"/>
              </w:rPr>
            </w:pPr>
            <w:r w:rsidRPr="006204C3">
              <w:rPr>
                <w:rFonts w:ascii="Arial" w:eastAsia="Times New Roman" w:hAnsi="Arial" w:cs="Arial"/>
                <w:b/>
                <w:bCs/>
                <w:sz w:val="16"/>
                <w:szCs w:val="16"/>
                <w:lang w:val="es-CO" w:eastAsia="es-CO"/>
              </w:rPr>
              <w:t>21.213</w:t>
            </w:r>
          </w:p>
        </w:tc>
        <w:tc>
          <w:tcPr>
            <w:tcW w:w="190" w:type="pct"/>
            <w:tcBorders>
              <w:top w:val="nil"/>
              <w:left w:val="nil"/>
              <w:bottom w:val="nil"/>
              <w:right w:val="nil"/>
            </w:tcBorders>
            <w:shd w:val="clear" w:color="auto" w:fill="auto"/>
            <w:noWrap/>
            <w:vAlign w:val="bottom"/>
            <w:hideMark/>
          </w:tcPr>
          <w:p w:rsidR="006204C3" w:rsidRPr="006204C3" w:rsidRDefault="006204C3" w:rsidP="006204C3">
            <w:pPr>
              <w:jc w:val="right"/>
              <w:rPr>
                <w:rFonts w:ascii="Arial" w:eastAsia="Times New Roman" w:hAnsi="Arial" w:cs="Arial"/>
                <w:b/>
                <w:bCs/>
                <w:sz w:val="16"/>
                <w:szCs w:val="16"/>
                <w:lang w:val="es-CO" w:eastAsia="es-CO"/>
              </w:rPr>
            </w:pPr>
          </w:p>
        </w:tc>
      </w:tr>
      <w:tr w:rsidR="006204C3" w:rsidRPr="006204C3" w:rsidTr="006204C3">
        <w:trPr>
          <w:trHeight w:val="20"/>
        </w:trPr>
        <w:tc>
          <w:tcPr>
            <w:tcW w:w="3753" w:type="pct"/>
            <w:tcBorders>
              <w:top w:val="nil"/>
              <w:left w:val="single" w:sz="4" w:space="0" w:color="auto"/>
              <w:bottom w:val="single" w:sz="4" w:space="0" w:color="auto"/>
              <w:right w:val="single" w:sz="4" w:space="0" w:color="auto"/>
            </w:tcBorders>
            <w:shd w:val="clear" w:color="auto" w:fill="auto"/>
            <w:vAlign w:val="center"/>
            <w:hideMark/>
          </w:tcPr>
          <w:p w:rsidR="006204C3" w:rsidRPr="006204C3" w:rsidRDefault="006204C3" w:rsidP="006204C3">
            <w:pPr>
              <w:rPr>
                <w:rFonts w:ascii="Arial" w:eastAsia="Times New Roman" w:hAnsi="Arial" w:cs="Arial"/>
                <w:b/>
                <w:bCs/>
                <w:color w:val="000000"/>
                <w:sz w:val="16"/>
                <w:szCs w:val="16"/>
                <w:lang w:val="es-CO" w:eastAsia="es-CO"/>
              </w:rPr>
            </w:pPr>
            <w:r w:rsidRPr="006204C3">
              <w:rPr>
                <w:rFonts w:ascii="Arial" w:eastAsia="Times New Roman" w:hAnsi="Arial" w:cs="Arial"/>
                <w:b/>
                <w:bCs/>
                <w:color w:val="000000"/>
                <w:sz w:val="16"/>
                <w:szCs w:val="16"/>
                <w:lang w:val="es-CO" w:eastAsia="es-CO"/>
              </w:rPr>
              <w:t>Cancelaciones</w:t>
            </w:r>
          </w:p>
        </w:tc>
        <w:tc>
          <w:tcPr>
            <w:tcW w:w="650" w:type="pct"/>
            <w:tcBorders>
              <w:top w:val="nil"/>
              <w:left w:val="nil"/>
              <w:bottom w:val="single" w:sz="4" w:space="0" w:color="auto"/>
              <w:right w:val="single" w:sz="4" w:space="0" w:color="auto"/>
            </w:tcBorders>
            <w:shd w:val="clear" w:color="auto" w:fill="auto"/>
            <w:vAlign w:val="center"/>
            <w:hideMark/>
          </w:tcPr>
          <w:p w:rsidR="006204C3" w:rsidRPr="006204C3" w:rsidRDefault="006204C3" w:rsidP="006204C3">
            <w:pPr>
              <w:jc w:val="right"/>
              <w:rPr>
                <w:rFonts w:ascii="Arial" w:eastAsia="Times New Roman" w:hAnsi="Arial" w:cs="Arial"/>
                <w:b/>
                <w:bCs/>
                <w:sz w:val="16"/>
                <w:szCs w:val="16"/>
                <w:lang w:val="es-CO" w:eastAsia="es-CO"/>
              </w:rPr>
            </w:pPr>
            <w:r w:rsidRPr="006204C3">
              <w:rPr>
                <w:rFonts w:ascii="Arial" w:eastAsia="Times New Roman" w:hAnsi="Arial" w:cs="Arial"/>
                <w:b/>
                <w:bCs/>
                <w:sz w:val="16"/>
                <w:szCs w:val="16"/>
                <w:lang w:val="es-CO" w:eastAsia="es-CO"/>
              </w:rPr>
              <w:t>6.545</w:t>
            </w:r>
          </w:p>
        </w:tc>
        <w:tc>
          <w:tcPr>
            <w:tcW w:w="407" w:type="pct"/>
            <w:tcBorders>
              <w:top w:val="nil"/>
              <w:left w:val="nil"/>
              <w:bottom w:val="single" w:sz="4" w:space="0" w:color="auto"/>
              <w:right w:val="single" w:sz="4" w:space="0" w:color="auto"/>
            </w:tcBorders>
            <w:shd w:val="clear" w:color="auto" w:fill="auto"/>
            <w:vAlign w:val="center"/>
            <w:hideMark/>
          </w:tcPr>
          <w:p w:rsidR="006204C3" w:rsidRPr="006204C3" w:rsidRDefault="006204C3" w:rsidP="006204C3">
            <w:pPr>
              <w:jc w:val="right"/>
              <w:rPr>
                <w:rFonts w:ascii="Arial" w:eastAsia="Times New Roman" w:hAnsi="Arial" w:cs="Arial"/>
                <w:b/>
                <w:bCs/>
                <w:sz w:val="16"/>
                <w:szCs w:val="16"/>
                <w:lang w:val="es-CO" w:eastAsia="es-CO"/>
              </w:rPr>
            </w:pPr>
            <w:r w:rsidRPr="006204C3">
              <w:rPr>
                <w:rFonts w:ascii="Arial" w:eastAsia="Times New Roman" w:hAnsi="Arial" w:cs="Arial"/>
                <w:b/>
                <w:bCs/>
                <w:sz w:val="16"/>
                <w:szCs w:val="16"/>
                <w:lang w:val="es-CO" w:eastAsia="es-CO"/>
              </w:rPr>
              <w:t>6.694</w:t>
            </w:r>
          </w:p>
        </w:tc>
        <w:tc>
          <w:tcPr>
            <w:tcW w:w="190" w:type="pct"/>
            <w:tcBorders>
              <w:top w:val="nil"/>
              <w:left w:val="nil"/>
              <w:bottom w:val="nil"/>
              <w:right w:val="nil"/>
            </w:tcBorders>
            <w:shd w:val="clear" w:color="auto" w:fill="auto"/>
            <w:noWrap/>
            <w:vAlign w:val="bottom"/>
            <w:hideMark/>
          </w:tcPr>
          <w:p w:rsidR="006204C3" w:rsidRPr="006204C3" w:rsidRDefault="003C2A5D" w:rsidP="006204C3">
            <w:pPr>
              <w:rPr>
                <w:rFonts w:ascii="Arial" w:eastAsia="Times New Roman" w:hAnsi="Arial" w:cs="Arial"/>
                <w:color w:val="FF0000"/>
                <w:sz w:val="16"/>
                <w:szCs w:val="16"/>
                <w:lang w:val="es-CO" w:eastAsia="es-CO"/>
              </w:rPr>
            </w:pPr>
            <w:r>
              <w:rPr>
                <w:rFonts w:ascii="Arial" w:eastAsia="Times New Roman" w:hAnsi="Arial" w:cs="Arial"/>
                <w:color w:val="FF0000"/>
                <w:sz w:val="16"/>
                <w:szCs w:val="16"/>
                <w:lang w:val="es-CO" w:eastAsia="es-CO"/>
              </w:rPr>
              <w:t>(2)</w:t>
            </w:r>
          </w:p>
        </w:tc>
      </w:tr>
      <w:tr w:rsidR="006204C3" w:rsidRPr="006204C3" w:rsidTr="006204C3">
        <w:trPr>
          <w:trHeight w:val="20"/>
        </w:trPr>
        <w:tc>
          <w:tcPr>
            <w:tcW w:w="3753" w:type="pct"/>
            <w:tcBorders>
              <w:top w:val="nil"/>
              <w:left w:val="single" w:sz="4" w:space="0" w:color="auto"/>
              <w:bottom w:val="single" w:sz="4" w:space="0" w:color="auto"/>
              <w:right w:val="single" w:sz="4" w:space="0" w:color="auto"/>
            </w:tcBorders>
            <w:shd w:val="clear" w:color="auto" w:fill="auto"/>
            <w:vAlign w:val="center"/>
            <w:hideMark/>
          </w:tcPr>
          <w:p w:rsidR="006204C3" w:rsidRPr="006204C3" w:rsidRDefault="006204C3" w:rsidP="006204C3">
            <w:pPr>
              <w:rPr>
                <w:rFonts w:ascii="Arial" w:eastAsia="Times New Roman" w:hAnsi="Arial" w:cs="Arial"/>
                <w:b/>
                <w:bCs/>
                <w:color w:val="000000"/>
                <w:sz w:val="16"/>
                <w:szCs w:val="16"/>
                <w:lang w:val="es-CO" w:eastAsia="es-CO"/>
              </w:rPr>
            </w:pPr>
            <w:r w:rsidRPr="006204C3">
              <w:rPr>
                <w:rFonts w:ascii="Arial" w:eastAsia="Times New Roman" w:hAnsi="Arial" w:cs="Arial"/>
                <w:b/>
                <w:bCs/>
                <w:color w:val="000000"/>
                <w:sz w:val="16"/>
                <w:szCs w:val="16"/>
                <w:lang w:val="es-CO" w:eastAsia="es-CO"/>
              </w:rPr>
              <w:t>Contratos Aseo y Vigilancia</w:t>
            </w:r>
            <w:r w:rsidRPr="006204C3">
              <w:rPr>
                <w:rFonts w:ascii="Arial" w:eastAsia="Times New Roman" w:hAnsi="Arial" w:cs="Arial"/>
                <w:color w:val="000000"/>
                <w:sz w:val="16"/>
                <w:szCs w:val="16"/>
                <w:lang w:val="es-CO" w:eastAsia="es-CO"/>
              </w:rPr>
              <w:t> </w:t>
            </w:r>
          </w:p>
        </w:tc>
        <w:tc>
          <w:tcPr>
            <w:tcW w:w="650" w:type="pct"/>
            <w:tcBorders>
              <w:top w:val="nil"/>
              <w:left w:val="nil"/>
              <w:bottom w:val="single" w:sz="4" w:space="0" w:color="auto"/>
              <w:right w:val="single" w:sz="4" w:space="0" w:color="auto"/>
            </w:tcBorders>
            <w:shd w:val="clear" w:color="auto" w:fill="auto"/>
            <w:vAlign w:val="center"/>
            <w:hideMark/>
          </w:tcPr>
          <w:p w:rsidR="006204C3" w:rsidRPr="006204C3" w:rsidRDefault="006204C3" w:rsidP="006204C3">
            <w:pPr>
              <w:jc w:val="right"/>
              <w:rPr>
                <w:rFonts w:ascii="Arial" w:eastAsia="Times New Roman" w:hAnsi="Arial" w:cs="Arial"/>
                <w:b/>
                <w:bCs/>
                <w:sz w:val="16"/>
                <w:szCs w:val="16"/>
                <w:lang w:val="es-CO" w:eastAsia="es-CO"/>
              </w:rPr>
            </w:pPr>
            <w:r w:rsidRPr="006204C3">
              <w:rPr>
                <w:rFonts w:ascii="Arial" w:eastAsia="Times New Roman" w:hAnsi="Arial" w:cs="Arial"/>
                <w:b/>
                <w:bCs/>
                <w:sz w:val="16"/>
                <w:szCs w:val="16"/>
                <w:lang w:val="es-CO" w:eastAsia="es-CO"/>
              </w:rPr>
              <w:t>4.832</w:t>
            </w:r>
          </w:p>
        </w:tc>
        <w:tc>
          <w:tcPr>
            <w:tcW w:w="407" w:type="pct"/>
            <w:tcBorders>
              <w:top w:val="nil"/>
              <w:left w:val="nil"/>
              <w:bottom w:val="single" w:sz="4" w:space="0" w:color="auto"/>
              <w:right w:val="single" w:sz="4" w:space="0" w:color="auto"/>
            </w:tcBorders>
            <w:shd w:val="clear" w:color="auto" w:fill="auto"/>
            <w:vAlign w:val="center"/>
            <w:hideMark/>
          </w:tcPr>
          <w:p w:rsidR="006204C3" w:rsidRPr="006204C3" w:rsidRDefault="006204C3" w:rsidP="006204C3">
            <w:pPr>
              <w:jc w:val="right"/>
              <w:rPr>
                <w:rFonts w:ascii="Arial" w:eastAsia="Times New Roman" w:hAnsi="Arial" w:cs="Arial"/>
                <w:b/>
                <w:bCs/>
                <w:sz w:val="16"/>
                <w:szCs w:val="16"/>
                <w:lang w:val="es-CO" w:eastAsia="es-CO"/>
              </w:rPr>
            </w:pPr>
            <w:r w:rsidRPr="006204C3">
              <w:rPr>
                <w:rFonts w:ascii="Arial" w:eastAsia="Times New Roman" w:hAnsi="Arial" w:cs="Arial"/>
                <w:b/>
                <w:bCs/>
                <w:sz w:val="16"/>
                <w:szCs w:val="16"/>
                <w:lang w:val="es-CO" w:eastAsia="es-CO"/>
              </w:rPr>
              <w:t>4.918</w:t>
            </w:r>
          </w:p>
        </w:tc>
        <w:tc>
          <w:tcPr>
            <w:tcW w:w="190" w:type="pct"/>
            <w:tcBorders>
              <w:top w:val="nil"/>
              <w:left w:val="nil"/>
              <w:bottom w:val="nil"/>
              <w:right w:val="nil"/>
            </w:tcBorders>
            <w:shd w:val="clear" w:color="auto" w:fill="auto"/>
            <w:noWrap/>
            <w:vAlign w:val="bottom"/>
            <w:hideMark/>
          </w:tcPr>
          <w:p w:rsidR="006204C3" w:rsidRPr="006204C3" w:rsidRDefault="006204C3" w:rsidP="006204C3">
            <w:pPr>
              <w:jc w:val="right"/>
              <w:rPr>
                <w:rFonts w:ascii="Arial" w:eastAsia="Times New Roman" w:hAnsi="Arial" w:cs="Arial"/>
                <w:b/>
                <w:bCs/>
                <w:sz w:val="16"/>
                <w:szCs w:val="16"/>
                <w:lang w:val="es-CO" w:eastAsia="es-CO"/>
              </w:rPr>
            </w:pPr>
          </w:p>
        </w:tc>
      </w:tr>
      <w:tr w:rsidR="006204C3" w:rsidRPr="006204C3" w:rsidTr="006204C3">
        <w:trPr>
          <w:trHeight w:val="20"/>
        </w:trPr>
        <w:tc>
          <w:tcPr>
            <w:tcW w:w="3753" w:type="pct"/>
            <w:tcBorders>
              <w:top w:val="nil"/>
              <w:left w:val="single" w:sz="4" w:space="0" w:color="auto"/>
              <w:bottom w:val="single" w:sz="4" w:space="0" w:color="auto"/>
              <w:right w:val="single" w:sz="4" w:space="0" w:color="auto"/>
            </w:tcBorders>
            <w:shd w:val="clear" w:color="auto" w:fill="auto"/>
            <w:vAlign w:val="center"/>
            <w:hideMark/>
          </w:tcPr>
          <w:p w:rsidR="006204C3" w:rsidRPr="006204C3" w:rsidRDefault="006204C3" w:rsidP="006204C3">
            <w:pPr>
              <w:rPr>
                <w:rFonts w:ascii="Arial" w:eastAsia="Times New Roman" w:hAnsi="Arial" w:cs="Arial"/>
                <w:b/>
                <w:bCs/>
                <w:color w:val="000000"/>
                <w:sz w:val="16"/>
                <w:szCs w:val="16"/>
                <w:lang w:val="es-CO" w:eastAsia="es-CO"/>
              </w:rPr>
            </w:pPr>
            <w:r w:rsidRPr="006204C3">
              <w:rPr>
                <w:rFonts w:ascii="Arial" w:eastAsia="Times New Roman" w:hAnsi="Arial" w:cs="Arial"/>
                <w:b/>
                <w:bCs/>
                <w:color w:val="000000"/>
                <w:sz w:val="16"/>
                <w:szCs w:val="16"/>
                <w:lang w:val="es-CO" w:eastAsia="es-CO"/>
              </w:rPr>
              <w:t>Sentencias</w:t>
            </w:r>
          </w:p>
        </w:tc>
        <w:tc>
          <w:tcPr>
            <w:tcW w:w="650" w:type="pct"/>
            <w:tcBorders>
              <w:top w:val="nil"/>
              <w:left w:val="nil"/>
              <w:bottom w:val="single" w:sz="4" w:space="0" w:color="auto"/>
              <w:right w:val="single" w:sz="4" w:space="0" w:color="auto"/>
            </w:tcBorders>
            <w:shd w:val="clear" w:color="auto" w:fill="auto"/>
            <w:vAlign w:val="center"/>
            <w:hideMark/>
          </w:tcPr>
          <w:p w:rsidR="006204C3" w:rsidRPr="006204C3" w:rsidRDefault="006204C3" w:rsidP="006204C3">
            <w:pPr>
              <w:jc w:val="right"/>
              <w:rPr>
                <w:rFonts w:ascii="Arial" w:eastAsia="Times New Roman" w:hAnsi="Arial" w:cs="Arial"/>
                <w:b/>
                <w:bCs/>
                <w:sz w:val="16"/>
                <w:szCs w:val="16"/>
                <w:lang w:val="es-CO" w:eastAsia="es-CO"/>
              </w:rPr>
            </w:pPr>
            <w:r w:rsidRPr="006204C3">
              <w:rPr>
                <w:rFonts w:ascii="Arial" w:eastAsia="Times New Roman" w:hAnsi="Arial" w:cs="Arial"/>
                <w:b/>
                <w:bCs/>
                <w:sz w:val="16"/>
                <w:szCs w:val="16"/>
                <w:lang w:val="es-CO" w:eastAsia="es-CO"/>
              </w:rPr>
              <w:t> </w:t>
            </w:r>
          </w:p>
        </w:tc>
        <w:tc>
          <w:tcPr>
            <w:tcW w:w="407" w:type="pct"/>
            <w:tcBorders>
              <w:top w:val="nil"/>
              <w:left w:val="nil"/>
              <w:bottom w:val="single" w:sz="4" w:space="0" w:color="auto"/>
              <w:right w:val="single" w:sz="4" w:space="0" w:color="auto"/>
            </w:tcBorders>
            <w:shd w:val="clear" w:color="auto" w:fill="auto"/>
            <w:vAlign w:val="center"/>
            <w:hideMark/>
          </w:tcPr>
          <w:p w:rsidR="006204C3" w:rsidRPr="006204C3" w:rsidRDefault="006204C3" w:rsidP="006204C3">
            <w:pPr>
              <w:jc w:val="right"/>
              <w:rPr>
                <w:rFonts w:ascii="Arial" w:eastAsia="Times New Roman" w:hAnsi="Arial" w:cs="Arial"/>
                <w:b/>
                <w:bCs/>
                <w:sz w:val="16"/>
                <w:szCs w:val="16"/>
                <w:lang w:val="es-CO" w:eastAsia="es-CO"/>
              </w:rPr>
            </w:pPr>
            <w:r w:rsidRPr="006204C3">
              <w:rPr>
                <w:rFonts w:ascii="Arial" w:eastAsia="Times New Roman" w:hAnsi="Arial" w:cs="Arial"/>
                <w:b/>
                <w:bCs/>
                <w:sz w:val="16"/>
                <w:szCs w:val="16"/>
                <w:lang w:val="es-CO" w:eastAsia="es-CO"/>
              </w:rPr>
              <w:t> </w:t>
            </w:r>
          </w:p>
        </w:tc>
        <w:tc>
          <w:tcPr>
            <w:tcW w:w="190" w:type="pct"/>
            <w:tcBorders>
              <w:top w:val="nil"/>
              <w:left w:val="nil"/>
              <w:bottom w:val="nil"/>
              <w:right w:val="nil"/>
            </w:tcBorders>
            <w:shd w:val="clear" w:color="auto" w:fill="auto"/>
            <w:noWrap/>
            <w:vAlign w:val="bottom"/>
            <w:hideMark/>
          </w:tcPr>
          <w:p w:rsidR="006204C3" w:rsidRPr="006204C3" w:rsidRDefault="003C2A5D" w:rsidP="006204C3">
            <w:pPr>
              <w:rPr>
                <w:rFonts w:ascii="Arial" w:eastAsia="Times New Roman" w:hAnsi="Arial" w:cs="Arial"/>
                <w:color w:val="FF0000"/>
                <w:sz w:val="16"/>
                <w:szCs w:val="16"/>
                <w:lang w:val="es-CO" w:eastAsia="es-CO"/>
              </w:rPr>
            </w:pPr>
            <w:r>
              <w:rPr>
                <w:rFonts w:ascii="Arial" w:eastAsia="Times New Roman" w:hAnsi="Arial" w:cs="Arial"/>
                <w:color w:val="FF0000"/>
                <w:sz w:val="16"/>
                <w:szCs w:val="16"/>
                <w:lang w:val="es-CO" w:eastAsia="es-CO"/>
              </w:rPr>
              <w:t>(3)</w:t>
            </w:r>
          </w:p>
        </w:tc>
      </w:tr>
      <w:tr w:rsidR="006204C3" w:rsidRPr="006204C3" w:rsidTr="006204C3">
        <w:trPr>
          <w:trHeight w:val="20"/>
        </w:trPr>
        <w:tc>
          <w:tcPr>
            <w:tcW w:w="3753" w:type="pct"/>
            <w:tcBorders>
              <w:top w:val="nil"/>
              <w:left w:val="single" w:sz="4" w:space="0" w:color="auto"/>
              <w:bottom w:val="single" w:sz="4" w:space="0" w:color="auto"/>
              <w:right w:val="single" w:sz="4" w:space="0" w:color="auto"/>
            </w:tcBorders>
            <w:shd w:val="clear" w:color="000000" w:fill="CCCCFF"/>
            <w:vAlign w:val="center"/>
            <w:hideMark/>
          </w:tcPr>
          <w:p w:rsidR="006204C3" w:rsidRPr="006204C3" w:rsidRDefault="006204C3" w:rsidP="006204C3">
            <w:pPr>
              <w:rPr>
                <w:rFonts w:ascii="Arial" w:eastAsia="Times New Roman" w:hAnsi="Arial" w:cs="Arial"/>
                <w:b/>
                <w:bCs/>
                <w:color w:val="000000"/>
                <w:sz w:val="16"/>
                <w:szCs w:val="16"/>
                <w:lang w:val="es-CO" w:eastAsia="es-CO"/>
              </w:rPr>
            </w:pPr>
            <w:r w:rsidRPr="006204C3">
              <w:rPr>
                <w:rFonts w:ascii="Arial" w:eastAsia="Times New Roman" w:hAnsi="Arial" w:cs="Arial"/>
                <w:b/>
                <w:bCs/>
                <w:color w:val="000000"/>
                <w:sz w:val="16"/>
                <w:szCs w:val="16"/>
                <w:lang w:val="es-CO" w:eastAsia="es-CO"/>
              </w:rPr>
              <w:t>CALIDAD</w:t>
            </w:r>
            <w:r w:rsidRPr="006204C3">
              <w:rPr>
                <w:rFonts w:ascii="Arial" w:eastAsia="Times New Roman" w:hAnsi="Arial" w:cs="Arial"/>
                <w:color w:val="000000"/>
                <w:sz w:val="16"/>
                <w:szCs w:val="16"/>
                <w:lang w:val="es-CO" w:eastAsia="es-CO"/>
              </w:rPr>
              <w:t> </w:t>
            </w:r>
          </w:p>
        </w:tc>
        <w:tc>
          <w:tcPr>
            <w:tcW w:w="650" w:type="pct"/>
            <w:tcBorders>
              <w:top w:val="nil"/>
              <w:left w:val="nil"/>
              <w:bottom w:val="single" w:sz="4" w:space="0" w:color="auto"/>
              <w:right w:val="single" w:sz="4" w:space="0" w:color="auto"/>
            </w:tcBorders>
            <w:shd w:val="clear" w:color="000000" w:fill="CCCCFF"/>
            <w:noWrap/>
            <w:vAlign w:val="center"/>
            <w:hideMark/>
          </w:tcPr>
          <w:p w:rsidR="006204C3" w:rsidRPr="006204C3" w:rsidRDefault="006204C3" w:rsidP="006204C3">
            <w:pPr>
              <w:jc w:val="right"/>
              <w:rPr>
                <w:rFonts w:ascii="Arial" w:eastAsia="Times New Roman" w:hAnsi="Arial" w:cs="Arial"/>
                <w:b/>
                <w:bCs/>
                <w:color w:val="000000"/>
                <w:sz w:val="16"/>
                <w:szCs w:val="16"/>
                <w:lang w:val="es-CO" w:eastAsia="es-CO"/>
              </w:rPr>
            </w:pPr>
            <w:r w:rsidRPr="006204C3">
              <w:rPr>
                <w:rFonts w:ascii="Arial" w:eastAsia="Times New Roman" w:hAnsi="Arial" w:cs="Arial"/>
                <w:b/>
                <w:bCs/>
                <w:color w:val="000000"/>
                <w:sz w:val="16"/>
                <w:szCs w:val="16"/>
                <w:lang w:val="es-CO" w:eastAsia="es-CO"/>
              </w:rPr>
              <w:t>28.936</w:t>
            </w:r>
          </w:p>
        </w:tc>
        <w:tc>
          <w:tcPr>
            <w:tcW w:w="407" w:type="pct"/>
            <w:tcBorders>
              <w:top w:val="nil"/>
              <w:left w:val="nil"/>
              <w:bottom w:val="single" w:sz="4" w:space="0" w:color="auto"/>
              <w:right w:val="single" w:sz="4" w:space="0" w:color="auto"/>
            </w:tcBorders>
            <w:shd w:val="clear" w:color="000000" w:fill="CCCCFF"/>
            <w:noWrap/>
            <w:vAlign w:val="center"/>
            <w:hideMark/>
          </w:tcPr>
          <w:p w:rsidR="006204C3" w:rsidRPr="006204C3" w:rsidRDefault="006204C3" w:rsidP="006204C3">
            <w:pPr>
              <w:jc w:val="right"/>
              <w:rPr>
                <w:rFonts w:ascii="Arial" w:eastAsia="Times New Roman" w:hAnsi="Arial" w:cs="Arial"/>
                <w:b/>
                <w:bCs/>
                <w:color w:val="000000"/>
                <w:sz w:val="16"/>
                <w:szCs w:val="16"/>
                <w:lang w:val="es-CO" w:eastAsia="es-CO"/>
              </w:rPr>
            </w:pPr>
            <w:r w:rsidRPr="006204C3">
              <w:rPr>
                <w:rFonts w:ascii="Arial" w:eastAsia="Times New Roman" w:hAnsi="Arial" w:cs="Arial"/>
                <w:b/>
                <w:bCs/>
                <w:color w:val="000000"/>
                <w:sz w:val="16"/>
                <w:szCs w:val="16"/>
                <w:lang w:val="es-CO" w:eastAsia="es-CO"/>
              </w:rPr>
              <w:t>4.055</w:t>
            </w:r>
          </w:p>
        </w:tc>
        <w:tc>
          <w:tcPr>
            <w:tcW w:w="190" w:type="pct"/>
            <w:tcBorders>
              <w:top w:val="nil"/>
              <w:left w:val="nil"/>
              <w:bottom w:val="nil"/>
              <w:right w:val="nil"/>
            </w:tcBorders>
            <w:shd w:val="clear" w:color="auto" w:fill="auto"/>
            <w:noWrap/>
            <w:vAlign w:val="bottom"/>
            <w:hideMark/>
          </w:tcPr>
          <w:p w:rsidR="006204C3" w:rsidRPr="006204C3" w:rsidRDefault="006204C3" w:rsidP="006204C3">
            <w:pPr>
              <w:jc w:val="right"/>
              <w:rPr>
                <w:rFonts w:ascii="Arial" w:eastAsia="Times New Roman" w:hAnsi="Arial" w:cs="Arial"/>
                <w:b/>
                <w:bCs/>
                <w:color w:val="000000"/>
                <w:sz w:val="16"/>
                <w:szCs w:val="16"/>
                <w:lang w:val="es-CO" w:eastAsia="es-CO"/>
              </w:rPr>
            </w:pPr>
          </w:p>
        </w:tc>
      </w:tr>
      <w:tr w:rsidR="006204C3" w:rsidRPr="006204C3" w:rsidTr="006204C3">
        <w:trPr>
          <w:trHeight w:val="20"/>
        </w:trPr>
        <w:tc>
          <w:tcPr>
            <w:tcW w:w="3753" w:type="pct"/>
            <w:tcBorders>
              <w:top w:val="nil"/>
              <w:left w:val="single" w:sz="4" w:space="0" w:color="auto"/>
              <w:bottom w:val="single" w:sz="4" w:space="0" w:color="auto"/>
              <w:right w:val="single" w:sz="4" w:space="0" w:color="auto"/>
            </w:tcBorders>
            <w:shd w:val="clear" w:color="000000" w:fill="FFFFFF"/>
            <w:vAlign w:val="center"/>
            <w:hideMark/>
          </w:tcPr>
          <w:p w:rsidR="006204C3" w:rsidRPr="006204C3" w:rsidRDefault="006204C3" w:rsidP="006204C3">
            <w:pPr>
              <w:rPr>
                <w:rFonts w:ascii="Arial" w:eastAsia="Times New Roman" w:hAnsi="Arial" w:cs="Arial"/>
                <w:color w:val="000000"/>
                <w:sz w:val="16"/>
                <w:szCs w:val="16"/>
                <w:lang w:val="es-CO" w:eastAsia="es-CO"/>
              </w:rPr>
            </w:pPr>
            <w:r w:rsidRPr="006204C3">
              <w:rPr>
                <w:rFonts w:ascii="Arial" w:eastAsia="Times New Roman" w:hAnsi="Arial" w:cs="Arial"/>
                <w:color w:val="000000"/>
                <w:sz w:val="16"/>
                <w:szCs w:val="16"/>
                <w:lang w:val="es-CO" w:eastAsia="es-CO"/>
              </w:rPr>
              <w:t xml:space="preserve">Preinversión, Estudios, Diseños, Consultorías, asesorías e Interventorías </w:t>
            </w:r>
          </w:p>
        </w:tc>
        <w:tc>
          <w:tcPr>
            <w:tcW w:w="650" w:type="pct"/>
            <w:tcBorders>
              <w:top w:val="nil"/>
              <w:left w:val="nil"/>
              <w:bottom w:val="single" w:sz="4" w:space="0" w:color="auto"/>
              <w:right w:val="single" w:sz="4" w:space="0" w:color="auto"/>
            </w:tcBorders>
            <w:shd w:val="clear" w:color="auto" w:fill="auto"/>
            <w:noWrap/>
            <w:vAlign w:val="center"/>
            <w:hideMark/>
          </w:tcPr>
          <w:p w:rsidR="006204C3" w:rsidRPr="006204C3" w:rsidRDefault="006204C3" w:rsidP="006204C3">
            <w:pPr>
              <w:jc w:val="right"/>
              <w:rPr>
                <w:rFonts w:ascii="Arial" w:eastAsia="Times New Roman" w:hAnsi="Arial" w:cs="Arial"/>
                <w:color w:val="000000"/>
                <w:sz w:val="16"/>
                <w:szCs w:val="16"/>
                <w:lang w:val="es-CO" w:eastAsia="es-CO"/>
              </w:rPr>
            </w:pPr>
            <w:r w:rsidRPr="006204C3">
              <w:rPr>
                <w:rFonts w:ascii="Arial" w:eastAsia="Times New Roman" w:hAnsi="Arial" w:cs="Arial"/>
                <w:color w:val="000000"/>
                <w:sz w:val="16"/>
                <w:szCs w:val="16"/>
                <w:lang w:val="es-CO" w:eastAsia="es-CO"/>
              </w:rPr>
              <w:t>925</w:t>
            </w:r>
          </w:p>
        </w:tc>
        <w:tc>
          <w:tcPr>
            <w:tcW w:w="407" w:type="pct"/>
            <w:tcBorders>
              <w:top w:val="nil"/>
              <w:left w:val="nil"/>
              <w:bottom w:val="single" w:sz="4" w:space="0" w:color="auto"/>
              <w:right w:val="single" w:sz="4" w:space="0" w:color="auto"/>
            </w:tcBorders>
            <w:shd w:val="clear" w:color="auto" w:fill="auto"/>
            <w:vAlign w:val="center"/>
            <w:hideMark/>
          </w:tcPr>
          <w:p w:rsidR="006204C3" w:rsidRPr="006204C3" w:rsidRDefault="006204C3" w:rsidP="006204C3">
            <w:pPr>
              <w:jc w:val="right"/>
              <w:rPr>
                <w:rFonts w:ascii="Arial" w:eastAsia="Times New Roman" w:hAnsi="Arial" w:cs="Arial"/>
                <w:b/>
                <w:bCs/>
                <w:sz w:val="16"/>
                <w:szCs w:val="16"/>
                <w:lang w:val="es-CO" w:eastAsia="es-CO"/>
              </w:rPr>
            </w:pPr>
            <w:r w:rsidRPr="006204C3">
              <w:rPr>
                <w:rFonts w:ascii="Arial" w:eastAsia="Times New Roman" w:hAnsi="Arial" w:cs="Arial"/>
                <w:b/>
                <w:bCs/>
                <w:sz w:val="16"/>
                <w:szCs w:val="16"/>
                <w:lang w:val="es-CO" w:eastAsia="es-CO"/>
              </w:rPr>
              <w:t>705</w:t>
            </w:r>
          </w:p>
        </w:tc>
        <w:tc>
          <w:tcPr>
            <w:tcW w:w="190" w:type="pct"/>
            <w:tcBorders>
              <w:top w:val="nil"/>
              <w:left w:val="nil"/>
              <w:bottom w:val="nil"/>
              <w:right w:val="nil"/>
            </w:tcBorders>
            <w:shd w:val="clear" w:color="auto" w:fill="auto"/>
            <w:noWrap/>
            <w:vAlign w:val="bottom"/>
            <w:hideMark/>
          </w:tcPr>
          <w:p w:rsidR="006204C3" w:rsidRPr="006204C3" w:rsidRDefault="006204C3" w:rsidP="006204C3">
            <w:pPr>
              <w:jc w:val="right"/>
              <w:rPr>
                <w:rFonts w:ascii="Arial" w:eastAsia="Times New Roman" w:hAnsi="Arial" w:cs="Arial"/>
                <w:b/>
                <w:bCs/>
                <w:sz w:val="16"/>
                <w:szCs w:val="16"/>
                <w:lang w:val="es-CO" w:eastAsia="es-CO"/>
              </w:rPr>
            </w:pPr>
          </w:p>
        </w:tc>
      </w:tr>
      <w:tr w:rsidR="006204C3" w:rsidRPr="006204C3" w:rsidTr="006204C3">
        <w:trPr>
          <w:trHeight w:val="20"/>
        </w:trPr>
        <w:tc>
          <w:tcPr>
            <w:tcW w:w="3753" w:type="pct"/>
            <w:tcBorders>
              <w:top w:val="nil"/>
              <w:left w:val="single" w:sz="4" w:space="0" w:color="auto"/>
              <w:bottom w:val="single" w:sz="4" w:space="0" w:color="auto"/>
              <w:right w:val="single" w:sz="4" w:space="0" w:color="auto"/>
            </w:tcBorders>
            <w:shd w:val="clear" w:color="000000" w:fill="FFFFFF"/>
            <w:vAlign w:val="center"/>
            <w:hideMark/>
          </w:tcPr>
          <w:p w:rsidR="006204C3" w:rsidRPr="006204C3" w:rsidRDefault="006204C3" w:rsidP="006204C3">
            <w:pPr>
              <w:rPr>
                <w:rFonts w:ascii="Arial" w:eastAsia="Times New Roman" w:hAnsi="Arial" w:cs="Arial"/>
                <w:color w:val="000000"/>
                <w:sz w:val="16"/>
                <w:szCs w:val="16"/>
                <w:lang w:val="es-CO" w:eastAsia="es-CO"/>
              </w:rPr>
            </w:pPr>
            <w:r w:rsidRPr="006204C3">
              <w:rPr>
                <w:rFonts w:ascii="Arial" w:eastAsia="Times New Roman" w:hAnsi="Arial" w:cs="Arial"/>
                <w:color w:val="000000"/>
                <w:sz w:val="16"/>
                <w:szCs w:val="16"/>
                <w:lang w:val="es-CO" w:eastAsia="es-CO"/>
              </w:rPr>
              <w:t>Pago Servicios Públicos de las Instituciones Educativas </w:t>
            </w:r>
          </w:p>
        </w:tc>
        <w:tc>
          <w:tcPr>
            <w:tcW w:w="650" w:type="pct"/>
            <w:tcBorders>
              <w:top w:val="nil"/>
              <w:left w:val="nil"/>
              <w:bottom w:val="single" w:sz="4" w:space="0" w:color="auto"/>
              <w:right w:val="single" w:sz="4" w:space="0" w:color="auto"/>
            </w:tcBorders>
            <w:shd w:val="clear" w:color="auto" w:fill="auto"/>
            <w:vAlign w:val="center"/>
            <w:hideMark/>
          </w:tcPr>
          <w:p w:rsidR="006204C3" w:rsidRPr="006204C3" w:rsidRDefault="006204C3" w:rsidP="006204C3">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xml:space="preserve"> </w:t>
            </w:r>
            <w:r w:rsidRPr="006204C3">
              <w:rPr>
                <w:rFonts w:ascii="Arial" w:eastAsia="Times New Roman" w:hAnsi="Arial" w:cs="Arial"/>
                <w:b/>
                <w:bCs/>
                <w:color w:val="000000"/>
                <w:sz w:val="16"/>
                <w:szCs w:val="16"/>
                <w:lang w:val="es-CO" w:eastAsia="es-CO"/>
              </w:rPr>
              <w:t xml:space="preserve">3.131 </w:t>
            </w:r>
          </w:p>
        </w:tc>
        <w:tc>
          <w:tcPr>
            <w:tcW w:w="407" w:type="pct"/>
            <w:tcBorders>
              <w:top w:val="nil"/>
              <w:left w:val="nil"/>
              <w:bottom w:val="single" w:sz="4" w:space="0" w:color="auto"/>
              <w:right w:val="single" w:sz="4" w:space="0" w:color="auto"/>
            </w:tcBorders>
            <w:shd w:val="clear" w:color="auto" w:fill="auto"/>
            <w:vAlign w:val="center"/>
            <w:hideMark/>
          </w:tcPr>
          <w:p w:rsidR="006204C3" w:rsidRPr="006204C3" w:rsidRDefault="006204C3" w:rsidP="006204C3">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xml:space="preserve"> </w:t>
            </w:r>
            <w:r w:rsidRPr="006204C3">
              <w:rPr>
                <w:rFonts w:ascii="Arial" w:eastAsia="Times New Roman" w:hAnsi="Arial" w:cs="Arial"/>
                <w:b/>
                <w:bCs/>
                <w:color w:val="000000"/>
                <w:sz w:val="16"/>
                <w:szCs w:val="16"/>
                <w:lang w:val="es-CO" w:eastAsia="es-CO"/>
              </w:rPr>
              <w:t xml:space="preserve">2.431 </w:t>
            </w:r>
          </w:p>
        </w:tc>
        <w:tc>
          <w:tcPr>
            <w:tcW w:w="190" w:type="pct"/>
            <w:tcBorders>
              <w:top w:val="nil"/>
              <w:left w:val="nil"/>
              <w:bottom w:val="nil"/>
              <w:right w:val="nil"/>
            </w:tcBorders>
            <w:shd w:val="clear" w:color="auto" w:fill="auto"/>
            <w:noWrap/>
            <w:vAlign w:val="bottom"/>
            <w:hideMark/>
          </w:tcPr>
          <w:p w:rsidR="006204C3" w:rsidRPr="006204C3" w:rsidRDefault="006204C3" w:rsidP="006204C3">
            <w:pPr>
              <w:rPr>
                <w:rFonts w:ascii="Arial" w:eastAsia="Times New Roman" w:hAnsi="Arial" w:cs="Arial"/>
                <w:b/>
                <w:bCs/>
                <w:color w:val="000000"/>
                <w:sz w:val="16"/>
                <w:szCs w:val="16"/>
                <w:lang w:val="es-CO" w:eastAsia="es-CO"/>
              </w:rPr>
            </w:pPr>
          </w:p>
        </w:tc>
      </w:tr>
      <w:tr w:rsidR="006204C3" w:rsidRPr="006204C3" w:rsidTr="006204C3">
        <w:trPr>
          <w:trHeight w:val="20"/>
        </w:trPr>
        <w:tc>
          <w:tcPr>
            <w:tcW w:w="3753" w:type="pct"/>
            <w:tcBorders>
              <w:top w:val="nil"/>
              <w:left w:val="single" w:sz="4" w:space="0" w:color="auto"/>
              <w:bottom w:val="single" w:sz="4" w:space="0" w:color="auto"/>
              <w:right w:val="single" w:sz="4" w:space="0" w:color="auto"/>
            </w:tcBorders>
            <w:shd w:val="clear" w:color="000000" w:fill="FFFFFF"/>
            <w:vAlign w:val="center"/>
            <w:hideMark/>
          </w:tcPr>
          <w:p w:rsidR="006204C3" w:rsidRPr="006204C3" w:rsidRDefault="006204C3" w:rsidP="006204C3">
            <w:pPr>
              <w:rPr>
                <w:rFonts w:ascii="Arial" w:eastAsia="Times New Roman" w:hAnsi="Arial" w:cs="Arial"/>
                <w:color w:val="000000"/>
                <w:sz w:val="16"/>
                <w:szCs w:val="16"/>
                <w:lang w:val="es-CO" w:eastAsia="es-CO"/>
              </w:rPr>
            </w:pPr>
            <w:r w:rsidRPr="006204C3">
              <w:rPr>
                <w:rFonts w:ascii="Arial" w:eastAsia="Times New Roman" w:hAnsi="Arial" w:cs="Arial"/>
                <w:color w:val="000000"/>
                <w:sz w:val="16"/>
                <w:szCs w:val="16"/>
                <w:lang w:val="es-CO" w:eastAsia="es-CO"/>
              </w:rPr>
              <w:t>Capacitación a Docentes y Directivos Docentes </w:t>
            </w:r>
          </w:p>
        </w:tc>
        <w:tc>
          <w:tcPr>
            <w:tcW w:w="650" w:type="pct"/>
            <w:tcBorders>
              <w:top w:val="nil"/>
              <w:left w:val="nil"/>
              <w:bottom w:val="single" w:sz="4" w:space="0" w:color="auto"/>
              <w:right w:val="single" w:sz="4" w:space="0" w:color="auto"/>
            </w:tcBorders>
            <w:shd w:val="clear" w:color="auto" w:fill="auto"/>
            <w:vAlign w:val="center"/>
            <w:hideMark/>
          </w:tcPr>
          <w:p w:rsidR="006204C3" w:rsidRPr="006204C3" w:rsidRDefault="006204C3" w:rsidP="006204C3">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xml:space="preserve"> </w:t>
            </w:r>
            <w:r w:rsidRPr="006204C3">
              <w:rPr>
                <w:rFonts w:ascii="Arial" w:eastAsia="Times New Roman" w:hAnsi="Arial" w:cs="Arial"/>
                <w:b/>
                <w:bCs/>
                <w:color w:val="000000"/>
                <w:sz w:val="16"/>
                <w:szCs w:val="16"/>
                <w:lang w:val="es-CO" w:eastAsia="es-CO"/>
              </w:rPr>
              <w:t xml:space="preserve">23 </w:t>
            </w:r>
          </w:p>
        </w:tc>
        <w:tc>
          <w:tcPr>
            <w:tcW w:w="407" w:type="pct"/>
            <w:tcBorders>
              <w:top w:val="nil"/>
              <w:left w:val="nil"/>
              <w:bottom w:val="single" w:sz="4" w:space="0" w:color="auto"/>
              <w:right w:val="single" w:sz="4" w:space="0" w:color="auto"/>
            </w:tcBorders>
            <w:shd w:val="clear" w:color="auto" w:fill="auto"/>
            <w:vAlign w:val="center"/>
            <w:hideMark/>
          </w:tcPr>
          <w:p w:rsidR="006204C3" w:rsidRPr="006204C3" w:rsidRDefault="006204C3" w:rsidP="006204C3">
            <w:pPr>
              <w:jc w:val="right"/>
              <w:rPr>
                <w:rFonts w:ascii="Arial" w:eastAsia="Times New Roman" w:hAnsi="Arial" w:cs="Arial"/>
                <w:b/>
                <w:bCs/>
                <w:color w:val="000000"/>
                <w:sz w:val="16"/>
                <w:szCs w:val="16"/>
                <w:lang w:val="es-CO" w:eastAsia="es-CO"/>
              </w:rPr>
            </w:pPr>
            <w:r w:rsidRPr="006204C3">
              <w:rPr>
                <w:rFonts w:ascii="Arial" w:eastAsia="Times New Roman" w:hAnsi="Arial" w:cs="Arial"/>
                <w:b/>
                <w:bCs/>
                <w:color w:val="000000"/>
                <w:sz w:val="16"/>
                <w:szCs w:val="16"/>
                <w:lang w:val="es-CO" w:eastAsia="es-CO"/>
              </w:rPr>
              <w:t> </w:t>
            </w:r>
          </w:p>
        </w:tc>
        <w:tc>
          <w:tcPr>
            <w:tcW w:w="190" w:type="pct"/>
            <w:tcBorders>
              <w:top w:val="nil"/>
              <w:left w:val="nil"/>
              <w:bottom w:val="nil"/>
              <w:right w:val="nil"/>
            </w:tcBorders>
            <w:shd w:val="clear" w:color="auto" w:fill="auto"/>
            <w:noWrap/>
            <w:vAlign w:val="bottom"/>
            <w:hideMark/>
          </w:tcPr>
          <w:p w:rsidR="006204C3" w:rsidRPr="006204C3" w:rsidRDefault="006204C3" w:rsidP="006204C3">
            <w:pPr>
              <w:rPr>
                <w:rFonts w:ascii="Arial" w:eastAsia="Times New Roman" w:hAnsi="Arial" w:cs="Arial"/>
                <w:b/>
                <w:bCs/>
                <w:color w:val="000000"/>
                <w:sz w:val="16"/>
                <w:szCs w:val="16"/>
                <w:lang w:val="es-CO" w:eastAsia="es-CO"/>
              </w:rPr>
            </w:pPr>
          </w:p>
        </w:tc>
      </w:tr>
      <w:tr w:rsidR="006204C3" w:rsidRPr="006204C3" w:rsidTr="006204C3">
        <w:trPr>
          <w:trHeight w:val="20"/>
        </w:trPr>
        <w:tc>
          <w:tcPr>
            <w:tcW w:w="3753" w:type="pct"/>
            <w:tcBorders>
              <w:top w:val="nil"/>
              <w:left w:val="single" w:sz="4" w:space="0" w:color="auto"/>
              <w:bottom w:val="single" w:sz="4" w:space="0" w:color="auto"/>
              <w:right w:val="single" w:sz="4" w:space="0" w:color="auto"/>
            </w:tcBorders>
            <w:shd w:val="clear" w:color="000000" w:fill="FFFFFF"/>
            <w:vAlign w:val="center"/>
            <w:hideMark/>
          </w:tcPr>
          <w:p w:rsidR="006204C3" w:rsidRPr="006204C3" w:rsidRDefault="006204C3" w:rsidP="006204C3">
            <w:pPr>
              <w:rPr>
                <w:rFonts w:ascii="Arial" w:eastAsia="Times New Roman" w:hAnsi="Arial" w:cs="Arial"/>
                <w:color w:val="000000"/>
                <w:sz w:val="16"/>
                <w:szCs w:val="16"/>
                <w:lang w:val="es-CO" w:eastAsia="es-CO"/>
              </w:rPr>
            </w:pPr>
            <w:r w:rsidRPr="006204C3">
              <w:rPr>
                <w:rFonts w:ascii="Arial" w:eastAsia="Times New Roman" w:hAnsi="Arial" w:cs="Arial"/>
                <w:color w:val="000000"/>
                <w:sz w:val="16"/>
                <w:szCs w:val="16"/>
                <w:lang w:val="es-CO" w:eastAsia="es-CO"/>
              </w:rPr>
              <w:t>Funcionamiento Básico de los Establecimientos Educativos </w:t>
            </w:r>
          </w:p>
        </w:tc>
        <w:tc>
          <w:tcPr>
            <w:tcW w:w="650" w:type="pct"/>
            <w:tcBorders>
              <w:top w:val="nil"/>
              <w:left w:val="nil"/>
              <w:bottom w:val="single" w:sz="4" w:space="0" w:color="auto"/>
              <w:right w:val="single" w:sz="4" w:space="0" w:color="auto"/>
            </w:tcBorders>
            <w:shd w:val="clear" w:color="auto" w:fill="auto"/>
            <w:vAlign w:val="center"/>
            <w:hideMark/>
          </w:tcPr>
          <w:p w:rsidR="006204C3" w:rsidRPr="006204C3" w:rsidRDefault="006204C3" w:rsidP="006204C3">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xml:space="preserve"> </w:t>
            </w:r>
            <w:r w:rsidRPr="006204C3">
              <w:rPr>
                <w:rFonts w:ascii="Arial" w:eastAsia="Times New Roman" w:hAnsi="Arial" w:cs="Arial"/>
                <w:b/>
                <w:bCs/>
                <w:color w:val="000000"/>
                <w:sz w:val="16"/>
                <w:szCs w:val="16"/>
                <w:lang w:val="es-CO" w:eastAsia="es-CO"/>
              </w:rPr>
              <w:t xml:space="preserve">59 </w:t>
            </w:r>
          </w:p>
        </w:tc>
        <w:tc>
          <w:tcPr>
            <w:tcW w:w="407" w:type="pct"/>
            <w:tcBorders>
              <w:top w:val="nil"/>
              <w:left w:val="nil"/>
              <w:bottom w:val="single" w:sz="4" w:space="0" w:color="auto"/>
              <w:right w:val="single" w:sz="4" w:space="0" w:color="auto"/>
            </w:tcBorders>
            <w:shd w:val="clear" w:color="auto" w:fill="auto"/>
            <w:vAlign w:val="center"/>
            <w:hideMark/>
          </w:tcPr>
          <w:p w:rsidR="006204C3" w:rsidRPr="006204C3" w:rsidRDefault="006204C3" w:rsidP="006204C3">
            <w:pPr>
              <w:jc w:val="right"/>
              <w:rPr>
                <w:rFonts w:ascii="Arial" w:eastAsia="Times New Roman" w:hAnsi="Arial" w:cs="Arial"/>
                <w:b/>
                <w:bCs/>
                <w:color w:val="000000"/>
                <w:sz w:val="16"/>
                <w:szCs w:val="16"/>
                <w:lang w:val="es-CO" w:eastAsia="es-CO"/>
              </w:rPr>
            </w:pPr>
            <w:r w:rsidRPr="006204C3">
              <w:rPr>
                <w:rFonts w:ascii="Arial" w:eastAsia="Times New Roman" w:hAnsi="Arial" w:cs="Arial"/>
                <w:b/>
                <w:bCs/>
                <w:color w:val="000000"/>
                <w:sz w:val="16"/>
                <w:szCs w:val="16"/>
                <w:lang w:val="es-CO" w:eastAsia="es-CO"/>
              </w:rPr>
              <w:t> </w:t>
            </w:r>
          </w:p>
        </w:tc>
        <w:tc>
          <w:tcPr>
            <w:tcW w:w="190" w:type="pct"/>
            <w:tcBorders>
              <w:top w:val="nil"/>
              <w:left w:val="nil"/>
              <w:bottom w:val="nil"/>
              <w:right w:val="nil"/>
            </w:tcBorders>
            <w:shd w:val="clear" w:color="auto" w:fill="auto"/>
            <w:noWrap/>
            <w:vAlign w:val="bottom"/>
            <w:hideMark/>
          </w:tcPr>
          <w:p w:rsidR="006204C3" w:rsidRPr="006204C3" w:rsidRDefault="006204C3" w:rsidP="006204C3">
            <w:pPr>
              <w:rPr>
                <w:rFonts w:ascii="Arial" w:eastAsia="Times New Roman" w:hAnsi="Arial" w:cs="Arial"/>
                <w:b/>
                <w:bCs/>
                <w:color w:val="000000"/>
                <w:sz w:val="16"/>
                <w:szCs w:val="16"/>
                <w:lang w:val="es-CO" w:eastAsia="es-CO"/>
              </w:rPr>
            </w:pPr>
          </w:p>
        </w:tc>
      </w:tr>
      <w:tr w:rsidR="006204C3" w:rsidRPr="006204C3" w:rsidTr="006204C3">
        <w:trPr>
          <w:trHeight w:val="20"/>
        </w:trPr>
        <w:tc>
          <w:tcPr>
            <w:tcW w:w="3753" w:type="pct"/>
            <w:tcBorders>
              <w:top w:val="nil"/>
              <w:left w:val="single" w:sz="4" w:space="0" w:color="auto"/>
              <w:bottom w:val="single" w:sz="4" w:space="0" w:color="auto"/>
              <w:right w:val="single" w:sz="4" w:space="0" w:color="auto"/>
            </w:tcBorders>
            <w:shd w:val="clear" w:color="000000" w:fill="FFFFFF"/>
            <w:vAlign w:val="center"/>
            <w:hideMark/>
          </w:tcPr>
          <w:p w:rsidR="006204C3" w:rsidRPr="006204C3" w:rsidRDefault="006204C3" w:rsidP="006204C3">
            <w:pPr>
              <w:rPr>
                <w:rFonts w:ascii="Arial" w:eastAsia="Times New Roman" w:hAnsi="Arial" w:cs="Arial"/>
                <w:color w:val="000000"/>
                <w:sz w:val="16"/>
                <w:szCs w:val="16"/>
                <w:lang w:val="es-CO" w:eastAsia="es-CO"/>
              </w:rPr>
            </w:pPr>
            <w:r w:rsidRPr="006204C3">
              <w:rPr>
                <w:rFonts w:ascii="Arial" w:eastAsia="Times New Roman" w:hAnsi="Arial" w:cs="Arial"/>
                <w:color w:val="000000"/>
                <w:sz w:val="16"/>
                <w:szCs w:val="16"/>
                <w:lang w:val="es-CO" w:eastAsia="es-CO"/>
              </w:rPr>
              <w:t xml:space="preserve">Alimentación Escolar </w:t>
            </w:r>
          </w:p>
        </w:tc>
        <w:tc>
          <w:tcPr>
            <w:tcW w:w="650" w:type="pct"/>
            <w:tcBorders>
              <w:top w:val="nil"/>
              <w:left w:val="nil"/>
              <w:bottom w:val="single" w:sz="4" w:space="0" w:color="auto"/>
              <w:right w:val="single" w:sz="4" w:space="0" w:color="auto"/>
            </w:tcBorders>
            <w:shd w:val="clear" w:color="auto" w:fill="auto"/>
            <w:noWrap/>
            <w:vAlign w:val="bottom"/>
            <w:hideMark/>
          </w:tcPr>
          <w:p w:rsidR="006204C3" w:rsidRPr="006204C3" w:rsidRDefault="006204C3" w:rsidP="006204C3">
            <w:pPr>
              <w:jc w:val="right"/>
              <w:rPr>
                <w:rFonts w:ascii="Arial" w:eastAsia="Times New Roman" w:hAnsi="Arial" w:cs="Arial"/>
                <w:color w:val="000000"/>
                <w:sz w:val="16"/>
                <w:szCs w:val="16"/>
                <w:lang w:val="es-CO" w:eastAsia="es-CO"/>
              </w:rPr>
            </w:pPr>
            <w:r w:rsidRPr="006204C3">
              <w:rPr>
                <w:rFonts w:ascii="Arial" w:eastAsia="Times New Roman" w:hAnsi="Arial" w:cs="Arial"/>
                <w:color w:val="000000"/>
                <w:sz w:val="16"/>
                <w:szCs w:val="16"/>
                <w:lang w:val="es-CO" w:eastAsia="es-CO"/>
              </w:rPr>
              <w:t> </w:t>
            </w:r>
          </w:p>
        </w:tc>
        <w:tc>
          <w:tcPr>
            <w:tcW w:w="407" w:type="pct"/>
            <w:tcBorders>
              <w:top w:val="nil"/>
              <w:left w:val="nil"/>
              <w:bottom w:val="single" w:sz="4" w:space="0" w:color="auto"/>
              <w:right w:val="single" w:sz="4" w:space="0" w:color="auto"/>
            </w:tcBorders>
            <w:shd w:val="clear" w:color="auto" w:fill="auto"/>
            <w:noWrap/>
            <w:vAlign w:val="bottom"/>
            <w:hideMark/>
          </w:tcPr>
          <w:p w:rsidR="006204C3" w:rsidRPr="006204C3" w:rsidRDefault="006204C3" w:rsidP="006204C3">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Pr="006204C3">
              <w:rPr>
                <w:rFonts w:ascii="Arial" w:eastAsia="Times New Roman" w:hAnsi="Arial" w:cs="Arial"/>
                <w:color w:val="000000"/>
                <w:sz w:val="16"/>
                <w:szCs w:val="16"/>
                <w:lang w:val="es-CO" w:eastAsia="es-CO"/>
              </w:rPr>
              <w:t xml:space="preserve">919 </w:t>
            </w:r>
          </w:p>
        </w:tc>
        <w:tc>
          <w:tcPr>
            <w:tcW w:w="190" w:type="pct"/>
            <w:tcBorders>
              <w:top w:val="nil"/>
              <w:left w:val="nil"/>
              <w:bottom w:val="nil"/>
              <w:right w:val="nil"/>
            </w:tcBorders>
            <w:shd w:val="clear" w:color="auto" w:fill="auto"/>
            <w:noWrap/>
            <w:vAlign w:val="bottom"/>
            <w:hideMark/>
          </w:tcPr>
          <w:p w:rsidR="006204C3" w:rsidRPr="006204C3" w:rsidRDefault="006204C3" w:rsidP="006204C3">
            <w:pPr>
              <w:rPr>
                <w:rFonts w:ascii="Arial" w:eastAsia="Times New Roman" w:hAnsi="Arial" w:cs="Arial"/>
                <w:color w:val="000000"/>
                <w:sz w:val="16"/>
                <w:szCs w:val="16"/>
                <w:lang w:val="es-CO" w:eastAsia="es-CO"/>
              </w:rPr>
            </w:pPr>
          </w:p>
        </w:tc>
      </w:tr>
      <w:tr w:rsidR="006204C3" w:rsidRPr="006204C3" w:rsidTr="006204C3">
        <w:trPr>
          <w:trHeight w:val="20"/>
        </w:trPr>
        <w:tc>
          <w:tcPr>
            <w:tcW w:w="3753" w:type="pct"/>
            <w:tcBorders>
              <w:top w:val="nil"/>
              <w:left w:val="single" w:sz="4" w:space="0" w:color="auto"/>
              <w:bottom w:val="single" w:sz="4" w:space="0" w:color="auto"/>
              <w:right w:val="single" w:sz="4" w:space="0" w:color="auto"/>
            </w:tcBorders>
            <w:shd w:val="clear" w:color="000000" w:fill="FFFFFF"/>
            <w:vAlign w:val="center"/>
            <w:hideMark/>
          </w:tcPr>
          <w:p w:rsidR="006204C3" w:rsidRPr="006204C3" w:rsidRDefault="006204C3" w:rsidP="006204C3">
            <w:pPr>
              <w:rPr>
                <w:rFonts w:ascii="Arial" w:eastAsia="Times New Roman" w:hAnsi="Arial" w:cs="Arial"/>
                <w:color w:val="000000"/>
                <w:sz w:val="16"/>
                <w:szCs w:val="16"/>
                <w:lang w:val="es-CO" w:eastAsia="es-CO"/>
              </w:rPr>
            </w:pPr>
            <w:r w:rsidRPr="006204C3">
              <w:rPr>
                <w:rFonts w:ascii="Arial" w:eastAsia="Times New Roman" w:hAnsi="Arial" w:cs="Arial"/>
                <w:color w:val="000000"/>
                <w:sz w:val="16"/>
                <w:szCs w:val="16"/>
                <w:lang w:val="es-CO" w:eastAsia="es-CO"/>
              </w:rPr>
              <w:t>Costos Derivados del Mejoramiento de la Calidad Educativa</w:t>
            </w:r>
          </w:p>
        </w:tc>
        <w:tc>
          <w:tcPr>
            <w:tcW w:w="650" w:type="pct"/>
            <w:tcBorders>
              <w:top w:val="nil"/>
              <w:left w:val="nil"/>
              <w:bottom w:val="single" w:sz="4" w:space="0" w:color="auto"/>
              <w:right w:val="single" w:sz="4" w:space="0" w:color="auto"/>
            </w:tcBorders>
            <w:shd w:val="clear" w:color="auto" w:fill="auto"/>
            <w:noWrap/>
            <w:vAlign w:val="bottom"/>
            <w:hideMark/>
          </w:tcPr>
          <w:p w:rsidR="006204C3" w:rsidRPr="006204C3" w:rsidRDefault="006204C3" w:rsidP="006204C3">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Pr="006204C3">
              <w:rPr>
                <w:rFonts w:ascii="Arial" w:eastAsia="Times New Roman" w:hAnsi="Arial" w:cs="Arial"/>
                <w:color w:val="000000"/>
                <w:sz w:val="16"/>
                <w:szCs w:val="16"/>
                <w:lang w:val="es-CO" w:eastAsia="es-CO"/>
              </w:rPr>
              <w:t xml:space="preserve">24.798 </w:t>
            </w:r>
          </w:p>
        </w:tc>
        <w:tc>
          <w:tcPr>
            <w:tcW w:w="407" w:type="pct"/>
            <w:tcBorders>
              <w:top w:val="nil"/>
              <w:left w:val="nil"/>
              <w:bottom w:val="single" w:sz="4" w:space="0" w:color="auto"/>
              <w:right w:val="single" w:sz="4" w:space="0" w:color="auto"/>
            </w:tcBorders>
            <w:shd w:val="clear" w:color="auto" w:fill="auto"/>
            <w:noWrap/>
            <w:vAlign w:val="bottom"/>
            <w:hideMark/>
          </w:tcPr>
          <w:p w:rsidR="006204C3" w:rsidRPr="006204C3" w:rsidRDefault="006204C3" w:rsidP="006204C3">
            <w:pPr>
              <w:jc w:val="right"/>
              <w:rPr>
                <w:rFonts w:ascii="Arial" w:eastAsia="Times New Roman" w:hAnsi="Arial" w:cs="Arial"/>
                <w:color w:val="000000"/>
                <w:sz w:val="16"/>
                <w:szCs w:val="16"/>
                <w:lang w:val="es-CO" w:eastAsia="es-CO"/>
              </w:rPr>
            </w:pPr>
            <w:r w:rsidRPr="006204C3">
              <w:rPr>
                <w:rFonts w:ascii="Arial" w:eastAsia="Times New Roman" w:hAnsi="Arial" w:cs="Arial"/>
                <w:color w:val="000000"/>
                <w:sz w:val="16"/>
                <w:szCs w:val="16"/>
                <w:lang w:val="es-CO" w:eastAsia="es-CO"/>
              </w:rPr>
              <w:t> </w:t>
            </w:r>
          </w:p>
        </w:tc>
        <w:tc>
          <w:tcPr>
            <w:tcW w:w="190" w:type="pct"/>
            <w:tcBorders>
              <w:top w:val="nil"/>
              <w:left w:val="nil"/>
              <w:bottom w:val="nil"/>
              <w:right w:val="nil"/>
            </w:tcBorders>
            <w:shd w:val="clear" w:color="auto" w:fill="auto"/>
            <w:noWrap/>
            <w:vAlign w:val="bottom"/>
            <w:hideMark/>
          </w:tcPr>
          <w:p w:rsidR="006204C3" w:rsidRPr="006204C3" w:rsidRDefault="003C2A5D" w:rsidP="006204C3">
            <w:pPr>
              <w:rPr>
                <w:rFonts w:ascii="Arial" w:eastAsia="Times New Roman" w:hAnsi="Arial" w:cs="Arial"/>
                <w:color w:val="FF0000"/>
                <w:sz w:val="16"/>
                <w:szCs w:val="16"/>
                <w:lang w:val="es-CO" w:eastAsia="es-CO"/>
              </w:rPr>
            </w:pPr>
            <w:r>
              <w:rPr>
                <w:rFonts w:ascii="Arial" w:eastAsia="Times New Roman" w:hAnsi="Arial" w:cs="Arial"/>
                <w:color w:val="FF0000"/>
                <w:sz w:val="16"/>
                <w:szCs w:val="16"/>
                <w:lang w:val="es-CO" w:eastAsia="es-CO"/>
              </w:rPr>
              <w:t>(1)</w:t>
            </w:r>
          </w:p>
        </w:tc>
      </w:tr>
      <w:tr w:rsidR="006204C3" w:rsidRPr="006204C3" w:rsidTr="006204C3">
        <w:trPr>
          <w:trHeight w:val="20"/>
        </w:trPr>
        <w:tc>
          <w:tcPr>
            <w:tcW w:w="3753" w:type="pct"/>
            <w:tcBorders>
              <w:top w:val="nil"/>
              <w:left w:val="single" w:sz="4" w:space="0" w:color="auto"/>
              <w:bottom w:val="single" w:sz="4" w:space="0" w:color="auto"/>
              <w:right w:val="single" w:sz="4" w:space="0" w:color="auto"/>
            </w:tcBorders>
            <w:shd w:val="clear" w:color="000000" w:fill="CCCCFF"/>
            <w:vAlign w:val="center"/>
            <w:hideMark/>
          </w:tcPr>
          <w:p w:rsidR="006204C3" w:rsidRPr="006204C3" w:rsidRDefault="006204C3" w:rsidP="006204C3">
            <w:pPr>
              <w:rPr>
                <w:rFonts w:ascii="Arial" w:eastAsia="Times New Roman" w:hAnsi="Arial" w:cs="Arial"/>
                <w:b/>
                <w:bCs/>
                <w:color w:val="000000"/>
                <w:sz w:val="16"/>
                <w:szCs w:val="16"/>
                <w:lang w:val="es-CO" w:eastAsia="es-CO"/>
              </w:rPr>
            </w:pPr>
            <w:r w:rsidRPr="006204C3">
              <w:rPr>
                <w:rFonts w:ascii="Arial" w:eastAsia="Times New Roman" w:hAnsi="Arial" w:cs="Arial"/>
                <w:b/>
                <w:bCs/>
                <w:color w:val="000000"/>
                <w:sz w:val="16"/>
                <w:szCs w:val="16"/>
                <w:lang w:val="es-CO" w:eastAsia="es-CO"/>
              </w:rPr>
              <w:t>NECESIDADES EDUCATIVAS ESPECIALES</w:t>
            </w:r>
            <w:r w:rsidRPr="006204C3">
              <w:rPr>
                <w:rFonts w:ascii="Arial" w:eastAsia="Times New Roman" w:hAnsi="Arial" w:cs="Arial"/>
                <w:color w:val="000000"/>
                <w:sz w:val="16"/>
                <w:szCs w:val="16"/>
                <w:lang w:val="es-CO" w:eastAsia="es-CO"/>
              </w:rPr>
              <w:t> </w:t>
            </w:r>
          </w:p>
        </w:tc>
        <w:tc>
          <w:tcPr>
            <w:tcW w:w="650" w:type="pct"/>
            <w:tcBorders>
              <w:top w:val="nil"/>
              <w:left w:val="nil"/>
              <w:bottom w:val="single" w:sz="4" w:space="0" w:color="auto"/>
              <w:right w:val="single" w:sz="4" w:space="0" w:color="auto"/>
            </w:tcBorders>
            <w:shd w:val="clear" w:color="000000" w:fill="CCCCFF"/>
            <w:noWrap/>
            <w:vAlign w:val="center"/>
            <w:hideMark/>
          </w:tcPr>
          <w:p w:rsidR="006204C3" w:rsidRPr="006204C3" w:rsidRDefault="006204C3" w:rsidP="006204C3">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xml:space="preserve"> </w:t>
            </w:r>
            <w:r w:rsidRPr="006204C3">
              <w:rPr>
                <w:rFonts w:ascii="Arial" w:eastAsia="Times New Roman" w:hAnsi="Arial" w:cs="Arial"/>
                <w:b/>
                <w:bCs/>
                <w:color w:val="000000"/>
                <w:sz w:val="16"/>
                <w:szCs w:val="16"/>
                <w:lang w:val="es-CO" w:eastAsia="es-CO"/>
              </w:rPr>
              <w:t xml:space="preserve">312 </w:t>
            </w:r>
          </w:p>
        </w:tc>
        <w:tc>
          <w:tcPr>
            <w:tcW w:w="407" w:type="pct"/>
            <w:tcBorders>
              <w:top w:val="nil"/>
              <w:left w:val="nil"/>
              <w:bottom w:val="single" w:sz="4" w:space="0" w:color="auto"/>
              <w:right w:val="single" w:sz="4" w:space="0" w:color="auto"/>
            </w:tcBorders>
            <w:shd w:val="clear" w:color="000000" w:fill="CCCCFF"/>
            <w:noWrap/>
            <w:vAlign w:val="center"/>
            <w:hideMark/>
          </w:tcPr>
          <w:p w:rsidR="006204C3" w:rsidRPr="006204C3" w:rsidRDefault="006204C3" w:rsidP="006204C3">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xml:space="preserve"> </w:t>
            </w:r>
            <w:r w:rsidRPr="006204C3">
              <w:rPr>
                <w:rFonts w:ascii="Arial" w:eastAsia="Times New Roman" w:hAnsi="Arial" w:cs="Arial"/>
                <w:b/>
                <w:bCs/>
                <w:color w:val="000000"/>
                <w:sz w:val="16"/>
                <w:szCs w:val="16"/>
                <w:lang w:val="es-CO" w:eastAsia="es-CO"/>
              </w:rPr>
              <w:t xml:space="preserve">260 </w:t>
            </w:r>
          </w:p>
        </w:tc>
        <w:tc>
          <w:tcPr>
            <w:tcW w:w="190" w:type="pct"/>
            <w:tcBorders>
              <w:top w:val="nil"/>
              <w:left w:val="nil"/>
              <w:bottom w:val="nil"/>
              <w:right w:val="nil"/>
            </w:tcBorders>
            <w:shd w:val="clear" w:color="auto" w:fill="auto"/>
            <w:noWrap/>
            <w:vAlign w:val="bottom"/>
            <w:hideMark/>
          </w:tcPr>
          <w:p w:rsidR="006204C3" w:rsidRPr="006204C3" w:rsidRDefault="006204C3" w:rsidP="006204C3">
            <w:pPr>
              <w:jc w:val="right"/>
              <w:rPr>
                <w:rFonts w:ascii="Arial" w:eastAsia="Times New Roman" w:hAnsi="Arial" w:cs="Arial"/>
                <w:b/>
                <w:bCs/>
                <w:color w:val="000000"/>
                <w:sz w:val="16"/>
                <w:szCs w:val="16"/>
                <w:lang w:val="es-CO" w:eastAsia="es-CO"/>
              </w:rPr>
            </w:pPr>
          </w:p>
        </w:tc>
      </w:tr>
      <w:tr w:rsidR="006204C3" w:rsidRPr="006204C3" w:rsidTr="006204C3">
        <w:trPr>
          <w:trHeight w:val="20"/>
        </w:trPr>
        <w:tc>
          <w:tcPr>
            <w:tcW w:w="3753" w:type="pct"/>
            <w:tcBorders>
              <w:top w:val="nil"/>
              <w:left w:val="single" w:sz="4" w:space="0" w:color="auto"/>
              <w:bottom w:val="single" w:sz="4" w:space="0" w:color="auto"/>
              <w:right w:val="single" w:sz="4" w:space="0" w:color="auto"/>
            </w:tcBorders>
            <w:shd w:val="clear" w:color="000000" w:fill="CCCCFF"/>
            <w:vAlign w:val="center"/>
            <w:hideMark/>
          </w:tcPr>
          <w:p w:rsidR="006204C3" w:rsidRPr="006204C3" w:rsidRDefault="006204C3" w:rsidP="006204C3">
            <w:pPr>
              <w:rPr>
                <w:rFonts w:ascii="Arial" w:eastAsia="Times New Roman" w:hAnsi="Arial" w:cs="Arial"/>
                <w:b/>
                <w:bCs/>
                <w:color w:val="000000"/>
                <w:sz w:val="16"/>
                <w:szCs w:val="16"/>
                <w:lang w:val="es-CO" w:eastAsia="es-CO"/>
              </w:rPr>
            </w:pPr>
            <w:r w:rsidRPr="006204C3">
              <w:rPr>
                <w:rFonts w:ascii="Arial" w:eastAsia="Times New Roman" w:hAnsi="Arial" w:cs="Arial"/>
                <w:b/>
                <w:bCs/>
                <w:color w:val="000000"/>
                <w:sz w:val="16"/>
                <w:szCs w:val="16"/>
                <w:lang w:val="es-CO" w:eastAsia="es-CO"/>
              </w:rPr>
              <w:t>DEUDAS</w:t>
            </w:r>
          </w:p>
        </w:tc>
        <w:tc>
          <w:tcPr>
            <w:tcW w:w="650" w:type="pct"/>
            <w:tcBorders>
              <w:top w:val="nil"/>
              <w:left w:val="nil"/>
              <w:bottom w:val="single" w:sz="4" w:space="0" w:color="auto"/>
              <w:right w:val="single" w:sz="4" w:space="0" w:color="auto"/>
            </w:tcBorders>
            <w:shd w:val="clear" w:color="000000" w:fill="CCCCFF"/>
            <w:noWrap/>
            <w:vAlign w:val="center"/>
            <w:hideMark/>
          </w:tcPr>
          <w:p w:rsidR="006204C3" w:rsidRPr="006204C3" w:rsidRDefault="006204C3" w:rsidP="006204C3">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xml:space="preserve"> </w:t>
            </w:r>
            <w:r w:rsidRPr="006204C3">
              <w:rPr>
                <w:rFonts w:ascii="Arial" w:eastAsia="Times New Roman" w:hAnsi="Arial" w:cs="Arial"/>
                <w:b/>
                <w:bCs/>
                <w:color w:val="000000"/>
                <w:sz w:val="16"/>
                <w:szCs w:val="16"/>
                <w:lang w:val="es-CO" w:eastAsia="es-CO"/>
              </w:rPr>
              <w:t xml:space="preserve">106 </w:t>
            </w:r>
          </w:p>
        </w:tc>
        <w:tc>
          <w:tcPr>
            <w:tcW w:w="407" w:type="pct"/>
            <w:tcBorders>
              <w:top w:val="nil"/>
              <w:left w:val="nil"/>
              <w:bottom w:val="single" w:sz="4" w:space="0" w:color="auto"/>
              <w:right w:val="single" w:sz="4" w:space="0" w:color="auto"/>
            </w:tcBorders>
            <w:shd w:val="clear" w:color="000000" w:fill="CCCCFF"/>
            <w:noWrap/>
            <w:vAlign w:val="center"/>
            <w:hideMark/>
          </w:tcPr>
          <w:p w:rsidR="006204C3" w:rsidRPr="006204C3" w:rsidRDefault="006204C3" w:rsidP="006204C3">
            <w:pPr>
              <w:jc w:val="right"/>
              <w:rPr>
                <w:rFonts w:ascii="Arial" w:eastAsia="Times New Roman" w:hAnsi="Arial" w:cs="Arial"/>
                <w:b/>
                <w:bCs/>
                <w:color w:val="000000"/>
                <w:sz w:val="16"/>
                <w:szCs w:val="16"/>
                <w:lang w:val="es-CO" w:eastAsia="es-CO"/>
              </w:rPr>
            </w:pPr>
            <w:r w:rsidRPr="006204C3">
              <w:rPr>
                <w:rFonts w:ascii="Arial" w:eastAsia="Times New Roman" w:hAnsi="Arial" w:cs="Arial"/>
                <w:b/>
                <w:bCs/>
                <w:color w:val="000000"/>
                <w:sz w:val="16"/>
                <w:szCs w:val="16"/>
                <w:lang w:val="es-CO" w:eastAsia="es-CO"/>
              </w:rPr>
              <w:t> </w:t>
            </w:r>
          </w:p>
        </w:tc>
        <w:tc>
          <w:tcPr>
            <w:tcW w:w="190" w:type="pct"/>
            <w:tcBorders>
              <w:top w:val="nil"/>
              <w:left w:val="nil"/>
              <w:bottom w:val="nil"/>
              <w:right w:val="nil"/>
            </w:tcBorders>
            <w:shd w:val="clear" w:color="auto" w:fill="auto"/>
            <w:noWrap/>
            <w:vAlign w:val="bottom"/>
            <w:hideMark/>
          </w:tcPr>
          <w:p w:rsidR="006204C3" w:rsidRPr="006204C3" w:rsidRDefault="006204C3" w:rsidP="006204C3">
            <w:pPr>
              <w:jc w:val="right"/>
              <w:rPr>
                <w:rFonts w:ascii="Arial" w:eastAsia="Times New Roman" w:hAnsi="Arial" w:cs="Arial"/>
                <w:b/>
                <w:bCs/>
                <w:color w:val="000000"/>
                <w:sz w:val="16"/>
                <w:szCs w:val="16"/>
                <w:lang w:val="es-CO" w:eastAsia="es-CO"/>
              </w:rPr>
            </w:pPr>
          </w:p>
        </w:tc>
      </w:tr>
      <w:tr w:rsidR="006204C3" w:rsidRPr="006204C3" w:rsidTr="006204C3">
        <w:trPr>
          <w:trHeight w:val="20"/>
        </w:trPr>
        <w:tc>
          <w:tcPr>
            <w:tcW w:w="3753" w:type="pct"/>
            <w:tcBorders>
              <w:top w:val="nil"/>
              <w:left w:val="single" w:sz="4" w:space="0" w:color="auto"/>
              <w:bottom w:val="single" w:sz="4" w:space="0" w:color="auto"/>
              <w:right w:val="single" w:sz="4" w:space="0" w:color="auto"/>
            </w:tcBorders>
            <w:shd w:val="clear" w:color="000000" w:fill="CCCCFF"/>
            <w:vAlign w:val="center"/>
            <w:hideMark/>
          </w:tcPr>
          <w:p w:rsidR="006204C3" w:rsidRPr="006204C3" w:rsidRDefault="006204C3" w:rsidP="006204C3">
            <w:pPr>
              <w:rPr>
                <w:rFonts w:ascii="Arial" w:eastAsia="Times New Roman" w:hAnsi="Arial" w:cs="Arial"/>
                <w:b/>
                <w:bCs/>
                <w:color w:val="000000"/>
                <w:sz w:val="16"/>
                <w:szCs w:val="16"/>
                <w:lang w:val="es-CO" w:eastAsia="es-CO"/>
              </w:rPr>
            </w:pPr>
            <w:r w:rsidRPr="006204C3">
              <w:rPr>
                <w:rFonts w:ascii="Arial" w:eastAsia="Times New Roman" w:hAnsi="Arial" w:cs="Arial"/>
                <w:b/>
                <w:bCs/>
                <w:color w:val="000000"/>
                <w:sz w:val="16"/>
                <w:szCs w:val="16"/>
                <w:lang w:val="es-CO" w:eastAsia="es-CO"/>
              </w:rPr>
              <w:t>GASTOS EFICIENCIA</w:t>
            </w:r>
          </w:p>
        </w:tc>
        <w:tc>
          <w:tcPr>
            <w:tcW w:w="650" w:type="pct"/>
            <w:tcBorders>
              <w:top w:val="nil"/>
              <w:left w:val="nil"/>
              <w:bottom w:val="single" w:sz="4" w:space="0" w:color="auto"/>
              <w:right w:val="single" w:sz="4" w:space="0" w:color="auto"/>
            </w:tcBorders>
            <w:shd w:val="clear" w:color="000000" w:fill="CCCCFF"/>
            <w:noWrap/>
            <w:vAlign w:val="center"/>
            <w:hideMark/>
          </w:tcPr>
          <w:p w:rsidR="006204C3" w:rsidRPr="006204C3" w:rsidRDefault="006204C3" w:rsidP="006204C3">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xml:space="preserve"> </w:t>
            </w:r>
            <w:r w:rsidRPr="006204C3">
              <w:rPr>
                <w:rFonts w:ascii="Arial" w:eastAsia="Times New Roman" w:hAnsi="Arial" w:cs="Arial"/>
                <w:b/>
                <w:bCs/>
                <w:color w:val="000000"/>
                <w:sz w:val="16"/>
                <w:szCs w:val="16"/>
                <w:lang w:val="es-CO" w:eastAsia="es-CO"/>
              </w:rPr>
              <w:t xml:space="preserve">2.605 </w:t>
            </w:r>
          </w:p>
        </w:tc>
        <w:tc>
          <w:tcPr>
            <w:tcW w:w="407" w:type="pct"/>
            <w:tcBorders>
              <w:top w:val="nil"/>
              <w:left w:val="nil"/>
              <w:bottom w:val="single" w:sz="4" w:space="0" w:color="auto"/>
              <w:right w:val="single" w:sz="4" w:space="0" w:color="auto"/>
            </w:tcBorders>
            <w:shd w:val="clear" w:color="000000" w:fill="CCCCFF"/>
            <w:noWrap/>
            <w:vAlign w:val="center"/>
            <w:hideMark/>
          </w:tcPr>
          <w:p w:rsidR="006204C3" w:rsidRPr="006204C3" w:rsidRDefault="006204C3" w:rsidP="006204C3">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xml:space="preserve"> </w:t>
            </w:r>
            <w:r w:rsidRPr="006204C3">
              <w:rPr>
                <w:rFonts w:ascii="Arial" w:eastAsia="Times New Roman" w:hAnsi="Arial" w:cs="Arial"/>
                <w:b/>
                <w:bCs/>
                <w:color w:val="000000"/>
                <w:sz w:val="16"/>
                <w:szCs w:val="16"/>
                <w:lang w:val="es-CO" w:eastAsia="es-CO"/>
              </w:rPr>
              <w:t xml:space="preserve">2.457 </w:t>
            </w:r>
          </w:p>
        </w:tc>
        <w:tc>
          <w:tcPr>
            <w:tcW w:w="190" w:type="pct"/>
            <w:tcBorders>
              <w:top w:val="nil"/>
              <w:left w:val="nil"/>
              <w:bottom w:val="nil"/>
              <w:right w:val="nil"/>
            </w:tcBorders>
            <w:shd w:val="clear" w:color="auto" w:fill="auto"/>
            <w:noWrap/>
            <w:vAlign w:val="bottom"/>
            <w:hideMark/>
          </w:tcPr>
          <w:p w:rsidR="006204C3" w:rsidRPr="006204C3" w:rsidRDefault="006204C3" w:rsidP="006204C3">
            <w:pPr>
              <w:jc w:val="right"/>
              <w:rPr>
                <w:rFonts w:ascii="Arial" w:eastAsia="Times New Roman" w:hAnsi="Arial" w:cs="Arial"/>
                <w:b/>
                <w:bCs/>
                <w:color w:val="000000"/>
                <w:sz w:val="16"/>
                <w:szCs w:val="16"/>
                <w:lang w:val="es-CO" w:eastAsia="es-CO"/>
              </w:rPr>
            </w:pPr>
          </w:p>
        </w:tc>
      </w:tr>
      <w:tr w:rsidR="006204C3" w:rsidRPr="006204C3" w:rsidTr="006204C3">
        <w:trPr>
          <w:trHeight w:val="20"/>
        </w:trPr>
        <w:tc>
          <w:tcPr>
            <w:tcW w:w="3753" w:type="pct"/>
            <w:tcBorders>
              <w:top w:val="nil"/>
              <w:left w:val="single" w:sz="4" w:space="0" w:color="auto"/>
              <w:bottom w:val="single" w:sz="4" w:space="0" w:color="auto"/>
              <w:right w:val="single" w:sz="4" w:space="0" w:color="auto"/>
            </w:tcBorders>
            <w:shd w:val="clear" w:color="000000" w:fill="CCCCFF"/>
            <w:noWrap/>
            <w:vAlign w:val="center"/>
            <w:hideMark/>
          </w:tcPr>
          <w:p w:rsidR="006204C3" w:rsidRPr="006204C3" w:rsidRDefault="006204C3" w:rsidP="006204C3">
            <w:pPr>
              <w:jc w:val="both"/>
              <w:rPr>
                <w:rFonts w:ascii="Arial" w:eastAsia="Times New Roman" w:hAnsi="Arial" w:cs="Arial"/>
                <w:b/>
                <w:bCs/>
                <w:color w:val="000000"/>
                <w:sz w:val="16"/>
                <w:szCs w:val="16"/>
                <w:lang w:val="es-CO" w:eastAsia="es-CO"/>
              </w:rPr>
            </w:pPr>
            <w:r w:rsidRPr="006204C3">
              <w:rPr>
                <w:rFonts w:ascii="Arial" w:eastAsia="Times New Roman" w:hAnsi="Arial" w:cs="Arial"/>
                <w:b/>
                <w:bCs/>
                <w:color w:val="000000"/>
                <w:sz w:val="16"/>
                <w:szCs w:val="16"/>
                <w:lang w:val="es-CO" w:eastAsia="es-CO"/>
              </w:rPr>
              <w:t>APLICACIÓN DE PROYECTOS EDUCATIVOS TRANSVERSALES</w:t>
            </w:r>
          </w:p>
        </w:tc>
        <w:tc>
          <w:tcPr>
            <w:tcW w:w="650" w:type="pct"/>
            <w:tcBorders>
              <w:top w:val="nil"/>
              <w:left w:val="nil"/>
              <w:bottom w:val="single" w:sz="4" w:space="0" w:color="auto"/>
              <w:right w:val="single" w:sz="4" w:space="0" w:color="auto"/>
            </w:tcBorders>
            <w:shd w:val="clear" w:color="000000" w:fill="CCCCFF"/>
            <w:noWrap/>
            <w:vAlign w:val="center"/>
            <w:hideMark/>
          </w:tcPr>
          <w:p w:rsidR="006204C3" w:rsidRPr="006204C3" w:rsidRDefault="006204C3" w:rsidP="006204C3">
            <w:pPr>
              <w:jc w:val="right"/>
              <w:rPr>
                <w:rFonts w:ascii="Arial" w:eastAsia="Times New Roman" w:hAnsi="Arial" w:cs="Arial"/>
                <w:b/>
                <w:bCs/>
                <w:color w:val="000000"/>
                <w:sz w:val="16"/>
                <w:szCs w:val="16"/>
                <w:lang w:val="es-CO" w:eastAsia="es-CO"/>
              </w:rPr>
            </w:pPr>
            <w:r w:rsidRPr="006204C3">
              <w:rPr>
                <w:rFonts w:ascii="Arial" w:eastAsia="Times New Roman" w:hAnsi="Arial" w:cs="Arial"/>
                <w:b/>
                <w:bCs/>
                <w:color w:val="000000"/>
                <w:sz w:val="16"/>
                <w:szCs w:val="16"/>
                <w:lang w:val="es-CO" w:eastAsia="es-CO"/>
              </w:rPr>
              <w:t>450</w:t>
            </w:r>
          </w:p>
        </w:tc>
        <w:tc>
          <w:tcPr>
            <w:tcW w:w="407" w:type="pct"/>
            <w:tcBorders>
              <w:top w:val="nil"/>
              <w:left w:val="nil"/>
              <w:bottom w:val="single" w:sz="4" w:space="0" w:color="auto"/>
              <w:right w:val="single" w:sz="4" w:space="0" w:color="auto"/>
            </w:tcBorders>
            <w:shd w:val="clear" w:color="000000" w:fill="CCCCFF"/>
            <w:noWrap/>
            <w:vAlign w:val="center"/>
            <w:hideMark/>
          </w:tcPr>
          <w:p w:rsidR="006204C3" w:rsidRPr="006204C3" w:rsidRDefault="006204C3" w:rsidP="006204C3">
            <w:pPr>
              <w:jc w:val="right"/>
              <w:rPr>
                <w:rFonts w:ascii="Arial" w:eastAsia="Times New Roman" w:hAnsi="Arial" w:cs="Arial"/>
                <w:b/>
                <w:bCs/>
                <w:color w:val="000000"/>
                <w:sz w:val="16"/>
                <w:szCs w:val="16"/>
                <w:lang w:val="es-CO" w:eastAsia="es-CO"/>
              </w:rPr>
            </w:pPr>
            <w:r w:rsidRPr="006204C3">
              <w:rPr>
                <w:rFonts w:ascii="Arial" w:eastAsia="Times New Roman" w:hAnsi="Arial" w:cs="Arial"/>
                <w:b/>
                <w:bCs/>
                <w:color w:val="000000"/>
                <w:sz w:val="16"/>
                <w:szCs w:val="16"/>
                <w:lang w:val="es-CO" w:eastAsia="es-CO"/>
              </w:rPr>
              <w:t> </w:t>
            </w:r>
          </w:p>
        </w:tc>
        <w:tc>
          <w:tcPr>
            <w:tcW w:w="190" w:type="pct"/>
            <w:tcBorders>
              <w:top w:val="nil"/>
              <w:left w:val="nil"/>
              <w:bottom w:val="nil"/>
              <w:right w:val="nil"/>
            </w:tcBorders>
            <w:shd w:val="clear" w:color="auto" w:fill="auto"/>
            <w:noWrap/>
            <w:vAlign w:val="bottom"/>
            <w:hideMark/>
          </w:tcPr>
          <w:p w:rsidR="006204C3" w:rsidRPr="006204C3" w:rsidRDefault="006204C3" w:rsidP="006204C3">
            <w:pPr>
              <w:jc w:val="right"/>
              <w:rPr>
                <w:rFonts w:ascii="Arial" w:eastAsia="Times New Roman" w:hAnsi="Arial" w:cs="Arial"/>
                <w:b/>
                <w:bCs/>
                <w:color w:val="000000"/>
                <w:sz w:val="16"/>
                <w:szCs w:val="16"/>
                <w:lang w:val="es-CO" w:eastAsia="es-CO"/>
              </w:rPr>
            </w:pPr>
          </w:p>
        </w:tc>
      </w:tr>
      <w:tr w:rsidR="006204C3" w:rsidRPr="006204C3" w:rsidTr="006204C3">
        <w:trPr>
          <w:trHeight w:val="20"/>
        </w:trPr>
        <w:tc>
          <w:tcPr>
            <w:tcW w:w="3753" w:type="pct"/>
            <w:tcBorders>
              <w:top w:val="nil"/>
              <w:left w:val="single" w:sz="4" w:space="0" w:color="auto"/>
              <w:bottom w:val="single" w:sz="4" w:space="0" w:color="auto"/>
              <w:right w:val="single" w:sz="4" w:space="0" w:color="auto"/>
            </w:tcBorders>
            <w:shd w:val="clear" w:color="000000" w:fill="CCCCFF"/>
            <w:noWrap/>
            <w:vAlign w:val="center"/>
            <w:hideMark/>
          </w:tcPr>
          <w:p w:rsidR="006204C3" w:rsidRPr="006204C3" w:rsidRDefault="006204C3" w:rsidP="006204C3">
            <w:pPr>
              <w:jc w:val="both"/>
              <w:rPr>
                <w:rFonts w:ascii="Arial" w:eastAsia="Times New Roman" w:hAnsi="Arial" w:cs="Arial"/>
                <w:b/>
                <w:bCs/>
                <w:color w:val="000000"/>
                <w:sz w:val="16"/>
                <w:szCs w:val="16"/>
                <w:lang w:val="es-CO" w:eastAsia="es-CO"/>
              </w:rPr>
            </w:pPr>
            <w:r w:rsidRPr="006204C3">
              <w:rPr>
                <w:rFonts w:ascii="Arial" w:eastAsia="Times New Roman" w:hAnsi="Arial" w:cs="Arial"/>
                <w:b/>
                <w:bCs/>
                <w:color w:val="000000"/>
                <w:sz w:val="16"/>
                <w:szCs w:val="16"/>
                <w:lang w:val="es-CO" w:eastAsia="es-CO"/>
              </w:rPr>
              <w:t>PAGO DE DÉFICIT DE INVERSIÓN EN EDUCACIÓN - (DE CARÁCTER EXCEPCIONAL)</w:t>
            </w:r>
          </w:p>
        </w:tc>
        <w:tc>
          <w:tcPr>
            <w:tcW w:w="650" w:type="pct"/>
            <w:tcBorders>
              <w:top w:val="nil"/>
              <w:left w:val="nil"/>
              <w:bottom w:val="single" w:sz="4" w:space="0" w:color="auto"/>
              <w:right w:val="single" w:sz="4" w:space="0" w:color="auto"/>
            </w:tcBorders>
            <w:shd w:val="clear" w:color="000000" w:fill="CCCCFF"/>
            <w:noWrap/>
            <w:vAlign w:val="center"/>
            <w:hideMark/>
          </w:tcPr>
          <w:p w:rsidR="006204C3" w:rsidRPr="006204C3" w:rsidRDefault="006204C3" w:rsidP="006204C3">
            <w:pPr>
              <w:jc w:val="right"/>
              <w:rPr>
                <w:rFonts w:ascii="Arial" w:eastAsia="Times New Roman" w:hAnsi="Arial" w:cs="Arial"/>
                <w:b/>
                <w:bCs/>
                <w:color w:val="000000"/>
                <w:sz w:val="16"/>
                <w:szCs w:val="16"/>
                <w:lang w:val="es-CO" w:eastAsia="es-CO"/>
              </w:rPr>
            </w:pPr>
            <w:r w:rsidRPr="006204C3">
              <w:rPr>
                <w:rFonts w:ascii="Arial" w:eastAsia="Times New Roman" w:hAnsi="Arial" w:cs="Arial"/>
                <w:b/>
                <w:bCs/>
                <w:color w:val="000000"/>
                <w:sz w:val="16"/>
                <w:szCs w:val="16"/>
                <w:lang w:val="es-CO" w:eastAsia="es-CO"/>
              </w:rPr>
              <w:t>17.137</w:t>
            </w:r>
          </w:p>
        </w:tc>
        <w:tc>
          <w:tcPr>
            <w:tcW w:w="407" w:type="pct"/>
            <w:tcBorders>
              <w:top w:val="nil"/>
              <w:left w:val="nil"/>
              <w:bottom w:val="single" w:sz="4" w:space="0" w:color="auto"/>
              <w:right w:val="single" w:sz="4" w:space="0" w:color="auto"/>
            </w:tcBorders>
            <w:shd w:val="clear" w:color="000000" w:fill="CCCCFF"/>
            <w:noWrap/>
            <w:vAlign w:val="center"/>
            <w:hideMark/>
          </w:tcPr>
          <w:p w:rsidR="006204C3" w:rsidRPr="006204C3" w:rsidRDefault="006204C3" w:rsidP="006204C3">
            <w:pPr>
              <w:jc w:val="right"/>
              <w:rPr>
                <w:rFonts w:ascii="Arial" w:eastAsia="Times New Roman" w:hAnsi="Arial" w:cs="Arial"/>
                <w:b/>
                <w:bCs/>
                <w:color w:val="000000"/>
                <w:sz w:val="16"/>
                <w:szCs w:val="16"/>
                <w:lang w:val="es-CO" w:eastAsia="es-CO"/>
              </w:rPr>
            </w:pPr>
            <w:r w:rsidRPr="006204C3">
              <w:rPr>
                <w:rFonts w:ascii="Arial" w:eastAsia="Times New Roman" w:hAnsi="Arial" w:cs="Arial"/>
                <w:b/>
                <w:bCs/>
                <w:color w:val="000000"/>
                <w:sz w:val="16"/>
                <w:szCs w:val="16"/>
                <w:lang w:val="es-CO" w:eastAsia="es-CO"/>
              </w:rPr>
              <w:t>25.725</w:t>
            </w:r>
          </w:p>
        </w:tc>
        <w:tc>
          <w:tcPr>
            <w:tcW w:w="190" w:type="pct"/>
            <w:tcBorders>
              <w:top w:val="nil"/>
              <w:left w:val="nil"/>
              <w:bottom w:val="nil"/>
              <w:right w:val="nil"/>
            </w:tcBorders>
            <w:shd w:val="clear" w:color="auto" w:fill="auto"/>
            <w:noWrap/>
            <w:vAlign w:val="bottom"/>
            <w:hideMark/>
          </w:tcPr>
          <w:p w:rsidR="006204C3" w:rsidRPr="006204C3" w:rsidRDefault="006204C3" w:rsidP="006204C3">
            <w:pPr>
              <w:jc w:val="right"/>
              <w:rPr>
                <w:rFonts w:ascii="Arial" w:eastAsia="Times New Roman" w:hAnsi="Arial" w:cs="Arial"/>
                <w:b/>
                <w:bCs/>
                <w:color w:val="000000"/>
                <w:sz w:val="16"/>
                <w:szCs w:val="16"/>
                <w:lang w:val="es-CO" w:eastAsia="es-CO"/>
              </w:rPr>
            </w:pPr>
          </w:p>
        </w:tc>
      </w:tr>
    </w:tbl>
    <w:p w:rsidR="004662E4" w:rsidRPr="00D4546B" w:rsidRDefault="004662E4" w:rsidP="000A5BEA">
      <w:pPr>
        <w:autoSpaceDE w:val="0"/>
        <w:autoSpaceDN w:val="0"/>
        <w:adjustRightInd w:val="0"/>
        <w:jc w:val="center"/>
        <w:rPr>
          <w:rStyle w:val="nfasissutil"/>
          <w:rFonts w:cs="Arial"/>
          <w:i/>
        </w:rPr>
      </w:pPr>
      <w:r w:rsidRPr="00D4546B">
        <w:rPr>
          <w:rStyle w:val="nfasissutil"/>
          <w:rFonts w:cs="Arial"/>
          <w:i/>
        </w:rPr>
        <w:t>Fuente: Ejecución presupuestal entregada por la entidad territorial con corte a diciembre de 2.019</w:t>
      </w:r>
    </w:p>
    <w:p w:rsidR="004662E4" w:rsidRPr="003C2A5D" w:rsidRDefault="004662E4" w:rsidP="000A5BEA">
      <w:pPr>
        <w:autoSpaceDE w:val="0"/>
        <w:autoSpaceDN w:val="0"/>
        <w:adjustRightInd w:val="0"/>
        <w:rPr>
          <w:rStyle w:val="nfasissutil"/>
          <w:rFonts w:cs="Arial"/>
          <w:i/>
          <w:sz w:val="22"/>
          <w:szCs w:val="22"/>
        </w:rPr>
      </w:pPr>
    </w:p>
    <w:p w:rsidR="004662E4" w:rsidRPr="003C2A5D" w:rsidRDefault="004662E4" w:rsidP="006204C3">
      <w:pPr>
        <w:pStyle w:val="Prrafodelista"/>
        <w:numPr>
          <w:ilvl w:val="0"/>
          <w:numId w:val="31"/>
        </w:numPr>
        <w:ind w:left="426" w:hanging="426"/>
        <w:jc w:val="both"/>
        <w:rPr>
          <w:rFonts w:ascii="Arial" w:hAnsi="Arial" w:cs="Arial"/>
          <w:bCs/>
          <w:sz w:val="22"/>
          <w:szCs w:val="22"/>
          <w:lang w:val="es-ES_tradnl"/>
        </w:rPr>
      </w:pPr>
      <w:r w:rsidRPr="003C2A5D">
        <w:rPr>
          <w:rFonts w:ascii="Arial" w:hAnsi="Arial" w:cs="Arial"/>
          <w:bCs/>
          <w:sz w:val="22"/>
          <w:szCs w:val="22"/>
          <w:lang w:val="es-ES_tradnl"/>
        </w:rPr>
        <w:t>Al contrastar la información de los compromisos de la ejecución presupuestal frente al reportado en el FUT</w:t>
      </w:r>
      <w:r w:rsidR="006204C3" w:rsidRPr="003C2A5D">
        <w:rPr>
          <w:rFonts w:ascii="Arial" w:hAnsi="Arial" w:cs="Arial"/>
          <w:bCs/>
          <w:sz w:val="22"/>
          <w:szCs w:val="22"/>
          <w:lang w:val="es-ES_tradnl"/>
        </w:rPr>
        <w:t xml:space="preserve"> en la vigencia 2019</w:t>
      </w:r>
      <w:r w:rsidRPr="003C2A5D">
        <w:rPr>
          <w:rFonts w:ascii="Arial" w:hAnsi="Arial" w:cs="Arial"/>
          <w:bCs/>
          <w:sz w:val="22"/>
          <w:szCs w:val="22"/>
          <w:lang w:val="es-ES_tradnl"/>
        </w:rPr>
        <w:t>, se identificaron inconsistencias en el componente de G</w:t>
      </w:r>
      <w:r w:rsidRPr="003C2A5D">
        <w:rPr>
          <w:rFonts w:ascii="Arial" w:hAnsi="Arial" w:cs="Arial"/>
          <w:bCs/>
          <w:i/>
          <w:sz w:val="22"/>
          <w:szCs w:val="22"/>
          <w:lang w:val="es-ES_tradnl"/>
        </w:rPr>
        <w:t xml:space="preserve">astos de Personal </w:t>
      </w:r>
      <w:r w:rsidRPr="003C2A5D">
        <w:rPr>
          <w:rFonts w:ascii="Arial" w:hAnsi="Arial" w:cs="Arial"/>
          <w:bCs/>
          <w:iCs/>
          <w:sz w:val="22"/>
          <w:szCs w:val="22"/>
          <w:lang w:val="es-ES_tradnl"/>
        </w:rPr>
        <w:t>y</w:t>
      </w:r>
      <w:r w:rsidRPr="003C2A5D">
        <w:rPr>
          <w:rFonts w:ascii="Arial" w:hAnsi="Arial" w:cs="Arial"/>
          <w:bCs/>
          <w:i/>
          <w:sz w:val="22"/>
          <w:szCs w:val="22"/>
          <w:lang w:val="es-ES_tradnl"/>
        </w:rPr>
        <w:t xml:space="preserve"> </w:t>
      </w:r>
      <w:bookmarkStart w:id="1" w:name="_Hlk39018785"/>
      <w:r w:rsidRPr="003C2A5D">
        <w:rPr>
          <w:rFonts w:ascii="Arial" w:hAnsi="Arial" w:cs="Arial"/>
          <w:bCs/>
          <w:i/>
          <w:sz w:val="22"/>
          <w:szCs w:val="22"/>
          <w:lang w:val="es-ES_tradnl"/>
        </w:rPr>
        <w:t>Costos derivados del mejoramiento de la calidad educativa</w:t>
      </w:r>
      <w:bookmarkEnd w:id="1"/>
      <w:r w:rsidRPr="003C2A5D">
        <w:rPr>
          <w:rFonts w:ascii="Arial" w:hAnsi="Arial" w:cs="Arial"/>
          <w:bCs/>
          <w:sz w:val="22"/>
          <w:szCs w:val="22"/>
          <w:lang w:val="es-ES_tradnl"/>
        </w:rPr>
        <w:t>.</w:t>
      </w:r>
      <w:r w:rsidR="008040A0" w:rsidRPr="003C2A5D">
        <w:rPr>
          <w:rFonts w:ascii="Arial" w:hAnsi="Arial" w:cs="Arial"/>
          <w:bCs/>
          <w:sz w:val="22"/>
          <w:szCs w:val="22"/>
          <w:lang w:val="es-ES_tradnl"/>
        </w:rPr>
        <w:t xml:space="preserve"> </w:t>
      </w:r>
      <w:r w:rsidRPr="003C2A5D">
        <w:rPr>
          <w:rFonts w:ascii="Arial" w:hAnsi="Arial" w:cs="Arial"/>
          <w:bCs/>
          <w:sz w:val="22"/>
          <w:szCs w:val="22"/>
          <w:lang w:val="es-ES_tradnl"/>
        </w:rPr>
        <w:t xml:space="preserve">El rubro </w:t>
      </w:r>
      <w:r w:rsidRPr="003C2A5D">
        <w:rPr>
          <w:rFonts w:ascii="Arial" w:hAnsi="Arial" w:cs="Arial"/>
          <w:bCs/>
          <w:i/>
          <w:iCs/>
          <w:sz w:val="22"/>
          <w:szCs w:val="22"/>
          <w:lang w:val="es-ES_tradnl"/>
        </w:rPr>
        <w:t>Costos derivados del mejoramiento de la calidad educativa</w:t>
      </w:r>
      <w:r w:rsidRPr="003C2A5D">
        <w:rPr>
          <w:rFonts w:ascii="Arial" w:hAnsi="Arial" w:cs="Arial"/>
          <w:bCs/>
          <w:sz w:val="22"/>
          <w:szCs w:val="22"/>
          <w:lang w:val="es-ES_tradnl"/>
        </w:rPr>
        <w:t xml:space="preserve"> se </w:t>
      </w:r>
      <w:r w:rsidRPr="003C2A5D">
        <w:rPr>
          <w:rFonts w:ascii="Arial" w:hAnsi="Arial" w:cs="Arial"/>
          <w:bCs/>
          <w:sz w:val="22"/>
          <w:szCs w:val="22"/>
          <w:lang w:val="es-ES_tradnl"/>
        </w:rPr>
        <w:lastRenderedPageBreak/>
        <w:t>asocia en la ejecución presupuestal a los gastos de personal, dado que el pago se dirige en efectivo a los docentes y administrativos que reciben dicho beneficio, mientras en el FUT se reporta en el rubro creado para tal fin. Corresponde a la entidad territorial justificar estas diferencias.</w:t>
      </w:r>
    </w:p>
    <w:p w:rsidR="00D4546B" w:rsidRPr="003C2A5D" w:rsidRDefault="00D4546B" w:rsidP="000A5BEA">
      <w:pPr>
        <w:jc w:val="both"/>
        <w:rPr>
          <w:rFonts w:ascii="Arial" w:hAnsi="Arial" w:cs="Arial"/>
          <w:bCs/>
          <w:sz w:val="22"/>
          <w:szCs w:val="22"/>
          <w:lang w:val="es-ES_tradnl"/>
        </w:rPr>
      </w:pPr>
    </w:p>
    <w:p w:rsidR="00D4546B" w:rsidRPr="003C2A5D" w:rsidRDefault="00D4546B" w:rsidP="006204C3">
      <w:pPr>
        <w:pStyle w:val="Prrafodelista"/>
        <w:numPr>
          <w:ilvl w:val="0"/>
          <w:numId w:val="31"/>
        </w:numPr>
        <w:ind w:left="426" w:hanging="426"/>
        <w:jc w:val="both"/>
        <w:rPr>
          <w:rFonts w:ascii="Arial" w:hAnsi="Arial" w:cs="Arial"/>
          <w:bCs/>
          <w:sz w:val="22"/>
          <w:szCs w:val="22"/>
          <w:lang w:val="es-ES_tradnl"/>
        </w:rPr>
      </w:pPr>
      <w:r w:rsidRPr="003C2A5D">
        <w:rPr>
          <w:rFonts w:ascii="Arial" w:hAnsi="Arial" w:cs="Arial"/>
          <w:bCs/>
          <w:sz w:val="22"/>
          <w:szCs w:val="22"/>
          <w:lang w:val="es-ES_tradnl"/>
        </w:rPr>
        <w:t>En la ejecución de gastos</w:t>
      </w:r>
      <w:r w:rsidR="006204C3" w:rsidRPr="003C2A5D">
        <w:rPr>
          <w:rFonts w:ascii="Arial" w:hAnsi="Arial" w:cs="Arial"/>
          <w:bCs/>
          <w:sz w:val="22"/>
          <w:szCs w:val="22"/>
          <w:lang w:val="es-ES_tradnl"/>
        </w:rPr>
        <w:t xml:space="preserve"> de la vigencia 2019 para </w:t>
      </w:r>
      <w:r w:rsidRPr="003C2A5D">
        <w:rPr>
          <w:rFonts w:ascii="Arial" w:hAnsi="Arial" w:cs="Arial"/>
          <w:bCs/>
          <w:sz w:val="22"/>
          <w:szCs w:val="22"/>
          <w:lang w:val="es-ES_tradnl"/>
        </w:rPr>
        <w:t>la fuente Cancelaciones no se distingue entre recursos corrientes, recursos de balance y recursos de rendimientos por operaciones financieras.</w:t>
      </w:r>
    </w:p>
    <w:p w:rsidR="006204C3" w:rsidRPr="003C2A5D" w:rsidRDefault="006204C3" w:rsidP="006204C3">
      <w:pPr>
        <w:pStyle w:val="Prrafodelista"/>
        <w:rPr>
          <w:rFonts w:ascii="Arial" w:hAnsi="Arial" w:cs="Arial"/>
          <w:bCs/>
          <w:sz w:val="22"/>
          <w:szCs w:val="22"/>
          <w:lang w:val="es-ES_tradnl"/>
        </w:rPr>
      </w:pPr>
    </w:p>
    <w:p w:rsidR="004662E4" w:rsidRPr="003C2A5D" w:rsidRDefault="004662E4" w:rsidP="006204C3">
      <w:pPr>
        <w:pStyle w:val="Prrafodelista"/>
        <w:numPr>
          <w:ilvl w:val="0"/>
          <w:numId w:val="31"/>
        </w:numPr>
        <w:ind w:left="426" w:hanging="426"/>
        <w:jc w:val="both"/>
        <w:rPr>
          <w:rFonts w:ascii="Arial" w:hAnsi="Arial" w:cs="Arial"/>
          <w:bCs/>
          <w:sz w:val="22"/>
          <w:szCs w:val="22"/>
          <w:lang w:val="es-ES_tradnl"/>
        </w:rPr>
      </w:pPr>
      <w:r w:rsidRPr="003C2A5D">
        <w:rPr>
          <w:rFonts w:ascii="Arial" w:hAnsi="Arial" w:cs="Arial"/>
          <w:bCs/>
          <w:sz w:val="22"/>
          <w:szCs w:val="22"/>
          <w:lang w:val="es-ES_tradnl"/>
        </w:rPr>
        <w:t>No se evidencia pago de sentencias y conciliaciones con fuente SGP</w:t>
      </w:r>
      <w:r w:rsidR="006204C3" w:rsidRPr="003C2A5D">
        <w:rPr>
          <w:rFonts w:ascii="Arial" w:hAnsi="Arial" w:cs="Arial"/>
          <w:bCs/>
          <w:sz w:val="22"/>
          <w:szCs w:val="22"/>
          <w:lang w:val="es-ES_tradnl"/>
        </w:rPr>
        <w:t xml:space="preserve"> en las vigencias 2019 y 2020</w:t>
      </w:r>
      <w:r w:rsidRPr="003C2A5D">
        <w:rPr>
          <w:rFonts w:ascii="Arial" w:hAnsi="Arial" w:cs="Arial"/>
          <w:bCs/>
          <w:sz w:val="22"/>
          <w:szCs w:val="22"/>
          <w:lang w:val="es-ES_tradnl"/>
        </w:rPr>
        <w:t>.</w:t>
      </w:r>
    </w:p>
    <w:p w:rsidR="004662E4" w:rsidRPr="003C2A5D" w:rsidRDefault="004662E4" w:rsidP="000A5BEA">
      <w:pPr>
        <w:jc w:val="both"/>
        <w:rPr>
          <w:rFonts w:ascii="Arial" w:hAnsi="Arial" w:cs="Arial"/>
          <w:b/>
          <w:sz w:val="22"/>
          <w:szCs w:val="22"/>
          <w:lang w:val="es-CO"/>
        </w:rPr>
      </w:pPr>
    </w:p>
    <w:p w:rsidR="004662E4" w:rsidRPr="00AB6A00" w:rsidRDefault="002E5FA2" w:rsidP="000A5BEA">
      <w:pPr>
        <w:pStyle w:val="Prrafodelista"/>
        <w:numPr>
          <w:ilvl w:val="0"/>
          <w:numId w:val="10"/>
        </w:numPr>
        <w:jc w:val="both"/>
        <w:rPr>
          <w:rFonts w:ascii="Arial" w:hAnsi="Arial" w:cs="Arial"/>
          <w:i/>
          <w:sz w:val="22"/>
          <w:szCs w:val="22"/>
        </w:rPr>
      </w:pPr>
      <w:r w:rsidRPr="00AB6A00">
        <w:rPr>
          <w:rFonts w:ascii="Arial" w:hAnsi="Arial" w:cs="Arial"/>
          <w:i/>
          <w:sz w:val="22"/>
          <w:szCs w:val="22"/>
        </w:rPr>
        <w:t xml:space="preserve">Cierre de </w:t>
      </w:r>
      <w:r w:rsidR="004662E4" w:rsidRPr="00AB6A00">
        <w:rPr>
          <w:rFonts w:ascii="Arial" w:hAnsi="Arial" w:cs="Arial"/>
          <w:i/>
          <w:sz w:val="22"/>
          <w:szCs w:val="22"/>
        </w:rPr>
        <w:t xml:space="preserve">Tesorería: </w:t>
      </w:r>
    </w:p>
    <w:p w:rsidR="004662E4" w:rsidRDefault="004662E4" w:rsidP="00345AEE">
      <w:pPr>
        <w:jc w:val="both"/>
        <w:rPr>
          <w:rFonts w:ascii="Arial" w:hAnsi="Arial" w:cs="Arial"/>
          <w:sz w:val="22"/>
          <w:szCs w:val="22"/>
          <w:highlight w:val="yellow"/>
        </w:rPr>
      </w:pPr>
    </w:p>
    <w:p w:rsidR="00345AEE" w:rsidRPr="009507DC" w:rsidRDefault="00345AEE" w:rsidP="00345AEE">
      <w:pPr>
        <w:jc w:val="both"/>
        <w:rPr>
          <w:rFonts w:ascii="Arial" w:hAnsi="Arial" w:cs="Arial"/>
          <w:sz w:val="22"/>
          <w:szCs w:val="22"/>
        </w:rPr>
      </w:pPr>
      <w:r w:rsidRPr="009507DC">
        <w:rPr>
          <w:rFonts w:ascii="Arial" w:hAnsi="Arial" w:cs="Arial"/>
          <w:sz w:val="22"/>
          <w:szCs w:val="22"/>
        </w:rPr>
        <w:t xml:space="preserve">Sobre el cierre de 2.020, la información reportada por la Entidad Territorial en FUT para las Categorías de ingresos y gastos arrojó un resultado presupuestal superavitario para el sector educativo de </w:t>
      </w:r>
      <w:r w:rsidRPr="009507DC">
        <w:rPr>
          <w:rFonts w:ascii="Arial" w:hAnsi="Arial" w:cs="Arial"/>
          <w:bCs/>
          <w:sz w:val="22"/>
          <w:szCs w:val="22"/>
          <w:lang w:val="es-ES_tradnl"/>
        </w:rPr>
        <w:t>$</w:t>
      </w:r>
      <w:r>
        <w:rPr>
          <w:rFonts w:ascii="Arial" w:hAnsi="Arial" w:cs="Arial"/>
          <w:bCs/>
          <w:sz w:val="22"/>
          <w:szCs w:val="22"/>
          <w:lang w:val="es-ES_tradnl"/>
        </w:rPr>
        <w:t xml:space="preserve">2.174 </w:t>
      </w:r>
      <w:r w:rsidRPr="009507DC">
        <w:rPr>
          <w:rFonts w:ascii="Arial" w:hAnsi="Arial" w:cs="Arial"/>
          <w:sz w:val="22"/>
          <w:szCs w:val="22"/>
        </w:rPr>
        <w:t xml:space="preserve">millones y evidenció que la entidad debió constituir reservas por </w:t>
      </w:r>
      <w:r w:rsidRPr="009507DC">
        <w:rPr>
          <w:rFonts w:ascii="Arial" w:hAnsi="Arial" w:cs="Arial"/>
          <w:bCs/>
          <w:sz w:val="22"/>
          <w:szCs w:val="22"/>
          <w:lang w:val="es-ES_tradnl"/>
        </w:rPr>
        <w:t>$</w:t>
      </w:r>
      <w:r>
        <w:rPr>
          <w:rFonts w:ascii="Arial" w:hAnsi="Arial" w:cs="Arial"/>
          <w:bCs/>
          <w:sz w:val="22"/>
          <w:szCs w:val="22"/>
          <w:lang w:val="es-ES_tradnl"/>
        </w:rPr>
        <w:t xml:space="preserve">3.444 </w:t>
      </w:r>
      <w:r w:rsidRPr="009507DC">
        <w:rPr>
          <w:rFonts w:ascii="Arial" w:hAnsi="Arial" w:cs="Arial"/>
          <w:sz w:val="22"/>
          <w:szCs w:val="22"/>
        </w:rPr>
        <w:t xml:space="preserve">millones, cuentas por pagar por </w:t>
      </w:r>
      <w:r w:rsidRPr="009507DC">
        <w:rPr>
          <w:rFonts w:ascii="Arial" w:hAnsi="Arial" w:cs="Arial"/>
          <w:bCs/>
          <w:sz w:val="22"/>
          <w:szCs w:val="22"/>
          <w:lang w:val="es-ES_tradnl"/>
        </w:rPr>
        <w:t>$</w:t>
      </w:r>
      <w:r>
        <w:rPr>
          <w:rFonts w:ascii="Arial" w:hAnsi="Arial" w:cs="Arial"/>
          <w:bCs/>
          <w:sz w:val="22"/>
          <w:szCs w:val="22"/>
          <w:lang w:val="es-ES_tradnl"/>
        </w:rPr>
        <w:t xml:space="preserve">3.961 </w:t>
      </w:r>
      <w:r w:rsidRPr="009507DC">
        <w:rPr>
          <w:rFonts w:ascii="Arial" w:hAnsi="Arial" w:cs="Arial"/>
          <w:sz w:val="22"/>
          <w:szCs w:val="22"/>
        </w:rPr>
        <w:t xml:space="preserve">millones y tener como mínimo disponible en caja y bancos </w:t>
      </w:r>
      <w:r w:rsidRPr="009507DC">
        <w:rPr>
          <w:rFonts w:ascii="Arial" w:hAnsi="Arial" w:cs="Arial"/>
          <w:bCs/>
          <w:sz w:val="22"/>
          <w:szCs w:val="22"/>
          <w:lang w:val="es-ES_tradnl"/>
        </w:rPr>
        <w:t>$</w:t>
      </w:r>
      <w:r>
        <w:rPr>
          <w:rFonts w:ascii="Arial" w:hAnsi="Arial" w:cs="Arial"/>
          <w:bCs/>
          <w:sz w:val="22"/>
          <w:szCs w:val="22"/>
          <w:lang w:val="es-ES_tradnl"/>
        </w:rPr>
        <w:t xml:space="preserve">9.579 </w:t>
      </w:r>
      <w:r w:rsidRPr="009507DC">
        <w:rPr>
          <w:rFonts w:ascii="Arial" w:hAnsi="Arial" w:cs="Arial"/>
          <w:sz w:val="22"/>
          <w:szCs w:val="22"/>
        </w:rPr>
        <w:t xml:space="preserve">millones. </w:t>
      </w:r>
      <w:r w:rsidRPr="009507DC">
        <w:rPr>
          <w:rFonts w:ascii="Arial" w:hAnsi="Arial" w:cs="Arial"/>
          <w:sz w:val="22"/>
          <w:szCs w:val="22"/>
          <w:lang w:val="es-ES_tradnl"/>
        </w:rPr>
        <w:t xml:space="preserve">Al comparar la información reportada en la categoría de Cierre Fiscal del FUT contra la presupuestal, </w:t>
      </w:r>
      <w:r w:rsidRPr="009507DC">
        <w:rPr>
          <w:rFonts w:ascii="Arial" w:hAnsi="Arial" w:cs="Arial"/>
          <w:sz w:val="22"/>
          <w:szCs w:val="22"/>
        </w:rPr>
        <w:t xml:space="preserve">se encontró que ésta es inconsistente </w:t>
      </w:r>
      <w:r w:rsidRPr="009507DC">
        <w:rPr>
          <w:rFonts w:ascii="Arial" w:hAnsi="Arial" w:cs="Arial"/>
          <w:sz w:val="22"/>
          <w:szCs w:val="22"/>
          <w:lang w:val="es-ES_tradnl"/>
        </w:rPr>
        <w:t>entre sí.</w:t>
      </w:r>
      <w:r w:rsidRPr="009507DC">
        <w:rPr>
          <w:rFonts w:ascii="Arial" w:hAnsi="Arial" w:cs="Arial"/>
          <w:sz w:val="22"/>
          <w:szCs w:val="22"/>
        </w:rPr>
        <w:t xml:space="preserve"> Los valores de superávit </w:t>
      </w:r>
      <w:r w:rsidR="00303F33">
        <w:rPr>
          <w:rFonts w:ascii="Arial" w:hAnsi="Arial" w:cs="Arial"/>
          <w:sz w:val="22"/>
          <w:szCs w:val="22"/>
        </w:rPr>
        <w:t xml:space="preserve">y </w:t>
      </w:r>
      <w:r w:rsidRPr="009507DC">
        <w:rPr>
          <w:rFonts w:ascii="Arial" w:hAnsi="Arial" w:cs="Arial"/>
          <w:sz w:val="22"/>
          <w:szCs w:val="22"/>
        </w:rPr>
        <w:t>el saldo en caja y bancos según el ejercicio presupuestal no coinciden con los resultados de tesorería.</w:t>
      </w:r>
    </w:p>
    <w:p w:rsidR="00345AEE" w:rsidRDefault="00345AEE" w:rsidP="00345AEE">
      <w:pPr>
        <w:jc w:val="both"/>
        <w:rPr>
          <w:rFonts w:ascii="Arial" w:hAnsi="Arial" w:cs="Arial"/>
          <w:sz w:val="22"/>
          <w:szCs w:val="22"/>
          <w:highlight w:val="yellow"/>
        </w:rPr>
      </w:pPr>
    </w:p>
    <w:tbl>
      <w:tblPr>
        <w:tblW w:w="5000" w:type="pct"/>
        <w:tblCellMar>
          <w:left w:w="70" w:type="dxa"/>
          <w:right w:w="70" w:type="dxa"/>
        </w:tblCellMar>
        <w:tblLook w:val="04A0" w:firstRow="1" w:lastRow="0" w:firstColumn="1" w:lastColumn="0" w:noHBand="0" w:noVBand="1"/>
      </w:tblPr>
      <w:tblGrid>
        <w:gridCol w:w="1126"/>
        <w:gridCol w:w="3747"/>
        <w:gridCol w:w="1351"/>
        <w:gridCol w:w="1126"/>
        <w:gridCol w:w="1128"/>
        <w:gridCol w:w="350"/>
      </w:tblGrid>
      <w:tr w:rsidR="00303F33" w:rsidRPr="00303F33" w:rsidTr="00AB6A00">
        <w:trPr>
          <w:trHeight w:val="20"/>
        </w:trPr>
        <w:tc>
          <w:tcPr>
            <w:tcW w:w="4802" w:type="pct"/>
            <w:gridSpan w:val="5"/>
            <w:tcBorders>
              <w:top w:val="single" w:sz="8" w:space="0" w:color="auto"/>
              <w:left w:val="single" w:sz="8" w:space="0" w:color="auto"/>
              <w:bottom w:val="single" w:sz="4" w:space="0" w:color="auto"/>
              <w:right w:val="single" w:sz="8" w:space="0" w:color="000000"/>
            </w:tcBorders>
            <w:shd w:val="clear" w:color="000000" w:fill="666699"/>
            <w:noWrap/>
            <w:vAlign w:val="center"/>
            <w:hideMark/>
          </w:tcPr>
          <w:p w:rsidR="00303F33" w:rsidRPr="00303F33" w:rsidRDefault="00303F33" w:rsidP="00303F33">
            <w:pPr>
              <w:jc w:val="center"/>
              <w:rPr>
                <w:rFonts w:ascii="Arial" w:eastAsia="Times New Roman" w:hAnsi="Arial" w:cs="Arial"/>
                <w:b/>
                <w:bCs/>
                <w:color w:val="FFFFFF"/>
                <w:sz w:val="16"/>
                <w:szCs w:val="16"/>
                <w:lang w:val="es-CO" w:eastAsia="es-CO"/>
              </w:rPr>
            </w:pPr>
            <w:r w:rsidRPr="00303F33">
              <w:rPr>
                <w:rFonts w:ascii="Arial" w:eastAsia="Times New Roman" w:hAnsi="Arial" w:cs="Arial"/>
                <w:b/>
                <w:bCs/>
                <w:color w:val="FFFFFF"/>
                <w:sz w:val="16"/>
                <w:szCs w:val="16"/>
                <w:lang w:val="es-CO" w:eastAsia="es-CO"/>
              </w:rPr>
              <w:t>TABLA 3. CIERRE DE VIGENCIA 2019 Y 2020 (Millones $)</w:t>
            </w:r>
          </w:p>
        </w:tc>
        <w:tc>
          <w:tcPr>
            <w:tcW w:w="198" w:type="pct"/>
            <w:tcBorders>
              <w:top w:val="nil"/>
              <w:left w:val="nil"/>
              <w:bottom w:val="nil"/>
              <w:right w:val="nil"/>
            </w:tcBorders>
            <w:shd w:val="clear" w:color="auto" w:fill="auto"/>
            <w:noWrap/>
            <w:vAlign w:val="bottom"/>
            <w:hideMark/>
          </w:tcPr>
          <w:p w:rsidR="00303F33" w:rsidRPr="00303F33" w:rsidRDefault="00303F33" w:rsidP="00303F33">
            <w:pPr>
              <w:jc w:val="center"/>
              <w:rPr>
                <w:rFonts w:ascii="Arial" w:eastAsia="Times New Roman" w:hAnsi="Arial" w:cs="Arial"/>
                <w:b/>
                <w:bCs/>
                <w:color w:val="FFFFFF"/>
                <w:sz w:val="16"/>
                <w:szCs w:val="16"/>
                <w:lang w:val="es-CO" w:eastAsia="es-CO"/>
              </w:rPr>
            </w:pPr>
          </w:p>
        </w:tc>
      </w:tr>
      <w:tr w:rsidR="00303F33" w:rsidRPr="00303F33" w:rsidTr="00AB6A00">
        <w:trPr>
          <w:trHeight w:val="20"/>
        </w:trPr>
        <w:tc>
          <w:tcPr>
            <w:tcW w:w="638" w:type="pct"/>
            <w:tcBorders>
              <w:top w:val="nil"/>
              <w:left w:val="single" w:sz="8" w:space="0" w:color="auto"/>
              <w:bottom w:val="single" w:sz="8" w:space="0" w:color="auto"/>
              <w:right w:val="single" w:sz="4" w:space="0" w:color="auto"/>
            </w:tcBorders>
            <w:shd w:val="clear" w:color="000000" w:fill="666699"/>
            <w:noWrap/>
            <w:vAlign w:val="center"/>
            <w:hideMark/>
          </w:tcPr>
          <w:p w:rsidR="00303F33" w:rsidRPr="00303F33" w:rsidRDefault="00303F33" w:rsidP="00303F33">
            <w:pPr>
              <w:jc w:val="center"/>
              <w:rPr>
                <w:rFonts w:ascii="Arial" w:eastAsia="Times New Roman" w:hAnsi="Arial" w:cs="Arial"/>
                <w:b/>
                <w:bCs/>
                <w:color w:val="FFFFFF"/>
                <w:sz w:val="16"/>
                <w:szCs w:val="16"/>
                <w:lang w:val="es-CO" w:eastAsia="es-CO"/>
              </w:rPr>
            </w:pPr>
            <w:r w:rsidRPr="00303F33">
              <w:rPr>
                <w:rFonts w:ascii="Arial" w:eastAsia="Times New Roman" w:hAnsi="Arial" w:cs="Arial"/>
                <w:b/>
                <w:bCs/>
                <w:color w:val="FFFFFF"/>
                <w:sz w:val="16"/>
                <w:szCs w:val="16"/>
                <w:lang w:val="es-CO" w:eastAsia="es-CO"/>
              </w:rPr>
              <w:t>VIGENCIA </w:t>
            </w:r>
          </w:p>
        </w:tc>
        <w:tc>
          <w:tcPr>
            <w:tcW w:w="2122" w:type="pct"/>
            <w:tcBorders>
              <w:top w:val="nil"/>
              <w:left w:val="nil"/>
              <w:bottom w:val="single" w:sz="8" w:space="0" w:color="auto"/>
              <w:right w:val="single" w:sz="4" w:space="0" w:color="auto"/>
            </w:tcBorders>
            <w:shd w:val="clear" w:color="000000" w:fill="666699"/>
            <w:noWrap/>
            <w:vAlign w:val="center"/>
            <w:hideMark/>
          </w:tcPr>
          <w:p w:rsidR="00303F33" w:rsidRPr="00303F33" w:rsidRDefault="00303F33" w:rsidP="00303F33">
            <w:pPr>
              <w:jc w:val="center"/>
              <w:rPr>
                <w:rFonts w:ascii="Arial" w:eastAsia="Times New Roman" w:hAnsi="Arial" w:cs="Arial"/>
                <w:b/>
                <w:bCs/>
                <w:color w:val="FFFFFF"/>
                <w:sz w:val="16"/>
                <w:szCs w:val="16"/>
                <w:lang w:val="es-CO" w:eastAsia="es-CO"/>
              </w:rPr>
            </w:pPr>
            <w:r w:rsidRPr="00303F33">
              <w:rPr>
                <w:rFonts w:ascii="Arial" w:eastAsia="Times New Roman" w:hAnsi="Arial" w:cs="Arial"/>
                <w:b/>
                <w:bCs/>
                <w:color w:val="FFFFFF"/>
                <w:sz w:val="16"/>
                <w:szCs w:val="16"/>
                <w:lang w:val="es-CO" w:eastAsia="es-CO"/>
              </w:rPr>
              <w:t>CONCEPTO </w:t>
            </w:r>
          </w:p>
        </w:tc>
        <w:tc>
          <w:tcPr>
            <w:tcW w:w="765" w:type="pct"/>
            <w:tcBorders>
              <w:top w:val="nil"/>
              <w:left w:val="nil"/>
              <w:bottom w:val="single" w:sz="8" w:space="0" w:color="auto"/>
              <w:right w:val="single" w:sz="4" w:space="0" w:color="auto"/>
            </w:tcBorders>
            <w:shd w:val="clear" w:color="000000" w:fill="666699"/>
            <w:noWrap/>
            <w:vAlign w:val="center"/>
            <w:hideMark/>
          </w:tcPr>
          <w:p w:rsidR="00303F33" w:rsidRPr="00303F33" w:rsidRDefault="00303F33" w:rsidP="00303F33">
            <w:pPr>
              <w:jc w:val="center"/>
              <w:rPr>
                <w:rFonts w:ascii="Arial" w:eastAsia="Times New Roman" w:hAnsi="Arial" w:cs="Arial"/>
                <w:b/>
                <w:bCs/>
                <w:color w:val="FFFFFF"/>
                <w:sz w:val="16"/>
                <w:szCs w:val="16"/>
                <w:lang w:val="es-CO" w:eastAsia="es-CO"/>
              </w:rPr>
            </w:pPr>
            <w:r w:rsidRPr="00303F33">
              <w:rPr>
                <w:rFonts w:ascii="Arial" w:eastAsia="Times New Roman" w:hAnsi="Arial" w:cs="Arial"/>
                <w:b/>
                <w:bCs/>
                <w:color w:val="FFFFFF"/>
                <w:sz w:val="16"/>
                <w:szCs w:val="16"/>
                <w:lang w:val="es-CO" w:eastAsia="es-CO"/>
              </w:rPr>
              <w:t>PRESUPUESTO</w:t>
            </w:r>
          </w:p>
        </w:tc>
        <w:tc>
          <w:tcPr>
            <w:tcW w:w="638" w:type="pct"/>
            <w:tcBorders>
              <w:top w:val="nil"/>
              <w:left w:val="nil"/>
              <w:bottom w:val="single" w:sz="8" w:space="0" w:color="auto"/>
              <w:right w:val="single" w:sz="4" w:space="0" w:color="auto"/>
            </w:tcBorders>
            <w:shd w:val="clear" w:color="000000" w:fill="666699"/>
            <w:noWrap/>
            <w:vAlign w:val="center"/>
            <w:hideMark/>
          </w:tcPr>
          <w:p w:rsidR="00303F33" w:rsidRPr="00303F33" w:rsidRDefault="00303F33" w:rsidP="00303F33">
            <w:pPr>
              <w:jc w:val="center"/>
              <w:rPr>
                <w:rFonts w:ascii="Arial" w:eastAsia="Times New Roman" w:hAnsi="Arial" w:cs="Arial"/>
                <w:b/>
                <w:bCs/>
                <w:color w:val="FFFFFF"/>
                <w:sz w:val="16"/>
                <w:szCs w:val="16"/>
                <w:lang w:val="es-CO" w:eastAsia="es-CO"/>
              </w:rPr>
            </w:pPr>
            <w:r w:rsidRPr="00303F33">
              <w:rPr>
                <w:rFonts w:ascii="Arial" w:eastAsia="Times New Roman" w:hAnsi="Arial" w:cs="Arial"/>
                <w:b/>
                <w:bCs/>
                <w:color w:val="FFFFFF"/>
                <w:sz w:val="16"/>
                <w:szCs w:val="16"/>
                <w:lang w:val="es-CO" w:eastAsia="es-CO"/>
              </w:rPr>
              <w:t>TESORERÍA</w:t>
            </w:r>
          </w:p>
        </w:tc>
        <w:tc>
          <w:tcPr>
            <w:tcW w:w="638" w:type="pct"/>
            <w:tcBorders>
              <w:top w:val="nil"/>
              <w:left w:val="nil"/>
              <w:bottom w:val="single" w:sz="8" w:space="0" w:color="auto"/>
              <w:right w:val="single" w:sz="8" w:space="0" w:color="auto"/>
            </w:tcBorders>
            <w:shd w:val="clear" w:color="000000" w:fill="666699"/>
            <w:noWrap/>
            <w:vAlign w:val="center"/>
            <w:hideMark/>
          </w:tcPr>
          <w:p w:rsidR="00303F33" w:rsidRPr="00303F33" w:rsidRDefault="00303F33" w:rsidP="00303F33">
            <w:pPr>
              <w:jc w:val="center"/>
              <w:rPr>
                <w:rFonts w:ascii="Arial" w:eastAsia="Times New Roman" w:hAnsi="Arial" w:cs="Arial"/>
                <w:b/>
                <w:bCs/>
                <w:color w:val="FFFFFF"/>
                <w:sz w:val="16"/>
                <w:szCs w:val="16"/>
                <w:lang w:val="es-CO" w:eastAsia="es-CO"/>
              </w:rPr>
            </w:pPr>
            <w:r w:rsidRPr="00303F33">
              <w:rPr>
                <w:rFonts w:ascii="Arial" w:eastAsia="Times New Roman" w:hAnsi="Arial" w:cs="Arial"/>
                <w:b/>
                <w:bCs/>
                <w:color w:val="FFFFFF"/>
                <w:sz w:val="16"/>
                <w:szCs w:val="16"/>
                <w:lang w:val="es-CO" w:eastAsia="es-CO"/>
              </w:rPr>
              <w:t>DIFERENCIA</w:t>
            </w:r>
          </w:p>
        </w:tc>
        <w:tc>
          <w:tcPr>
            <w:tcW w:w="198" w:type="pct"/>
            <w:tcBorders>
              <w:top w:val="nil"/>
              <w:left w:val="nil"/>
              <w:bottom w:val="nil"/>
              <w:right w:val="nil"/>
            </w:tcBorders>
            <w:shd w:val="clear" w:color="auto" w:fill="auto"/>
            <w:noWrap/>
            <w:vAlign w:val="bottom"/>
            <w:hideMark/>
          </w:tcPr>
          <w:p w:rsidR="00303F33" w:rsidRPr="00303F33" w:rsidRDefault="00303F33" w:rsidP="00303F33">
            <w:pPr>
              <w:jc w:val="center"/>
              <w:rPr>
                <w:rFonts w:ascii="Arial" w:eastAsia="Times New Roman" w:hAnsi="Arial" w:cs="Arial"/>
                <w:b/>
                <w:bCs/>
                <w:color w:val="FFFFFF"/>
                <w:sz w:val="16"/>
                <w:szCs w:val="16"/>
                <w:lang w:val="es-CO" w:eastAsia="es-CO"/>
              </w:rPr>
            </w:pPr>
          </w:p>
        </w:tc>
      </w:tr>
      <w:tr w:rsidR="00303F33" w:rsidRPr="00303F33" w:rsidTr="00AB6A00">
        <w:trPr>
          <w:trHeight w:val="20"/>
        </w:trPr>
        <w:tc>
          <w:tcPr>
            <w:tcW w:w="638" w:type="pct"/>
            <w:vMerge w:val="restart"/>
            <w:tcBorders>
              <w:top w:val="nil"/>
              <w:left w:val="single" w:sz="8" w:space="0" w:color="auto"/>
              <w:bottom w:val="single" w:sz="8" w:space="0" w:color="000000"/>
              <w:right w:val="single" w:sz="4" w:space="0" w:color="auto"/>
            </w:tcBorders>
            <w:shd w:val="clear" w:color="auto" w:fill="auto"/>
            <w:vAlign w:val="center"/>
            <w:hideMark/>
          </w:tcPr>
          <w:p w:rsidR="00303F33" w:rsidRPr="00303F33" w:rsidRDefault="00303F33" w:rsidP="00303F33">
            <w:pPr>
              <w:jc w:val="center"/>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2019</w:t>
            </w:r>
          </w:p>
        </w:tc>
        <w:tc>
          <w:tcPr>
            <w:tcW w:w="2122" w:type="pct"/>
            <w:tcBorders>
              <w:top w:val="nil"/>
              <w:left w:val="nil"/>
              <w:bottom w:val="single" w:sz="4" w:space="0" w:color="auto"/>
              <w:right w:val="single" w:sz="4" w:space="0" w:color="auto"/>
            </w:tcBorders>
            <w:shd w:val="clear" w:color="000000" w:fill="CCCCFF"/>
            <w:vAlign w:val="center"/>
            <w:hideMark/>
          </w:tcPr>
          <w:p w:rsidR="00303F33" w:rsidRPr="00303F33" w:rsidRDefault="00303F33" w:rsidP="00303F33">
            <w:pPr>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Ingresos (Recaudados) (A)</w:t>
            </w:r>
          </w:p>
        </w:tc>
        <w:tc>
          <w:tcPr>
            <w:tcW w:w="765" w:type="pct"/>
            <w:tcBorders>
              <w:top w:val="nil"/>
              <w:left w:val="nil"/>
              <w:bottom w:val="single" w:sz="4" w:space="0" w:color="auto"/>
              <w:right w:val="single" w:sz="4" w:space="0" w:color="auto"/>
            </w:tcBorders>
            <w:shd w:val="clear" w:color="auto" w:fill="auto"/>
            <w:vAlign w:val="center"/>
            <w:hideMark/>
          </w:tcPr>
          <w:p w:rsidR="00303F33" w:rsidRPr="00303F33" w:rsidRDefault="00303F33" w:rsidP="00303F33">
            <w:pPr>
              <w:jc w:val="right"/>
              <w:rPr>
                <w:rFonts w:ascii="Arial" w:eastAsia="Times New Roman" w:hAnsi="Arial" w:cs="Arial"/>
                <w:color w:val="000000"/>
                <w:sz w:val="16"/>
                <w:szCs w:val="16"/>
                <w:lang w:val="es-CO" w:eastAsia="es-CO"/>
              </w:rPr>
            </w:pPr>
            <w:r w:rsidRPr="00303F33">
              <w:rPr>
                <w:rFonts w:ascii="Arial" w:eastAsia="Times New Roman" w:hAnsi="Arial" w:cs="Arial"/>
                <w:color w:val="000000"/>
                <w:sz w:val="16"/>
                <w:szCs w:val="16"/>
                <w:lang w:val="es-CO" w:eastAsia="es-CO"/>
              </w:rPr>
              <w:t xml:space="preserve"> 732.963 </w:t>
            </w:r>
          </w:p>
        </w:tc>
        <w:tc>
          <w:tcPr>
            <w:tcW w:w="638" w:type="pct"/>
            <w:tcBorders>
              <w:top w:val="nil"/>
              <w:left w:val="nil"/>
              <w:bottom w:val="single" w:sz="4" w:space="0" w:color="auto"/>
              <w:right w:val="single" w:sz="4" w:space="0" w:color="auto"/>
            </w:tcBorders>
            <w:shd w:val="clear" w:color="000000" w:fill="BFBFBF"/>
            <w:vAlign w:val="center"/>
            <w:hideMark/>
          </w:tcPr>
          <w:p w:rsidR="00303F33" w:rsidRPr="00303F33" w:rsidRDefault="00303F33" w:rsidP="00303F33">
            <w:pPr>
              <w:jc w:val="right"/>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 </w:t>
            </w:r>
          </w:p>
        </w:tc>
        <w:tc>
          <w:tcPr>
            <w:tcW w:w="638" w:type="pct"/>
            <w:tcBorders>
              <w:top w:val="nil"/>
              <w:left w:val="nil"/>
              <w:bottom w:val="single" w:sz="4" w:space="0" w:color="auto"/>
              <w:right w:val="single" w:sz="8" w:space="0" w:color="auto"/>
            </w:tcBorders>
            <w:shd w:val="clear" w:color="000000" w:fill="BFBFBF"/>
            <w:vAlign w:val="center"/>
            <w:hideMark/>
          </w:tcPr>
          <w:p w:rsidR="00303F33" w:rsidRPr="00303F33" w:rsidRDefault="00303F33" w:rsidP="00303F33">
            <w:pPr>
              <w:jc w:val="right"/>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 </w:t>
            </w:r>
          </w:p>
        </w:tc>
        <w:tc>
          <w:tcPr>
            <w:tcW w:w="198" w:type="pct"/>
            <w:tcBorders>
              <w:top w:val="nil"/>
              <w:left w:val="nil"/>
              <w:bottom w:val="nil"/>
              <w:right w:val="nil"/>
            </w:tcBorders>
            <w:shd w:val="clear" w:color="auto" w:fill="auto"/>
            <w:noWrap/>
            <w:vAlign w:val="bottom"/>
            <w:hideMark/>
          </w:tcPr>
          <w:p w:rsidR="00303F33" w:rsidRPr="00303F33" w:rsidRDefault="00303F33" w:rsidP="00303F33">
            <w:pPr>
              <w:jc w:val="both"/>
              <w:rPr>
                <w:rFonts w:ascii="Arial" w:eastAsia="Times New Roman" w:hAnsi="Arial" w:cs="Arial"/>
                <w:b/>
                <w:bCs/>
                <w:color w:val="000000"/>
                <w:sz w:val="16"/>
                <w:szCs w:val="16"/>
                <w:lang w:val="es-CO" w:eastAsia="es-CO"/>
              </w:rPr>
            </w:pPr>
          </w:p>
        </w:tc>
      </w:tr>
      <w:tr w:rsidR="00303F33" w:rsidRPr="00303F33" w:rsidTr="00AB6A00">
        <w:trPr>
          <w:trHeight w:val="20"/>
        </w:trPr>
        <w:tc>
          <w:tcPr>
            <w:tcW w:w="638" w:type="pct"/>
            <w:vMerge/>
            <w:tcBorders>
              <w:top w:val="nil"/>
              <w:left w:val="single" w:sz="8" w:space="0" w:color="auto"/>
              <w:bottom w:val="single" w:sz="8" w:space="0" w:color="000000"/>
              <w:right w:val="single" w:sz="4" w:space="0" w:color="auto"/>
            </w:tcBorders>
            <w:vAlign w:val="center"/>
            <w:hideMark/>
          </w:tcPr>
          <w:p w:rsidR="00303F33" w:rsidRPr="00303F33" w:rsidRDefault="00303F33" w:rsidP="00303F33">
            <w:pPr>
              <w:rPr>
                <w:rFonts w:ascii="Arial" w:eastAsia="Times New Roman" w:hAnsi="Arial" w:cs="Arial"/>
                <w:b/>
                <w:bCs/>
                <w:color w:val="000000"/>
                <w:sz w:val="16"/>
                <w:szCs w:val="16"/>
                <w:lang w:val="es-CO" w:eastAsia="es-CO"/>
              </w:rPr>
            </w:pPr>
          </w:p>
        </w:tc>
        <w:tc>
          <w:tcPr>
            <w:tcW w:w="2122" w:type="pct"/>
            <w:tcBorders>
              <w:top w:val="nil"/>
              <w:left w:val="nil"/>
              <w:bottom w:val="single" w:sz="4" w:space="0" w:color="auto"/>
              <w:right w:val="single" w:sz="4" w:space="0" w:color="auto"/>
            </w:tcBorders>
            <w:shd w:val="clear" w:color="000000" w:fill="CCCCFF"/>
            <w:vAlign w:val="center"/>
            <w:hideMark/>
          </w:tcPr>
          <w:p w:rsidR="00303F33" w:rsidRPr="00303F33" w:rsidRDefault="00303F33" w:rsidP="00303F33">
            <w:pPr>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Gastos (Comprometidos) (B)</w:t>
            </w:r>
          </w:p>
        </w:tc>
        <w:tc>
          <w:tcPr>
            <w:tcW w:w="765" w:type="pct"/>
            <w:tcBorders>
              <w:top w:val="nil"/>
              <w:left w:val="nil"/>
              <w:bottom w:val="single" w:sz="4" w:space="0" w:color="auto"/>
              <w:right w:val="single" w:sz="4" w:space="0" w:color="auto"/>
            </w:tcBorders>
            <w:shd w:val="clear" w:color="auto" w:fill="auto"/>
            <w:vAlign w:val="center"/>
            <w:hideMark/>
          </w:tcPr>
          <w:p w:rsidR="00303F33" w:rsidRPr="00303F33" w:rsidRDefault="00303F33" w:rsidP="00303F33">
            <w:pPr>
              <w:jc w:val="right"/>
              <w:rPr>
                <w:rFonts w:ascii="Arial" w:eastAsia="Times New Roman" w:hAnsi="Arial" w:cs="Arial"/>
                <w:color w:val="000000"/>
                <w:sz w:val="16"/>
                <w:szCs w:val="16"/>
                <w:lang w:val="es-CO" w:eastAsia="es-CO"/>
              </w:rPr>
            </w:pPr>
            <w:r w:rsidRPr="00303F33">
              <w:rPr>
                <w:rFonts w:ascii="Arial" w:eastAsia="Times New Roman" w:hAnsi="Arial" w:cs="Arial"/>
                <w:color w:val="000000"/>
                <w:sz w:val="16"/>
                <w:szCs w:val="16"/>
                <w:lang w:val="es-CO" w:eastAsia="es-CO"/>
              </w:rPr>
              <w:t xml:space="preserve"> 732.641 </w:t>
            </w:r>
          </w:p>
        </w:tc>
        <w:tc>
          <w:tcPr>
            <w:tcW w:w="638" w:type="pct"/>
            <w:tcBorders>
              <w:top w:val="nil"/>
              <w:left w:val="nil"/>
              <w:bottom w:val="single" w:sz="4" w:space="0" w:color="auto"/>
              <w:right w:val="single" w:sz="4" w:space="0" w:color="auto"/>
            </w:tcBorders>
            <w:shd w:val="clear" w:color="000000" w:fill="BFBFBF"/>
            <w:vAlign w:val="center"/>
            <w:hideMark/>
          </w:tcPr>
          <w:p w:rsidR="00303F33" w:rsidRPr="00303F33" w:rsidRDefault="00303F33" w:rsidP="00303F33">
            <w:pPr>
              <w:jc w:val="right"/>
              <w:rPr>
                <w:rFonts w:ascii="Arial" w:eastAsia="Times New Roman" w:hAnsi="Arial" w:cs="Arial"/>
                <w:i/>
                <w:iCs/>
                <w:color w:val="000000"/>
                <w:sz w:val="16"/>
                <w:szCs w:val="16"/>
                <w:lang w:val="es-CO" w:eastAsia="es-CO"/>
              </w:rPr>
            </w:pPr>
            <w:r w:rsidRPr="00303F33">
              <w:rPr>
                <w:rFonts w:ascii="Arial" w:eastAsia="Times New Roman" w:hAnsi="Arial" w:cs="Arial"/>
                <w:i/>
                <w:iCs/>
                <w:color w:val="000000"/>
                <w:sz w:val="16"/>
                <w:szCs w:val="16"/>
                <w:lang w:val="es-CO" w:eastAsia="es-CO"/>
              </w:rPr>
              <w:t> </w:t>
            </w:r>
          </w:p>
        </w:tc>
        <w:tc>
          <w:tcPr>
            <w:tcW w:w="638" w:type="pct"/>
            <w:tcBorders>
              <w:top w:val="nil"/>
              <w:left w:val="nil"/>
              <w:bottom w:val="single" w:sz="4" w:space="0" w:color="auto"/>
              <w:right w:val="single" w:sz="8" w:space="0" w:color="auto"/>
            </w:tcBorders>
            <w:shd w:val="clear" w:color="000000" w:fill="BFBFBF"/>
            <w:vAlign w:val="center"/>
            <w:hideMark/>
          </w:tcPr>
          <w:p w:rsidR="00303F33" w:rsidRPr="00303F33" w:rsidRDefault="00303F33" w:rsidP="00303F33">
            <w:pPr>
              <w:jc w:val="right"/>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 </w:t>
            </w:r>
          </w:p>
        </w:tc>
        <w:tc>
          <w:tcPr>
            <w:tcW w:w="198" w:type="pct"/>
            <w:tcBorders>
              <w:top w:val="nil"/>
              <w:left w:val="nil"/>
              <w:bottom w:val="nil"/>
              <w:right w:val="nil"/>
            </w:tcBorders>
            <w:shd w:val="clear" w:color="auto" w:fill="auto"/>
            <w:noWrap/>
            <w:vAlign w:val="bottom"/>
            <w:hideMark/>
          </w:tcPr>
          <w:p w:rsidR="00303F33" w:rsidRPr="00303F33" w:rsidRDefault="00303F33" w:rsidP="00303F33">
            <w:pPr>
              <w:jc w:val="both"/>
              <w:rPr>
                <w:rFonts w:ascii="Arial" w:eastAsia="Times New Roman" w:hAnsi="Arial" w:cs="Arial"/>
                <w:b/>
                <w:bCs/>
                <w:color w:val="000000"/>
                <w:sz w:val="16"/>
                <w:szCs w:val="16"/>
                <w:lang w:val="es-CO" w:eastAsia="es-CO"/>
              </w:rPr>
            </w:pPr>
          </w:p>
        </w:tc>
      </w:tr>
      <w:tr w:rsidR="00303F33" w:rsidRPr="00303F33" w:rsidTr="00AB6A00">
        <w:trPr>
          <w:trHeight w:val="20"/>
        </w:trPr>
        <w:tc>
          <w:tcPr>
            <w:tcW w:w="638" w:type="pct"/>
            <w:vMerge/>
            <w:tcBorders>
              <w:top w:val="nil"/>
              <w:left w:val="single" w:sz="8" w:space="0" w:color="auto"/>
              <w:bottom w:val="single" w:sz="8" w:space="0" w:color="000000"/>
              <w:right w:val="single" w:sz="4" w:space="0" w:color="auto"/>
            </w:tcBorders>
            <w:vAlign w:val="center"/>
            <w:hideMark/>
          </w:tcPr>
          <w:p w:rsidR="00303F33" w:rsidRPr="00303F33" w:rsidRDefault="00303F33" w:rsidP="00303F33">
            <w:pPr>
              <w:rPr>
                <w:rFonts w:ascii="Arial" w:eastAsia="Times New Roman" w:hAnsi="Arial" w:cs="Arial"/>
                <w:b/>
                <w:bCs/>
                <w:color w:val="000000"/>
                <w:sz w:val="16"/>
                <w:szCs w:val="16"/>
                <w:lang w:val="es-CO" w:eastAsia="es-CO"/>
              </w:rPr>
            </w:pPr>
          </w:p>
        </w:tc>
        <w:tc>
          <w:tcPr>
            <w:tcW w:w="2122" w:type="pct"/>
            <w:tcBorders>
              <w:top w:val="nil"/>
              <w:left w:val="nil"/>
              <w:bottom w:val="single" w:sz="4" w:space="0" w:color="auto"/>
              <w:right w:val="single" w:sz="4" w:space="0" w:color="auto"/>
            </w:tcBorders>
            <w:shd w:val="clear" w:color="000000" w:fill="CCCCFF"/>
            <w:vAlign w:val="center"/>
            <w:hideMark/>
          </w:tcPr>
          <w:p w:rsidR="00303F33" w:rsidRPr="00303F33" w:rsidRDefault="00303F33" w:rsidP="00303F33">
            <w:pPr>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Gastos (Obligados) (C )</w:t>
            </w:r>
          </w:p>
        </w:tc>
        <w:tc>
          <w:tcPr>
            <w:tcW w:w="765" w:type="pct"/>
            <w:tcBorders>
              <w:top w:val="nil"/>
              <w:left w:val="nil"/>
              <w:bottom w:val="single" w:sz="4" w:space="0" w:color="auto"/>
              <w:right w:val="single" w:sz="4" w:space="0" w:color="auto"/>
            </w:tcBorders>
            <w:shd w:val="clear" w:color="auto" w:fill="auto"/>
            <w:vAlign w:val="center"/>
            <w:hideMark/>
          </w:tcPr>
          <w:p w:rsidR="00303F33" w:rsidRPr="00303F33" w:rsidRDefault="00303F33" w:rsidP="00303F33">
            <w:pPr>
              <w:jc w:val="right"/>
              <w:rPr>
                <w:rFonts w:ascii="Arial" w:eastAsia="Times New Roman" w:hAnsi="Arial" w:cs="Arial"/>
                <w:color w:val="000000"/>
                <w:sz w:val="16"/>
                <w:szCs w:val="16"/>
                <w:lang w:val="es-CO" w:eastAsia="es-CO"/>
              </w:rPr>
            </w:pPr>
            <w:r w:rsidRPr="00303F33">
              <w:rPr>
                <w:rFonts w:ascii="Arial" w:eastAsia="Times New Roman" w:hAnsi="Arial" w:cs="Arial"/>
                <w:color w:val="000000"/>
                <w:sz w:val="16"/>
                <w:szCs w:val="16"/>
                <w:lang w:val="es-CO" w:eastAsia="es-CO"/>
              </w:rPr>
              <w:t xml:space="preserve"> 731.464 </w:t>
            </w:r>
          </w:p>
        </w:tc>
        <w:tc>
          <w:tcPr>
            <w:tcW w:w="638" w:type="pct"/>
            <w:tcBorders>
              <w:top w:val="nil"/>
              <w:left w:val="nil"/>
              <w:bottom w:val="single" w:sz="4" w:space="0" w:color="auto"/>
              <w:right w:val="single" w:sz="4" w:space="0" w:color="auto"/>
            </w:tcBorders>
            <w:shd w:val="clear" w:color="000000" w:fill="BFBFBF"/>
            <w:vAlign w:val="center"/>
            <w:hideMark/>
          </w:tcPr>
          <w:p w:rsidR="00303F33" w:rsidRPr="00303F33" w:rsidRDefault="00303F33" w:rsidP="00303F33">
            <w:pPr>
              <w:jc w:val="right"/>
              <w:rPr>
                <w:rFonts w:ascii="Arial" w:eastAsia="Times New Roman" w:hAnsi="Arial" w:cs="Arial"/>
                <w:i/>
                <w:iCs/>
                <w:color w:val="000000"/>
                <w:sz w:val="16"/>
                <w:szCs w:val="16"/>
                <w:lang w:val="es-CO" w:eastAsia="es-CO"/>
              </w:rPr>
            </w:pPr>
            <w:r w:rsidRPr="00303F33">
              <w:rPr>
                <w:rFonts w:ascii="Arial" w:eastAsia="Times New Roman" w:hAnsi="Arial" w:cs="Arial"/>
                <w:i/>
                <w:iCs/>
                <w:color w:val="000000"/>
                <w:sz w:val="16"/>
                <w:szCs w:val="16"/>
                <w:lang w:val="es-CO" w:eastAsia="es-CO"/>
              </w:rPr>
              <w:t> </w:t>
            </w:r>
          </w:p>
        </w:tc>
        <w:tc>
          <w:tcPr>
            <w:tcW w:w="638" w:type="pct"/>
            <w:tcBorders>
              <w:top w:val="nil"/>
              <w:left w:val="nil"/>
              <w:bottom w:val="single" w:sz="4" w:space="0" w:color="auto"/>
              <w:right w:val="single" w:sz="8" w:space="0" w:color="auto"/>
            </w:tcBorders>
            <w:shd w:val="clear" w:color="000000" w:fill="BFBFBF"/>
            <w:vAlign w:val="center"/>
            <w:hideMark/>
          </w:tcPr>
          <w:p w:rsidR="00303F33" w:rsidRPr="00303F33" w:rsidRDefault="00303F33" w:rsidP="00303F33">
            <w:pPr>
              <w:jc w:val="right"/>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 </w:t>
            </w:r>
          </w:p>
        </w:tc>
        <w:tc>
          <w:tcPr>
            <w:tcW w:w="198" w:type="pct"/>
            <w:tcBorders>
              <w:top w:val="nil"/>
              <w:left w:val="nil"/>
              <w:bottom w:val="nil"/>
              <w:right w:val="nil"/>
            </w:tcBorders>
            <w:shd w:val="clear" w:color="auto" w:fill="auto"/>
            <w:noWrap/>
            <w:vAlign w:val="bottom"/>
            <w:hideMark/>
          </w:tcPr>
          <w:p w:rsidR="00303F33" w:rsidRPr="00303F33" w:rsidRDefault="00303F33" w:rsidP="00303F33">
            <w:pPr>
              <w:jc w:val="both"/>
              <w:rPr>
                <w:rFonts w:ascii="Arial" w:eastAsia="Times New Roman" w:hAnsi="Arial" w:cs="Arial"/>
                <w:b/>
                <w:bCs/>
                <w:color w:val="000000"/>
                <w:sz w:val="16"/>
                <w:szCs w:val="16"/>
                <w:lang w:val="es-CO" w:eastAsia="es-CO"/>
              </w:rPr>
            </w:pPr>
          </w:p>
        </w:tc>
      </w:tr>
      <w:tr w:rsidR="00303F33" w:rsidRPr="00303F33" w:rsidTr="00AB6A00">
        <w:trPr>
          <w:trHeight w:val="20"/>
        </w:trPr>
        <w:tc>
          <w:tcPr>
            <w:tcW w:w="638" w:type="pct"/>
            <w:vMerge/>
            <w:tcBorders>
              <w:top w:val="nil"/>
              <w:left w:val="single" w:sz="8" w:space="0" w:color="auto"/>
              <w:bottom w:val="single" w:sz="8" w:space="0" w:color="000000"/>
              <w:right w:val="single" w:sz="4" w:space="0" w:color="auto"/>
            </w:tcBorders>
            <w:vAlign w:val="center"/>
            <w:hideMark/>
          </w:tcPr>
          <w:p w:rsidR="00303F33" w:rsidRPr="00303F33" w:rsidRDefault="00303F33" w:rsidP="00303F33">
            <w:pPr>
              <w:rPr>
                <w:rFonts w:ascii="Arial" w:eastAsia="Times New Roman" w:hAnsi="Arial" w:cs="Arial"/>
                <w:b/>
                <w:bCs/>
                <w:color w:val="000000"/>
                <w:sz w:val="16"/>
                <w:szCs w:val="16"/>
                <w:lang w:val="es-CO" w:eastAsia="es-CO"/>
              </w:rPr>
            </w:pPr>
          </w:p>
        </w:tc>
        <w:tc>
          <w:tcPr>
            <w:tcW w:w="2122" w:type="pct"/>
            <w:tcBorders>
              <w:top w:val="nil"/>
              <w:left w:val="nil"/>
              <w:bottom w:val="single" w:sz="4" w:space="0" w:color="auto"/>
              <w:right w:val="single" w:sz="4" w:space="0" w:color="auto"/>
            </w:tcBorders>
            <w:shd w:val="clear" w:color="000000" w:fill="CCCCFF"/>
            <w:vAlign w:val="center"/>
            <w:hideMark/>
          </w:tcPr>
          <w:p w:rsidR="00303F33" w:rsidRPr="00303F33" w:rsidRDefault="00303F33" w:rsidP="00303F33">
            <w:pPr>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Pagos (D)</w:t>
            </w:r>
          </w:p>
        </w:tc>
        <w:tc>
          <w:tcPr>
            <w:tcW w:w="765" w:type="pct"/>
            <w:tcBorders>
              <w:top w:val="nil"/>
              <w:left w:val="nil"/>
              <w:bottom w:val="single" w:sz="4" w:space="0" w:color="auto"/>
              <w:right w:val="single" w:sz="4" w:space="0" w:color="auto"/>
            </w:tcBorders>
            <w:shd w:val="clear" w:color="auto" w:fill="auto"/>
            <w:vAlign w:val="center"/>
            <w:hideMark/>
          </w:tcPr>
          <w:p w:rsidR="00303F33" w:rsidRPr="00303F33" w:rsidRDefault="00303F33" w:rsidP="00303F33">
            <w:pPr>
              <w:jc w:val="right"/>
              <w:rPr>
                <w:rFonts w:ascii="Arial" w:eastAsia="Times New Roman" w:hAnsi="Arial" w:cs="Arial"/>
                <w:color w:val="000000"/>
                <w:sz w:val="16"/>
                <w:szCs w:val="16"/>
                <w:lang w:val="es-CO" w:eastAsia="es-CO"/>
              </w:rPr>
            </w:pPr>
            <w:r w:rsidRPr="00303F33">
              <w:rPr>
                <w:rFonts w:ascii="Arial" w:eastAsia="Times New Roman" w:hAnsi="Arial" w:cs="Arial"/>
                <w:color w:val="000000"/>
                <w:sz w:val="16"/>
                <w:szCs w:val="16"/>
                <w:lang w:val="es-CO" w:eastAsia="es-CO"/>
              </w:rPr>
              <w:t xml:space="preserve"> 730.138 </w:t>
            </w:r>
          </w:p>
        </w:tc>
        <w:tc>
          <w:tcPr>
            <w:tcW w:w="638" w:type="pct"/>
            <w:tcBorders>
              <w:top w:val="nil"/>
              <w:left w:val="nil"/>
              <w:bottom w:val="single" w:sz="4" w:space="0" w:color="auto"/>
              <w:right w:val="single" w:sz="4" w:space="0" w:color="auto"/>
            </w:tcBorders>
            <w:shd w:val="clear" w:color="000000" w:fill="BFBFBF"/>
            <w:vAlign w:val="center"/>
            <w:hideMark/>
          </w:tcPr>
          <w:p w:rsidR="00303F33" w:rsidRPr="00303F33" w:rsidRDefault="00303F33" w:rsidP="00303F33">
            <w:pPr>
              <w:jc w:val="right"/>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 </w:t>
            </w:r>
          </w:p>
        </w:tc>
        <w:tc>
          <w:tcPr>
            <w:tcW w:w="638" w:type="pct"/>
            <w:tcBorders>
              <w:top w:val="nil"/>
              <w:left w:val="nil"/>
              <w:bottom w:val="single" w:sz="4" w:space="0" w:color="auto"/>
              <w:right w:val="single" w:sz="8" w:space="0" w:color="auto"/>
            </w:tcBorders>
            <w:shd w:val="clear" w:color="000000" w:fill="BFBFBF"/>
            <w:vAlign w:val="center"/>
            <w:hideMark/>
          </w:tcPr>
          <w:p w:rsidR="00303F33" w:rsidRPr="00303F33" w:rsidRDefault="00303F33" w:rsidP="00303F33">
            <w:pPr>
              <w:jc w:val="right"/>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 </w:t>
            </w:r>
          </w:p>
        </w:tc>
        <w:tc>
          <w:tcPr>
            <w:tcW w:w="198" w:type="pct"/>
            <w:tcBorders>
              <w:top w:val="nil"/>
              <w:left w:val="nil"/>
              <w:bottom w:val="nil"/>
              <w:right w:val="nil"/>
            </w:tcBorders>
            <w:shd w:val="clear" w:color="auto" w:fill="auto"/>
            <w:noWrap/>
            <w:vAlign w:val="bottom"/>
            <w:hideMark/>
          </w:tcPr>
          <w:p w:rsidR="00303F33" w:rsidRPr="00303F33" w:rsidRDefault="00303F33" w:rsidP="00303F33">
            <w:pPr>
              <w:jc w:val="both"/>
              <w:rPr>
                <w:rFonts w:ascii="Arial" w:eastAsia="Times New Roman" w:hAnsi="Arial" w:cs="Arial"/>
                <w:b/>
                <w:bCs/>
                <w:color w:val="000000"/>
                <w:sz w:val="16"/>
                <w:szCs w:val="16"/>
                <w:lang w:val="es-CO" w:eastAsia="es-CO"/>
              </w:rPr>
            </w:pPr>
          </w:p>
        </w:tc>
      </w:tr>
      <w:tr w:rsidR="00303F33" w:rsidRPr="00303F33" w:rsidTr="00AB6A00">
        <w:trPr>
          <w:trHeight w:val="20"/>
        </w:trPr>
        <w:tc>
          <w:tcPr>
            <w:tcW w:w="638" w:type="pct"/>
            <w:vMerge/>
            <w:tcBorders>
              <w:top w:val="nil"/>
              <w:left w:val="single" w:sz="8" w:space="0" w:color="auto"/>
              <w:bottom w:val="single" w:sz="8" w:space="0" w:color="000000"/>
              <w:right w:val="single" w:sz="4" w:space="0" w:color="auto"/>
            </w:tcBorders>
            <w:vAlign w:val="center"/>
            <w:hideMark/>
          </w:tcPr>
          <w:p w:rsidR="00303F33" w:rsidRPr="00303F33" w:rsidRDefault="00303F33" w:rsidP="00303F33">
            <w:pPr>
              <w:rPr>
                <w:rFonts w:ascii="Arial" w:eastAsia="Times New Roman" w:hAnsi="Arial" w:cs="Arial"/>
                <w:b/>
                <w:bCs/>
                <w:color w:val="000000"/>
                <w:sz w:val="16"/>
                <w:szCs w:val="16"/>
                <w:lang w:val="es-CO" w:eastAsia="es-CO"/>
              </w:rPr>
            </w:pPr>
          </w:p>
        </w:tc>
        <w:tc>
          <w:tcPr>
            <w:tcW w:w="2122" w:type="pct"/>
            <w:tcBorders>
              <w:top w:val="nil"/>
              <w:left w:val="nil"/>
              <w:bottom w:val="single" w:sz="4" w:space="0" w:color="auto"/>
              <w:right w:val="single" w:sz="4" w:space="0" w:color="auto"/>
            </w:tcBorders>
            <w:shd w:val="clear" w:color="000000" w:fill="CCCCFF"/>
            <w:vAlign w:val="center"/>
            <w:hideMark/>
          </w:tcPr>
          <w:p w:rsidR="00303F33" w:rsidRPr="00303F33" w:rsidRDefault="00303F33" w:rsidP="00303F33">
            <w:pPr>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Déficit o superávit (A-B)</w:t>
            </w:r>
          </w:p>
        </w:tc>
        <w:tc>
          <w:tcPr>
            <w:tcW w:w="765" w:type="pct"/>
            <w:tcBorders>
              <w:top w:val="nil"/>
              <w:left w:val="nil"/>
              <w:bottom w:val="single" w:sz="4" w:space="0" w:color="auto"/>
              <w:right w:val="single" w:sz="4" w:space="0" w:color="auto"/>
            </w:tcBorders>
            <w:shd w:val="clear" w:color="auto" w:fill="auto"/>
            <w:vAlign w:val="center"/>
            <w:hideMark/>
          </w:tcPr>
          <w:p w:rsidR="00303F33" w:rsidRPr="00303F33" w:rsidRDefault="00303F33" w:rsidP="00303F33">
            <w:pPr>
              <w:jc w:val="right"/>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 xml:space="preserve"> 322 </w:t>
            </w:r>
          </w:p>
        </w:tc>
        <w:tc>
          <w:tcPr>
            <w:tcW w:w="638" w:type="pct"/>
            <w:tcBorders>
              <w:top w:val="nil"/>
              <w:left w:val="nil"/>
              <w:bottom w:val="single" w:sz="4" w:space="0" w:color="auto"/>
              <w:right w:val="single" w:sz="4" w:space="0" w:color="auto"/>
            </w:tcBorders>
            <w:shd w:val="clear" w:color="auto" w:fill="auto"/>
            <w:vAlign w:val="center"/>
            <w:hideMark/>
          </w:tcPr>
          <w:p w:rsidR="00303F33" w:rsidRPr="00303F33" w:rsidRDefault="00303F33" w:rsidP="00303F33">
            <w:pPr>
              <w:jc w:val="right"/>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 xml:space="preserve"> 1.335 </w:t>
            </w:r>
          </w:p>
        </w:tc>
        <w:tc>
          <w:tcPr>
            <w:tcW w:w="638" w:type="pct"/>
            <w:tcBorders>
              <w:top w:val="nil"/>
              <w:left w:val="nil"/>
              <w:bottom w:val="single" w:sz="4" w:space="0" w:color="auto"/>
              <w:right w:val="single" w:sz="8" w:space="0" w:color="auto"/>
            </w:tcBorders>
            <w:shd w:val="clear" w:color="auto" w:fill="auto"/>
            <w:vAlign w:val="center"/>
            <w:hideMark/>
          </w:tcPr>
          <w:p w:rsidR="00303F33" w:rsidRPr="00303F33" w:rsidRDefault="00303F33" w:rsidP="00303F33">
            <w:pPr>
              <w:jc w:val="right"/>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 xml:space="preserve">- 1.013 </w:t>
            </w:r>
          </w:p>
        </w:tc>
        <w:tc>
          <w:tcPr>
            <w:tcW w:w="198" w:type="pct"/>
            <w:tcBorders>
              <w:top w:val="nil"/>
              <w:left w:val="nil"/>
              <w:bottom w:val="nil"/>
              <w:right w:val="nil"/>
            </w:tcBorders>
            <w:shd w:val="clear" w:color="auto" w:fill="auto"/>
            <w:noWrap/>
            <w:vAlign w:val="bottom"/>
            <w:hideMark/>
          </w:tcPr>
          <w:p w:rsidR="00303F33" w:rsidRPr="00303F33" w:rsidRDefault="003C2A5D" w:rsidP="00303F33">
            <w:pPr>
              <w:rPr>
                <w:rFonts w:ascii="Arial" w:eastAsia="Times New Roman" w:hAnsi="Arial" w:cs="Arial"/>
                <w:color w:val="FF0000"/>
                <w:sz w:val="16"/>
                <w:szCs w:val="16"/>
                <w:lang w:val="es-CO" w:eastAsia="es-CO"/>
              </w:rPr>
            </w:pPr>
            <w:r>
              <w:rPr>
                <w:rFonts w:ascii="Arial" w:eastAsia="Times New Roman" w:hAnsi="Arial" w:cs="Arial"/>
                <w:color w:val="FF0000"/>
                <w:sz w:val="16"/>
                <w:szCs w:val="16"/>
                <w:lang w:val="es-CO" w:eastAsia="es-CO"/>
              </w:rPr>
              <w:t>(1)</w:t>
            </w:r>
          </w:p>
        </w:tc>
      </w:tr>
      <w:tr w:rsidR="00303F33" w:rsidRPr="00303F33" w:rsidTr="00AB6A00">
        <w:trPr>
          <w:trHeight w:val="20"/>
        </w:trPr>
        <w:tc>
          <w:tcPr>
            <w:tcW w:w="638" w:type="pct"/>
            <w:vMerge/>
            <w:tcBorders>
              <w:top w:val="nil"/>
              <w:left w:val="single" w:sz="8" w:space="0" w:color="auto"/>
              <w:bottom w:val="single" w:sz="8" w:space="0" w:color="000000"/>
              <w:right w:val="single" w:sz="4" w:space="0" w:color="auto"/>
            </w:tcBorders>
            <w:vAlign w:val="center"/>
            <w:hideMark/>
          </w:tcPr>
          <w:p w:rsidR="00303F33" w:rsidRPr="00303F33" w:rsidRDefault="00303F33" w:rsidP="00303F33">
            <w:pPr>
              <w:rPr>
                <w:rFonts w:ascii="Arial" w:eastAsia="Times New Roman" w:hAnsi="Arial" w:cs="Arial"/>
                <w:b/>
                <w:bCs/>
                <w:color w:val="000000"/>
                <w:sz w:val="16"/>
                <w:szCs w:val="16"/>
                <w:lang w:val="es-CO" w:eastAsia="es-CO"/>
              </w:rPr>
            </w:pPr>
          </w:p>
        </w:tc>
        <w:tc>
          <w:tcPr>
            <w:tcW w:w="2122" w:type="pct"/>
            <w:tcBorders>
              <w:top w:val="nil"/>
              <w:left w:val="nil"/>
              <w:bottom w:val="single" w:sz="4" w:space="0" w:color="auto"/>
              <w:right w:val="single" w:sz="4" w:space="0" w:color="auto"/>
            </w:tcBorders>
            <w:shd w:val="clear" w:color="000000" w:fill="CCCCFF"/>
            <w:vAlign w:val="center"/>
            <w:hideMark/>
          </w:tcPr>
          <w:p w:rsidR="00303F33" w:rsidRPr="00303F33" w:rsidRDefault="00303F33" w:rsidP="00303F33">
            <w:pPr>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Recursos de Terceros / otras exigibilidades</w:t>
            </w:r>
          </w:p>
        </w:tc>
        <w:tc>
          <w:tcPr>
            <w:tcW w:w="765" w:type="pct"/>
            <w:tcBorders>
              <w:top w:val="nil"/>
              <w:left w:val="nil"/>
              <w:bottom w:val="single" w:sz="4" w:space="0" w:color="auto"/>
              <w:right w:val="single" w:sz="4" w:space="0" w:color="auto"/>
            </w:tcBorders>
            <w:shd w:val="clear" w:color="auto" w:fill="auto"/>
            <w:vAlign w:val="center"/>
            <w:hideMark/>
          </w:tcPr>
          <w:p w:rsidR="00303F33" w:rsidRPr="00303F33" w:rsidRDefault="00303F33" w:rsidP="00303F33">
            <w:pPr>
              <w:jc w:val="right"/>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 xml:space="preserve"> - </w:t>
            </w:r>
          </w:p>
        </w:tc>
        <w:tc>
          <w:tcPr>
            <w:tcW w:w="638" w:type="pct"/>
            <w:tcBorders>
              <w:top w:val="nil"/>
              <w:left w:val="nil"/>
              <w:bottom w:val="single" w:sz="4" w:space="0" w:color="auto"/>
              <w:right w:val="single" w:sz="4" w:space="0" w:color="auto"/>
            </w:tcBorders>
            <w:shd w:val="clear" w:color="auto" w:fill="auto"/>
            <w:vAlign w:val="center"/>
            <w:hideMark/>
          </w:tcPr>
          <w:p w:rsidR="00303F33" w:rsidRPr="00303F33" w:rsidRDefault="00303F33" w:rsidP="00303F33">
            <w:pPr>
              <w:jc w:val="right"/>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 xml:space="preserve"> 157 </w:t>
            </w:r>
          </w:p>
        </w:tc>
        <w:tc>
          <w:tcPr>
            <w:tcW w:w="638" w:type="pct"/>
            <w:tcBorders>
              <w:top w:val="nil"/>
              <w:left w:val="nil"/>
              <w:bottom w:val="single" w:sz="4" w:space="0" w:color="auto"/>
              <w:right w:val="single" w:sz="8" w:space="0" w:color="auto"/>
            </w:tcBorders>
            <w:shd w:val="clear" w:color="auto" w:fill="auto"/>
            <w:vAlign w:val="center"/>
            <w:hideMark/>
          </w:tcPr>
          <w:p w:rsidR="00303F33" w:rsidRPr="00303F33" w:rsidRDefault="00303F33" w:rsidP="00303F33">
            <w:pPr>
              <w:jc w:val="right"/>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 xml:space="preserve">- 157 </w:t>
            </w:r>
          </w:p>
        </w:tc>
        <w:tc>
          <w:tcPr>
            <w:tcW w:w="198" w:type="pct"/>
            <w:tcBorders>
              <w:top w:val="nil"/>
              <w:left w:val="nil"/>
              <w:bottom w:val="nil"/>
              <w:right w:val="nil"/>
            </w:tcBorders>
            <w:shd w:val="clear" w:color="auto" w:fill="auto"/>
            <w:noWrap/>
            <w:vAlign w:val="bottom"/>
            <w:hideMark/>
          </w:tcPr>
          <w:p w:rsidR="00303F33" w:rsidRPr="00303F33" w:rsidRDefault="00303F33" w:rsidP="00303F33">
            <w:pPr>
              <w:jc w:val="both"/>
              <w:rPr>
                <w:rFonts w:ascii="Arial" w:eastAsia="Times New Roman" w:hAnsi="Arial" w:cs="Arial"/>
                <w:b/>
                <w:bCs/>
                <w:color w:val="000000"/>
                <w:sz w:val="16"/>
                <w:szCs w:val="16"/>
                <w:lang w:val="es-CO" w:eastAsia="es-CO"/>
              </w:rPr>
            </w:pPr>
          </w:p>
        </w:tc>
      </w:tr>
      <w:tr w:rsidR="00303F33" w:rsidRPr="00303F33" w:rsidTr="00AB6A00">
        <w:trPr>
          <w:trHeight w:val="20"/>
        </w:trPr>
        <w:tc>
          <w:tcPr>
            <w:tcW w:w="638" w:type="pct"/>
            <w:vMerge/>
            <w:tcBorders>
              <w:top w:val="nil"/>
              <w:left w:val="single" w:sz="8" w:space="0" w:color="auto"/>
              <w:bottom w:val="single" w:sz="8" w:space="0" w:color="000000"/>
              <w:right w:val="single" w:sz="4" w:space="0" w:color="auto"/>
            </w:tcBorders>
            <w:vAlign w:val="center"/>
            <w:hideMark/>
          </w:tcPr>
          <w:p w:rsidR="00303F33" w:rsidRPr="00303F33" w:rsidRDefault="00303F33" w:rsidP="00303F33">
            <w:pPr>
              <w:rPr>
                <w:rFonts w:ascii="Arial" w:eastAsia="Times New Roman" w:hAnsi="Arial" w:cs="Arial"/>
                <w:b/>
                <w:bCs/>
                <w:color w:val="000000"/>
                <w:sz w:val="16"/>
                <w:szCs w:val="16"/>
                <w:lang w:val="es-CO" w:eastAsia="es-CO"/>
              </w:rPr>
            </w:pPr>
          </w:p>
        </w:tc>
        <w:tc>
          <w:tcPr>
            <w:tcW w:w="2122" w:type="pct"/>
            <w:tcBorders>
              <w:top w:val="nil"/>
              <w:left w:val="nil"/>
              <w:bottom w:val="single" w:sz="4" w:space="0" w:color="auto"/>
              <w:right w:val="single" w:sz="4" w:space="0" w:color="auto"/>
            </w:tcBorders>
            <w:shd w:val="clear" w:color="000000" w:fill="CCCCFF"/>
            <w:vAlign w:val="center"/>
            <w:hideMark/>
          </w:tcPr>
          <w:p w:rsidR="00303F33" w:rsidRPr="00303F33" w:rsidRDefault="00303F33" w:rsidP="00303F33">
            <w:pPr>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Reservas (B-C)</w:t>
            </w:r>
          </w:p>
        </w:tc>
        <w:tc>
          <w:tcPr>
            <w:tcW w:w="765" w:type="pct"/>
            <w:tcBorders>
              <w:top w:val="nil"/>
              <w:left w:val="nil"/>
              <w:bottom w:val="single" w:sz="4" w:space="0" w:color="auto"/>
              <w:right w:val="single" w:sz="4" w:space="0" w:color="auto"/>
            </w:tcBorders>
            <w:shd w:val="clear" w:color="auto" w:fill="auto"/>
            <w:vAlign w:val="center"/>
            <w:hideMark/>
          </w:tcPr>
          <w:p w:rsidR="00303F33" w:rsidRPr="00303F33" w:rsidRDefault="00303F33" w:rsidP="00303F33">
            <w:pPr>
              <w:jc w:val="right"/>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 xml:space="preserve"> 1.176 </w:t>
            </w:r>
          </w:p>
        </w:tc>
        <w:tc>
          <w:tcPr>
            <w:tcW w:w="638" w:type="pct"/>
            <w:tcBorders>
              <w:top w:val="nil"/>
              <w:left w:val="nil"/>
              <w:bottom w:val="single" w:sz="4" w:space="0" w:color="auto"/>
              <w:right w:val="single" w:sz="4" w:space="0" w:color="auto"/>
            </w:tcBorders>
            <w:shd w:val="clear" w:color="auto" w:fill="auto"/>
            <w:vAlign w:val="center"/>
            <w:hideMark/>
          </w:tcPr>
          <w:p w:rsidR="00303F33" w:rsidRPr="00303F33" w:rsidRDefault="00303F33" w:rsidP="00303F33">
            <w:pPr>
              <w:jc w:val="right"/>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 xml:space="preserve"> 1.176 </w:t>
            </w:r>
          </w:p>
        </w:tc>
        <w:tc>
          <w:tcPr>
            <w:tcW w:w="638" w:type="pct"/>
            <w:tcBorders>
              <w:top w:val="nil"/>
              <w:left w:val="nil"/>
              <w:bottom w:val="single" w:sz="4" w:space="0" w:color="auto"/>
              <w:right w:val="single" w:sz="8" w:space="0" w:color="auto"/>
            </w:tcBorders>
            <w:shd w:val="clear" w:color="auto" w:fill="auto"/>
            <w:vAlign w:val="center"/>
            <w:hideMark/>
          </w:tcPr>
          <w:p w:rsidR="00303F33" w:rsidRPr="00303F33" w:rsidRDefault="00303F33" w:rsidP="00303F33">
            <w:pPr>
              <w:jc w:val="right"/>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 xml:space="preserve"> 0 </w:t>
            </w:r>
          </w:p>
        </w:tc>
        <w:tc>
          <w:tcPr>
            <w:tcW w:w="198" w:type="pct"/>
            <w:tcBorders>
              <w:top w:val="nil"/>
              <w:left w:val="nil"/>
              <w:bottom w:val="nil"/>
              <w:right w:val="nil"/>
            </w:tcBorders>
            <w:shd w:val="clear" w:color="auto" w:fill="auto"/>
            <w:noWrap/>
            <w:vAlign w:val="bottom"/>
            <w:hideMark/>
          </w:tcPr>
          <w:p w:rsidR="00303F33" w:rsidRPr="00303F33" w:rsidRDefault="00303F33" w:rsidP="00303F33">
            <w:pPr>
              <w:jc w:val="both"/>
              <w:rPr>
                <w:rFonts w:ascii="Arial" w:eastAsia="Times New Roman" w:hAnsi="Arial" w:cs="Arial"/>
                <w:b/>
                <w:bCs/>
                <w:color w:val="000000"/>
                <w:sz w:val="16"/>
                <w:szCs w:val="16"/>
                <w:lang w:val="es-CO" w:eastAsia="es-CO"/>
              </w:rPr>
            </w:pPr>
          </w:p>
        </w:tc>
      </w:tr>
      <w:tr w:rsidR="00303F33" w:rsidRPr="00303F33" w:rsidTr="00AB6A00">
        <w:trPr>
          <w:trHeight w:val="20"/>
        </w:trPr>
        <w:tc>
          <w:tcPr>
            <w:tcW w:w="638" w:type="pct"/>
            <w:vMerge/>
            <w:tcBorders>
              <w:top w:val="nil"/>
              <w:left w:val="single" w:sz="8" w:space="0" w:color="auto"/>
              <w:bottom w:val="single" w:sz="8" w:space="0" w:color="000000"/>
              <w:right w:val="single" w:sz="4" w:space="0" w:color="auto"/>
            </w:tcBorders>
            <w:vAlign w:val="center"/>
            <w:hideMark/>
          </w:tcPr>
          <w:p w:rsidR="00303F33" w:rsidRPr="00303F33" w:rsidRDefault="00303F33" w:rsidP="00303F33">
            <w:pPr>
              <w:rPr>
                <w:rFonts w:ascii="Arial" w:eastAsia="Times New Roman" w:hAnsi="Arial" w:cs="Arial"/>
                <w:b/>
                <w:bCs/>
                <w:color w:val="000000"/>
                <w:sz w:val="16"/>
                <w:szCs w:val="16"/>
                <w:lang w:val="es-CO" w:eastAsia="es-CO"/>
              </w:rPr>
            </w:pPr>
          </w:p>
        </w:tc>
        <w:tc>
          <w:tcPr>
            <w:tcW w:w="2122" w:type="pct"/>
            <w:tcBorders>
              <w:top w:val="nil"/>
              <w:left w:val="nil"/>
              <w:bottom w:val="single" w:sz="4" w:space="0" w:color="auto"/>
              <w:right w:val="single" w:sz="4" w:space="0" w:color="auto"/>
            </w:tcBorders>
            <w:shd w:val="clear" w:color="000000" w:fill="CCCCFF"/>
            <w:vAlign w:val="center"/>
            <w:hideMark/>
          </w:tcPr>
          <w:p w:rsidR="00303F33" w:rsidRPr="00303F33" w:rsidRDefault="00303F33" w:rsidP="00303F33">
            <w:pPr>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Cuentas por pagar (C-D)</w:t>
            </w:r>
          </w:p>
        </w:tc>
        <w:tc>
          <w:tcPr>
            <w:tcW w:w="765" w:type="pct"/>
            <w:tcBorders>
              <w:top w:val="nil"/>
              <w:left w:val="nil"/>
              <w:bottom w:val="single" w:sz="4" w:space="0" w:color="auto"/>
              <w:right w:val="single" w:sz="4" w:space="0" w:color="auto"/>
            </w:tcBorders>
            <w:shd w:val="clear" w:color="auto" w:fill="auto"/>
            <w:vAlign w:val="center"/>
            <w:hideMark/>
          </w:tcPr>
          <w:p w:rsidR="00303F33" w:rsidRPr="00303F33" w:rsidRDefault="00303F33" w:rsidP="00303F33">
            <w:pPr>
              <w:jc w:val="right"/>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 xml:space="preserve"> 1.327 </w:t>
            </w:r>
          </w:p>
        </w:tc>
        <w:tc>
          <w:tcPr>
            <w:tcW w:w="638" w:type="pct"/>
            <w:tcBorders>
              <w:top w:val="nil"/>
              <w:left w:val="nil"/>
              <w:bottom w:val="single" w:sz="4" w:space="0" w:color="auto"/>
              <w:right w:val="single" w:sz="4" w:space="0" w:color="auto"/>
            </w:tcBorders>
            <w:shd w:val="clear" w:color="auto" w:fill="auto"/>
            <w:vAlign w:val="center"/>
            <w:hideMark/>
          </w:tcPr>
          <w:p w:rsidR="00303F33" w:rsidRPr="00303F33" w:rsidRDefault="00303F33" w:rsidP="00303F33">
            <w:pPr>
              <w:jc w:val="right"/>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 xml:space="preserve"> 1.327 </w:t>
            </w:r>
          </w:p>
        </w:tc>
        <w:tc>
          <w:tcPr>
            <w:tcW w:w="638" w:type="pct"/>
            <w:tcBorders>
              <w:top w:val="nil"/>
              <w:left w:val="nil"/>
              <w:bottom w:val="single" w:sz="4" w:space="0" w:color="auto"/>
              <w:right w:val="single" w:sz="8" w:space="0" w:color="auto"/>
            </w:tcBorders>
            <w:shd w:val="clear" w:color="auto" w:fill="auto"/>
            <w:vAlign w:val="center"/>
            <w:hideMark/>
          </w:tcPr>
          <w:p w:rsidR="00303F33" w:rsidRPr="00303F33" w:rsidRDefault="00303F33" w:rsidP="00303F33">
            <w:pPr>
              <w:jc w:val="right"/>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 xml:space="preserve">- 0 </w:t>
            </w:r>
          </w:p>
        </w:tc>
        <w:tc>
          <w:tcPr>
            <w:tcW w:w="198" w:type="pct"/>
            <w:tcBorders>
              <w:top w:val="nil"/>
              <w:left w:val="nil"/>
              <w:bottom w:val="nil"/>
              <w:right w:val="nil"/>
            </w:tcBorders>
            <w:shd w:val="clear" w:color="auto" w:fill="auto"/>
            <w:noWrap/>
            <w:vAlign w:val="bottom"/>
            <w:hideMark/>
          </w:tcPr>
          <w:p w:rsidR="00303F33" w:rsidRPr="00303F33" w:rsidRDefault="00303F33" w:rsidP="00303F33">
            <w:pPr>
              <w:jc w:val="both"/>
              <w:rPr>
                <w:rFonts w:ascii="Arial" w:eastAsia="Times New Roman" w:hAnsi="Arial" w:cs="Arial"/>
                <w:b/>
                <w:bCs/>
                <w:color w:val="000000"/>
                <w:sz w:val="16"/>
                <w:szCs w:val="16"/>
                <w:lang w:val="es-CO" w:eastAsia="es-CO"/>
              </w:rPr>
            </w:pPr>
          </w:p>
        </w:tc>
      </w:tr>
      <w:tr w:rsidR="00303F33" w:rsidRPr="00303F33" w:rsidTr="00AB6A00">
        <w:trPr>
          <w:trHeight w:val="20"/>
        </w:trPr>
        <w:tc>
          <w:tcPr>
            <w:tcW w:w="638" w:type="pct"/>
            <w:vMerge/>
            <w:tcBorders>
              <w:top w:val="nil"/>
              <w:left w:val="single" w:sz="8" w:space="0" w:color="auto"/>
              <w:bottom w:val="single" w:sz="8" w:space="0" w:color="000000"/>
              <w:right w:val="single" w:sz="4" w:space="0" w:color="auto"/>
            </w:tcBorders>
            <w:vAlign w:val="center"/>
            <w:hideMark/>
          </w:tcPr>
          <w:p w:rsidR="00303F33" w:rsidRPr="00303F33" w:rsidRDefault="00303F33" w:rsidP="00303F33">
            <w:pPr>
              <w:rPr>
                <w:rFonts w:ascii="Arial" w:eastAsia="Times New Roman" w:hAnsi="Arial" w:cs="Arial"/>
                <w:b/>
                <w:bCs/>
                <w:color w:val="000000"/>
                <w:sz w:val="16"/>
                <w:szCs w:val="16"/>
                <w:lang w:val="es-CO" w:eastAsia="es-CO"/>
              </w:rPr>
            </w:pPr>
          </w:p>
        </w:tc>
        <w:tc>
          <w:tcPr>
            <w:tcW w:w="2122" w:type="pct"/>
            <w:tcBorders>
              <w:top w:val="nil"/>
              <w:left w:val="nil"/>
              <w:bottom w:val="single" w:sz="8" w:space="0" w:color="auto"/>
              <w:right w:val="single" w:sz="4" w:space="0" w:color="auto"/>
            </w:tcBorders>
            <w:shd w:val="clear" w:color="000000" w:fill="CCCCFF"/>
            <w:vAlign w:val="center"/>
            <w:hideMark/>
          </w:tcPr>
          <w:p w:rsidR="00303F33" w:rsidRPr="00303F33" w:rsidRDefault="00303F33" w:rsidP="00303F33">
            <w:pPr>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Saldo mínimo en Caja y Bancos (A-D)</w:t>
            </w:r>
          </w:p>
        </w:tc>
        <w:tc>
          <w:tcPr>
            <w:tcW w:w="765" w:type="pct"/>
            <w:tcBorders>
              <w:top w:val="nil"/>
              <w:left w:val="nil"/>
              <w:bottom w:val="single" w:sz="4" w:space="0" w:color="auto"/>
              <w:right w:val="single" w:sz="4" w:space="0" w:color="auto"/>
            </w:tcBorders>
            <w:shd w:val="clear" w:color="auto" w:fill="auto"/>
            <w:vAlign w:val="center"/>
            <w:hideMark/>
          </w:tcPr>
          <w:p w:rsidR="00303F33" w:rsidRPr="00303F33" w:rsidRDefault="00303F33" w:rsidP="00303F33">
            <w:pPr>
              <w:jc w:val="right"/>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 xml:space="preserve"> 2.825 </w:t>
            </w:r>
          </w:p>
        </w:tc>
        <w:tc>
          <w:tcPr>
            <w:tcW w:w="638" w:type="pct"/>
            <w:tcBorders>
              <w:top w:val="nil"/>
              <w:left w:val="nil"/>
              <w:bottom w:val="single" w:sz="8" w:space="0" w:color="auto"/>
              <w:right w:val="single" w:sz="4" w:space="0" w:color="auto"/>
            </w:tcBorders>
            <w:shd w:val="clear" w:color="auto" w:fill="auto"/>
            <w:vAlign w:val="center"/>
            <w:hideMark/>
          </w:tcPr>
          <w:p w:rsidR="00303F33" w:rsidRPr="00303F33" w:rsidRDefault="00303F33" w:rsidP="00303F33">
            <w:pPr>
              <w:jc w:val="right"/>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 xml:space="preserve"> 3.996 </w:t>
            </w:r>
          </w:p>
        </w:tc>
        <w:tc>
          <w:tcPr>
            <w:tcW w:w="638" w:type="pct"/>
            <w:tcBorders>
              <w:top w:val="nil"/>
              <w:left w:val="nil"/>
              <w:bottom w:val="single" w:sz="8" w:space="0" w:color="auto"/>
              <w:right w:val="single" w:sz="8" w:space="0" w:color="auto"/>
            </w:tcBorders>
            <w:shd w:val="clear" w:color="auto" w:fill="auto"/>
            <w:vAlign w:val="center"/>
            <w:hideMark/>
          </w:tcPr>
          <w:p w:rsidR="00303F33" w:rsidRPr="00303F33" w:rsidRDefault="00303F33" w:rsidP="00303F33">
            <w:pPr>
              <w:jc w:val="right"/>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 xml:space="preserve">- 1.170 </w:t>
            </w:r>
          </w:p>
        </w:tc>
        <w:tc>
          <w:tcPr>
            <w:tcW w:w="198" w:type="pct"/>
            <w:tcBorders>
              <w:top w:val="nil"/>
              <w:left w:val="nil"/>
              <w:bottom w:val="nil"/>
              <w:right w:val="nil"/>
            </w:tcBorders>
            <w:shd w:val="clear" w:color="auto" w:fill="auto"/>
            <w:noWrap/>
            <w:vAlign w:val="bottom"/>
            <w:hideMark/>
          </w:tcPr>
          <w:p w:rsidR="00303F33" w:rsidRPr="00303F33" w:rsidRDefault="00303F33" w:rsidP="00303F33">
            <w:pPr>
              <w:jc w:val="both"/>
              <w:rPr>
                <w:rFonts w:ascii="Arial" w:eastAsia="Times New Roman" w:hAnsi="Arial" w:cs="Arial"/>
                <w:b/>
                <w:bCs/>
                <w:color w:val="000000"/>
                <w:sz w:val="16"/>
                <w:szCs w:val="16"/>
                <w:lang w:val="es-CO" w:eastAsia="es-CO"/>
              </w:rPr>
            </w:pPr>
          </w:p>
        </w:tc>
      </w:tr>
      <w:tr w:rsidR="00303F33" w:rsidRPr="00303F33" w:rsidTr="00AB6A00">
        <w:trPr>
          <w:trHeight w:val="20"/>
        </w:trPr>
        <w:tc>
          <w:tcPr>
            <w:tcW w:w="638" w:type="pct"/>
            <w:vMerge w:val="restart"/>
            <w:tcBorders>
              <w:top w:val="nil"/>
              <w:left w:val="single" w:sz="8" w:space="0" w:color="auto"/>
              <w:bottom w:val="single" w:sz="8" w:space="0" w:color="000000"/>
              <w:right w:val="single" w:sz="4" w:space="0" w:color="auto"/>
            </w:tcBorders>
            <w:shd w:val="clear" w:color="auto" w:fill="auto"/>
            <w:vAlign w:val="center"/>
            <w:hideMark/>
          </w:tcPr>
          <w:p w:rsidR="00303F33" w:rsidRPr="00303F33" w:rsidRDefault="00303F33" w:rsidP="00303F33">
            <w:pPr>
              <w:jc w:val="center"/>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2020</w:t>
            </w:r>
          </w:p>
        </w:tc>
        <w:tc>
          <w:tcPr>
            <w:tcW w:w="2122" w:type="pct"/>
            <w:tcBorders>
              <w:top w:val="nil"/>
              <w:left w:val="nil"/>
              <w:bottom w:val="single" w:sz="4" w:space="0" w:color="auto"/>
              <w:right w:val="single" w:sz="4" w:space="0" w:color="auto"/>
            </w:tcBorders>
            <w:shd w:val="clear" w:color="000000" w:fill="CCCCFF"/>
            <w:vAlign w:val="center"/>
            <w:hideMark/>
          </w:tcPr>
          <w:p w:rsidR="00303F33" w:rsidRPr="00303F33" w:rsidRDefault="00303F33" w:rsidP="00303F33">
            <w:pPr>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Ingresos (Recaudados) (A)</w:t>
            </w:r>
          </w:p>
        </w:tc>
        <w:tc>
          <w:tcPr>
            <w:tcW w:w="765" w:type="pct"/>
            <w:tcBorders>
              <w:top w:val="single" w:sz="8" w:space="0" w:color="auto"/>
              <w:left w:val="nil"/>
              <w:bottom w:val="single" w:sz="4" w:space="0" w:color="auto"/>
              <w:right w:val="single" w:sz="4" w:space="0" w:color="auto"/>
            </w:tcBorders>
            <w:shd w:val="clear" w:color="auto" w:fill="auto"/>
            <w:vAlign w:val="center"/>
            <w:hideMark/>
          </w:tcPr>
          <w:p w:rsidR="00303F33" w:rsidRPr="00303F33" w:rsidRDefault="00303F33" w:rsidP="00303F33">
            <w:pPr>
              <w:jc w:val="right"/>
              <w:rPr>
                <w:rFonts w:ascii="Arial" w:eastAsia="Times New Roman" w:hAnsi="Arial" w:cs="Arial"/>
                <w:color w:val="000000"/>
                <w:sz w:val="16"/>
                <w:szCs w:val="16"/>
                <w:lang w:val="es-CO" w:eastAsia="es-CO"/>
              </w:rPr>
            </w:pPr>
            <w:r w:rsidRPr="00303F33">
              <w:rPr>
                <w:rFonts w:ascii="Arial" w:eastAsia="Times New Roman" w:hAnsi="Arial" w:cs="Arial"/>
                <w:color w:val="000000"/>
                <w:sz w:val="16"/>
                <w:szCs w:val="16"/>
                <w:lang w:val="es-CO" w:eastAsia="es-CO"/>
              </w:rPr>
              <w:t xml:space="preserve"> 781.749 </w:t>
            </w:r>
          </w:p>
        </w:tc>
        <w:tc>
          <w:tcPr>
            <w:tcW w:w="638" w:type="pct"/>
            <w:tcBorders>
              <w:top w:val="nil"/>
              <w:left w:val="nil"/>
              <w:bottom w:val="single" w:sz="4" w:space="0" w:color="auto"/>
              <w:right w:val="single" w:sz="4" w:space="0" w:color="auto"/>
            </w:tcBorders>
            <w:shd w:val="clear" w:color="000000" w:fill="BFBFBF"/>
            <w:vAlign w:val="center"/>
            <w:hideMark/>
          </w:tcPr>
          <w:p w:rsidR="00303F33" w:rsidRPr="00303F33" w:rsidRDefault="00303F33" w:rsidP="00303F33">
            <w:pPr>
              <w:jc w:val="right"/>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 </w:t>
            </w:r>
          </w:p>
        </w:tc>
        <w:tc>
          <w:tcPr>
            <w:tcW w:w="638" w:type="pct"/>
            <w:tcBorders>
              <w:top w:val="nil"/>
              <w:left w:val="nil"/>
              <w:bottom w:val="single" w:sz="4" w:space="0" w:color="auto"/>
              <w:right w:val="single" w:sz="8" w:space="0" w:color="auto"/>
            </w:tcBorders>
            <w:shd w:val="clear" w:color="000000" w:fill="BFBFBF"/>
            <w:vAlign w:val="center"/>
            <w:hideMark/>
          </w:tcPr>
          <w:p w:rsidR="00303F33" w:rsidRPr="00303F33" w:rsidRDefault="00303F33" w:rsidP="00303F33">
            <w:pPr>
              <w:jc w:val="right"/>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 </w:t>
            </w:r>
          </w:p>
        </w:tc>
        <w:tc>
          <w:tcPr>
            <w:tcW w:w="198" w:type="pct"/>
            <w:tcBorders>
              <w:top w:val="nil"/>
              <w:left w:val="nil"/>
              <w:bottom w:val="nil"/>
              <w:right w:val="nil"/>
            </w:tcBorders>
            <w:shd w:val="clear" w:color="auto" w:fill="auto"/>
            <w:noWrap/>
            <w:vAlign w:val="bottom"/>
            <w:hideMark/>
          </w:tcPr>
          <w:p w:rsidR="00303F33" w:rsidRPr="00303F33" w:rsidRDefault="00303F33" w:rsidP="00303F33">
            <w:pPr>
              <w:jc w:val="both"/>
              <w:rPr>
                <w:rFonts w:ascii="Arial" w:eastAsia="Times New Roman" w:hAnsi="Arial" w:cs="Arial"/>
                <w:b/>
                <w:bCs/>
                <w:color w:val="000000"/>
                <w:sz w:val="16"/>
                <w:szCs w:val="16"/>
                <w:lang w:val="es-CO" w:eastAsia="es-CO"/>
              </w:rPr>
            </w:pPr>
          </w:p>
        </w:tc>
      </w:tr>
      <w:tr w:rsidR="00303F33" w:rsidRPr="00303F33" w:rsidTr="00AB6A00">
        <w:trPr>
          <w:trHeight w:val="20"/>
        </w:trPr>
        <w:tc>
          <w:tcPr>
            <w:tcW w:w="638" w:type="pct"/>
            <w:vMerge/>
            <w:tcBorders>
              <w:top w:val="nil"/>
              <w:left w:val="single" w:sz="8" w:space="0" w:color="auto"/>
              <w:bottom w:val="single" w:sz="8" w:space="0" w:color="000000"/>
              <w:right w:val="single" w:sz="4" w:space="0" w:color="auto"/>
            </w:tcBorders>
            <w:vAlign w:val="center"/>
            <w:hideMark/>
          </w:tcPr>
          <w:p w:rsidR="00303F33" w:rsidRPr="00303F33" w:rsidRDefault="00303F33" w:rsidP="00303F33">
            <w:pPr>
              <w:rPr>
                <w:rFonts w:ascii="Arial" w:eastAsia="Times New Roman" w:hAnsi="Arial" w:cs="Arial"/>
                <w:b/>
                <w:bCs/>
                <w:color w:val="000000"/>
                <w:sz w:val="16"/>
                <w:szCs w:val="16"/>
                <w:lang w:val="es-CO" w:eastAsia="es-CO"/>
              </w:rPr>
            </w:pPr>
          </w:p>
        </w:tc>
        <w:tc>
          <w:tcPr>
            <w:tcW w:w="2122" w:type="pct"/>
            <w:tcBorders>
              <w:top w:val="nil"/>
              <w:left w:val="nil"/>
              <w:bottom w:val="single" w:sz="4" w:space="0" w:color="auto"/>
              <w:right w:val="single" w:sz="4" w:space="0" w:color="auto"/>
            </w:tcBorders>
            <w:shd w:val="clear" w:color="000000" w:fill="CCCCFF"/>
            <w:vAlign w:val="center"/>
            <w:hideMark/>
          </w:tcPr>
          <w:p w:rsidR="00303F33" w:rsidRPr="00303F33" w:rsidRDefault="00303F33" w:rsidP="00303F33">
            <w:pPr>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Gastos (Comprometidos) (B)</w:t>
            </w:r>
          </w:p>
        </w:tc>
        <w:tc>
          <w:tcPr>
            <w:tcW w:w="765" w:type="pct"/>
            <w:tcBorders>
              <w:top w:val="nil"/>
              <w:left w:val="nil"/>
              <w:bottom w:val="single" w:sz="4" w:space="0" w:color="auto"/>
              <w:right w:val="single" w:sz="4" w:space="0" w:color="auto"/>
            </w:tcBorders>
            <w:shd w:val="clear" w:color="auto" w:fill="auto"/>
            <w:vAlign w:val="center"/>
            <w:hideMark/>
          </w:tcPr>
          <w:p w:rsidR="00303F33" w:rsidRPr="00303F33" w:rsidRDefault="00303F33" w:rsidP="00303F33">
            <w:pPr>
              <w:jc w:val="right"/>
              <w:rPr>
                <w:rFonts w:ascii="Arial" w:eastAsia="Times New Roman" w:hAnsi="Arial" w:cs="Arial"/>
                <w:color w:val="000000"/>
                <w:sz w:val="16"/>
                <w:szCs w:val="16"/>
                <w:lang w:val="es-CO" w:eastAsia="es-CO"/>
              </w:rPr>
            </w:pPr>
            <w:r w:rsidRPr="00303F33">
              <w:rPr>
                <w:rFonts w:ascii="Arial" w:eastAsia="Times New Roman" w:hAnsi="Arial" w:cs="Arial"/>
                <w:color w:val="000000"/>
                <w:sz w:val="16"/>
                <w:szCs w:val="16"/>
                <w:lang w:val="es-CO" w:eastAsia="es-CO"/>
              </w:rPr>
              <w:t xml:space="preserve"> 779.575 </w:t>
            </w:r>
          </w:p>
        </w:tc>
        <w:tc>
          <w:tcPr>
            <w:tcW w:w="638" w:type="pct"/>
            <w:tcBorders>
              <w:top w:val="nil"/>
              <w:left w:val="nil"/>
              <w:bottom w:val="single" w:sz="4" w:space="0" w:color="auto"/>
              <w:right w:val="single" w:sz="4" w:space="0" w:color="auto"/>
            </w:tcBorders>
            <w:shd w:val="clear" w:color="000000" w:fill="BFBFBF"/>
            <w:vAlign w:val="center"/>
            <w:hideMark/>
          </w:tcPr>
          <w:p w:rsidR="00303F33" w:rsidRPr="00303F33" w:rsidRDefault="00303F33" w:rsidP="00303F33">
            <w:pPr>
              <w:jc w:val="right"/>
              <w:rPr>
                <w:rFonts w:ascii="Arial" w:eastAsia="Times New Roman" w:hAnsi="Arial" w:cs="Arial"/>
                <w:i/>
                <w:iCs/>
                <w:color w:val="000000"/>
                <w:sz w:val="16"/>
                <w:szCs w:val="16"/>
                <w:lang w:val="es-CO" w:eastAsia="es-CO"/>
              </w:rPr>
            </w:pPr>
            <w:r w:rsidRPr="00303F33">
              <w:rPr>
                <w:rFonts w:ascii="Arial" w:eastAsia="Times New Roman" w:hAnsi="Arial" w:cs="Arial"/>
                <w:i/>
                <w:iCs/>
                <w:color w:val="000000"/>
                <w:sz w:val="16"/>
                <w:szCs w:val="16"/>
                <w:lang w:val="es-CO" w:eastAsia="es-CO"/>
              </w:rPr>
              <w:t> </w:t>
            </w:r>
          </w:p>
        </w:tc>
        <w:tc>
          <w:tcPr>
            <w:tcW w:w="638" w:type="pct"/>
            <w:tcBorders>
              <w:top w:val="nil"/>
              <w:left w:val="nil"/>
              <w:bottom w:val="single" w:sz="4" w:space="0" w:color="auto"/>
              <w:right w:val="single" w:sz="8" w:space="0" w:color="auto"/>
            </w:tcBorders>
            <w:shd w:val="clear" w:color="000000" w:fill="BFBFBF"/>
            <w:vAlign w:val="center"/>
            <w:hideMark/>
          </w:tcPr>
          <w:p w:rsidR="00303F33" w:rsidRPr="00303F33" w:rsidRDefault="00303F33" w:rsidP="00303F33">
            <w:pPr>
              <w:jc w:val="right"/>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 </w:t>
            </w:r>
          </w:p>
        </w:tc>
        <w:tc>
          <w:tcPr>
            <w:tcW w:w="198" w:type="pct"/>
            <w:tcBorders>
              <w:top w:val="nil"/>
              <w:left w:val="nil"/>
              <w:bottom w:val="nil"/>
              <w:right w:val="nil"/>
            </w:tcBorders>
            <w:shd w:val="clear" w:color="auto" w:fill="auto"/>
            <w:noWrap/>
            <w:vAlign w:val="bottom"/>
            <w:hideMark/>
          </w:tcPr>
          <w:p w:rsidR="00303F33" w:rsidRPr="00303F33" w:rsidRDefault="00303F33" w:rsidP="00303F33">
            <w:pPr>
              <w:jc w:val="both"/>
              <w:rPr>
                <w:rFonts w:ascii="Arial" w:eastAsia="Times New Roman" w:hAnsi="Arial" w:cs="Arial"/>
                <w:b/>
                <w:bCs/>
                <w:color w:val="000000"/>
                <w:sz w:val="16"/>
                <w:szCs w:val="16"/>
                <w:lang w:val="es-CO" w:eastAsia="es-CO"/>
              </w:rPr>
            </w:pPr>
          </w:p>
        </w:tc>
      </w:tr>
      <w:tr w:rsidR="00303F33" w:rsidRPr="00303F33" w:rsidTr="00AB6A00">
        <w:trPr>
          <w:trHeight w:val="20"/>
        </w:trPr>
        <w:tc>
          <w:tcPr>
            <w:tcW w:w="638" w:type="pct"/>
            <w:vMerge/>
            <w:tcBorders>
              <w:top w:val="nil"/>
              <w:left w:val="single" w:sz="8" w:space="0" w:color="auto"/>
              <w:bottom w:val="single" w:sz="8" w:space="0" w:color="000000"/>
              <w:right w:val="single" w:sz="4" w:space="0" w:color="auto"/>
            </w:tcBorders>
            <w:vAlign w:val="center"/>
            <w:hideMark/>
          </w:tcPr>
          <w:p w:rsidR="00303F33" w:rsidRPr="00303F33" w:rsidRDefault="00303F33" w:rsidP="00303F33">
            <w:pPr>
              <w:rPr>
                <w:rFonts w:ascii="Arial" w:eastAsia="Times New Roman" w:hAnsi="Arial" w:cs="Arial"/>
                <w:b/>
                <w:bCs/>
                <w:color w:val="000000"/>
                <w:sz w:val="16"/>
                <w:szCs w:val="16"/>
                <w:lang w:val="es-CO" w:eastAsia="es-CO"/>
              </w:rPr>
            </w:pPr>
          </w:p>
        </w:tc>
        <w:tc>
          <w:tcPr>
            <w:tcW w:w="2122" w:type="pct"/>
            <w:tcBorders>
              <w:top w:val="nil"/>
              <w:left w:val="nil"/>
              <w:bottom w:val="single" w:sz="4" w:space="0" w:color="auto"/>
              <w:right w:val="single" w:sz="4" w:space="0" w:color="auto"/>
            </w:tcBorders>
            <w:shd w:val="clear" w:color="000000" w:fill="CCCCFF"/>
            <w:vAlign w:val="center"/>
            <w:hideMark/>
          </w:tcPr>
          <w:p w:rsidR="00303F33" w:rsidRPr="00303F33" w:rsidRDefault="00303F33" w:rsidP="00303F33">
            <w:pPr>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Gastos (Obligados) (C )</w:t>
            </w:r>
          </w:p>
        </w:tc>
        <w:tc>
          <w:tcPr>
            <w:tcW w:w="765" w:type="pct"/>
            <w:tcBorders>
              <w:top w:val="nil"/>
              <w:left w:val="nil"/>
              <w:bottom w:val="single" w:sz="4" w:space="0" w:color="auto"/>
              <w:right w:val="single" w:sz="4" w:space="0" w:color="auto"/>
            </w:tcBorders>
            <w:shd w:val="clear" w:color="auto" w:fill="auto"/>
            <w:vAlign w:val="center"/>
            <w:hideMark/>
          </w:tcPr>
          <w:p w:rsidR="00303F33" w:rsidRPr="00303F33" w:rsidRDefault="00303F33" w:rsidP="00303F33">
            <w:pPr>
              <w:jc w:val="right"/>
              <w:rPr>
                <w:rFonts w:ascii="Arial" w:eastAsia="Times New Roman" w:hAnsi="Arial" w:cs="Arial"/>
                <w:color w:val="000000"/>
                <w:sz w:val="16"/>
                <w:szCs w:val="16"/>
                <w:lang w:val="es-CO" w:eastAsia="es-CO"/>
              </w:rPr>
            </w:pPr>
            <w:r w:rsidRPr="00303F33">
              <w:rPr>
                <w:rFonts w:ascii="Arial" w:eastAsia="Times New Roman" w:hAnsi="Arial" w:cs="Arial"/>
                <w:color w:val="000000"/>
                <w:sz w:val="16"/>
                <w:szCs w:val="16"/>
                <w:lang w:val="es-CO" w:eastAsia="es-CO"/>
              </w:rPr>
              <w:t xml:space="preserve"> 776.131 </w:t>
            </w:r>
          </w:p>
        </w:tc>
        <w:tc>
          <w:tcPr>
            <w:tcW w:w="638" w:type="pct"/>
            <w:tcBorders>
              <w:top w:val="nil"/>
              <w:left w:val="nil"/>
              <w:bottom w:val="single" w:sz="4" w:space="0" w:color="auto"/>
              <w:right w:val="single" w:sz="4" w:space="0" w:color="auto"/>
            </w:tcBorders>
            <w:shd w:val="clear" w:color="000000" w:fill="BFBFBF"/>
            <w:vAlign w:val="center"/>
            <w:hideMark/>
          </w:tcPr>
          <w:p w:rsidR="00303F33" w:rsidRPr="00303F33" w:rsidRDefault="00303F33" w:rsidP="00303F33">
            <w:pPr>
              <w:jc w:val="right"/>
              <w:rPr>
                <w:rFonts w:ascii="Arial" w:eastAsia="Times New Roman" w:hAnsi="Arial" w:cs="Arial"/>
                <w:i/>
                <w:iCs/>
                <w:color w:val="000000"/>
                <w:sz w:val="16"/>
                <w:szCs w:val="16"/>
                <w:lang w:val="es-CO" w:eastAsia="es-CO"/>
              </w:rPr>
            </w:pPr>
            <w:r w:rsidRPr="00303F33">
              <w:rPr>
                <w:rFonts w:ascii="Arial" w:eastAsia="Times New Roman" w:hAnsi="Arial" w:cs="Arial"/>
                <w:i/>
                <w:iCs/>
                <w:color w:val="000000"/>
                <w:sz w:val="16"/>
                <w:szCs w:val="16"/>
                <w:lang w:val="es-CO" w:eastAsia="es-CO"/>
              </w:rPr>
              <w:t> </w:t>
            </w:r>
          </w:p>
        </w:tc>
        <w:tc>
          <w:tcPr>
            <w:tcW w:w="638" w:type="pct"/>
            <w:tcBorders>
              <w:top w:val="nil"/>
              <w:left w:val="nil"/>
              <w:bottom w:val="single" w:sz="4" w:space="0" w:color="auto"/>
              <w:right w:val="single" w:sz="8" w:space="0" w:color="auto"/>
            </w:tcBorders>
            <w:shd w:val="clear" w:color="000000" w:fill="BFBFBF"/>
            <w:vAlign w:val="center"/>
            <w:hideMark/>
          </w:tcPr>
          <w:p w:rsidR="00303F33" w:rsidRPr="00303F33" w:rsidRDefault="00303F33" w:rsidP="00303F33">
            <w:pPr>
              <w:jc w:val="right"/>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 </w:t>
            </w:r>
          </w:p>
        </w:tc>
        <w:tc>
          <w:tcPr>
            <w:tcW w:w="198" w:type="pct"/>
            <w:tcBorders>
              <w:top w:val="nil"/>
              <w:left w:val="nil"/>
              <w:bottom w:val="nil"/>
              <w:right w:val="nil"/>
            </w:tcBorders>
            <w:shd w:val="clear" w:color="auto" w:fill="auto"/>
            <w:noWrap/>
            <w:vAlign w:val="bottom"/>
            <w:hideMark/>
          </w:tcPr>
          <w:p w:rsidR="00303F33" w:rsidRPr="00303F33" w:rsidRDefault="00303F33" w:rsidP="00303F33">
            <w:pPr>
              <w:jc w:val="both"/>
              <w:rPr>
                <w:rFonts w:ascii="Arial" w:eastAsia="Times New Roman" w:hAnsi="Arial" w:cs="Arial"/>
                <w:b/>
                <w:bCs/>
                <w:color w:val="000000"/>
                <w:sz w:val="16"/>
                <w:szCs w:val="16"/>
                <w:lang w:val="es-CO" w:eastAsia="es-CO"/>
              </w:rPr>
            </w:pPr>
          </w:p>
        </w:tc>
      </w:tr>
      <w:tr w:rsidR="00303F33" w:rsidRPr="00303F33" w:rsidTr="00AB6A00">
        <w:trPr>
          <w:trHeight w:val="20"/>
        </w:trPr>
        <w:tc>
          <w:tcPr>
            <w:tcW w:w="638" w:type="pct"/>
            <w:vMerge/>
            <w:tcBorders>
              <w:top w:val="nil"/>
              <w:left w:val="single" w:sz="8" w:space="0" w:color="auto"/>
              <w:bottom w:val="single" w:sz="8" w:space="0" w:color="000000"/>
              <w:right w:val="single" w:sz="4" w:space="0" w:color="auto"/>
            </w:tcBorders>
            <w:vAlign w:val="center"/>
            <w:hideMark/>
          </w:tcPr>
          <w:p w:rsidR="00303F33" w:rsidRPr="00303F33" w:rsidRDefault="00303F33" w:rsidP="00303F33">
            <w:pPr>
              <w:rPr>
                <w:rFonts w:ascii="Arial" w:eastAsia="Times New Roman" w:hAnsi="Arial" w:cs="Arial"/>
                <w:b/>
                <w:bCs/>
                <w:color w:val="000000"/>
                <w:sz w:val="16"/>
                <w:szCs w:val="16"/>
                <w:lang w:val="es-CO" w:eastAsia="es-CO"/>
              </w:rPr>
            </w:pPr>
          </w:p>
        </w:tc>
        <w:tc>
          <w:tcPr>
            <w:tcW w:w="2122" w:type="pct"/>
            <w:tcBorders>
              <w:top w:val="nil"/>
              <w:left w:val="nil"/>
              <w:bottom w:val="single" w:sz="4" w:space="0" w:color="auto"/>
              <w:right w:val="single" w:sz="4" w:space="0" w:color="auto"/>
            </w:tcBorders>
            <w:shd w:val="clear" w:color="000000" w:fill="CCCCFF"/>
            <w:vAlign w:val="center"/>
            <w:hideMark/>
          </w:tcPr>
          <w:p w:rsidR="00303F33" w:rsidRPr="00303F33" w:rsidRDefault="00303F33" w:rsidP="00303F33">
            <w:pPr>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Pagos (D)</w:t>
            </w:r>
          </w:p>
        </w:tc>
        <w:tc>
          <w:tcPr>
            <w:tcW w:w="765" w:type="pct"/>
            <w:tcBorders>
              <w:top w:val="nil"/>
              <w:left w:val="nil"/>
              <w:bottom w:val="single" w:sz="4" w:space="0" w:color="auto"/>
              <w:right w:val="single" w:sz="4" w:space="0" w:color="auto"/>
            </w:tcBorders>
            <w:shd w:val="clear" w:color="auto" w:fill="auto"/>
            <w:vAlign w:val="center"/>
            <w:hideMark/>
          </w:tcPr>
          <w:p w:rsidR="00303F33" w:rsidRPr="00303F33" w:rsidRDefault="00303F33" w:rsidP="00303F33">
            <w:pPr>
              <w:jc w:val="right"/>
              <w:rPr>
                <w:rFonts w:ascii="Arial" w:eastAsia="Times New Roman" w:hAnsi="Arial" w:cs="Arial"/>
                <w:color w:val="000000"/>
                <w:sz w:val="16"/>
                <w:szCs w:val="16"/>
                <w:lang w:val="es-CO" w:eastAsia="es-CO"/>
              </w:rPr>
            </w:pPr>
            <w:r w:rsidRPr="00303F33">
              <w:rPr>
                <w:rFonts w:ascii="Arial" w:eastAsia="Times New Roman" w:hAnsi="Arial" w:cs="Arial"/>
                <w:color w:val="000000"/>
                <w:sz w:val="16"/>
                <w:szCs w:val="16"/>
                <w:lang w:val="es-CO" w:eastAsia="es-CO"/>
              </w:rPr>
              <w:t xml:space="preserve"> 772.171 </w:t>
            </w:r>
          </w:p>
        </w:tc>
        <w:tc>
          <w:tcPr>
            <w:tcW w:w="638" w:type="pct"/>
            <w:tcBorders>
              <w:top w:val="nil"/>
              <w:left w:val="nil"/>
              <w:bottom w:val="single" w:sz="4" w:space="0" w:color="auto"/>
              <w:right w:val="single" w:sz="4" w:space="0" w:color="auto"/>
            </w:tcBorders>
            <w:shd w:val="clear" w:color="000000" w:fill="BFBFBF"/>
            <w:vAlign w:val="center"/>
            <w:hideMark/>
          </w:tcPr>
          <w:p w:rsidR="00303F33" w:rsidRPr="00303F33" w:rsidRDefault="00303F33" w:rsidP="00303F33">
            <w:pPr>
              <w:jc w:val="right"/>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 </w:t>
            </w:r>
          </w:p>
        </w:tc>
        <w:tc>
          <w:tcPr>
            <w:tcW w:w="638" w:type="pct"/>
            <w:tcBorders>
              <w:top w:val="nil"/>
              <w:left w:val="nil"/>
              <w:bottom w:val="single" w:sz="4" w:space="0" w:color="auto"/>
              <w:right w:val="single" w:sz="8" w:space="0" w:color="auto"/>
            </w:tcBorders>
            <w:shd w:val="clear" w:color="000000" w:fill="BFBFBF"/>
            <w:vAlign w:val="center"/>
            <w:hideMark/>
          </w:tcPr>
          <w:p w:rsidR="00303F33" w:rsidRPr="00303F33" w:rsidRDefault="00303F33" w:rsidP="00303F33">
            <w:pPr>
              <w:jc w:val="right"/>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 </w:t>
            </w:r>
          </w:p>
        </w:tc>
        <w:tc>
          <w:tcPr>
            <w:tcW w:w="198" w:type="pct"/>
            <w:tcBorders>
              <w:top w:val="nil"/>
              <w:left w:val="nil"/>
              <w:bottom w:val="nil"/>
              <w:right w:val="nil"/>
            </w:tcBorders>
            <w:shd w:val="clear" w:color="auto" w:fill="auto"/>
            <w:noWrap/>
            <w:vAlign w:val="bottom"/>
            <w:hideMark/>
          </w:tcPr>
          <w:p w:rsidR="00303F33" w:rsidRPr="00303F33" w:rsidRDefault="00303F33" w:rsidP="00303F33">
            <w:pPr>
              <w:jc w:val="both"/>
              <w:rPr>
                <w:rFonts w:ascii="Arial" w:eastAsia="Times New Roman" w:hAnsi="Arial" w:cs="Arial"/>
                <w:b/>
                <w:bCs/>
                <w:color w:val="000000"/>
                <w:sz w:val="16"/>
                <w:szCs w:val="16"/>
                <w:lang w:val="es-CO" w:eastAsia="es-CO"/>
              </w:rPr>
            </w:pPr>
          </w:p>
        </w:tc>
      </w:tr>
      <w:tr w:rsidR="00303F33" w:rsidRPr="00303F33" w:rsidTr="00AB6A00">
        <w:trPr>
          <w:trHeight w:val="20"/>
        </w:trPr>
        <w:tc>
          <w:tcPr>
            <w:tcW w:w="638" w:type="pct"/>
            <w:vMerge/>
            <w:tcBorders>
              <w:top w:val="nil"/>
              <w:left w:val="single" w:sz="8" w:space="0" w:color="auto"/>
              <w:bottom w:val="single" w:sz="8" w:space="0" w:color="000000"/>
              <w:right w:val="single" w:sz="4" w:space="0" w:color="auto"/>
            </w:tcBorders>
            <w:vAlign w:val="center"/>
            <w:hideMark/>
          </w:tcPr>
          <w:p w:rsidR="00303F33" w:rsidRPr="00303F33" w:rsidRDefault="00303F33" w:rsidP="00303F33">
            <w:pPr>
              <w:rPr>
                <w:rFonts w:ascii="Arial" w:eastAsia="Times New Roman" w:hAnsi="Arial" w:cs="Arial"/>
                <w:b/>
                <w:bCs/>
                <w:color w:val="000000"/>
                <w:sz w:val="16"/>
                <w:szCs w:val="16"/>
                <w:lang w:val="es-CO" w:eastAsia="es-CO"/>
              </w:rPr>
            </w:pPr>
          </w:p>
        </w:tc>
        <w:tc>
          <w:tcPr>
            <w:tcW w:w="2122" w:type="pct"/>
            <w:tcBorders>
              <w:top w:val="nil"/>
              <w:left w:val="nil"/>
              <w:bottom w:val="single" w:sz="4" w:space="0" w:color="auto"/>
              <w:right w:val="single" w:sz="4" w:space="0" w:color="auto"/>
            </w:tcBorders>
            <w:shd w:val="clear" w:color="000000" w:fill="CCCCFF"/>
            <w:vAlign w:val="center"/>
            <w:hideMark/>
          </w:tcPr>
          <w:p w:rsidR="00303F33" w:rsidRPr="00303F33" w:rsidRDefault="00303F33" w:rsidP="00303F33">
            <w:pPr>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Déficit o superávit (A-B)</w:t>
            </w:r>
          </w:p>
        </w:tc>
        <w:tc>
          <w:tcPr>
            <w:tcW w:w="765" w:type="pct"/>
            <w:tcBorders>
              <w:top w:val="nil"/>
              <w:left w:val="nil"/>
              <w:bottom w:val="single" w:sz="4" w:space="0" w:color="auto"/>
              <w:right w:val="single" w:sz="4" w:space="0" w:color="auto"/>
            </w:tcBorders>
            <w:shd w:val="clear" w:color="auto" w:fill="auto"/>
            <w:vAlign w:val="center"/>
            <w:hideMark/>
          </w:tcPr>
          <w:p w:rsidR="00303F33" w:rsidRPr="00303F33" w:rsidRDefault="00303F33" w:rsidP="00303F33">
            <w:pPr>
              <w:jc w:val="right"/>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 xml:space="preserve"> 2.174 </w:t>
            </w:r>
          </w:p>
        </w:tc>
        <w:tc>
          <w:tcPr>
            <w:tcW w:w="638" w:type="pct"/>
            <w:tcBorders>
              <w:top w:val="nil"/>
              <w:left w:val="nil"/>
              <w:bottom w:val="single" w:sz="4" w:space="0" w:color="auto"/>
              <w:right w:val="single" w:sz="4" w:space="0" w:color="auto"/>
            </w:tcBorders>
            <w:shd w:val="clear" w:color="auto" w:fill="auto"/>
            <w:vAlign w:val="center"/>
            <w:hideMark/>
          </w:tcPr>
          <w:p w:rsidR="00303F33" w:rsidRPr="00303F33" w:rsidRDefault="00303F33" w:rsidP="00303F33">
            <w:pPr>
              <w:jc w:val="right"/>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 xml:space="preserve"> 1.671 </w:t>
            </w:r>
          </w:p>
        </w:tc>
        <w:tc>
          <w:tcPr>
            <w:tcW w:w="638" w:type="pct"/>
            <w:tcBorders>
              <w:top w:val="nil"/>
              <w:left w:val="nil"/>
              <w:bottom w:val="single" w:sz="4" w:space="0" w:color="auto"/>
              <w:right w:val="single" w:sz="8" w:space="0" w:color="auto"/>
            </w:tcBorders>
            <w:shd w:val="clear" w:color="auto" w:fill="auto"/>
            <w:vAlign w:val="center"/>
            <w:hideMark/>
          </w:tcPr>
          <w:p w:rsidR="00303F33" w:rsidRPr="00303F33" w:rsidRDefault="00303F33" w:rsidP="00303F33">
            <w:pPr>
              <w:jc w:val="right"/>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 xml:space="preserve"> 503 </w:t>
            </w:r>
          </w:p>
        </w:tc>
        <w:tc>
          <w:tcPr>
            <w:tcW w:w="198" w:type="pct"/>
            <w:tcBorders>
              <w:top w:val="nil"/>
              <w:left w:val="nil"/>
              <w:bottom w:val="nil"/>
              <w:right w:val="nil"/>
            </w:tcBorders>
            <w:shd w:val="clear" w:color="auto" w:fill="auto"/>
            <w:noWrap/>
            <w:vAlign w:val="bottom"/>
            <w:hideMark/>
          </w:tcPr>
          <w:p w:rsidR="00303F33" w:rsidRPr="00303F33" w:rsidRDefault="00303F33" w:rsidP="00303F33">
            <w:pPr>
              <w:jc w:val="both"/>
              <w:rPr>
                <w:rFonts w:ascii="Arial" w:eastAsia="Times New Roman" w:hAnsi="Arial" w:cs="Arial"/>
                <w:b/>
                <w:bCs/>
                <w:color w:val="000000"/>
                <w:sz w:val="16"/>
                <w:szCs w:val="16"/>
                <w:lang w:val="es-CO" w:eastAsia="es-CO"/>
              </w:rPr>
            </w:pPr>
          </w:p>
        </w:tc>
      </w:tr>
      <w:tr w:rsidR="00303F33" w:rsidRPr="00303F33" w:rsidTr="00AB6A00">
        <w:trPr>
          <w:trHeight w:val="20"/>
        </w:trPr>
        <w:tc>
          <w:tcPr>
            <w:tcW w:w="638" w:type="pct"/>
            <w:vMerge/>
            <w:tcBorders>
              <w:top w:val="nil"/>
              <w:left w:val="single" w:sz="8" w:space="0" w:color="auto"/>
              <w:bottom w:val="single" w:sz="8" w:space="0" w:color="000000"/>
              <w:right w:val="single" w:sz="4" w:space="0" w:color="auto"/>
            </w:tcBorders>
            <w:vAlign w:val="center"/>
            <w:hideMark/>
          </w:tcPr>
          <w:p w:rsidR="00303F33" w:rsidRPr="00303F33" w:rsidRDefault="00303F33" w:rsidP="00303F33">
            <w:pPr>
              <w:rPr>
                <w:rFonts w:ascii="Arial" w:eastAsia="Times New Roman" w:hAnsi="Arial" w:cs="Arial"/>
                <w:b/>
                <w:bCs/>
                <w:color w:val="000000"/>
                <w:sz w:val="16"/>
                <w:szCs w:val="16"/>
                <w:lang w:val="es-CO" w:eastAsia="es-CO"/>
              </w:rPr>
            </w:pPr>
          </w:p>
        </w:tc>
        <w:tc>
          <w:tcPr>
            <w:tcW w:w="2122" w:type="pct"/>
            <w:tcBorders>
              <w:top w:val="nil"/>
              <w:left w:val="nil"/>
              <w:bottom w:val="single" w:sz="4" w:space="0" w:color="auto"/>
              <w:right w:val="single" w:sz="4" w:space="0" w:color="auto"/>
            </w:tcBorders>
            <w:shd w:val="clear" w:color="000000" w:fill="CCCCFF"/>
            <w:vAlign w:val="center"/>
            <w:hideMark/>
          </w:tcPr>
          <w:p w:rsidR="00303F33" w:rsidRPr="00303F33" w:rsidRDefault="00303F33" w:rsidP="00303F33">
            <w:pPr>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Recursos de Terceros / otras exigibilidades</w:t>
            </w:r>
          </w:p>
        </w:tc>
        <w:tc>
          <w:tcPr>
            <w:tcW w:w="765" w:type="pct"/>
            <w:tcBorders>
              <w:top w:val="nil"/>
              <w:left w:val="nil"/>
              <w:bottom w:val="single" w:sz="4" w:space="0" w:color="auto"/>
              <w:right w:val="single" w:sz="4" w:space="0" w:color="auto"/>
            </w:tcBorders>
            <w:shd w:val="clear" w:color="auto" w:fill="auto"/>
            <w:vAlign w:val="center"/>
            <w:hideMark/>
          </w:tcPr>
          <w:p w:rsidR="00303F33" w:rsidRPr="00303F33" w:rsidRDefault="00303F33" w:rsidP="00303F33">
            <w:pPr>
              <w:jc w:val="right"/>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 xml:space="preserve"> - </w:t>
            </w:r>
          </w:p>
        </w:tc>
        <w:tc>
          <w:tcPr>
            <w:tcW w:w="638" w:type="pct"/>
            <w:tcBorders>
              <w:top w:val="nil"/>
              <w:left w:val="nil"/>
              <w:bottom w:val="single" w:sz="4" w:space="0" w:color="auto"/>
              <w:right w:val="single" w:sz="4" w:space="0" w:color="auto"/>
            </w:tcBorders>
            <w:shd w:val="clear" w:color="auto" w:fill="auto"/>
            <w:vAlign w:val="center"/>
            <w:hideMark/>
          </w:tcPr>
          <w:p w:rsidR="00303F33" w:rsidRPr="00303F33" w:rsidRDefault="00303F33" w:rsidP="00303F33">
            <w:pPr>
              <w:jc w:val="right"/>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 xml:space="preserve"> 350 </w:t>
            </w:r>
          </w:p>
        </w:tc>
        <w:tc>
          <w:tcPr>
            <w:tcW w:w="638" w:type="pct"/>
            <w:tcBorders>
              <w:top w:val="nil"/>
              <w:left w:val="nil"/>
              <w:bottom w:val="single" w:sz="4" w:space="0" w:color="auto"/>
              <w:right w:val="single" w:sz="8" w:space="0" w:color="auto"/>
            </w:tcBorders>
            <w:shd w:val="clear" w:color="auto" w:fill="auto"/>
            <w:vAlign w:val="center"/>
            <w:hideMark/>
          </w:tcPr>
          <w:p w:rsidR="00303F33" w:rsidRPr="00303F33" w:rsidRDefault="00303F33" w:rsidP="00303F33">
            <w:pPr>
              <w:jc w:val="right"/>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 xml:space="preserve">- 350 </w:t>
            </w:r>
          </w:p>
        </w:tc>
        <w:tc>
          <w:tcPr>
            <w:tcW w:w="198" w:type="pct"/>
            <w:tcBorders>
              <w:top w:val="nil"/>
              <w:left w:val="nil"/>
              <w:bottom w:val="nil"/>
              <w:right w:val="nil"/>
            </w:tcBorders>
            <w:shd w:val="clear" w:color="auto" w:fill="auto"/>
            <w:noWrap/>
            <w:vAlign w:val="bottom"/>
            <w:hideMark/>
          </w:tcPr>
          <w:p w:rsidR="00303F33" w:rsidRPr="00303F33" w:rsidRDefault="00303F33" w:rsidP="00303F33">
            <w:pPr>
              <w:jc w:val="both"/>
              <w:rPr>
                <w:rFonts w:ascii="Arial" w:eastAsia="Times New Roman" w:hAnsi="Arial" w:cs="Arial"/>
                <w:b/>
                <w:bCs/>
                <w:color w:val="000000"/>
                <w:sz w:val="16"/>
                <w:szCs w:val="16"/>
                <w:lang w:val="es-CO" w:eastAsia="es-CO"/>
              </w:rPr>
            </w:pPr>
          </w:p>
        </w:tc>
      </w:tr>
      <w:tr w:rsidR="00303F33" w:rsidRPr="00303F33" w:rsidTr="00AB6A00">
        <w:trPr>
          <w:trHeight w:val="20"/>
        </w:trPr>
        <w:tc>
          <w:tcPr>
            <w:tcW w:w="638" w:type="pct"/>
            <w:vMerge/>
            <w:tcBorders>
              <w:top w:val="nil"/>
              <w:left w:val="single" w:sz="8" w:space="0" w:color="auto"/>
              <w:bottom w:val="single" w:sz="8" w:space="0" w:color="000000"/>
              <w:right w:val="single" w:sz="4" w:space="0" w:color="auto"/>
            </w:tcBorders>
            <w:vAlign w:val="center"/>
            <w:hideMark/>
          </w:tcPr>
          <w:p w:rsidR="00303F33" w:rsidRPr="00303F33" w:rsidRDefault="00303F33" w:rsidP="00303F33">
            <w:pPr>
              <w:rPr>
                <w:rFonts w:ascii="Arial" w:eastAsia="Times New Roman" w:hAnsi="Arial" w:cs="Arial"/>
                <w:b/>
                <w:bCs/>
                <w:color w:val="000000"/>
                <w:sz w:val="16"/>
                <w:szCs w:val="16"/>
                <w:lang w:val="es-CO" w:eastAsia="es-CO"/>
              </w:rPr>
            </w:pPr>
          </w:p>
        </w:tc>
        <w:tc>
          <w:tcPr>
            <w:tcW w:w="2122" w:type="pct"/>
            <w:tcBorders>
              <w:top w:val="nil"/>
              <w:left w:val="nil"/>
              <w:bottom w:val="single" w:sz="4" w:space="0" w:color="auto"/>
              <w:right w:val="single" w:sz="4" w:space="0" w:color="auto"/>
            </w:tcBorders>
            <w:shd w:val="clear" w:color="000000" w:fill="CCCCFF"/>
            <w:vAlign w:val="center"/>
            <w:hideMark/>
          </w:tcPr>
          <w:p w:rsidR="00303F33" w:rsidRPr="00303F33" w:rsidRDefault="00303F33" w:rsidP="00303F33">
            <w:pPr>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Reservas (B-C)</w:t>
            </w:r>
          </w:p>
        </w:tc>
        <w:tc>
          <w:tcPr>
            <w:tcW w:w="765" w:type="pct"/>
            <w:tcBorders>
              <w:top w:val="nil"/>
              <w:left w:val="nil"/>
              <w:bottom w:val="single" w:sz="4" w:space="0" w:color="auto"/>
              <w:right w:val="single" w:sz="4" w:space="0" w:color="auto"/>
            </w:tcBorders>
            <w:shd w:val="clear" w:color="auto" w:fill="auto"/>
            <w:vAlign w:val="center"/>
            <w:hideMark/>
          </w:tcPr>
          <w:p w:rsidR="00303F33" w:rsidRPr="00303F33" w:rsidRDefault="00303F33" w:rsidP="00303F33">
            <w:pPr>
              <w:jc w:val="right"/>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 xml:space="preserve"> 3.444 </w:t>
            </w:r>
          </w:p>
        </w:tc>
        <w:tc>
          <w:tcPr>
            <w:tcW w:w="638" w:type="pct"/>
            <w:tcBorders>
              <w:top w:val="nil"/>
              <w:left w:val="nil"/>
              <w:bottom w:val="single" w:sz="4" w:space="0" w:color="auto"/>
              <w:right w:val="single" w:sz="4" w:space="0" w:color="auto"/>
            </w:tcBorders>
            <w:shd w:val="clear" w:color="auto" w:fill="auto"/>
            <w:vAlign w:val="center"/>
            <w:hideMark/>
          </w:tcPr>
          <w:p w:rsidR="00303F33" w:rsidRPr="00303F33" w:rsidRDefault="00303F33" w:rsidP="00303F33">
            <w:pPr>
              <w:jc w:val="right"/>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 xml:space="preserve"> 3.444 </w:t>
            </w:r>
          </w:p>
        </w:tc>
        <w:tc>
          <w:tcPr>
            <w:tcW w:w="638" w:type="pct"/>
            <w:tcBorders>
              <w:top w:val="nil"/>
              <w:left w:val="nil"/>
              <w:bottom w:val="single" w:sz="4" w:space="0" w:color="auto"/>
              <w:right w:val="single" w:sz="8" w:space="0" w:color="auto"/>
            </w:tcBorders>
            <w:shd w:val="clear" w:color="auto" w:fill="auto"/>
            <w:vAlign w:val="center"/>
            <w:hideMark/>
          </w:tcPr>
          <w:p w:rsidR="00303F33" w:rsidRPr="00303F33" w:rsidRDefault="00303F33" w:rsidP="00303F33">
            <w:pPr>
              <w:jc w:val="right"/>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 xml:space="preserve">- 0 </w:t>
            </w:r>
          </w:p>
        </w:tc>
        <w:tc>
          <w:tcPr>
            <w:tcW w:w="198" w:type="pct"/>
            <w:tcBorders>
              <w:top w:val="nil"/>
              <w:left w:val="nil"/>
              <w:bottom w:val="nil"/>
              <w:right w:val="nil"/>
            </w:tcBorders>
            <w:shd w:val="clear" w:color="auto" w:fill="auto"/>
            <w:noWrap/>
            <w:vAlign w:val="bottom"/>
            <w:hideMark/>
          </w:tcPr>
          <w:p w:rsidR="00303F33" w:rsidRPr="00303F33" w:rsidRDefault="00303F33" w:rsidP="00303F33">
            <w:pPr>
              <w:jc w:val="both"/>
              <w:rPr>
                <w:rFonts w:ascii="Arial" w:eastAsia="Times New Roman" w:hAnsi="Arial" w:cs="Arial"/>
                <w:b/>
                <w:bCs/>
                <w:color w:val="000000"/>
                <w:sz w:val="16"/>
                <w:szCs w:val="16"/>
                <w:lang w:val="es-CO" w:eastAsia="es-CO"/>
              </w:rPr>
            </w:pPr>
          </w:p>
        </w:tc>
      </w:tr>
      <w:tr w:rsidR="00303F33" w:rsidRPr="00303F33" w:rsidTr="00AB6A00">
        <w:trPr>
          <w:trHeight w:val="20"/>
        </w:trPr>
        <w:tc>
          <w:tcPr>
            <w:tcW w:w="638" w:type="pct"/>
            <w:vMerge/>
            <w:tcBorders>
              <w:top w:val="nil"/>
              <w:left w:val="single" w:sz="8" w:space="0" w:color="auto"/>
              <w:bottom w:val="single" w:sz="8" w:space="0" w:color="000000"/>
              <w:right w:val="single" w:sz="4" w:space="0" w:color="auto"/>
            </w:tcBorders>
            <w:vAlign w:val="center"/>
            <w:hideMark/>
          </w:tcPr>
          <w:p w:rsidR="00303F33" w:rsidRPr="00303F33" w:rsidRDefault="00303F33" w:rsidP="00303F33">
            <w:pPr>
              <w:rPr>
                <w:rFonts w:ascii="Arial" w:eastAsia="Times New Roman" w:hAnsi="Arial" w:cs="Arial"/>
                <w:b/>
                <w:bCs/>
                <w:color w:val="000000"/>
                <w:sz w:val="16"/>
                <w:szCs w:val="16"/>
                <w:lang w:val="es-CO" w:eastAsia="es-CO"/>
              </w:rPr>
            </w:pPr>
          </w:p>
        </w:tc>
        <w:tc>
          <w:tcPr>
            <w:tcW w:w="2122" w:type="pct"/>
            <w:tcBorders>
              <w:top w:val="nil"/>
              <w:left w:val="nil"/>
              <w:bottom w:val="single" w:sz="4" w:space="0" w:color="auto"/>
              <w:right w:val="single" w:sz="4" w:space="0" w:color="auto"/>
            </w:tcBorders>
            <w:shd w:val="clear" w:color="000000" w:fill="CCCCFF"/>
            <w:vAlign w:val="center"/>
            <w:hideMark/>
          </w:tcPr>
          <w:p w:rsidR="00303F33" w:rsidRPr="00303F33" w:rsidRDefault="00303F33" w:rsidP="00303F33">
            <w:pPr>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Cuentas por pagar (C-D)</w:t>
            </w:r>
          </w:p>
        </w:tc>
        <w:tc>
          <w:tcPr>
            <w:tcW w:w="765" w:type="pct"/>
            <w:tcBorders>
              <w:top w:val="nil"/>
              <w:left w:val="nil"/>
              <w:bottom w:val="single" w:sz="4" w:space="0" w:color="auto"/>
              <w:right w:val="single" w:sz="4" w:space="0" w:color="auto"/>
            </w:tcBorders>
            <w:shd w:val="clear" w:color="auto" w:fill="auto"/>
            <w:vAlign w:val="center"/>
            <w:hideMark/>
          </w:tcPr>
          <w:p w:rsidR="00303F33" w:rsidRPr="00303F33" w:rsidRDefault="00303F33" w:rsidP="00303F33">
            <w:pPr>
              <w:jc w:val="right"/>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 xml:space="preserve"> 3.961 </w:t>
            </w:r>
          </w:p>
        </w:tc>
        <w:tc>
          <w:tcPr>
            <w:tcW w:w="638" w:type="pct"/>
            <w:tcBorders>
              <w:top w:val="nil"/>
              <w:left w:val="nil"/>
              <w:bottom w:val="single" w:sz="4" w:space="0" w:color="auto"/>
              <w:right w:val="single" w:sz="4" w:space="0" w:color="auto"/>
            </w:tcBorders>
            <w:shd w:val="clear" w:color="auto" w:fill="auto"/>
            <w:vAlign w:val="center"/>
            <w:hideMark/>
          </w:tcPr>
          <w:p w:rsidR="00303F33" w:rsidRPr="00303F33" w:rsidRDefault="00303F33" w:rsidP="00303F33">
            <w:pPr>
              <w:jc w:val="right"/>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 xml:space="preserve"> 3.961 </w:t>
            </w:r>
          </w:p>
        </w:tc>
        <w:tc>
          <w:tcPr>
            <w:tcW w:w="638" w:type="pct"/>
            <w:tcBorders>
              <w:top w:val="nil"/>
              <w:left w:val="nil"/>
              <w:bottom w:val="single" w:sz="4" w:space="0" w:color="auto"/>
              <w:right w:val="single" w:sz="8" w:space="0" w:color="auto"/>
            </w:tcBorders>
            <w:shd w:val="clear" w:color="auto" w:fill="auto"/>
            <w:vAlign w:val="center"/>
            <w:hideMark/>
          </w:tcPr>
          <w:p w:rsidR="00303F33" w:rsidRPr="00303F33" w:rsidRDefault="00303F33" w:rsidP="00303F33">
            <w:pPr>
              <w:jc w:val="right"/>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 xml:space="preserve"> 0 </w:t>
            </w:r>
          </w:p>
        </w:tc>
        <w:tc>
          <w:tcPr>
            <w:tcW w:w="198" w:type="pct"/>
            <w:tcBorders>
              <w:top w:val="nil"/>
              <w:left w:val="nil"/>
              <w:bottom w:val="nil"/>
              <w:right w:val="nil"/>
            </w:tcBorders>
            <w:shd w:val="clear" w:color="auto" w:fill="auto"/>
            <w:noWrap/>
            <w:vAlign w:val="bottom"/>
            <w:hideMark/>
          </w:tcPr>
          <w:p w:rsidR="00303F33" w:rsidRPr="00303F33" w:rsidRDefault="00303F33" w:rsidP="00303F33">
            <w:pPr>
              <w:jc w:val="both"/>
              <w:rPr>
                <w:rFonts w:ascii="Arial" w:eastAsia="Times New Roman" w:hAnsi="Arial" w:cs="Arial"/>
                <w:b/>
                <w:bCs/>
                <w:color w:val="000000"/>
                <w:sz w:val="16"/>
                <w:szCs w:val="16"/>
                <w:lang w:val="es-CO" w:eastAsia="es-CO"/>
              </w:rPr>
            </w:pPr>
          </w:p>
        </w:tc>
      </w:tr>
      <w:tr w:rsidR="00303F33" w:rsidRPr="00303F33" w:rsidTr="00AB6A00">
        <w:trPr>
          <w:trHeight w:val="20"/>
        </w:trPr>
        <w:tc>
          <w:tcPr>
            <w:tcW w:w="638" w:type="pct"/>
            <w:vMerge/>
            <w:tcBorders>
              <w:top w:val="nil"/>
              <w:left w:val="single" w:sz="8" w:space="0" w:color="auto"/>
              <w:bottom w:val="single" w:sz="8" w:space="0" w:color="000000"/>
              <w:right w:val="single" w:sz="4" w:space="0" w:color="auto"/>
            </w:tcBorders>
            <w:vAlign w:val="center"/>
            <w:hideMark/>
          </w:tcPr>
          <w:p w:rsidR="00303F33" w:rsidRPr="00303F33" w:rsidRDefault="00303F33" w:rsidP="00303F33">
            <w:pPr>
              <w:rPr>
                <w:rFonts w:ascii="Arial" w:eastAsia="Times New Roman" w:hAnsi="Arial" w:cs="Arial"/>
                <w:b/>
                <w:bCs/>
                <w:color w:val="000000"/>
                <w:sz w:val="16"/>
                <w:szCs w:val="16"/>
                <w:lang w:val="es-CO" w:eastAsia="es-CO"/>
              </w:rPr>
            </w:pPr>
          </w:p>
        </w:tc>
        <w:tc>
          <w:tcPr>
            <w:tcW w:w="2122" w:type="pct"/>
            <w:tcBorders>
              <w:top w:val="nil"/>
              <w:left w:val="nil"/>
              <w:bottom w:val="single" w:sz="8" w:space="0" w:color="auto"/>
              <w:right w:val="single" w:sz="4" w:space="0" w:color="auto"/>
            </w:tcBorders>
            <w:shd w:val="clear" w:color="000000" w:fill="CCCCFF"/>
            <w:vAlign w:val="center"/>
            <w:hideMark/>
          </w:tcPr>
          <w:p w:rsidR="00303F33" w:rsidRPr="00303F33" w:rsidRDefault="00303F33" w:rsidP="00303F33">
            <w:pPr>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Saldo mínimo en Caja y Bancos (A-D)</w:t>
            </w:r>
          </w:p>
        </w:tc>
        <w:tc>
          <w:tcPr>
            <w:tcW w:w="765" w:type="pct"/>
            <w:tcBorders>
              <w:top w:val="nil"/>
              <w:left w:val="nil"/>
              <w:bottom w:val="single" w:sz="8" w:space="0" w:color="auto"/>
              <w:right w:val="single" w:sz="4" w:space="0" w:color="auto"/>
            </w:tcBorders>
            <w:shd w:val="clear" w:color="auto" w:fill="auto"/>
            <w:vAlign w:val="center"/>
            <w:hideMark/>
          </w:tcPr>
          <w:p w:rsidR="00303F33" w:rsidRPr="00303F33" w:rsidRDefault="00303F33" w:rsidP="00303F33">
            <w:pPr>
              <w:jc w:val="right"/>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 xml:space="preserve"> 9.579 </w:t>
            </w:r>
          </w:p>
        </w:tc>
        <w:tc>
          <w:tcPr>
            <w:tcW w:w="638" w:type="pct"/>
            <w:tcBorders>
              <w:top w:val="nil"/>
              <w:left w:val="nil"/>
              <w:bottom w:val="single" w:sz="8" w:space="0" w:color="auto"/>
              <w:right w:val="single" w:sz="4" w:space="0" w:color="auto"/>
            </w:tcBorders>
            <w:shd w:val="clear" w:color="auto" w:fill="auto"/>
            <w:vAlign w:val="center"/>
            <w:hideMark/>
          </w:tcPr>
          <w:p w:rsidR="00303F33" w:rsidRPr="00303F33" w:rsidRDefault="00303F33" w:rsidP="00303F33">
            <w:pPr>
              <w:jc w:val="right"/>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 xml:space="preserve"> 9.425 </w:t>
            </w:r>
          </w:p>
        </w:tc>
        <w:tc>
          <w:tcPr>
            <w:tcW w:w="638" w:type="pct"/>
            <w:tcBorders>
              <w:top w:val="nil"/>
              <w:left w:val="nil"/>
              <w:bottom w:val="single" w:sz="8" w:space="0" w:color="auto"/>
              <w:right w:val="single" w:sz="8" w:space="0" w:color="auto"/>
            </w:tcBorders>
            <w:shd w:val="clear" w:color="auto" w:fill="auto"/>
            <w:vAlign w:val="center"/>
            <w:hideMark/>
          </w:tcPr>
          <w:p w:rsidR="00303F33" w:rsidRPr="00303F33" w:rsidRDefault="00303F33" w:rsidP="00303F33">
            <w:pPr>
              <w:jc w:val="right"/>
              <w:rPr>
                <w:rFonts w:ascii="Arial" w:eastAsia="Times New Roman" w:hAnsi="Arial" w:cs="Arial"/>
                <w:b/>
                <w:bCs/>
                <w:color w:val="000000"/>
                <w:sz w:val="16"/>
                <w:szCs w:val="16"/>
                <w:lang w:val="es-CO" w:eastAsia="es-CO"/>
              </w:rPr>
            </w:pPr>
            <w:r w:rsidRPr="00303F33">
              <w:rPr>
                <w:rFonts w:ascii="Arial" w:eastAsia="Times New Roman" w:hAnsi="Arial" w:cs="Arial"/>
                <w:b/>
                <w:bCs/>
                <w:color w:val="000000"/>
                <w:sz w:val="16"/>
                <w:szCs w:val="16"/>
                <w:lang w:val="es-CO" w:eastAsia="es-CO"/>
              </w:rPr>
              <w:t xml:space="preserve"> 153 </w:t>
            </w:r>
          </w:p>
        </w:tc>
        <w:tc>
          <w:tcPr>
            <w:tcW w:w="198" w:type="pct"/>
            <w:tcBorders>
              <w:top w:val="nil"/>
              <w:left w:val="nil"/>
              <w:bottom w:val="nil"/>
              <w:right w:val="nil"/>
            </w:tcBorders>
            <w:shd w:val="clear" w:color="auto" w:fill="auto"/>
            <w:noWrap/>
            <w:vAlign w:val="bottom"/>
            <w:hideMark/>
          </w:tcPr>
          <w:p w:rsidR="00303F33" w:rsidRPr="00303F33" w:rsidRDefault="00303F33" w:rsidP="00303F33">
            <w:pPr>
              <w:jc w:val="both"/>
              <w:rPr>
                <w:rFonts w:ascii="Arial" w:eastAsia="Times New Roman" w:hAnsi="Arial" w:cs="Arial"/>
                <w:b/>
                <w:bCs/>
                <w:color w:val="000000"/>
                <w:sz w:val="16"/>
                <w:szCs w:val="16"/>
                <w:lang w:val="es-CO" w:eastAsia="es-CO"/>
              </w:rPr>
            </w:pPr>
          </w:p>
        </w:tc>
      </w:tr>
    </w:tbl>
    <w:p w:rsidR="00AB6A00" w:rsidRPr="00D4546B" w:rsidRDefault="00AB6A00" w:rsidP="00AB6A00">
      <w:pPr>
        <w:autoSpaceDE w:val="0"/>
        <w:autoSpaceDN w:val="0"/>
        <w:adjustRightInd w:val="0"/>
        <w:jc w:val="center"/>
        <w:rPr>
          <w:rStyle w:val="nfasissutil"/>
          <w:rFonts w:cs="Arial"/>
          <w:i/>
        </w:rPr>
      </w:pPr>
      <w:r w:rsidRPr="00D4546B">
        <w:rPr>
          <w:rStyle w:val="nfasissutil"/>
          <w:rFonts w:cs="Arial"/>
          <w:i/>
        </w:rPr>
        <w:t xml:space="preserve">Fuente: </w:t>
      </w:r>
      <w:r w:rsidR="003C2A5D">
        <w:rPr>
          <w:rStyle w:val="nfasissutil"/>
          <w:rFonts w:cs="Arial"/>
          <w:i/>
        </w:rPr>
        <w:t xml:space="preserve">Reporte FUT de la </w:t>
      </w:r>
      <w:r w:rsidRPr="00D4546B">
        <w:rPr>
          <w:rStyle w:val="nfasissutil"/>
          <w:rFonts w:cs="Arial"/>
          <w:i/>
        </w:rPr>
        <w:t>entidad territorial con corte a diciembre de 2.019</w:t>
      </w:r>
      <w:r w:rsidR="003C2A5D">
        <w:rPr>
          <w:rStyle w:val="nfasissutil"/>
          <w:rFonts w:cs="Arial"/>
          <w:i/>
        </w:rPr>
        <w:t xml:space="preserve"> y 2020.</w:t>
      </w:r>
    </w:p>
    <w:p w:rsidR="00303F33" w:rsidRPr="003C2A5D" w:rsidRDefault="00303F33" w:rsidP="00345AEE">
      <w:pPr>
        <w:jc w:val="both"/>
        <w:rPr>
          <w:rFonts w:ascii="Arial" w:hAnsi="Arial" w:cs="Arial"/>
          <w:sz w:val="28"/>
          <w:szCs w:val="22"/>
          <w:highlight w:val="yellow"/>
        </w:rPr>
      </w:pPr>
    </w:p>
    <w:p w:rsidR="004662E4" w:rsidRPr="003C2A5D" w:rsidRDefault="004662E4" w:rsidP="00345AEE">
      <w:pPr>
        <w:pStyle w:val="Prrafodelista"/>
        <w:numPr>
          <w:ilvl w:val="0"/>
          <w:numId w:val="34"/>
        </w:numPr>
        <w:ind w:left="426" w:hanging="426"/>
        <w:jc w:val="both"/>
        <w:rPr>
          <w:rFonts w:ascii="Arial" w:hAnsi="Arial" w:cs="Arial"/>
          <w:sz w:val="22"/>
          <w:szCs w:val="22"/>
        </w:rPr>
      </w:pPr>
      <w:r w:rsidRPr="003C2A5D">
        <w:rPr>
          <w:rFonts w:ascii="Arial" w:hAnsi="Arial" w:cs="Arial"/>
          <w:sz w:val="22"/>
          <w:szCs w:val="22"/>
        </w:rPr>
        <w:t xml:space="preserve">De acuerdo </w:t>
      </w:r>
      <w:r w:rsidR="00303F33" w:rsidRPr="003C2A5D">
        <w:rPr>
          <w:rFonts w:ascii="Arial" w:hAnsi="Arial" w:cs="Arial"/>
          <w:sz w:val="22"/>
          <w:szCs w:val="22"/>
        </w:rPr>
        <w:t xml:space="preserve">con </w:t>
      </w:r>
      <w:r w:rsidRPr="003C2A5D">
        <w:rPr>
          <w:rFonts w:ascii="Arial" w:hAnsi="Arial" w:cs="Arial"/>
          <w:sz w:val="22"/>
          <w:szCs w:val="22"/>
        </w:rPr>
        <w:t xml:space="preserve">las fuentes de información </w:t>
      </w:r>
      <w:r w:rsidR="00345AEE" w:rsidRPr="003C2A5D">
        <w:rPr>
          <w:rFonts w:ascii="Arial" w:hAnsi="Arial" w:cs="Arial"/>
          <w:sz w:val="22"/>
          <w:szCs w:val="22"/>
        </w:rPr>
        <w:t xml:space="preserve">disponibles para la vigencia 2019 </w:t>
      </w:r>
      <w:r w:rsidRPr="003C2A5D">
        <w:rPr>
          <w:rFonts w:ascii="Arial" w:hAnsi="Arial" w:cs="Arial"/>
          <w:sz w:val="22"/>
          <w:szCs w:val="22"/>
        </w:rPr>
        <w:t xml:space="preserve">(FUT y ejecución presupuestal), se destaca que al cierre de la vigencia 2019 según información FUT, el departamento de Córdoba tendría un superávit de $322 millones, reservas por $1.176 millones y cuentas por pagar de $1.327 millones para un saldo mínimo en caja y bancos por $2.825 millones. </w:t>
      </w:r>
    </w:p>
    <w:p w:rsidR="004662E4" w:rsidRPr="003C2A5D" w:rsidRDefault="004662E4" w:rsidP="000A5BEA">
      <w:pPr>
        <w:jc w:val="both"/>
        <w:rPr>
          <w:rFonts w:ascii="Arial" w:hAnsi="Arial" w:cs="Arial"/>
          <w:sz w:val="28"/>
          <w:szCs w:val="22"/>
        </w:rPr>
      </w:pPr>
    </w:p>
    <w:p w:rsidR="004662E4" w:rsidRPr="00D4546B" w:rsidRDefault="00345AEE" w:rsidP="000A5BEA">
      <w:pPr>
        <w:jc w:val="both"/>
        <w:rPr>
          <w:rFonts w:ascii="Arial" w:hAnsi="Arial" w:cs="Arial"/>
          <w:sz w:val="22"/>
          <w:szCs w:val="22"/>
        </w:rPr>
      </w:pPr>
      <w:r>
        <w:rPr>
          <w:rFonts w:ascii="Arial" w:hAnsi="Arial" w:cs="Arial"/>
          <w:sz w:val="22"/>
          <w:szCs w:val="22"/>
        </w:rPr>
        <w:t xml:space="preserve">No obstante, con base en </w:t>
      </w:r>
      <w:r w:rsidR="004662E4" w:rsidRPr="00D4546B">
        <w:rPr>
          <w:rFonts w:ascii="Arial" w:hAnsi="Arial" w:cs="Arial"/>
          <w:sz w:val="22"/>
          <w:szCs w:val="22"/>
        </w:rPr>
        <w:t>la ejecución presupuestal</w:t>
      </w:r>
      <w:r>
        <w:rPr>
          <w:rFonts w:ascii="Arial" w:hAnsi="Arial" w:cs="Arial"/>
          <w:sz w:val="22"/>
          <w:szCs w:val="22"/>
        </w:rPr>
        <w:t xml:space="preserve"> de </w:t>
      </w:r>
      <w:r w:rsidR="004662E4" w:rsidRPr="00D4546B">
        <w:rPr>
          <w:rFonts w:ascii="Arial" w:hAnsi="Arial" w:cs="Arial"/>
          <w:sz w:val="22"/>
          <w:szCs w:val="22"/>
        </w:rPr>
        <w:t>los recursos del SGP</w:t>
      </w:r>
      <w:r>
        <w:rPr>
          <w:rFonts w:ascii="Arial" w:hAnsi="Arial" w:cs="Arial"/>
          <w:sz w:val="22"/>
          <w:szCs w:val="22"/>
        </w:rPr>
        <w:t xml:space="preserve">, </w:t>
      </w:r>
      <w:r w:rsidR="004662E4" w:rsidRPr="00D4546B">
        <w:rPr>
          <w:rFonts w:ascii="Arial" w:hAnsi="Arial" w:cs="Arial"/>
          <w:sz w:val="22"/>
          <w:szCs w:val="22"/>
        </w:rPr>
        <w:t>el departamento generó un superávit de $303 millones, estableció reservas presupuestales por $1.176 millones y cuentas por pagar de $1.247 millones para un saldo mínimo en caja y bancos por $2.726 millones.</w:t>
      </w:r>
    </w:p>
    <w:p w:rsidR="004662E4" w:rsidRPr="00D4546B" w:rsidRDefault="004662E4" w:rsidP="000A5BEA">
      <w:pPr>
        <w:tabs>
          <w:tab w:val="left" w:pos="4253"/>
        </w:tabs>
        <w:autoSpaceDE w:val="0"/>
        <w:autoSpaceDN w:val="0"/>
        <w:adjustRightInd w:val="0"/>
        <w:jc w:val="center"/>
        <w:rPr>
          <w:rFonts w:ascii="Arial" w:hAnsi="Arial" w:cs="Arial"/>
          <w:b/>
          <w:sz w:val="18"/>
          <w:szCs w:val="22"/>
          <w:lang w:val="es-CO"/>
        </w:rPr>
      </w:pPr>
      <w:r w:rsidRPr="00D4546B">
        <w:rPr>
          <w:rFonts w:ascii="Arial" w:hAnsi="Arial" w:cs="Arial"/>
          <w:b/>
          <w:sz w:val="18"/>
          <w:szCs w:val="22"/>
          <w:lang w:val="es-CO"/>
        </w:rPr>
        <w:t xml:space="preserve"> </w:t>
      </w:r>
    </w:p>
    <w:p w:rsidR="004662E4" w:rsidRPr="00D4546B" w:rsidRDefault="004662E4" w:rsidP="000A5BEA">
      <w:pPr>
        <w:tabs>
          <w:tab w:val="left" w:pos="4253"/>
        </w:tabs>
        <w:autoSpaceDE w:val="0"/>
        <w:autoSpaceDN w:val="0"/>
        <w:adjustRightInd w:val="0"/>
        <w:jc w:val="both"/>
        <w:rPr>
          <w:rFonts w:ascii="Arial" w:hAnsi="Arial" w:cs="Arial"/>
          <w:b/>
          <w:sz w:val="18"/>
          <w:szCs w:val="22"/>
          <w:lang w:val="es-CO"/>
        </w:rPr>
      </w:pPr>
      <w:r w:rsidRPr="00D4546B">
        <w:rPr>
          <w:rFonts w:ascii="Arial" w:hAnsi="Arial" w:cs="Arial"/>
          <w:sz w:val="22"/>
          <w:szCs w:val="22"/>
          <w:lang w:val="es-CO"/>
        </w:rPr>
        <w:t>Por su parte, l</w:t>
      </w:r>
      <w:r w:rsidRPr="00D4546B">
        <w:rPr>
          <w:rFonts w:ascii="Arial" w:hAnsi="Arial" w:cs="Arial"/>
          <w:sz w:val="22"/>
          <w:szCs w:val="22"/>
        </w:rPr>
        <w:t>os actos administrativos</w:t>
      </w:r>
      <w:r w:rsidRPr="00D4546B">
        <w:rPr>
          <w:rStyle w:val="Refdenotaalpie"/>
          <w:rFonts w:ascii="Arial" w:hAnsi="Arial" w:cs="Arial"/>
          <w:sz w:val="22"/>
          <w:szCs w:val="22"/>
        </w:rPr>
        <w:footnoteReference w:id="1"/>
      </w:r>
      <w:r w:rsidRPr="00D4546B">
        <w:rPr>
          <w:rFonts w:ascii="Arial" w:hAnsi="Arial" w:cs="Arial"/>
          <w:sz w:val="22"/>
          <w:szCs w:val="22"/>
        </w:rPr>
        <w:t xml:space="preserve"> expedidos por la gobernación para el cierre de la vigencia 2018, definen reservas presupuestales con cargo a recursos del SGP por $1.176 millones y cuentas por pagar de $1.327 millones (superior en $80 millones con respecto a la ejecución presupuestal), para un saldo mínimo en caja y bancos por $2.806 millones.</w:t>
      </w:r>
    </w:p>
    <w:p w:rsidR="004662E4" w:rsidRPr="00D4546B" w:rsidRDefault="004662E4" w:rsidP="000A5BEA">
      <w:pPr>
        <w:tabs>
          <w:tab w:val="left" w:pos="4253"/>
        </w:tabs>
        <w:autoSpaceDE w:val="0"/>
        <w:autoSpaceDN w:val="0"/>
        <w:adjustRightInd w:val="0"/>
        <w:jc w:val="center"/>
        <w:rPr>
          <w:rFonts w:ascii="Arial" w:hAnsi="Arial" w:cs="Arial"/>
          <w:b/>
          <w:sz w:val="18"/>
          <w:szCs w:val="22"/>
          <w:lang w:val="es-CO"/>
        </w:rPr>
      </w:pPr>
    </w:p>
    <w:p w:rsidR="004662E4" w:rsidRPr="00D4546B" w:rsidRDefault="004662E4" w:rsidP="000A5BEA">
      <w:pPr>
        <w:tabs>
          <w:tab w:val="left" w:pos="4253"/>
        </w:tabs>
        <w:autoSpaceDE w:val="0"/>
        <w:autoSpaceDN w:val="0"/>
        <w:adjustRightInd w:val="0"/>
        <w:jc w:val="center"/>
        <w:rPr>
          <w:rFonts w:ascii="Arial" w:hAnsi="Arial" w:cs="Arial"/>
          <w:b/>
          <w:sz w:val="18"/>
          <w:szCs w:val="22"/>
          <w:lang w:val="es-CO"/>
        </w:rPr>
      </w:pPr>
      <w:r w:rsidRPr="00D4546B">
        <w:rPr>
          <w:rFonts w:ascii="Arial" w:hAnsi="Arial" w:cs="Arial"/>
          <w:b/>
          <w:sz w:val="18"/>
          <w:szCs w:val="22"/>
          <w:lang w:val="es-CO"/>
        </w:rPr>
        <w:t>TABLA 4. COMPARATIVO CIERRE PRESUPUESTAL SGP EDUCACIÓN</w:t>
      </w:r>
    </w:p>
    <w:p w:rsidR="004662E4" w:rsidRPr="00D4546B" w:rsidRDefault="004662E4" w:rsidP="000A5BEA">
      <w:pPr>
        <w:tabs>
          <w:tab w:val="left" w:pos="4253"/>
        </w:tabs>
        <w:autoSpaceDE w:val="0"/>
        <w:autoSpaceDN w:val="0"/>
        <w:adjustRightInd w:val="0"/>
        <w:jc w:val="center"/>
        <w:rPr>
          <w:rFonts w:ascii="Arial" w:hAnsi="Arial" w:cs="Arial"/>
          <w:i/>
          <w:sz w:val="18"/>
          <w:szCs w:val="22"/>
          <w:lang w:val="es-CO"/>
        </w:rPr>
      </w:pPr>
      <w:r w:rsidRPr="00D4546B">
        <w:rPr>
          <w:rFonts w:ascii="Arial" w:hAnsi="Arial" w:cs="Arial"/>
          <w:b/>
          <w:sz w:val="18"/>
          <w:szCs w:val="22"/>
          <w:lang w:val="es-CO"/>
        </w:rPr>
        <w:t>Vigencia 2019</w:t>
      </w:r>
      <w:r w:rsidR="00F018CE">
        <w:rPr>
          <w:rFonts w:ascii="Arial" w:hAnsi="Arial" w:cs="Arial"/>
          <w:b/>
          <w:sz w:val="18"/>
          <w:szCs w:val="22"/>
          <w:lang w:val="es-CO"/>
        </w:rPr>
        <w:t xml:space="preserve"> </w:t>
      </w:r>
      <w:r w:rsidRPr="00D4546B">
        <w:rPr>
          <w:rFonts w:ascii="Arial" w:hAnsi="Arial" w:cs="Arial"/>
          <w:i/>
          <w:sz w:val="18"/>
          <w:szCs w:val="22"/>
          <w:lang w:val="es-CO"/>
        </w:rPr>
        <w:t>(en millones de $)</w:t>
      </w:r>
    </w:p>
    <w:p w:rsidR="004662E4" w:rsidRPr="00D4546B" w:rsidRDefault="004662E4" w:rsidP="000A5BEA">
      <w:pPr>
        <w:jc w:val="center"/>
        <w:rPr>
          <w:rStyle w:val="nfasissutil"/>
          <w:rFonts w:cs="Arial"/>
        </w:rPr>
      </w:pPr>
      <w:r w:rsidRPr="00D4546B">
        <w:rPr>
          <w:rFonts w:ascii="Arial" w:hAnsi="Arial" w:cs="Arial"/>
          <w:noProof/>
          <w:lang w:val="es-CO" w:eastAsia="es-CO"/>
        </w:rPr>
        <w:drawing>
          <wp:inline distT="0" distB="0" distL="0" distR="0">
            <wp:extent cx="5142230" cy="1864995"/>
            <wp:effectExtent l="0" t="0" r="1270" b="190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2230" cy="1864995"/>
                    </a:xfrm>
                    <a:prstGeom prst="rect">
                      <a:avLst/>
                    </a:prstGeom>
                    <a:noFill/>
                    <a:ln>
                      <a:noFill/>
                    </a:ln>
                  </pic:spPr>
                </pic:pic>
              </a:graphicData>
            </a:graphic>
          </wp:inline>
        </w:drawing>
      </w:r>
    </w:p>
    <w:p w:rsidR="004662E4" w:rsidRPr="00D4546B" w:rsidRDefault="004662E4" w:rsidP="000A5BEA">
      <w:pPr>
        <w:jc w:val="center"/>
        <w:rPr>
          <w:rStyle w:val="nfasissutil"/>
          <w:rFonts w:cs="Arial"/>
          <w:i/>
        </w:rPr>
      </w:pPr>
      <w:r w:rsidRPr="00D4546B">
        <w:rPr>
          <w:rStyle w:val="nfasissutil"/>
          <w:rFonts w:cs="Arial"/>
          <w:i/>
        </w:rPr>
        <w:t>Fuente: Cálculos DAF con base en la información presupuestal de diciembre de 2019, departamento de Córdoba.</w:t>
      </w:r>
    </w:p>
    <w:p w:rsidR="00753D6E" w:rsidRPr="00D4546B" w:rsidRDefault="00753D6E"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El departamento debe continuar los esfuerzos para asegurar la mayor consistencia posible entre las fuentes y la calidad del reporte al FUT con el objetivo de garantizar evaluaciones más integrales y veraces ante los datos.</w:t>
      </w:r>
    </w:p>
    <w:p w:rsidR="004662E4" w:rsidRDefault="004662E4" w:rsidP="000A5BEA">
      <w:pPr>
        <w:jc w:val="both"/>
        <w:rPr>
          <w:rFonts w:ascii="Arial" w:hAnsi="Arial" w:cs="Arial"/>
          <w:sz w:val="22"/>
          <w:szCs w:val="22"/>
        </w:rPr>
      </w:pPr>
    </w:p>
    <w:p w:rsidR="00345AEE" w:rsidRPr="00AB6A00" w:rsidRDefault="00345AEE" w:rsidP="00345AEE">
      <w:pPr>
        <w:pStyle w:val="Prrafodelista"/>
        <w:numPr>
          <w:ilvl w:val="0"/>
          <w:numId w:val="10"/>
        </w:numPr>
        <w:jc w:val="both"/>
        <w:rPr>
          <w:rFonts w:ascii="Arial" w:hAnsi="Arial" w:cs="Arial"/>
          <w:i/>
          <w:sz w:val="22"/>
          <w:szCs w:val="22"/>
        </w:rPr>
      </w:pPr>
      <w:r w:rsidRPr="00AB6A00">
        <w:rPr>
          <w:rFonts w:ascii="Arial" w:hAnsi="Arial" w:cs="Arial"/>
          <w:i/>
          <w:sz w:val="22"/>
          <w:szCs w:val="22"/>
        </w:rPr>
        <w:t>Deudas laborales</w:t>
      </w:r>
    </w:p>
    <w:p w:rsidR="00345AEE" w:rsidRPr="00D4546B" w:rsidRDefault="00345AEE" w:rsidP="000A5BEA">
      <w:pPr>
        <w:jc w:val="both"/>
        <w:rPr>
          <w:rFonts w:ascii="Arial" w:hAnsi="Arial" w:cs="Arial"/>
          <w:sz w:val="22"/>
          <w:szCs w:val="22"/>
        </w:rPr>
      </w:pPr>
    </w:p>
    <w:p w:rsidR="00303F33" w:rsidRDefault="004662E4" w:rsidP="000A5BEA">
      <w:pPr>
        <w:jc w:val="both"/>
        <w:rPr>
          <w:rFonts w:ascii="Arial" w:hAnsi="Arial" w:cs="Arial"/>
          <w:sz w:val="22"/>
          <w:szCs w:val="22"/>
        </w:rPr>
      </w:pPr>
      <w:r w:rsidRPr="00D4546B">
        <w:rPr>
          <w:rFonts w:ascii="Arial" w:hAnsi="Arial" w:cs="Arial"/>
          <w:sz w:val="22"/>
          <w:szCs w:val="22"/>
        </w:rPr>
        <w:t xml:space="preserve">Ahora bien, como análisis complementario al enfoque financiero, es menester tener en cuenta las deudas que maneja el sector educación, sobre todo considerando que el departamento de Córdoba actualmente tiene vigente un Acuerdo de Reestructuración de Pasivos -ARP-. En este sentido, la secretaría de educación relaciona obligaciones por $1.369 millones con docentes, directivos docentes y administrativos, de los cuales $1.074 </w:t>
      </w:r>
      <w:r w:rsidR="003C2A5D">
        <w:rPr>
          <w:rFonts w:ascii="Arial" w:hAnsi="Arial" w:cs="Arial"/>
          <w:sz w:val="22"/>
          <w:szCs w:val="22"/>
        </w:rPr>
        <w:t xml:space="preserve">millones </w:t>
      </w:r>
      <w:r w:rsidRPr="00D4546B">
        <w:rPr>
          <w:rFonts w:ascii="Arial" w:hAnsi="Arial" w:cs="Arial"/>
          <w:sz w:val="22"/>
          <w:szCs w:val="22"/>
        </w:rPr>
        <w:t>corresponden a pasivo pensional de cálculo actuarial que se encontraría cubierta por acuerdo de pagos de la Ley 550 de 1999 y $108 millones correspondientes al pasivo prestacional con educadores no afiliados al FOMAG se encontraría en acuerdo de pagos con la Fiduprevisora.</w:t>
      </w:r>
    </w:p>
    <w:p w:rsidR="00303F33" w:rsidRDefault="00303F33" w:rsidP="000A5BEA">
      <w:pPr>
        <w:jc w:val="both"/>
        <w:rPr>
          <w:rFonts w:ascii="Arial" w:hAnsi="Arial" w:cs="Arial"/>
          <w:sz w:val="22"/>
          <w:szCs w:val="22"/>
        </w:rPr>
      </w:pPr>
    </w:p>
    <w:p w:rsidR="004662E4" w:rsidRDefault="00303F33" w:rsidP="000A5BEA">
      <w:pPr>
        <w:jc w:val="both"/>
        <w:rPr>
          <w:rFonts w:ascii="Arial" w:hAnsi="Arial" w:cs="Arial"/>
          <w:sz w:val="22"/>
          <w:szCs w:val="22"/>
        </w:rPr>
      </w:pPr>
      <w:r>
        <w:rPr>
          <w:rFonts w:ascii="Arial" w:hAnsi="Arial" w:cs="Arial"/>
          <w:sz w:val="22"/>
          <w:szCs w:val="22"/>
        </w:rPr>
        <w:t>Por su parte, las d</w:t>
      </w:r>
      <w:r w:rsidR="004662E4" w:rsidRPr="00D4546B">
        <w:rPr>
          <w:rFonts w:ascii="Arial" w:hAnsi="Arial" w:cs="Arial"/>
          <w:sz w:val="22"/>
          <w:szCs w:val="22"/>
        </w:rPr>
        <w:t xml:space="preserve">eudas por horas extras, festivos y compensatorios y cesantías retroactivas para personal administrativo se encuentran en apropiación de recursos para ser cubiertos por la Gobernación de conformidad con lo prescrito en </w:t>
      </w:r>
      <w:r w:rsidR="004662E4" w:rsidRPr="00D4546B">
        <w:rPr>
          <w:rFonts w:ascii="Arial" w:hAnsi="Arial" w:cs="Arial"/>
          <w:sz w:val="22"/>
          <w:szCs w:val="22"/>
          <w:lang w:val="es-ES_tradnl"/>
        </w:rPr>
        <w:t xml:space="preserve">el artículo 15 numeral </w:t>
      </w:r>
      <w:r w:rsidR="004662E4" w:rsidRPr="00D4546B">
        <w:rPr>
          <w:rFonts w:ascii="Arial" w:hAnsi="Arial" w:cs="Arial"/>
          <w:sz w:val="22"/>
          <w:szCs w:val="22"/>
          <w:lang w:val="es-ES_tradnl"/>
        </w:rPr>
        <w:lastRenderedPageBreak/>
        <w:t>15.1 de la Ley 715 de 2001, Directiva 04 de 2003 del Ministerio de Educación Nacional y las Circulares 17 y 18 de 2016 del Ministerio de Educación Nacional</w:t>
      </w:r>
      <w:r w:rsidR="004662E4" w:rsidRPr="00D4546B">
        <w:rPr>
          <w:rFonts w:ascii="Arial" w:hAnsi="Arial" w:cs="Arial"/>
          <w:sz w:val="22"/>
          <w:szCs w:val="22"/>
        </w:rPr>
        <w:t xml:space="preserve">. En la Tabla </w:t>
      </w:r>
      <w:r>
        <w:rPr>
          <w:rFonts w:ascii="Arial" w:hAnsi="Arial" w:cs="Arial"/>
          <w:sz w:val="22"/>
          <w:szCs w:val="22"/>
        </w:rPr>
        <w:t>5</w:t>
      </w:r>
      <w:r w:rsidR="004662E4" w:rsidRPr="00D4546B">
        <w:rPr>
          <w:rFonts w:ascii="Arial" w:hAnsi="Arial" w:cs="Arial"/>
          <w:sz w:val="22"/>
          <w:szCs w:val="22"/>
        </w:rPr>
        <w:t xml:space="preserve"> se presentan los conceptos restantes por $168.256 millones y la gestión que la Secretaría reporta haber adelantado frente a estos.</w:t>
      </w:r>
    </w:p>
    <w:p w:rsidR="00AB6A00" w:rsidRPr="00D4546B" w:rsidRDefault="00AB6A00" w:rsidP="000A5BEA">
      <w:pPr>
        <w:jc w:val="both"/>
        <w:rPr>
          <w:rFonts w:ascii="Arial" w:hAnsi="Arial" w:cs="Arial"/>
          <w:sz w:val="22"/>
          <w:szCs w:val="22"/>
        </w:rPr>
      </w:pPr>
    </w:p>
    <w:p w:rsidR="004662E4" w:rsidRPr="00D4546B" w:rsidRDefault="004662E4" w:rsidP="000A5BEA">
      <w:pPr>
        <w:tabs>
          <w:tab w:val="left" w:pos="4253"/>
        </w:tabs>
        <w:autoSpaceDE w:val="0"/>
        <w:autoSpaceDN w:val="0"/>
        <w:adjustRightInd w:val="0"/>
        <w:jc w:val="center"/>
        <w:rPr>
          <w:rFonts w:ascii="Arial" w:hAnsi="Arial" w:cs="Arial"/>
          <w:b/>
          <w:sz w:val="18"/>
          <w:szCs w:val="22"/>
          <w:lang w:val="es-CO"/>
        </w:rPr>
      </w:pPr>
      <w:r w:rsidRPr="00D4546B">
        <w:rPr>
          <w:rFonts w:ascii="Arial" w:hAnsi="Arial" w:cs="Arial"/>
          <w:b/>
          <w:sz w:val="18"/>
          <w:szCs w:val="22"/>
          <w:lang w:val="es-CO"/>
        </w:rPr>
        <w:t xml:space="preserve">TABLA </w:t>
      </w:r>
      <w:r w:rsidR="00303F33">
        <w:rPr>
          <w:rFonts w:ascii="Arial" w:hAnsi="Arial" w:cs="Arial"/>
          <w:b/>
          <w:sz w:val="18"/>
          <w:szCs w:val="22"/>
          <w:lang w:val="es-CO"/>
        </w:rPr>
        <w:t>5</w:t>
      </w:r>
      <w:r w:rsidRPr="00D4546B">
        <w:rPr>
          <w:rFonts w:ascii="Arial" w:hAnsi="Arial" w:cs="Arial"/>
          <w:b/>
          <w:sz w:val="18"/>
          <w:szCs w:val="22"/>
          <w:lang w:val="es-CO"/>
        </w:rPr>
        <w:t>. RESUMEN DEUDAS LABORALES 2019 CON VALORES DE 2018</w:t>
      </w:r>
    </w:p>
    <w:p w:rsidR="004662E4" w:rsidRPr="00D4546B" w:rsidRDefault="004662E4" w:rsidP="000A5BEA">
      <w:pPr>
        <w:tabs>
          <w:tab w:val="left" w:pos="4253"/>
        </w:tabs>
        <w:autoSpaceDE w:val="0"/>
        <w:autoSpaceDN w:val="0"/>
        <w:adjustRightInd w:val="0"/>
        <w:jc w:val="center"/>
        <w:rPr>
          <w:rFonts w:ascii="Arial" w:hAnsi="Arial" w:cs="Arial"/>
          <w:i/>
          <w:sz w:val="18"/>
          <w:szCs w:val="22"/>
          <w:lang w:val="es-CO"/>
        </w:rPr>
      </w:pPr>
      <w:r w:rsidRPr="00D4546B">
        <w:rPr>
          <w:rFonts w:ascii="Arial" w:hAnsi="Arial" w:cs="Arial"/>
          <w:i/>
          <w:sz w:val="18"/>
          <w:szCs w:val="22"/>
          <w:lang w:val="es-CO"/>
        </w:rPr>
        <w:t>(en millones de $)</w:t>
      </w:r>
    </w:p>
    <w:p w:rsidR="004662E4" w:rsidRPr="00D4546B" w:rsidRDefault="004662E4" w:rsidP="000A5BEA">
      <w:pPr>
        <w:tabs>
          <w:tab w:val="left" w:pos="4253"/>
        </w:tabs>
        <w:autoSpaceDE w:val="0"/>
        <w:autoSpaceDN w:val="0"/>
        <w:adjustRightInd w:val="0"/>
        <w:jc w:val="center"/>
        <w:rPr>
          <w:rFonts w:ascii="Arial" w:hAnsi="Arial" w:cs="Arial"/>
          <w:i/>
          <w:sz w:val="18"/>
          <w:szCs w:val="22"/>
          <w:lang w:val="es-CO"/>
        </w:rPr>
      </w:pPr>
      <w:r w:rsidRPr="00D4546B">
        <w:rPr>
          <w:rFonts w:ascii="Arial" w:hAnsi="Arial" w:cs="Arial"/>
          <w:noProof/>
          <w:lang w:val="es-CO" w:eastAsia="es-CO"/>
        </w:rPr>
        <w:drawing>
          <wp:inline distT="0" distB="0" distL="0" distR="0">
            <wp:extent cx="5467350" cy="387477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7350" cy="3874770"/>
                    </a:xfrm>
                    <a:prstGeom prst="rect">
                      <a:avLst/>
                    </a:prstGeom>
                    <a:noFill/>
                    <a:ln>
                      <a:noFill/>
                    </a:ln>
                  </pic:spPr>
                </pic:pic>
              </a:graphicData>
            </a:graphic>
          </wp:inline>
        </w:drawing>
      </w:r>
    </w:p>
    <w:p w:rsidR="004662E4" w:rsidRPr="00D4546B" w:rsidRDefault="004662E4" w:rsidP="000A5BEA">
      <w:pPr>
        <w:jc w:val="center"/>
        <w:rPr>
          <w:rStyle w:val="nfasissutil"/>
          <w:rFonts w:cs="Arial"/>
        </w:rPr>
      </w:pPr>
      <w:r w:rsidRPr="00D4546B">
        <w:rPr>
          <w:rStyle w:val="nfasissutil"/>
          <w:rFonts w:cs="Arial"/>
          <w:i/>
        </w:rPr>
        <w:t>Fuente: Resumen deudas laborales remitido por la SED</w:t>
      </w:r>
    </w:p>
    <w:p w:rsidR="004662E4" w:rsidRPr="00D4546B" w:rsidRDefault="004662E4" w:rsidP="000A5BEA">
      <w:pPr>
        <w:jc w:val="center"/>
        <w:rPr>
          <w:rStyle w:val="nfasissutil"/>
          <w:rFonts w:cs="Arial"/>
          <w:i/>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 xml:space="preserve">Desde la Dirección de Apoyo Fiscal se ha resaltado la importancia de que el Departamento realice un análisis detallado y exhaustivo de las obligaciones mencionadas, primero con el objetivo de determinar su </w:t>
      </w:r>
      <w:r w:rsidR="00303F33">
        <w:rPr>
          <w:rFonts w:ascii="Arial" w:hAnsi="Arial" w:cs="Arial"/>
          <w:sz w:val="22"/>
          <w:szCs w:val="22"/>
        </w:rPr>
        <w:t xml:space="preserve">fundamento </w:t>
      </w:r>
      <w:r w:rsidRPr="00D4546B">
        <w:rPr>
          <w:rFonts w:ascii="Arial" w:hAnsi="Arial" w:cs="Arial"/>
          <w:sz w:val="22"/>
          <w:szCs w:val="22"/>
        </w:rPr>
        <w:t>legal (teniendo en cuenta que varias de ellas se encuentran en un proceso de validación en el MEN y otras</w:t>
      </w:r>
      <w:r w:rsidR="00620EDB">
        <w:rPr>
          <w:rFonts w:ascii="Arial" w:hAnsi="Arial" w:cs="Arial"/>
          <w:sz w:val="22"/>
          <w:szCs w:val="22"/>
        </w:rPr>
        <w:t xml:space="preserve"> son objeto de disputa dentro del proceso judicial en curso</w:t>
      </w:r>
      <w:r w:rsidRPr="00D4546B">
        <w:rPr>
          <w:rFonts w:ascii="Arial" w:hAnsi="Arial" w:cs="Arial"/>
          <w:sz w:val="22"/>
          <w:szCs w:val="22"/>
        </w:rPr>
        <w:t>); y segundo, dado que la dimensión de este pasivo implica que en caso de confirmarse tendrá un impacto importante sobre las finanzas de la Gobernación que se encuentra inmersa dentro de un Acuerdo de Reestructuración de Pasivos.</w:t>
      </w:r>
    </w:p>
    <w:p w:rsidR="004662E4" w:rsidRPr="00D4546B" w:rsidRDefault="004662E4" w:rsidP="000A5BEA">
      <w:pPr>
        <w:jc w:val="both"/>
        <w:rPr>
          <w:rFonts w:ascii="Arial" w:hAnsi="Arial" w:cs="Arial"/>
          <w:sz w:val="22"/>
          <w:szCs w:val="22"/>
          <w:lang w:val="es-ES_tradnl"/>
        </w:rPr>
      </w:pPr>
    </w:p>
    <w:p w:rsidR="004662E4" w:rsidRDefault="004662E4" w:rsidP="000A5BEA">
      <w:pPr>
        <w:jc w:val="both"/>
        <w:rPr>
          <w:rFonts w:ascii="Arial" w:hAnsi="Arial" w:cs="Arial"/>
          <w:sz w:val="22"/>
          <w:szCs w:val="22"/>
        </w:rPr>
      </w:pPr>
      <w:r w:rsidRPr="00D4546B">
        <w:rPr>
          <w:rFonts w:ascii="Arial" w:hAnsi="Arial" w:cs="Arial"/>
          <w:sz w:val="22"/>
          <w:szCs w:val="22"/>
        </w:rPr>
        <w:t xml:space="preserve">Por último, en el marco del Acuerdo de Reestructuración de Pasivos –ARP- de la Ley 550 de 1999 que mantiene vigente el departamento de Córdoba, desde la promotoría realizada por la DAF se ha resaltado en varias ocasiones el riesgo que implica sobre las finanzas de la entidad territorial el </w:t>
      </w:r>
      <w:r w:rsidR="005B2E99">
        <w:rPr>
          <w:rFonts w:ascii="Arial" w:hAnsi="Arial" w:cs="Arial"/>
          <w:sz w:val="22"/>
          <w:szCs w:val="22"/>
        </w:rPr>
        <w:t>in</w:t>
      </w:r>
      <w:r w:rsidRPr="00D4546B">
        <w:rPr>
          <w:rFonts w:ascii="Arial" w:hAnsi="Arial" w:cs="Arial"/>
          <w:sz w:val="22"/>
          <w:szCs w:val="22"/>
        </w:rPr>
        <w:t xml:space="preserve">cumplimiento de obligaciones de pago, sumado al hecho que es causal de terminación del ARP, aludiendo los efectos legales y financieros que traería con ello. Bajo este contexto, la promotoría ha destacado recurrentemente la importancia de identificar el pasivo post-acuerdo acumulado en el sector educación, esto previo estudio de </w:t>
      </w:r>
      <w:r w:rsidRPr="00D4546B">
        <w:rPr>
          <w:rFonts w:ascii="Arial" w:hAnsi="Arial" w:cs="Arial"/>
          <w:sz w:val="22"/>
          <w:szCs w:val="22"/>
        </w:rPr>
        <w:lastRenderedPageBreak/>
        <w:t>validez de estas obligaciones y destacando que estas deben ser respaldadas con recursos propios del departamento.</w:t>
      </w:r>
    </w:p>
    <w:p w:rsidR="00AB6A00" w:rsidRPr="00D4546B" w:rsidRDefault="00AB6A00" w:rsidP="000A5BEA">
      <w:pPr>
        <w:jc w:val="both"/>
        <w:rPr>
          <w:rFonts w:ascii="Arial" w:hAnsi="Arial" w:cs="Arial"/>
          <w:sz w:val="22"/>
          <w:szCs w:val="22"/>
        </w:rPr>
      </w:pPr>
    </w:p>
    <w:p w:rsidR="004662E4" w:rsidRPr="00BA1928" w:rsidRDefault="004662E4" w:rsidP="000A5BEA">
      <w:pPr>
        <w:pStyle w:val="Prrafodelista"/>
        <w:numPr>
          <w:ilvl w:val="0"/>
          <w:numId w:val="8"/>
        </w:numPr>
        <w:jc w:val="both"/>
        <w:rPr>
          <w:rFonts w:ascii="Arial" w:hAnsi="Arial" w:cs="Arial"/>
          <w:b/>
          <w:sz w:val="22"/>
          <w:szCs w:val="22"/>
        </w:rPr>
      </w:pPr>
      <w:r w:rsidRPr="00BA1928">
        <w:rPr>
          <w:rFonts w:ascii="Arial" w:hAnsi="Arial" w:cs="Arial"/>
          <w:b/>
          <w:sz w:val="22"/>
          <w:szCs w:val="22"/>
        </w:rPr>
        <w:t>Resultados de la evaluación a la medida adoptada</w:t>
      </w:r>
    </w:p>
    <w:p w:rsidR="004662E4" w:rsidRPr="00BA1928" w:rsidRDefault="004662E4" w:rsidP="000A5BEA">
      <w:pPr>
        <w:jc w:val="both"/>
        <w:rPr>
          <w:rFonts w:ascii="Arial" w:hAnsi="Arial" w:cs="Arial"/>
          <w:sz w:val="22"/>
          <w:szCs w:val="22"/>
        </w:rPr>
      </w:pPr>
    </w:p>
    <w:p w:rsidR="004662E4" w:rsidRPr="00D4546B" w:rsidRDefault="004662E4" w:rsidP="000A5BEA">
      <w:pPr>
        <w:pStyle w:val="Prrafodelista"/>
        <w:numPr>
          <w:ilvl w:val="0"/>
          <w:numId w:val="11"/>
        </w:numPr>
        <w:jc w:val="both"/>
        <w:rPr>
          <w:rFonts w:ascii="Arial" w:hAnsi="Arial" w:cs="Arial"/>
          <w:b/>
          <w:sz w:val="22"/>
          <w:szCs w:val="22"/>
        </w:rPr>
      </w:pPr>
      <w:r w:rsidRPr="00D4546B">
        <w:rPr>
          <w:rFonts w:ascii="Arial" w:hAnsi="Arial" w:cs="Arial"/>
          <w:b/>
          <w:sz w:val="22"/>
          <w:szCs w:val="22"/>
        </w:rPr>
        <w:t>Incumplimientos:</w:t>
      </w:r>
    </w:p>
    <w:p w:rsidR="004662E4" w:rsidRPr="00D4546B" w:rsidRDefault="004662E4" w:rsidP="000A5BEA">
      <w:pPr>
        <w:jc w:val="both"/>
        <w:rPr>
          <w:rFonts w:ascii="Arial" w:hAnsi="Arial" w:cs="Arial"/>
          <w:b/>
          <w:sz w:val="22"/>
          <w:szCs w:val="22"/>
        </w:rPr>
      </w:pPr>
    </w:p>
    <w:p w:rsidR="004662E4" w:rsidRPr="00D4546B" w:rsidRDefault="004662E4" w:rsidP="000A5BEA">
      <w:pPr>
        <w:jc w:val="both"/>
        <w:rPr>
          <w:rFonts w:ascii="Arial" w:hAnsi="Arial" w:cs="Arial"/>
          <w:b/>
          <w:sz w:val="22"/>
          <w:szCs w:val="22"/>
        </w:rPr>
      </w:pPr>
      <w:r w:rsidRPr="00D4546B">
        <w:rPr>
          <w:rFonts w:ascii="Arial" w:hAnsi="Arial" w:cs="Arial"/>
          <w:b/>
          <w:sz w:val="22"/>
          <w:szCs w:val="22"/>
        </w:rPr>
        <w:t>Actividad 1.2.1. Reportar con oportunidad la información necesaria de tal forma que se pueda evidenciar que los reportes efectuados en el FUC guarden coherencia con la información reportada en el SIMAT, la ejecución presupuestal, el FUT y expedientes contractuales</w:t>
      </w:r>
    </w:p>
    <w:p w:rsidR="004662E4" w:rsidRPr="00D4546B" w:rsidRDefault="004662E4" w:rsidP="000A5BEA">
      <w:pPr>
        <w:jc w:val="both"/>
        <w:rPr>
          <w:rFonts w:ascii="Arial" w:hAnsi="Arial" w:cs="Arial"/>
          <w:b/>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Las evidencias se encuentran consignadas en el sistema SIED con el número de Expediente 22/2019/D028-PREDI.</w:t>
      </w:r>
      <w:r w:rsidR="008040A0">
        <w:rPr>
          <w:rFonts w:ascii="Arial" w:hAnsi="Arial" w:cs="Arial"/>
          <w:sz w:val="22"/>
          <w:szCs w:val="22"/>
        </w:rPr>
        <w:t xml:space="preserve"> </w:t>
      </w:r>
      <w:r w:rsidRPr="00D4546B">
        <w:rPr>
          <w:rFonts w:ascii="Arial" w:hAnsi="Arial" w:cs="Arial"/>
          <w:sz w:val="22"/>
          <w:szCs w:val="22"/>
        </w:rPr>
        <w:t>Dichas evidencias se relacionan a continuación</w:t>
      </w:r>
      <w:r w:rsidR="00BA1928">
        <w:rPr>
          <w:rFonts w:ascii="Arial" w:hAnsi="Arial" w:cs="Arial"/>
          <w:sz w:val="22"/>
          <w:szCs w:val="22"/>
        </w:rPr>
        <w:t xml:space="preserve"> y corresponden a l</w:t>
      </w:r>
      <w:r w:rsidRPr="00D4546B">
        <w:rPr>
          <w:rFonts w:ascii="Arial" w:hAnsi="Arial" w:cs="Arial"/>
          <w:sz w:val="22"/>
          <w:szCs w:val="22"/>
        </w:rPr>
        <w:t>a información objeto de análisis para esta actividad:</w:t>
      </w:r>
    </w:p>
    <w:p w:rsidR="004662E4" w:rsidRPr="00D4546B" w:rsidRDefault="004662E4" w:rsidP="000A5BEA">
      <w:pPr>
        <w:jc w:val="both"/>
        <w:rPr>
          <w:rFonts w:ascii="Arial" w:hAnsi="Arial" w:cs="Arial"/>
          <w:sz w:val="22"/>
          <w:szCs w:val="22"/>
        </w:rPr>
      </w:pPr>
    </w:p>
    <w:p w:rsidR="004662E4" w:rsidRPr="00D4546B" w:rsidRDefault="004662E4" w:rsidP="000A5BEA">
      <w:pPr>
        <w:pStyle w:val="Prrafodelista"/>
        <w:numPr>
          <w:ilvl w:val="0"/>
          <w:numId w:val="12"/>
        </w:numPr>
        <w:jc w:val="both"/>
        <w:rPr>
          <w:rFonts w:ascii="Arial" w:hAnsi="Arial" w:cs="Arial"/>
          <w:sz w:val="22"/>
          <w:szCs w:val="22"/>
        </w:rPr>
      </w:pPr>
      <w:r w:rsidRPr="00D4546B">
        <w:rPr>
          <w:rFonts w:ascii="Arial" w:hAnsi="Arial" w:cs="Arial"/>
          <w:sz w:val="22"/>
          <w:szCs w:val="22"/>
        </w:rPr>
        <w:t>Ejecución presupuestal de gastos y reporte FUT</w:t>
      </w:r>
    </w:p>
    <w:p w:rsidR="004662E4" w:rsidRPr="00D4546B" w:rsidRDefault="004662E4" w:rsidP="000A5BEA">
      <w:pPr>
        <w:pStyle w:val="Prrafodelista"/>
        <w:numPr>
          <w:ilvl w:val="0"/>
          <w:numId w:val="12"/>
        </w:numPr>
        <w:jc w:val="both"/>
        <w:rPr>
          <w:rFonts w:ascii="Arial" w:hAnsi="Arial" w:cs="Arial"/>
          <w:sz w:val="22"/>
          <w:szCs w:val="22"/>
        </w:rPr>
      </w:pPr>
      <w:r w:rsidRPr="00D4546B">
        <w:rPr>
          <w:rFonts w:ascii="Arial" w:hAnsi="Arial" w:cs="Arial"/>
          <w:sz w:val="22"/>
          <w:szCs w:val="22"/>
        </w:rPr>
        <w:t>Reporte FUC</w:t>
      </w:r>
    </w:p>
    <w:p w:rsidR="004662E4" w:rsidRPr="00D4546B" w:rsidRDefault="004662E4" w:rsidP="000A5BEA">
      <w:pPr>
        <w:pStyle w:val="Prrafodelista"/>
        <w:numPr>
          <w:ilvl w:val="0"/>
          <w:numId w:val="12"/>
        </w:numPr>
        <w:jc w:val="both"/>
        <w:rPr>
          <w:rFonts w:ascii="Arial" w:hAnsi="Arial" w:cs="Arial"/>
          <w:sz w:val="22"/>
          <w:szCs w:val="22"/>
        </w:rPr>
      </w:pPr>
      <w:r w:rsidRPr="00D4546B">
        <w:rPr>
          <w:rFonts w:ascii="Arial" w:hAnsi="Arial" w:cs="Arial"/>
          <w:sz w:val="22"/>
          <w:szCs w:val="22"/>
        </w:rPr>
        <w:t>Certificación de comparativo entre el FUC y el corte SIMAT de 20 de agosto de 2019 del supervisor del contrato de consultoría No.</w:t>
      </w:r>
      <w:r w:rsidR="00BA1928">
        <w:rPr>
          <w:rFonts w:ascii="Arial" w:hAnsi="Arial" w:cs="Arial"/>
          <w:sz w:val="22"/>
          <w:szCs w:val="22"/>
        </w:rPr>
        <w:t xml:space="preserve"> </w:t>
      </w:r>
      <w:r w:rsidRPr="00D4546B">
        <w:rPr>
          <w:rFonts w:ascii="Arial" w:hAnsi="Arial" w:cs="Arial"/>
          <w:sz w:val="22"/>
          <w:szCs w:val="22"/>
        </w:rPr>
        <w:t>991 de 2019 e interventoría a los contratos 173-2019, 637 de 2019, 768 de 2019 y 769 de 2019</w:t>
      </w:r>
    </w:p>
    <w:p w:rsidR="004662E4" w:rsidRPr="00D4546B" w:rsidRDefault="004662E4" w:rsidP="000A5BEA">
      <w:pPr>
        <w:pStyle w:val="Prrafodelista"/>
        <w:numPr>
          <w:ilvl w:val="0"/>
          <w:numId w:val="12"/>
        </w:numPr>
        <w:jc w:val="both"/>
        <w:rPr>
          <w:rFonts w:ascii="Arial" w:hAnsi="Arial" w:cs="Arial"/>
          <w:sz w:val="22"/>
          <w:szCs w:val="22"/>
        </w:rPr>
      </w:pPr>
      <w:r w:rsidRPr="00D4546B">
        <w:rPr>
          <w:rFonts w:ascii="Arial" w:hAnsi="Arial" w:cs="Arial"/>
          <w:sz w:val="22"/>
          <w:szCs w:val="22"/>
        </w:rPr>
        <w:t>SIMAT Anexo 6A Diciembre 2019</w:t>
      </w:r>
    </w:p>
    <w:p w:rsidR="004662E4" w:rsidRPr="00D4546B" w:rsidRDefault="004662E4" w:rsidP="000A5BEA">
      <w:pPr>
        <w:pStyle w:val="Prrafodelista"/>
        <w:numPr>
          <w:ilvl w:val="0"/>
          <w:numId w:val="12"/>
        </w:numPr>
        <w:jc w:val="both"/>
        <w:rPr>
          <w:rFonts w:ascii="Arial" w:hAnsi="Arial" w:cs="Arial"/>
          <w:sz w:val="22"/>
          <w:szCs w:val="22"/>
        </w:rPr>
      </w:pPr>
      <w:r w:rsidRPr="00D4546B">
        <w:rPr>
          <w:rFonts w:ascii="Arial" w:hAnsi="Arial" w:cs="Arial"/>
          <w:sz w:val="22"/>
          <w:szCs w:val="22"/>
        </w:rPr>
        <w:t>Anexo 1 del documento de distribución SGP 34 de 2019</w:t>
      </w:r>
    </w:p>
    <w:p w:rsidR="004662E4" w:rsidRPr="00D4546B" w:rsidRDefault="004662E4" w:rsidP="000A5BEA">
      <w:pPr>
        <w:pStyle w:val="Prrafodelista"/>
        <w:numPr>
          <w:ilvl w:val="0"/>
          <w:numId w:val="12"/>
        </w:numPr>
        <w:jc w:val="both"/>
        <w:rPr>
          <w:rFonts w:ascii="Arial" w:hAnsi="Arial" w:cs="Arial"/>
          <w:sz w:val="22"/>
          <w:szCs w:val="22"/>
        </w:rPr>
      </w:pPr>
      <w:r w:rsidRPr="00D4546B">
        <w:rPr>
          <w:rFonts w:ascii="Arial" w:hAnsi="Arial" w:cs="Arial"/>
          <w:sz w:val="22"/>
          <w:szCs w:val="22"/>
        </w:rPr>
        <w:t>Relación de contratos</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bookmarkStart w:id="2" w:name="OLE_LINK1"/>
      <w:r w:rsidRPr="00D4546B">
        <w:rPr>
          <w:rFonts w:ascii="Arial" w:hAnsi="Arial" w:cs="Arial"/>
          <w:sz w:val="22"/>
          <w:szCs w:val="22"/>
        </w:rPr>
        <w:t xml:space="preserve">Teniendo en cuenta la importancia de proveer información oportuna y consistente entre los sistemas de información, se destaca que la entidad no remitió el formato FUC, ni expedientes contractuales, ni informes de supervisión de los contratos de prestación del servicio. </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 xml:space="preserve">La certificación del supervisor del contrato 991 de 2019 e interventoría a los contratos 173 de 2019, 637 de 2019, 768 de 2019 y 769 de 2019 y el SIMAT identifica diferencias entre el FUC y el </w:t>
      </w:r>
      <w:r w:rsidR="00BA1928">
        <w:rPr>
          <w:rFonts w:ascii="Arial" w:hAnsi="Arial" w:cs="Arial"/>
          <w:sz w:val="22"/>
          <w:szCs w:val="22"/>
        </w:rPr>
        <w:t xml:space="preserve">reporte en </w:t>
      </w:r>
      <w:r w:rsidRPr="00D4546B">
        <w:rPr>
          <w:rFonts w:ascii="Arial" w:hAnsi="Arial" w:cs="Arial"/>
          <w:sz w:val="22"/>
          <w:szCs w:val="22"/>
        </w:rPr>
        <w:t>SIMAT con corte a agosto de 2019</w:t>
      </w:r>
      <w:r w:rsidR="00BA1928">
        <w:rPr>
          <w:rFonts w:ascii="Arial" w:hAnsi="Arial" w:cs="Arial"/>
          <w:sz w:val="22"/>
          <w:szCs w:val="22"/>
        </w:rPr>
        <w:t>,</w:t>
      </w:r>
      <w:r w:rsidRPr="00D4546B">
        <w:rPr>
          <w:rFonts w:ascii="Arial" w:hAnsi="Arial" w:cs="Arial"/>
          <w:sz w:val="22"/>
          <w:szCs w:val="22"/>
        </w:rPr>
        <w:t xml:space="preserve"> justificadas por situaciones como desplazamiento de las comunidades ocasionado por el conflicto armado, estudiantes en proceso de caracterización por el MEN y atención de jóvenes y adultos por encima de la cifra establecida en el contrato que la entidad debía depurar por no contar con los recursos para realizar una adición al contrato (Tabla 6). </w:t>
      </w:r>
    </w:p>
    <w:p w:rsidR="004662E4" w:rsidRPr="00D4546B" w:rsidRDefault="004662E4" w:rsidP="000A5BEA">
      <w:pPr>
        <w:jc w:val="both"/>
        <w:rPr>
          <w:rFonts w:ascii="Arial" w:hAnsi="Arial" w:cs="Arial"/>
          <w:sz w:val="22"/>
          <w:szCs w:val="22"/>
        </w:rPr>
      </w:pPr>
    </w:p>
    <w:bookmarkEnd w:id="2"/>
    <w:p w:rsidR="004662E4" w:rsidRPr="00D4546B" w:rsidRDefault="004662E4" w:rsidP="000A5BEA">
      <w:pPr>
        <w:jc w:val="center"/>
        <w:rPr>
          <w:rFonts w:ascii="Arial" w:hAnsi="Arial" w:cs="Arial"/>
          <w:b/>
          <w:sz w:val="18"/>
          <w:szCs w:val="22"/>
          <w:lang w:val="es-CO"/>
        </w:rPr>
      </w:pPr>
      <w:r w:rsidRPr="00D4546B">
        <w:rPr>
          <w:rFonts w:ascii="Arial" w:hAnsi="Arial" w:cs="Arial"/>
          <w:b/>
          <w:sz w:val="18"/>
          <w:szCs w:val="22"/>
          <w:lang w:val="es-CO"/>
        </w:rPr>
        <w:t xml:space="preserve">TABLA 6. COMPARACIÓN FUC - SIMAT </w:t>
      </w:r>
    </w:p>
    <w:p w:rsidR="004662E4" w:rsidRPr="00D4546B" w:rsidRDefault="004662E4" w:rsidP="000A5BEA">
      <w:pPr>
        <w:jc w:val="center"/>
        <w:rPr>
          <w:rFonts w:ascii="Arial" w:hAnsi="Arial" w:cs="Arial"/>
          <w:b/>
          <w:sz w:val="18"/>
          <w:szCs w:val="22"/>
          <w:lang w:val="es-CO"/>
        </w:rPr>
      </w:pPr>
      <w:r w:rsidRPr="00D4546B">
        <w:rPr>
          <w:rFonts w:ascii="Arial" w:hAnsi="Arial" w:cs="Arial"/>
          <w:b/>
          <w:sz w:val="18"/>
          <w:szCs w:val="22"/>
          <w:lang w:val="es-CO"/>
        </w:rPr>
        <w:t>Vigencia 2019</w:t>
      </w:r>
    </w:p>
    <w:p w:rsidR="004662E4" w:rsidRPr="00D4546B" w:rsidRDefault="004662E4" w:rsidP="000A5BEA">
      <w:pPr>
        <w:jc w:val="center"/>
        <w:rPr>
          <w:rFonts w:ascii="Arial" w:hAnsi="Arial" w:cs="Arial"/>
        </w:rPr>
      </w:pPr>
      <w:r w:rsidRPr="00D4546B">
        <w:rPr>
          <w:rFonts w:ascii="Arial" w:hAnsi="Arial" w:cs="Arial"/>
          <w:noProof/>
          <w:lang w:val="es-CO" w:eastAsia="es-CO"/>
        </w:rPr>
        <w:drawing>
          <wp:inline distT="0" distB="0" distL="0" distR="0">
            <wp:extent cx="4689475" cy="101917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89475" cy="1019175"/>
                    </a:xfrm>
                    <a:prstGeom prst="rect">
                      <a:avLst/>
                    </a:prstGeom>
                    <a:noFill/>
                    <a:ln>
                      <a:noFill/>
                    </a:ln>
                  </pic:spPr>
                </pic:pic>
              </a:graphicData>
            </a:graphic>
          </wp:inline>
        </w:drawing>
      </w:r>
    </w:p>
    <w:p w:rsidR="004662E4" w:rsidRPr="00D4546B" w:rsidRDefault="004662E4" w:rsidP="000A5BEA">
      <w:pPr>
        <w:jc w:val="center"/>
        <w:rPr>
          <w:rStyle w:val="nfasissutil"/>
          <w:rFonts w:cs="Arial"/>
          <w:i/>
        </w:rPr>
      </w:pPr>
      <w:r w:rsidRPr="00D4546B">
        <w:rPr>
          <w:rStyle w:val="nfasissutil"/>
          <w:rFonts w:cs="Arial"/>
          <w:i/>
        </w:rPr>
        <w:t xml:space="preserve">Fuente: documentos </w:t>
      </w:r>
      <w:bookmarkStart w:id="3" w:name="_Hlk39023651"/>
      <w:r w:rsidRPr="00D4546B">
        <w:rPr>
          <w:rStyle w:val="nfasissutil"/>
          <w:rFonts w:cs="Arial"/>
          <w:i/>
        </w:rPr>
        <w:t>4.6 Validación DUE vs HUMANO</w:t>
      </w:r>
      <w:bookmarkEnd w:id="3"/>
      <w:r w:rsidRPr="00D4546B">
        <w:rPr>
          <w:rStyle w:val="nfasissutil"/>
          <w:rFonts w:cs="Arial"/>
          <w:i/>
        </w:rPr>
        <w:t xml:space="preserve"> </w:t>
      </w:r>
    </w:p>
    <w:p w:rsidR="004662E4" w:rsidRDefault="004662E4" w:rsidP="000A5BEA">
      <w:pPr>
        <w:jc w:val="both"/>
        <w:rPr>
          <w:rFonts w:ascii="Arial" w:hAnsi="Arial" w:cs="Arial"/>
          <w:sz w:val="22"/>
          <w:szCs w:val="22"/>
          <w:lang w:val="es-CO"/>
        </w:rPr>
      </w:pPr>
    </w:p>
    <w:p w:rsidR="003C2A5D" w:rsidRPr="00D4546B" w:rsidRDefault="003C2A5D" w:rsidP="003C2A5D">
      <w:pPr>
        <w:jc w:val="both"/>
        <w:rPr>
          <w:rFonts w:ascii="Arial" w:hAnsi="Arial" w:cs="Arial"/>
          <w:sz w:val="22"/>
          <w:szCs w:val="22"/>
        </w:rPr>
      </w:pPr>
      <w:r w:rsidRPr="00D4546B">
        <w:rPr>
          <w:rFonts w:ascii="Arial" w:hAnsi="Arial" w:cs="Arial"/>
          <w:sz w:val="22"/>
          <w:szCs w:val="22"/>
        </w:rPr>
        <w:t xml:space="preserve">Al comparar la matrícula contratada según FUC </w:t>
      </w:r>
      <w:r>
        <w:rPr>
          <w:rFonts w:ascii="Arial" w:hAnsi="Arial" w:cs="Arial"/>
          <w:sz w:val="22"/>
          <w:szCs w:val="22"/>
        </w:rPr>
        <w:t xml:space="preserve">que se </w:t>
      </w:r>
      <w:r w:rsidRPr="00D4546B">
        <w:rPr>
          <w:rFonts w:ascii="Arial" w:hAnsi="Arial" w:cs="Arial"/>
          <w:sz w:val="22"/>
          <w:szCs w:val="22"/>
        </w:rPr>
        <w:t xml:space="preserve">presenta en la certificación enviada </w:t>
      </w:r>
      <w:r>
        <w:rPr>
          <w:rFonts w:ascii="Arial" w:hAnsi="Arial" w:cs="Arial"/>
          <w:sz w:val="22"/>
          <w:szCs w:val="22"/>
        </w:rPr>
        <w:t xml:space="preserve">por la Entidad Territorial, </w:t>
      </w:r>
      <w:r w:rsidRPr="00D4546B">
        <w:rPr>
          <w:rFonts w:ascii="Arial" w:hAnsi="Arial" w:cs="Arial"/>
          <w:sz w:val="22"/>
          <w:szCs w:val="22"/>
        </w:rPr>
        <w:t xml:space="preserve">con el reporte del Anexo 6A de SIMAT correspondiente al mes de diciembre de 2019 remitido por la entidad, se encuentra un número final de estudiantes atendidos menor en los contratos 173 y 769, y mayor en el contrato 637. </w:t>
      </w:r>
    </w:p>
    <w:p w:rsidR="003C2A5D" w:rsidRPr="00D4546B" w:rsidRDefault="003C2A5D" w:rsidP="003C2A5D">
      <w:pPr>
        <w:jc w:val="both"/>
        <w:rPr>
          <w:rFonts w:ascii="Arial" w:hAnsi="Arial" w:cs="Arial"/>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 xml:space="preserve">Usando el </w:t>
      </w:r>
      <w:bookmarkStart w:id="4" w:name="_Hlk39023960"/>
      <w:r w:rsidRPr="00D4546B">
        <w:rPr>
          <w:rFonts w:ascii="Arial" w:hAnsi="Arial" w:cs="Arial"/>
          <w:sz w:val="22"/>
          <w:szCs w:val="22"/>
        </w:rPr>
        <w:t xml:space="preserve">Anexo 1 del documento de distribución SGP 34 de 2019 </w:t>
      </w:r>
      <w:bookmarkEnd w:id="4"/>
      <w:r w:rsidRPr="00D4546B">
        <w:rPr>
          <w:rFonts w:ascii="Arial" w:hAnsi="Arial" w:cs="Arial"/>
          <w:sz w:val="22"/>
          <w:szCs w:val="22"/>
        </w:rPr>
        <w:t xml:space="preserve">y el reporte de matrícula del Anexo 6A SIMAT </w:t>
      </w:r>
      <w:r w:rsidR="00BA1928">
        <w:rPr>
          <w:rFonts w:ascii="Arial" w:hAnsi="Arial" w:cs="Arial"/>
          <w:sz w:val="22"/>
          <w:szCs w:val="22"/>
        </w:rPr>
        <w:t>a d</w:t>
      </w:r>
      <w:r w:rsidRPr="00D4546B">
        <w:rPr>
          <w:rFonts w:ascii="Arial" w:hAnsi="Arial" w:cs="Arial"/>
          <w:sz w:val="22"/>
          <w:szCs w:val="22"/>
        </w:rPr>
        <w:t xml:space="preserve">iciembre </w:t>
      </w:r>
      <w:r w:rsidR="00BA1928">
        <w:rPr>
          <w:rFonts w:ascii="Arial" w:hAnsi="Arial" w:cs="Arial"/>
          <w:sz w:val="22"/>
          <w:szCs w:val="22"/>
        </w:rPr>
        <w:t>de 2019</w:t>
      </w:r>
      <w:r w:rsidR="00F018CE">
        <w:rPr>
          <w:rFonts w:ascii="Arial" w:hAnsi="Arial" w:cs="Arial"/>
          <w:sz w:val="22"/>
          <w:szCs w:val="22"/>
        </w:rPr>
        <w:t>,</w:t>
      </w:r>
      <w:r w:rsidR="00BA1928">
        <w:rPr>
          <w:rFonts w:ascii="Arial" w:hAnsi="Arial" w:cs="Arial"/>
          <w:sz w:val="22"/>
          <w:szCs w:val="22"/>
        </w:rPr>
        <w:t xml:space="preserve"> </w:t>
      </w:r>
      <w:r w:rsidRPr="00D4546B">
        <w:rPr>
          <w:rFonts w:ascii="Arial" w:hAnsi="Arial" w:cs="Arial"/>
          <w:sz w:val="22"/>
          <w:szCs w:val="22"/>
        </w:rPr>
        <w:t xml:space="preserve">se encontró que el valor de los contratos de prestación del servicio educativo según la Relación de contratos </w:t>
      </w:r>
      <w:r w:rsidR="00F018CE">
        <w:rPr>
          <w:rFonts w:ascii="Arial" w:hAnsi="Arial" w:cs="Arial"/>
          <w:sz w:val="22"/>
          <w:szCs w:val="22"/>
        </w:rPr>
        <w:t xml:space="preserve">de </w:t>
      </w:r>
      <w:r w:rsidRPr="00D4546B">
        <w:rPr>
          <w:rFonts w:ascii="Arial" w:hAnsi="Arial" w:cs="Arial"/>
          <w:sz w:val="22"/>
          <w:szCs w:val="22"/>
        </w:rPr>
        <w:t xml:space="preserve">2019 remitida por la </w:t>
      </w:r>
      <w:r w:rsidR="00F018CE">
        <w:rPr>
          <w:rFonts w:ascii="Arial" w:hAnsi="Arial" w:cs="Arial"/>
          <w:sz w:val="22"/>
          <w:szCs w:val="22"/>
        </w:rPr>
        <w:t>E</w:t>
      </w:r>
      <w:r w:rsidRPr="00D4546B">
        <w:rPr>
          <w:rFonts w:ascii="Arial" w:hAnsi="Arial" w:cs="Arial"/>
          <w:sz w:val="22"/>
          <w:szCs w:val="22"/>
        </w:rPr>
        <w:t xml:space="preserve">ntidad </w:t>
      </w:r>
      <w:r w:rsidR="00F018CE">
        <w:rPr>
          <w:rFonts w:ascii="Arial" w:hAnsi="Arial" w:cs="Arial"/>
          <w:sz w:val="22"/>
          <w:szCs w:val="22"/>
        </w:rPr>
        <w:t xml:space="preserve">Territorial </w:t>
      </w:r>
      <w:r w:rsidRPr="00D4546B">
        <w:rPr>
          <w:rFonts w:ascii="Arial" w:hAnsi="Arial" w:cs="Arial"/>
          <w:sz w:val="22"/>
          <w:szCs w:val="22"/>
        </w:rPr>
        <w:t>supera la suma de los valores de las tipologías multiplicados por la matrícula atendida</w:t>
      </w:r>
      <w:r w:rsidR="00620EDB">
        <w:rPr>
          <w:rFonts w:ascii="Arial" w:hAnsi="Arial" w:cs="Arial"/>
          <w:sz w:val="22"/>
          <w:szCs w:val="22"/>
        </w:rPr>
        <w:t xml:space="preserve"> (Tabla 7)</w:t>
      </w:r>
      <w:r w:rsidRPr="00D4546B">
        <w:rPr>
          <w:rFonts w:ascii="Arial" w:hAnsi="Arial" w:cs="Arial"/>
          <w:sz w:val="22"/>
          <w:szCs w:val="22"/>
        </w:rPr>
        <w:t xml:space="preserve">. Se debe recordar que el artículo 27 </w:t>
      </w:r>
      <w:bookmarkStart w:id="5" w:name="_Hlk39109496"/>
      <w:r w:rsidRPr="00D4546B">
        <w:rPr>
          <w:rFonts w:ascii="Arial" w:hAnsi="Arial" w:cs="Arial"/>
          <w:sz w:val="22"/>
          <w:szCs w:val="22"/>
        </w:rPr>
        <w:t xml:space="preserve">de la Ley 715 de 2001 establece que </w:t>
      </w:r>
      <w:r w:rsidRPr="00C407FD">
        <w:rPr>
          <w:rFonts w:ascii="Arial" w:hAnsi="Arial" w:cs="Arial"/>
          <w:i/>
          <w:iCs/>
          <w:sz w:val="22"/>
          <w:szCs w:val="22"/>
        </w:rPr>
        <w:t>“Cuando con cargo al Sistema General de Participaciones los municipios o distritos contraten la prestación del servicio educativo con entidades no estatales, el valor de la prestación del servicio financiado con estos recursos del sistema no podrá ser superior a la asignación por alumno definido por la Nación”.</w:t>
      </w:r>
      <w:r w:rsidR="008040A0">
        <w:rPr>
          <w:rFonts w:ascii="Arial" w:hAnsi="Arial" w:cs="Arial"/>
          <w:sz w:val="22"/>
          <w:szCs w:val="22"/>
        </w:rPr>
        <w:t xml:space="preserve"> </w:t>
      </w:r>
    </w:p>
    <w:bookmarkEnd w:id="5"/>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 xml:space="preserve">El valor de contratación de la prestación del servicio educativo presentado en la ejecución </w:t>
      </w:r>
      <w:r w:rsidR="00F018CE">
        <w:rPr>
          <w:rFonts w:ascii="Arial" w:hAnsi="Arial" w:cs="Arial"/>
          <w:sz w:val="22"/>
          <w:szCs w:val="22"/>
        </w:rPr>
        <w:t xml:space="preserve">presupuestal </w:t>
      </w:r>
      <w:r w:rsidRPr="00D4546B">
        <w:rPr>
          <w:rFonts w:ascii="Arial" w:hAnsi="Arial" w:cs="Arial"/>
          <w:sz w:val="22"/>
          <w:szCs w:val="22"/>
        </w:rPr>
        <w:t>de gasto</w:t>
      </w:r>
      <w:r w:rsidR="00F018CE">
        <w:rPr>
          <w:rFonts w:ascii="Arial" w:hAnsi="Arial" w:cs="Arial"/>
          <w:sz w:val="22"/>
          <w:szCs w:val="22"/>
        </w:rPr>
        <w:t>s</w:t>
      </w:r>
      <w:r w:rsidRPr="00D4546B">
        <w:rPr>
          <w:rFonts w:ascii="Arial" w:hAnsi="Arial" w:cs="Arial"/>
          <w:sz w:val="22"/>
          <w:szCs w:val="22"/>
        </w:rPr>
        <w:t xml:space="preserve"> y en el FUT ($25.460 millones) muestra una diferencia de $1.485 millones </w:t>
      </w:r>
      <w:r w:rsidR="000805F1">
        <w:rPr>
          <w:rFonts w:ascii="Arial" w:hAnsi="Arial" w:cs="Arial"/>
          <w:sz w:val="22"/>
          <w:szCs w:val="22"/>
        </w:rPr>
        <w:t>respecto d</w:t>
      </w:r>
      <w:r w:rsidRPr="00D4546B">
        <w:rPr>
          <w:rFonts w:ascii="Arial" w:hAnsi="Arial" w:cs="Arial"/>
          <w:sz w:val="22"/>
          <w:szCs w:val="22"/>
        </w:rPr>
        <w:t xml:space="preserve">el valor total de los contratos </w:t>
      </w:r>
      <w:r w:rsidR="000805F1">
        <w:rPr>
          <w:rFonts w:ascii="Arial" w:hAnsi="Arial" w:cs="Arial"/>
          <w:sz w:val="22"/>
          <w:szCs w:val="22"/>
        </w:rPr>
        <w:t>mencionados</w:t>
      </w:r>
      <w:r w:rsidR="000805F1" w:rsidRPr="00D4546B">
        <w:rPr>
          <w:rFonts w:ascii="Arial" w:hAnsi="Arial" w:cs="Arial"/>
          <w:sz w:val="22"/>
          <w:szCs w:val="22"/>
        </w:rPr>
        <w:t xml:space="preserve"> </w:t>
      </w:r>
      <w:r w:rsidRPr="00D4546B">
        <w:rPr>
          <w:rFonts w:ascii="Arial" w:hAnsi="Arial" w:cs="Arial"/>
          <w:sz w:val="22"/>
          <w:szCs w:val="22"/>
        </w:rPr>
        <w:t xml:space="preserve">($26.945 millones). Sin embargo, </w:t>
      </w:r>
      <w:r w:rsidR="003C2A5D">
        <w:rPr>
          <w:rFonts w:ascii="Arial" w:hAnsi="Arial" w:cs="Arial"/>
          <w:sz w:val="22"/>
          <w:szCs w:val="22"/>
        </w:rPr>
        <w:t>e</w:t>
      </w:r>
      <w:r w:rsidR="006C09E2" w:rsidRPr="006C09E2">
        <w:rPr>
          <w:rFonts w:ascii="Arial" w:hAnsi="Arial" w:cs="Arial"/>
          <w:sz w:val="22"/>
          <w:szCs w:val="22"/>
        </w:rPr>
        <w:t>n los informes de supervisión y los demás documentos que dan cuenta de la ejecución del contrato no se evidencia que la entidad territorial realizara los ajustes y descuentos contractuales a los que haya lugar, de acuerdo con las diferencias entre la matr</w:t>
      </w:r>
      <w:r w:rsidR="003C2A5D">
        <w:rPr>
          <w:rFonts w:ascii="Arial" w:hAnsi="Arial" w:cs="Arial"/>
          <w:sz w:val="22"/>
          <w:szCs w:val="22"/>
        </w:rPr>
        <w:t>í</w:t>
      </w:r>
      <w:r w:rsidR="006C09E2" w:rsidRPr="006C09E2">
        <w:rPr>
          <w:rFonts w:ascii="Arial" w:hAnsi="Arial" w:cs="Arial"/>
          <w:sz w:val="22"/>
          <w:szCs w:val="22"/>
        </w:rPr>
        <w:t xml:space="preserve">cula contratada </w:t>
      </w:r>
      <w:r w:rsidR="003C2A5D">
        <w:rPr>
          <w:rFonts w:ascii="Arial" w:hAnsi="Arial" w:cs="Arial"/>
          <w:sz w:val="22"/>
          <w:szCs w:val="22"/>
        </w:rPr>
        <w:t>y</w:t>
      </w:r>
      <w:r w:rsidR="006C09E2" w:rsidRPr="006C09E2">
        <w:rPr>
          <w:rFonts w:ascii="Arial" w:hAnsi="Arial" w:cs="Arial"/>
          <w:sz w:val="22"/>
          <w:szCs w:val="22"/>
        </w:rPr>
        <w:t xml:space="preserve"> la matr</w:t>
      </w:r>
      <w:r w:rsidR="003C2A5D">
        <w:rPr>
          <w:rFonts w:ascii="Arial" w:hAnsi="Arial" w:cs="Arial"/>
          <w:sz w:val="22"/>
          <w:szCs w:val="22"/>
        </w:rPr>
        <w:t>í</w:t>
      </w:r>
      <w:r w:rsidR="006C09E2" w:rsidRPr="006C09E2">
        <w:rPr>
          <w:rFonts w:ascii="Arial" w:hAnsi="Arial" w:cs="Arial"/>
          <w:sz w:val="22"/>
          <w:szCs w:val="22"/>
        </w:rPr>
        <w:t>cula efectivamente atendida, o que en los informes de supervisión quedara constancia respecto de los cambios en la población atendida</w:t>
      </w:r>
      <w:r w:rsidR="006C09E2" w:rsidRPr="006C09E2" w:rsidDel="006C09E2">
        <w:rPr>
          <w:rFonts w:ascii="Arial" w:hAnsi="Arial" w:cs="Arial"/>
          <w:sz w:val="22"/>
          <w:szCs w:val="22"/>
        </w:rPr>
        <w:t xml:space="preserve"> </w:t>
      </w:r>
      <w:r w:rsidRPr="00D4546B">
        <w:rPr>
          <w:rFonts w:ascii="Arial" w:hAnsi="Arial" w:cs="Arial"/>
          <w:sz w:val="22"/>
          <w:szCs w:val="22"/>
        </w:rPr>
        <w:t>(Tabla 7).</w:t>
      </w:r>
    </w:p>
    <w:p w:rsidR="00AB6A00" w:rsidRDefault="00AB6A00" w:rsidP="000A5BEA">
      <w:pPr>
        <w:jc w:val="center"/>
        <w:rPr>
          <w:rFonts w:ascii="Arial" w:hAnsi="Arial" w:cs="Arial"/>
          <w:b/>
          <w:sz w:val="18"/>
          <w:szCs w:val="22"/>
          <w:lang w:val="es-CO"/>
        </w:rPr>
      </w:pPr>
    </w:p>
    <w:p w:rsidR="004662E4" w:rsidRPr="00D4546B" w:rsidRDefault="004662E4" w:rsidP="000A5BEA">
      <w:pPr>
        <w:jc w:val="center"/>
        <w:rPr>
          <w:rFonts w:ascii="Arial" w:hAnsi="Arial" w:cs="Arial"/>
          <w:b/>
          <w:sz w:val="18"/>
          <w:szCs w:val="22"/>
          <w:lang w:val="es-CO"/>
        </w:rPr>
      </w:pPr>
      <w:r w:rsidRPr="00D4546B">
        <w:rPr>
          <w:rFonts w:ascii="Arial" w:hAnsi="Arial" w:cs="Arial"/>
          <w:b/>
          <w:sz w:val="18"/>
          <w:szCs w:val="22"/>
          <w:lang w:val="es-CO"/>
        </w:rPr>
        <w:t xml:space="preserve">TABLA 7. TIPOLOGÍAS POR MATRÍCULA Vs VALOR DEL CONTRATO SEGÚN RELACIÓN </w:t>
      </w:r>
    </w:p>
    <w:p w:rsidR="004662E4" w:rsidRPr="00D4546B" w:rsidRDefault="004662E4" w:rsidP="000A5BEA">
      <w:pPr>
        <w:jc w:val="center"/>
        <w:rPr>
          <w:rFonts w:ascii="Arial" w:hAnsi="Arial" w:cs="Arial"/>
          <w:b/>
          <w:sz w:val="18"/>
          <w:szCs w:val="22"/>
          <w:lang w:val="es-CO"/>
        </w:rPr>
      </w:pPr>
      <w:r w:rsidRPr="00D4546B">
        <w:rPr>
          <w:rFonts w:ascii="Arial" w:hAnsi="Arial" w:cs="Arial"/>
          <w:b/>
          <w:sz w:val="18"/>
          <w:szCs w:val="22"/>
          <w:lang w:val="es-CO"/>
        </w:rPr>
        <w:t>Vigencia 2019</w:t>
      </w:r>
      <w:r w:rsidR="00F018CE">
        <w:rPr>
          <w:rFonts w:ascii="Arial" w:hAnsi="Arial" w:cs="Arial"/>
          <w:b/>
          <w:sz w:val="18"/>
          <w:szCs w:val="22"/>
          <w:lang w:val="es-CO"/>
        </w:rPr>
        <w:t xml:space="preserve"> </w:t>
      </w:r>
      <w:r w:rsidRPr="00D4546B">
        <w:rPr>
          <w:rFonts w:ascii="Arial" w:hAnsi="Arial" w:cs="Arial"/>
          <w:i/>
          <w:sz w:val="18"/>
          <w:szCs w:val="22"/>
          <w:lang w:val="es-CO"/>
        </w:rPr>
        <w:t>(en millones de $)</w:t>
      </w:r>
    </w:p>
    <w:p w:rsidR="004662E4" w:rsidRPr="00D4546B" w:rsidRDefault="004662E4" w:rsidP="000A5BEA">
      <w:pPr>
        <w:jc w:val="both"/>
        <w:rPr>
          <w:rFonts w:ascii="Arial" w:hAnsi="Arial" w:cs="Arial"/>
          <w:sz w:val="22"/>
          <w:szCs w:val="22"/>
        </w:rPr>
      </w:pPr>
      <w:r w:rsidRPr="00D4546B">
        <w:rPr>
          <w:rFonts w:ascii="Arial" w:hAnsi="Arial" w:cs="Arial"/>
          <w:noProof/>
          <w:lang w:val="es-CO" w:eastAsia="es-CO"/>
        </w:rPr>
        <w:drawing>
          <wp:inline distT="0" distB="0" distL="0" distR="0">
            <wp:extent cx="5613400" cy="3000375"/>
            <wp:effectExtent l="0" t="0" r="635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3400" cy="3000375"/>
                    </a:xfrm>
                    <a:prstGeom prst="rect">
                      <a:avLst/>
                    </a:prstGeom>
                    <a:noFill/>
                    <a:ln>
                      <a:noFill/>
                    </a:ln>
                  </pic:spPr>
                </pic:pic>
              </a:graphicData>
            </a:graphic>
          </wp:inline>
        </w:drawing>
      </w:r>
    </w:p>
    <w:p w:rsidR="004662E4" w:rsidRPr="00D4546B" w:rsidRDefault="004662E4" w:rsidP="000A5BEA">
      <w:pPr>
        <w:jc w:val="center"/>
        <w:rPr>
          <w:rStyle w:val="nfasissutil"/>
          <w:rFonts w:cs="Arial"/>
          <w:i/>
        </w:rPr>
      </w:pPr>
      <w:r w:rsidRPr="00D4546B">
        <w:rPr>
          <w:rStyle w:val="nfasissutil"/>
          <w:rFonts w:cs="Arial"/>
          <w:i/>
        </w:rPr>
        <w:t>Fuente: Documento de distribución SGP 34 de 2019 - Anexo 1 y 6A Diciembre 2019</w:t>
      </w:r>
    </w:p>
    <w:p w:rsidR="004662E4" w:rsidRDefault="004662E4" w:rsidP="000A5BEA">
      <w:pPr>
        <w:jc w:val="both"/>
        <w:rPr>
          <w:rFonts w:ascii="Arial" w:hAnsi="Arial" w:cs="Arial"/>
          <w:sz w:val="22"/>
          <w:szCs w:val="22"/>
        </w:rPr>
      </w:pPr>
    </w:p>
    <w:p w:rsidR="00F018CE" w:rsidRPr="00D4546B" w:rsidRDefault="00F018CE" w:rsidP="00F018CE">
      <w:pPr>
        <w:jc w:val="both"/>
        <w:rPr>
          <w:rFonts w:ascii="Arial" w:hAnsi="Arial" w:cs="Arial"/>
          <w:sz w:val="22"/>
          <w:szCs w:val="22"/>
        </w:rPr>
      </w:pPr>
      <w:r w:rsidRPr="00D4546B">
        <w:rPr>
          <w:rFonts w:ascii="Arial" w:hAnsi="Arial" w:cs="Arial"/>
          <w:sz w:val="22"/>
          <w:szCs w:val="22"/>
        </w:rPr>
        <w:t>La entidad debe explicar a qu</w:t>
      </w:r>
      <w:r>
        <w:rPr>
          <w:rFonts w:ascii="Arial" w:hAnsi="Arial" w:cs="Arial"/>
          <w:sz w:val="22"/>
          <w:szCs w:val="22"/>
        </w:rPr>
        <w:t>é</w:t>
      </w:r>
      <w:r w:rsidRPr="00D4546B">
        <w:rPr>
          <w:rFonts w:ascii="Arial" w:hAnsi="Arial" w:cs="Arial"/>
          <w:sz w:val="22"/>
          <w:szCs w:val="22"/>
        </w:rPr>
        <w:t xml:space="preserve"> corresponden las diferencias entre la ejecución presupuestal, el reporte FUT y la relación de contratos para la prestación del servicio educativo. Debe hacer seguimiento a que los estudiantes contratados sean efectivamente atendidos y reflejados en el SIMAT y realizar el proceso de contratación atendiendo al costo de la canasta educativa</w:t>
      </w:r>
      <w:r>
        <w:rPr>
          <w:rFonts w:ascii="Arial" w:hAnsi="Arial" w:cs="Arial"/>
          <w:sz w:val="22"/>
          <w:szCs w:val="22"/>
        </w:rPr>
        <w:t>,</w:t>
      </w:r>
      <w:r w:rsidRPr="00D4546B">
        <w:rPr>
          <w:rFonts w:ascii="Arial" w:hAnsi="Arial" w:cs="Arial"/>
          <w:sz w:val="22"/>
          <w:szCs w:val="22"/>
        </w:rPr>
        <w:t xml:space="preserve"> cumpliendo con las condiciones establecidas en el artículo 27 de la Ley 715 de 2001.</w:t>
      </w:r>
    </w:p>
    <w:p w:rsidR="00F018CE" w:rsidRPr="00D4546B" w:rsidRDefault="00F018CE" w:rsidP="00F018CE">
      <w:pPr>
        <w:jc w:val="both"/>
        <w:rPr>
          <w:rFonts w:ascii="Arial" w:hAnsi="Arial" w:cs="Arial"/>
          <w:sz w:val="22"/>
          <w:szCs w:val="22"/>
        </w:rPr>
      </w:pPr>
      <w:r w:rsidRPr="00D4546B">
        <w:rPr>
          <w:rFonts w:ascii="Arial" w:hAnsi="Arial" w:cs="Arial"/>
          <w:sz w:val="22"/>
          <w:szCs w:val="22"/>
        </w:rPr>
        <w:t xml:space="preserve"> </w:t>
      </w:r>
    </w:p>
    <w:p w:rsidR="00F018CE" w:rsidRPr="00D4546B" w:rsidRDefault="00F018CE" w:rsidP="00F018CE">
      <w:pPr>
        <w:jc w:val="both"/>
        <w:rPr>
          <w:rFonts w:ascii="Arial" w:hAnsi="Arial" w:cs="Arial"/>
          <w:sz w:val="22"/>
          <w:szCs w:val="22"/>
        </w:rPr>
      </w:pPr>
      <w:r w:rsidRPr="00D4546B">
        <w:rPr>
          <w:rFonts w:ascii="Arial" w:hAnsi="Arial" w:cs="Arial"/>
          <w:sz w:val="22"/>
          <w:szCs w:val="22"/>
        </w:rPr>
        <w:t>Por lo anterior, esta actividad se encuentra incumplida.</w:t>
      </w:r>
    </w:p>
    <w:p w:rsidR="00F018CE" w:rsidRPr="00D4546B" w:rsidRDefault="00F018CE" w:rsidP="000A5BEA">
      <w:pPr>
        <w:jc w:val="both"/>
        <w:rPr>
          <w:rFonts w:ascii="Arial" w:hAnsi="Arial" w:cs="Arial"/>
          <w:sz w:val="22"/>
          <w:szCs w:val="22"/>
        </w:rPr>
      </w:pPr>
    </w:p>
    <w:p w:rsidR="004662E4" w:rsidRPr="00D4546B" w:rsidRDefault="00753D6E" w:rsidP="000A5BEA">
      <w:pPr>
        <w:jc w:val="both"/>
        <w:rPr>
          <w:rFonts w:ascii="Arial" w:hAnsi="Arial" w:cs="Arial"/>
          <w:b/>
          <w:sz w:val="22"/>
          <w:szCs w:val="22"/>
        </w:rPr>
      </w:pPr>
      <w:r w:rsidRPr="00D4546B">
        <w:rPr>
          <w:rFonts w:ascii="Arial" w:hAnsi="Arial" w:cs="Arial"/>
          <w:b/>
          <w:sz w:val="22"/>
          <w:szCs w:val="22"/>
        </w:rPr>
        <w:t>A</w:t>
      </w:r>
      <w:r w:rsidR="004662E4" w:rsidRPr="00D4546B">
        <w:rPr>
          <w:rFonts w:ascii="Arial" w:hAnsi="Arial" w:cs="Arial"/>
          <w:b/>
          <w:sz w:val="22"/>
          <w:szCs w:val="22"/>
        </w:rPr>
        <w:t xml:space="preserve">ctividad 1.2.2. Sincronizar los sistemas de información del sector de acuerdo con el acto administrativo que define el Directorio Único de Establecimientos Educativos del Departamento, así como Depurar la información reportada en los sistemas de información del sector de acuerdo con el acto administrativo que define el Directorio Único de Establecimientos Educativos del Departamento. </w:t>
      </w:r>
    </w:p>
    <w:p w:rsidR="004662E4" w:rsidRPr="00D4546B" w:rsidRDefault="004662E4" w:rsidP="000A5BEA">
      <w:pPr>
        <w:jc w:val="both"/>
        <w:rPr>
          <w:rFonts w:ascii="Arial" w:hAnsi="Arial" w:cs="Arial"/>
          <w:b/>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Las evidencias se encuentran consignadas en el sistema SIED con el número de Expediente 22/2019/D028-PREDI.</w:t>
      </w:r>
      <w:r w:rsidR="008040A0">
        <w:rPr>
          <w:rFonts w:ascii="Arial" w:hAnsi="Arial" w:cs="Arial"/>
          <w:sz w:val="22"/>
          <w:szCs w:val="22"/>
        </w:rPr>
        <w:t xml:space="preserve"> </w:t>
      </w:r>
      <w:r w:rsidRPr="00D4546B">
        <w:rPr>
          <w:rFonts w:ascii="Arial" w:hAnsi="Arial" w:cs="Arial"/>
          <w:sz w:val="22"/>
          <w:szCs w:val="22"/>
        </w:rPr>
        <w:t>Dichas evidencias se relacionan a continuación</w:t>
      </w:r>
      <w:r w:rsidR="00F018CE">
        <w:rPr>
          <w:rFonts w:ascii="Arial" w:hAnsi="Arial" w:cs="Arial"/>
          <w:sz w:val="22"/>
          <w:szCs w:val="22"/>
        </w:rPr>
        <w:t xml:space="preserve"> y corresponden a l</w:t>
      </w:r>
      <w:r w:rsidRPr="00D4546B">
        <w:rPr>
          <w:rFonts w:ascii="Arial" w:hAnsi="Arial" w:cs="Arial"/>
          <w:sz w:val="22"/>
          <w:szCs w:val="22"/>
        </w:rPr>
        <w:t>a información objeto de análisis para esta actividad establecida en el plan de desempeño:</w:t>
      </w:r>
    </w:p>
    <w:p w:rsidR="004662E4" w:rsidRPr="00D4546B" w:rsidRDefault="004662E4" w:rsidP="000A5BEA">
      <w:pPr>
        <w:jc w:val="both"/>
        <w:rPr>
          <w:rFonts w:ascii="Arial" w:hAnsi="Arial" w:cs="Arial"/>
          <w:sz w:val="22"/>
          <w:szCs w:val="22"/>
        </w:rPr>
      </w:pPr>
    </w:p>
    <w:p w:rsidR="004662E4" w:rsidRPr="00D4546B" w:rsidRDefault="004662E4" w:rsidP="000A5BEA">
      <w:pPr>
        <w:pStyle w:val="Prrafodelista"/>
        <w:numPr>
          <w:ilvl w:val="0"/>
          <w:numId w:val="13"/>
        </w:numPr>
        <w:jc w:val="both"/>
        <w:rPr>
          <w:rFonts w:ascii="Arial" w:hAnsi="Arial" w:cs="Arial"/>
          <w:sz w:val="22"/>
          <w:szCs w:val="22"/>
        </w:rPr>
      </w:pPr>
      <w:r w:rsidRPr="00D4546B">
        <w:rPr>
          <w:rFonts w:ascii="Arial" w:hAnsi="Arial" w:cs="Arial"/>
          <w:sz w:val="22"/>
          <w:szCs w:val="22"/>
        </w:rPr>
        <w:t>Actos administrativos Departamentales de definición del Directorio Único de Establecimientos - DUE. Resolución No.004588 del 2019 por medio de la cual se organiza el Directorio único de Establecimientos Educativos Oficiales y no Oficiales del Departamento de Córdoba</w:t>
      </w:r>
    </w:p>
    <w:p w:rsidR="004662E4" w:rsidRPr="00D4546B" w:rsidRDefault="004662E4" w:rsidP="000A5BEA">
      <w:pPr>
        <w:pStyle w:val="Prrafodelista"/>
        <w:numPr>
          <w:ilvl w:val="0"/>
          <w:numId w:val="13"/>
        </w:numPr>
        <w:jc w:val="both"/>
        <w:rPr>
          <w:rFonts w:ascii="Arial" w:hAnsi="Arial" w:cs="Arial"/>
          <w:sz w:val="22"/>
          <w:szCs w:val="22"/>
        </w:rPr>
      </w:pPr>
      <w:r w:rsidRPr="00D4546B">
        <w:rPr>
          <w:rFonts w:ascii="Arial" w:hAnsi="Arial" w:cs="Arial"/>
          <w:sz w:val="22"/>
          <w:szCs w:val="22"/>
        </w:rPr>
        <w:t>Reportes:</w:t>
      </w:r>
    </w:p>
    <w:p w:rsidR="004662E4" w:rsidRPr="00D4546B" w:rsidRDefault="004662E4" w:rsidP="000A5BEA">
      <w:pPr>
        <w:pStyle w:val="Prrafodelista"/>
        <w:numPr>
          <w:ilvl w:val="0"/>
          <w:numId w:val="14"/>
        </w:numPr>
        <w:jc w:val="both"/>
        <w:rPr>
          <w:rFonts w:ascii="Arial" w:hAnsi="Arial" w:cs="Arial"/>
          <w:sz w:val="22"/>
          <w:szCs w:val="22"/>
        </w:rPr>
      </w:pPr>
      <w:r w:rsidRPr="00D4546B">
        <w:rPr>
          <w:rFonts w:ascii="Arial" w:hAnsi="Arial" w:cs="Arial"/>
          <w:sz w:val="22"/>
          <w:szCs w:val="22"/>
        </w:rPr>
        <w:t>4.5 Actualizaciones establecimientos oficiales y no oficiales</w:t>
      </w:r>
    </w:p>
    <w:p w:rsidR="004662E4" w:rsidRPr="00D4546B" w:rsidRDefault="004662E4" w:rsidP="000A5BEA">
      <w:pPr>
        <w:pStyle w:val="Prrafodelista"/>
        <w:numPr>
          <w:ilvl w:val="0"/>
          <w:numId w:val="14"/>
        </w:numPr>
        <w:jc w:val="both"/>
        <w:rPr>
          <w:rFonts w:ascii="Arial" w:hAnsi="Arial" w:cs="Arial"/>
          <w:sz w:val="22"/>
          <w:szCs w:val="22"/>
        </w:rPr>
      </w:pPr>
      <w:r w:rsidRPr="00D4546B">
        <w:rPr>
          <w:rFonts w:ascii="Arial" w:hAnsi="Arial" w:cs="Arial"/>
          <w:sz w:val="22"/>
          <w:szCs w:val="22"/>
        </w:rPr>
        <w:t>4.5 Actualizaciones sedes no oficiales 10-03-2020</w:t>
      </w:r>
    </w:p>
    <w:p w:rsidR="004662E4" w:rsidRPr="00D4546B" w:rsidRDefault="004662E4" w:rsidP="000A5BEA">
      <w:pPr>
        <w:pStyle w:val="Prrafodelista"/>
        <w:numPr>
          <w:ilvl w:val="0"/>
          <w:numId w:val="14"/>
        </w:numPr>
        <w:jc w:val="both"/>
        <w:rPr>
          <w:rFonts w:ascii="Arial" w:hAnsi="Arial" w:cs="Arial"/>
          <w:sz w:val="22"/>
          <w:szCs w:val="22"/>
        </w:rPr>
      </w:pPr>
      <w:r w:rsidRPr="00D4546B">
        <w:rPr>
          <w:rFonts w:ascii="Arial" w:hAnsi="Arial" w:cs="Arial"/>
          <w:sz w:val="22"/>
          <w:szCs w:val="22"/>
        </w:rPr>
        <w:t>4.5 Actualizaciones sedes no oficiales y oficiales 10-03-2020</w:t>
      </w:r>
    </w:p>
    <w:p w:rsidR="004662E4" w:rsidRPr="00D4546B" w:rsidRDefault="004662E4" w:rsidP="000A5BEA">
      <w:pPr>
        <w:pStyle w:val="Prrafodelista"/>
        <w:numPr>
          <w:ilvl w:val="0"/>
          <w:numId w:val="14"/>
        </w:numPr>
        <w:jc w:val="both"/>
        <w:rPr>
          <w:rFonts w:ascii="Arial" w:hAnsi="Arial" w:cs="Arial"/>
          <w:sz w:val="22"/>
          <w:szCs w:val="22"/>
        </w:rPr>
      </w:pPr>
      <w:r w:rsidRPr="00D4546B">
        <w:rPr>
          <w:rFonts w:ascii="Arial" w:hAnsi="Arial" w:cs="Arial"/>
          <w:sz w:val="22"/>
          <w:szCs w:val="22"/>
        </w:rPr>
        <w:t>4.6 Actualizacion de cuentas maestras (sifse)</w:t>
      </w:r>
    </w:p>
    <w:p w:rsidR="004662E4" w:rsidRPr="00D4546B" w:rsidRDefault="004662E4" w:rsidP="000A5BEA">
      <w:pPr>
        <w:pStyle w:val="Prrafodelista"/>
        <w:numPr>
          <w:ilvl w:val="0"/>
          <w:numId w:val="14"/>
        </w:numPr>
        <w:jc w:val="both"/>
        <w:rPr>
          <w:rFonts w:ascii="Arial" w:hAnsi="Arial" w:cs="Arial"/>
          <w:sz w:val="22"/>
          <w:szCs w:val="22"/>
        </w:rPr>
      </w:pPr>
      <w:r w:rsidRPr="00D4546B">
        <w:rPr>
          <w:rFonts w:ascii="Arial" w:hAnsi="Arial" w:cs="Arial"/>
          <w:sz w:val="22"/>
          <w:szCs w:val="22"/>
        </w:rPr>
        <w:t>4.6 validacion DUE vs Humano con corte a marzo 13 2020</w:t>
      </w:r>
    </w:p>
    <w:p w:rsidR="004662E4" w:rsidRPr="00D4546B" w:rsidRDefault="004662E4" w:rsidP="000A5BEA">
      <w:pPr>
        <w:jc w:val="both"/>
        <w:rPr>
          <w:rFonts w:ascii="Arial" w:hAnsi="Arial" w:cs="Arial"/>
          <w:sz w:val="22"/>
          <w:szCs w:val="22"/>
        </w:rPr>
      </w:pPr>
    </w:p>
    <w:p w:rsidR="008B29F2" w:rsidRDefault="004662E4" w:rsidP="000A5BEA">
      <w:pPr>
        <w:jc w:val="both"/>
        <w:rPr>
          <w:rFonts w:ascii="Arial" w:hAnsi="Arial" w:cs="Arial"/>
          <w:sz w:val="22"/>
          <w:szCs w:val="22"/>
        </w:rPr>
      </w:pPr>
      <w:r w:rsidRPr="00D4546B">
        <w:rPr>
          <w:rFonts w:ascii="Arial" w:hAnsi="Arial" w:cs="Arial"/>
          <w:sz w:val="22"/>
          <w:szCs w:val="22"/>
        </w:rPr>
        <w:t xml:space="preserve">La entidad no remitió el reporte trimestral </w:t>
      </w:r>
      <w:bookmarkStart w:id="6" w:name="_Hlk39109875"/>
      <w:r w:rsidRPr="00D4546B">
        <w:rPr>
          <w:rFonts w:ascii="Arial" w:hAnsi="Arial" w:cs="Arial"/>
          <w:sz w:val="22"/>
          <w:szCs w:val="22"/>
        </w:rPr>
        <w:t>de validaciones del MEN, ni reportes generados desde los sistemas de información.</w:t>
      </w:r>
      <w:bookmarkEnd w:id="6"/>
      <w:r w:rsidRPr="00D4546B">
        <w:rPr>
          <w:rFonts w:ascii="Arial" w:hAnsi="Arial" w:cs="Arial"/>
          <w:sz w:val="22"/>
          <w:szCs w:val="22"/>
        </w:rPr>
        <w:t xml:space="preserve"> </w:t>
      </w:r>
      <w:r w:rsidR="008B29F2">
        <w:rPr>
          <w:rFonts w:ascii="Arial" w:hAnsi="Arial" w:cs="Arial"/>
          <w:sz w:val="22"/>
          <w:szCs w:val="22"/>
        </w:rPr>
        <w:t xml:space="preserve">No obstante, de acuerdo con la información remitida por el Ministerio de Educación Nacional </w:t>
      </w:r>
      <w:r w:rsidR="00785277">
        <w:rPr>
          <w:rFonts w:ascii="Arial" w:hAnsi="Arial" w:cs="Arial"/>
          <w:sz w:val="22"/>
          <w:szCs w:val="22"/>
        </w:rPr>
        <w:t xml:space="preserve">mediante radicado No. </w:t>
      </w:r>
      <w:r w:rsidR="00785277" w:rsidRPr="00785277">
        <w:rPr>
          <w:rFonts w:ascii="Arial" w:hAnsi="Arial" w:cs="Arial"/>
          <w:sz w:val="22"/>
          <w:szCs w:val="22"/>
        </w:rPr>
        <w:t>1-2020-040621</w:t>
      </w:r>
      <w:r w:rsidR="00785277">
        <w:rPr>
          <w:rFonts w:ascii="Arial" w:hAnsi="Arial" w:cs="Arial"/>
          <w:sz w:val="22"/>
          <w:szCs w:val="22"/>
        </w:rPr>
        <w:t xml:space="preserve"> del </w:t>
      </w:r>
      <w:r w:rsidR="00785277" w:rsidRPr="00785277">
        <w:rPr>
          <w:rFonts w:ascii="Arial" w:hAnsi="Arial" w:cs="Arial"/>
          <w:sz w:val="22"/>
          <w:szCs w:val="22"/>
        </w:rPr>
        <w:t>18</w:t>
      </w:r>
      <w:r w:rsidR="00785277">
        <w:rPr>
          <w:rFonts w:ascii="Arial" w:hAnsi="Arial" w:cs="Arial"/>
          <w:sz w:val="22"/>
          <w:szCs w:val="22"/>
        </w:rPr>
        <w:t xml:space="preserve"> de mayo de </w:t>
      </w:r>
      <w:r w:rsidR="00785277" w:rsidRPr="00785277">
        <w:rPr>
          <w:rFonts w:ascii="Arial" w:hAnsi="Arial" w:cs="Arial"/>
          <w:sz w:val="22"/>
          <w:szCs w:val="22"/>
        </w:rPr>
        <w:t>2020</w:t>
      </w:r>
      <w:r w:rsidR="00785277">
        <w:rPr>
          <w:rFonts w:ascii="Arial" w:hAnsi="Arial" w:cs="Arial"/>
          <w:sz w:val="22"/>
          <w:szCs w:val="22"/>
        </w:rPr>
        <w:t>, se identificaron inconsistencias en 340 sedes de las 1.460 analizadas, que corresponde a un 23%.</w:t>
      </w:r>
    </w:p>
    <w:p w:rsidR="008B29F2" w:rsidRDefault="008B29F2" w:rsidP="000A5BEA">
      <w:pPr>
        <w:jc w:val="both"/>
        <w:rPr>
          <w:rFonts w:ascii="Arial" w:hAnsi="Arial" w:cs="Arial"/>
          <w:sz w:val="22"/>
          <w:szCs w:val="22"/>
        </w:rPr>
      </w:pPr>
    </w:p>
    <w:p w:rsidR="004662E4" w:rsidRPr="00D4546B" w:rsidRDefault="00785277" w:rsidP="000A5BEA">
      <w:pPr>
        <w:jc w:val="both"/>
        <w:rPr>
          <w:rFonts w:ascii="Arial" w:hAnsi="Arial" w:cs="Arial"/>
          <w:sz w:val="22"/>
          <w:szCs w:val="22"/>
        </w:rPr>
      </w:pPr>
      <w:r>
        <w:rPr>
          <w:rFonts w:ascii="Arial" w:hAnsi="Arial" w:cs="Arial"/>
          <w:sz w:val="22"/>
          <w:szCs w:val="22"/>
        </w:rPr>
        <w:t>Ahora bien, u</w:t>
      </w:r>
      <w:r w:rsidR="004662E4" w:rsidRPr="00D4546B">
        <w:rPr>
          <w:rFonts w:ascii="Arial" w:hAnsi="Arial" w:cs="Arial"/>
          <w:sz w:val="22"/>
          <w:szCs w:val="22"/>
        </w:rPr>
        <w:t>sando la información remitida</w:t>
      </w:r>
      <w:r>
        <w:rPr>
          <w:rFonts w:ascii="Arial" w:hAnsi="Arial" w:cs="Arial"/>
          <w:sz w:val="22"/>
          <w:szCs w:val="22"/>
        </w:rPr>
        <w:t xml:space="preserve"> por la Entidad Territorial</w:t>
      </w:r>
      <w:r w:rsidR="00F018CE">
        <w:rPr>
          <w:rFonts w:ascii="Arial" w:hAnsi="Arial" w:cs="Arial"/>
          <w:sz w:val="22"/>
          <w:szCs w:val="22"/>
        </w:rPr>
        <w:t>,</w:t>
      </w:r>
      <w:r w:rsidR="004662E4" w:rsidRPr="00D4546B">
        <w:rPr>
          <w:rFonts w:ascii="Arial" w:hAnsi="Arial" w:cs="Arial"/>
          <w:sz w:val="22"/>
          <w:szCs w:val="22"/>
        </w:rPr>
        <w:t xml:space="preserve"> se encuentran inconsistencias entre la Resolución y el DUE, y entre DUE y el SIFSE y HUMANO.</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b/>
          <w:bCs/>
          <w:sz w:val="22"/>
          <w:szCs w:val="22"/>
        </w:rPr>
      </w:pPr>
      <w:r w:rsidRPr="00D4546B">
        <w:rPr>
          <w:rFonts w:ascii="Arial" w:hAnsi="Arial" w:cs="Arial"/>
          <w:b/>
          <w:bCs/>
          <w:sz w:val="22"/>
          <w:szCs w:val="22"/>
        </w:rPr>
        <w:t>DUE</w:t>
      </w:r>
    </w:p>
    <w:p w:rsidR="00753D6E" w:rsidRPr="00D4546B" w:rsidRDefault="00753D6E" w:rsidP="000A5BEA">
      <w:pPr>
        <w:jc w:val="both"/>
        <w:rPr>
          <w:rFonts w:ascii="Arial" w:hAnsi="Arial" w:cs="Arial"/>
          <w:sz w:val="22"/>
          <w:szCs w:val="22"/>
        </w:rPr>
      </w:pPr>
    </w:p>
    <w:p w:rsidR="004662E4" w:rsidRDefault="004662E4" w:rsidP="000A5BEA">
      <w:pPr>
        <w:jc w:val="both"/>
        <w:rPr>
          <w:rFonts w:ascii="Arial" w:hAnsi="Arial" w:cs="Arial"/>
          <w:sz w:val="22"/>
          <w:szCs w:val="22"/>
        </w:rPr>
      </w:pPr>
      <w:r w:rsidRPr="00D4546B">
        <w:rPr>
          <w:rFonts w:ascii="Arial" w:hAnsi="Arial" w:cs="Arial"/>
          <w:sz w:val="22"/>
          <w:szCs w:val="22"/>
        </w:rPr>
        <w:t>La Resolución 004588 del 18 de noviembre de 2019</w:t>
      </w:r>
      <w:r w:rsidR="00F018CE">
        <w:rPr>
          <w:rFonts w:ascii="Arial" w:hAnsi="Arial" w:cs="Arial"/>
          <w:sz w:val="22"/>
          <w:szCs w:val="22"/>
        </w:rPr>
        <w:t>,</w:t>
      </w:r>
      <w:r w:rsidRPr="00D4546B">
        <w:rPr>
          <w:rFonts w:ascii="Arial" w:hAnsi="Arial" w:cs="Arial"/>
          <w:sz w:val="22"/>
          <w:szCs w:val="22"/>
        </w:rPr>
        <w:t xml:space="preserve"> por medio de la cual se organiza el DUE de establecimientos oficiales y no oficiales en el departamento de Córdoba</w:t>
      </w:r>
      <w:r w:rsidR="00F018CE">
        <w:rPr>
          <w:rFonts w:ascii="Arial" w:hAnsi="Arial" w:cs="Arial"/>
          <w:sz w:val="22"/>
          <w:szCs w:val="22"/>
        </w:rPr>
        <w:t>,</w:t>
      </w:r>
      <w:r w:rsidRPr="00D4546B">
        <w:rPr>
          <w:rFonts w:ascii="Arial" w:hAnsi="Arial" w:cs="Arial"/>
          <w:sz w:val="22"/>
          <w:szCs w:val="22"/>
        </w:rPr>
        <w:t xml:space="preserve"> presenta diferencias con el número de establecimientos que se encuentran en los archivos 4.5 Actualizaciones sedes no oficiales y oficiales y 4.5 Actualizaciones de establecimientos </w:t>
      </w:r>
      <w:r w:rsidRPr="00D4546B">
        <w:rPr>
          <w:rFonts w:ascii="Arial" w:hAnsi="Arial" w:cs="Arial"/>
          <w:sz w:val="22"/>
          <w:szCs w:val="22"/>
        </w:rPr>
        <w:lastRenderedPageBreak/>
        <w:t>oficiales y no oficiales en los municipios Montelíbano, Pueblo Nuevo, San Carlos, Tuchín y Valencia (Tabla 8).</w:t>
      </w:r>
    </w:p>
    <w:p w:rsidR="00F018CE" w:rsidRPr="00D4546B" w:rsidRDefault="00F018CE" w:rsidP="000A5BEA">
      <w:pPr>
        <w:jc w:val="both"/>
        <w:rPr>
          <w:rFonts w:ascii="Arial" w:hAnsi="Arial" w:cs="Arial"/>
          <w:sz w:val="22"/>
          <w:szCs w:val="22"/>
        </w:rPr>
      </w:pPr>
    </w:p>
    <w:p w:rsidR="004662E4" w:rsidRPr="00D4546B" w:rsidRDefault="004662E4" w:rsidP="000A5BEA">
      <w:pPr>
        <w:jc w:val="center"/>
        <w:rPr>
          <w:rFonts w:ascii="Arial" w:hAnsi="Arial" w:cs="Arial"/>
          <w:b/>
          <w:sz w:val="18"/>
          <w:szCs w:val="22"/>
          <w:lang w:val="es-CO"/>
        </w:rPr>
      </w:pPr>
      <w:r w:rsidRPr="00D4546B">
        <w:rPr>
          <w:rFonts w:ascii="Arial" w:hAnsi="Arial" w:cs="Arial"/>
          <w:b/>
          <w:sz w:val="18"/>
          <w:szCs w:val="22"/>
          <w:lang w:val="es-CO"/>
        </w:rPr>
        <w:t>TABLA 8. INSTITUCIONES EDUCATIVAS POR MUNICIPIO</w:t>
      </w:r>
    </w:p>
    <w:p w:rsidR="004662E4" w:rsidRPr="00D4546B" w:rsidRDefault="004662E4" w:rsidP="000A5BEA">
      <w:pPr>
        <w:jc w:val="center"/>
        <w:rPr>
          <w:rFonts w:ascii="Arial" w:hAnsi="Arial" w:cs="Arial"/>
          <w:b/>
          <w:sz w:val="18"/>
          <w:szCs w:val="22"/>
          <w:lang w:val="es-CO"/>
        </w:rPr>
      </w:pPr>
      <w:r w:rsidRPr="00D4546B">
        <w:rPr>
          <w:rFonts w:ascii="Arial" w:hAnsi="Arial" w:cs="Arial"/>
          <w:b/>
          <w:sz w:val="18"/>
          <w:szCs w:val="22"/>
          <w:lang w:val="es-CO"/>
        </w:rPr>
        <w:t>Vigencia 2019</w:t>
      </w:r>
    </w:p>
    <w:p w:rsidR="004662E4" w:rsidRPr="00D4546B" w:rsidRDefault="004662E4" w:rsidP="000A5BEA">
      <w:pPr>
        <w:jc w:val="center"/>
        <w:rPr>
          <w:rFonts w:ascii="Arial" w:hAnsi="Arial" w:cs="Arial"/>
          <w:sz w:val="22"/>
          <w:szCs w:val="22"/>
        </w:rPr>
      </w:pPr>
      <w:r w:rsidRPr="00D4546B">
        <w:rPr>
          <w:rFonts w:ascii="Arial" w:hAnsi="Arial" w:cs="Arial"/>
          <w:noProof/>
          <w:lang w:val="es-CO" w:eastAsia="es-CO"/>
        </w:rPr>
        <w:drawing>
          <wp:inline distT="0" distB="0" distL="0" distR="0">
            <wp:extent cx="3386043" cy="3317875"/>
            <wp:effectExtent l="0" t="0" r="508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89227" cy="3320995"/>
                    </a:xfrm>
                    <a:prstGeom prst="rect">
                      <a:avLst/>
                    </a:prstGeom>
                    <a:noFill/>
                    <a:ln>
                      <a:noFill/>
                    </a:ln>
                  </pic:spPr>
                </pic:pic>
              </a:graphicData>
            </a:graphic>
          </wp:inline>
        </w:drawing>
      </w:r>
    </w:p>
    <w:p w:rsidR="004662E4" w:rsidRPr="00D4546B" w:rsidRDefault="00F018CE" w:rsidP="000A5BEA">
      <w:pPr>
        <w:jc w:val="center"/>
        <w:rPr>
          <w:rStyle w:val="nfasissutil"/>
          <w:rFonts w:cs="Arial"/>
          <w:i/>
        </w:rPr>
      </w:pPr>
      <w:r>
        <w:rPr>
          <w:rStyle w:val="nfasissutil"/>
          <w:rFonts w:cs="Arial"/>
          <w:i/>
        </w:rPr>
        <w:t>Fuente: Secretarí</w:t>
      </w:r>
      <w:r w:rsidR="004662E4" w:rsidRPr="00D4546B">
        <w:rPr>
          <w:rStyle w:val="nfasissutil"/>
          <w:rFonts w:cs="Arial"/>
          <w:i/>
        </w:rPr>
        <w:t>a de Educación</w:t>
      </w:r>
      <w:r w:rsidR="008040A0">
        <w:rPr>
          <w:rStyle w:val="nfasissutil"/>
          <w:rFonts w:cs="Arial"/>
          <w:i/>
        </w:rPr>
        <w:t xml:space="preserve"> </w:t>
      </w:r>
      <w:r w:rsidR="004662E4" w:rsidRPr="00D4546B">
        <w:rPr>
          <w:rStyle w:val="nfasissutil"/>
          <w:rFonts w:cs="Arial"/>
          <w:i/>
        </w:rPr>
        <w:t>e información del Ministerio de Educación Nacional</w:t>
      </w:r>
    </w:p>
    <w:p w:rsidR="004662E4" w:rsidRPr="00D4546B" w:rsidRDefault="004662E4" w:rsidP="000A5BEA">
      <w:pPr>
        <w:jc w:val="both"/>
        <w:rPr>
          <w:rFonts w:ascii="Arial" w:hAnsi="Arial" w:cs="Arial"/>
          <w:sz w:val="20"/>
          <w:szCs w:val="20"/>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 xml:space="preserve">Los archivos 4.5 Actualizaciones de sedes no oficiales y 4.5 Actualizaciones sedes no oficiales y oficiales son consistentes en cuanto al número de </w:t>
      </w:r>
      <w:r w:rsidR="00F018CE">
        <w:rPr>
          <w:rFonts w:ascii="Arial" w:hAnsi="Arial" w:cs="Arial"/>
          <w:sz w:val="22"/>
          <w:szCs w:val="22"/>
        </w:rPr>
        <w:t xml:space="preserve">Establecimientos Educativos </w:t>
      </w:r>
      <w:r w:rsidRPr="00D4546B">
        <w:rPr>
          <w:rFonts w:ascii="Arial" w:hAnsi="Arial" w:cs="Arial"/>
          <w:sz w:val="22"/>
          <w:szCs w:val="22"/>
        </w:rPr>
        <w:t>y su estado. Sin embargo, se encuentran inconsistencias en la información del archivo 4.5 Actualizaciones de establecimientos oficiales y no oficiales (Tabla 9).</w:t>
      </w:r>
    </w:p>
    <w:p w:rsidR="004662E4" w:rsidRPr="00D4546B" w:rsidRDefault="004662E4" w:rsidP="000A5BEA">
      <w:pPr>
        <w:jc w:val="both"/>
        <w:rPr>
          <w:rFonts w:ascii="Arial" w:hAnsi="Arial" w:cs="Arial"/>
          <w:sz w:val="22"/>
          <w:szCs w:val="22"/>
        </w:rPr>
      </w:pPr>
    </w:p>
    <w:p w:rsidR="004662E4" w:rsidRPr="00D4546B" w:rsidRDefault="004662E4" w:rsidP="000A5BEA">
      <w:pPr>
        <w:jc w:val="center"/>
        <w:rPr>
          <w:rFonts w:ascii="Arial" w:hAnsi="Arial" w:cs="Arial"/>
          <w:b/>
          <w:sz w:val="18"/>
          <w:szCs w:val="22"/>
          <w:lang w:val="es-CO"/>
        </w:rPr>
      </w:pPr>
      <w:r w:rsidRPr="00D4546B">
        <w:rPr>
          <w:rFonts w:ascii="Arial" w:hAnsi="Arial" w:cs="Arial"/>
          <w:b/>
          <w:sz w:val="18"/>
          <w:szCs w:val="22"/>
          <w:lang w:val="es-CO"/>
        </w:rPr>
        <w:t xml:space="preserve">TABLA 9. COMPARATIVO NÚMERO DE ESTABLECIMIENTOS Y SEDES </w:t>
      </w:r>
    </w:p>
    <w:p w:rsidR="004662E4" w:rsidRPr="00D4546B" w:rsidRDefault="004662E4" w:rsidP="000A5BEA">
      <w:pPr>
        <w:jc w:val="center"/>
        <w:rPr>
          <w:rFonts w:ascii="Arial" w:hAnsi="Arial" w:cs="Arial"/>
          <w:b/>
          <w:sz w:val="18"/>
          <w:szCs w:val="22"/>
          <w:lang w:val="es-CO"/>
        </w:rPr>
      </w:pPr>
      <w:r w:rsidRPr="00D4546B">
        <w:rPr>
          <w:rFonts w:ascii="Arial" w:hAnsi="Arial" w:cs="Arial"/>
          <w:b/>
          <w:sz w:val="18"/>
          <w:szCs w:val="22"/>
          <w:lang w:val="es-CO"/>
        </w:rPr>
        <w:t>Vigencia 2019</w:t>
      </w:r>
    </w:p>
    <w:p w:rsidR="004662E4" w:rsidRPr="00D4546B" w:rsidRDefault="004662E4" w:rsidP="000A5BEA">
      <w:pPr>
        <w:jc w:val="center"/>
        <w:rPr>
          <w:rFonts w:ascii="Arial" w:hAnsi="Arial" w:cs="Arial"/>
          <w:sz w:val="22"/>
          <w:szCs w:val="22"/>
        </w:rPr>
      </w:pPr>
      <w:r w:rsidRPr="00D4546B">
        <w:rPr>
          <w:rFonts w:ascii="Arial" w:hAnsi="Arial" w:cs="Arial"/>
          <w:noProof/>
          <w:lang w:val="es-CO" w:eastAsia="es-CO"/>
        </w:rPr>
        <w:drawing>
          <wp:inline distT="0" distB="0" distL="0" distR="0">
            <wp:extent cx="5012906" cy="114831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3256" cy="1155271"/>
                    </a:xfrm>
                    <a:prstGeom prst="rect">
                      <a:avLst/>
                    </a:prstGeom>
                    <a:noFill/>
                    <a:ln>
                      <a:noFill/>
                    </a:ln>
                  </pic:spPr>
                </pic:pic>
              </a:graphicData>
            </a:graphic>
          </wp:inline>
        </w:drawing>
      </w:r>
    </w:p>
    <w:p w:rsidR="004662E4" w:rsidRPr="00D4546B" w:rsidRDefault="004662E4" w:rsidP="000A5BEA">
      <w:pPr>
        <w:jc w:val="center"/>
        <w:rPr>
          <w:rStyle w:val="nfasissutil"/>
          <w:rFonts w:cs="Arial"/>
          <w:i/>
        </w:rPr>
      </w:pPr>
      <w:r w:rsidRPr="00D4546B">
        <w:rPr>
          <w:rStyle w:val="nfasissutil"/>
          <w:rFonts w:cs="Arial"/>
          <w:i/>
        </w:rPr>
        <w:t>Fuente: documentos 4.5 Actualizaciones de establecimientos oficiales y no oficiales, 4.5 Actualizaciones sedes no oficiales y oficiales</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b/>
          <w:bCs/>
          <w:sz w:val="22"/>
          <w:szCs w:val="22"/>
        </w:rPr>
      </w:pPr>
      <w:r w:rsidRPr="00D4546B">
        <w:rPr>
          <w:rFonts w:ascii="Arial" w:hAnsi="Arial" w:cs="Arial"/>
          <w:b/>
          <w:bCs/>
          <w:sz w:val="22"/>
          <w:szCs w:val="22"/>
        </w:rPr>
        <w:t>SIFSE</w:t>
      </w:r>
    </w:p>
    <w:p w:rsidR="00753D6E" w:rsidRPr="00D4546B" w:rsidRDefault="00753D6E"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En el archivo 4.6 Actualización de cuentas maestras (SIFSE), se encuentra registrad</w:t>
      </w:r>
      <w:r w:rsidR="00F018CE">
        <w:rPr>
          <w:rFonts w:ascii="Arial" w:hAnsi="Arial" w:cs="Arial"/>
          <w:sz w:val="22"/>
          <w:szCs w:val="22"/>
        </w:rPr>
        <w:t>o</w:t>
      </w:r>
      <w:r w:rsidRPr="00D4546B">
        <w:rPr>
          <w:rFonts w:ascii="Arial" w:hAnsi="Arial" w:cs="Arial"/>
          <w:sz w:val="22"/>
          <w:szCs w:val="22"/>
        </w:rPr>
        <w:t xml:space="preserve">s 321 </w:t>
      </w:r>
      <w:r w:rsidR="00F018CE">
        <w:rPr>
          <w:rFonts w:ascii="Arial" w:hAnsi="Arial" w:cs="Arial"/>
          <w:sz w:val="22"/>
          <w:szCs w:val="22"/>
        </w:rPr>
        <w:t xml:space="preserve">Establecimientos Educativos </w:t>
      </w:r>
      <w:r w:rsidRPr="00D4546B">
        <w:rPr>
          <w:rFonts w:ascii="Arial" w:hAnsi="Arial" w:cs="Arial"/>
          <w:sz w:val="22"/>
          <w:szCs w:val="22"/>
        </w:rPr>
        <w:t>con una cuenta asociada.</w:t>
      </w:r>
    </w:p>
    <w:p w:rsidR="004662E4" w:rsidRPr="00D4546B" w:rsidRDefault="004662E4" w:rsidP="000A5BEA">
      <w:pPr>
        <w:jc w:val="both"/>
        <w:rPr>
          <w:rFonts w:ascii="Arial" w:hAnsi="Arial" w:cs="Arial"/>
          <w:sz w:val="22"/>
          <w:szCs w:val="22"/>
        </w:rPr>
      </w:pPr>
    </w:p>
    <w:p w:rsidR="004662E4" w:rsidRPr="00D4546B" w:rsidRDefault="00F018CE" w:rsidP="000A5BEA">
      <w:pPr>
        <w:jc w:val="both"/>
        <w:rPr>
          <w:rFonts w:ascii="Arial" w:hAnsi="Arial" w:cs="Arial"/>
        </w:rPr>
      </w:pPr>
      <w:r>
        <w:rPr>
          <w:rFonts w:ascii="Arial" w:hAnsi="Arial" w:cs="Arial"/>
          <w:sz w:val="22"/>
          <w:szCs w:val="22"/>
        </w:rPr>
        <w:t xml:space="preserve">El </w:t>
      </w:r>
      <w:r w:rsidR="004662E4" w:rsidRPr="00D4546B">
        <w:rPr>
          <w:rFonts w:ascii="Arial" w:hAnsi="Arial" w:cs="Arial"/>
          <w:sz w:val="22"/>
          <w:szCs w:val="22"/>
        </w:rPr>
        <w:t>Centro Educativo Cantina</w:t>
      </w:r>
      <w:r>
        <w:rPr>
          <w:rFonts w:ascii="Arial" w:hAnsi="Arial" w:cs="Arial"/>
          <w:sz w:val="22"/>
          <w:szCs w:val="22"/>
        </w:rPr>
        <w:t>,</w:t>
      </w:r>
      <w:r w:rsidR="004662E4" w:rsidRPr="00D4546B">
        <w:rPr>
          <w:rFonts w:ascii="Arial" w:hAnsi="Arial" w:cs="Arial"/>
          <w:sz w:val="22"/>
          <w:szCs w:val="22"/>
        </w:rPr>
        <w:t xml:space="preserve"> que no se encuentra en el archivo 4.5 Actualizaciones sedes no oficiales y oficiales, tiene una cuenta asociada en el archivo 4.6 Actualización de cuentas maestras (SIFSE).</w:t>
      </w:r>
    </w:p>
    <w:p w:rsidR="004662E4" w:rsidRPr="00D4546B" w:rsidRDefault="004662E4" w:rsidP="000A5BEA">
      <w:pPr>
        <w:jc w:val="both"/>
        <w:rPr>
          <w:rFonts w:ascii="Arial" w:hAnsi="Arial" w:cs="Arial"/>
          <w:b/>
          <w:bCs/>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Tod</w:t>
      </w:r>
      <w:r w:rsidR="00F018CE">
        <w:rPr>
          <w:rFonts w:ascii="Arial" w:hAnsi="Arial" w:cs="Arial"/>
          <w:sz w:val="22"/>
          <w:szCs w:val="22"/>
        </w:rPr>
        <w:t xml:space="preserve">os los Establecimientos Educativos </w:t>
      </w:r>
      <w:r w:rsidRPr="00D4546B">
        <w:rPr>
          <w:rFonts w:ascii="Arial" w:hAnsi="Arial" w:cs="Arial"/>
          <w:sz w:val="22"/>
          <w:szCs w:val="22"/>
        </w:rPr>
        <w:t xml:space="preserve">en el archivo 4.6 Actualización de cuentas maestras (SIFSE) se encuentran en el archivo 4.5 Actualizaciones establecimientos oficiales y no oficiales, pero </w:t>
      </w:r>
      <w:r w:rsidR="00E215B5">
        <w:rPr>
          <w:rFonts w:ascii="Arial" w:hAnsi="Arial" w:cs="Arial"/>
          <w:sz w:val="22"/>
          <w:szCs w:val="22"/>
        </w:rPr>
        <w:t xml:space="preserve">el </w:t>
      </w:r>
      <w:r w:rsidRPr="00D4546B">
        <w:rPr>
          <w:rFonts w:ascii="Arial" w:hAnsi="Arial" w:cs="Arial"/>
          <w:sz w:val="22"/>
          <w:szCs w:val="22"/>
        </w:rPr>
        <w:t xml:space="preserve">Centro Educativo Cantina aparece con cierre definitivo y </w:t>
      </w:r>
      <w:r w:rsidR="00E215B5">
        <w:rPr>
          <w:rFonts w:ascii="Arial" w:hAnsi="Arial" w:cs="Arial"/>
          <w:sz w:val="22"/>
          <w:szCs w:val="22"/>
        </w:rPr>
        <w:t xml:space="preserve">la </w:t>
      </w:r>
      <w:r w:rsidR="00E215B5" w:rsidRPr="00D4546B">
        <w:rPr>
          <w:rFonts w:ascii="Arial" w:hAnsi="Arial" w:cs="Arial"/>
          <w:sz w:val="22"/>
          <w:szCs w:val="22"/>
        </w:rPr>
        <w:t>Institución Educativa Lorenza Abajo</w:t>
      </w:r>
      <w:r w:rsidRPr="00D4546B">
        <w:rPr>
          <w:rFonts w:ascii="Arial" w:hAnsi="Arial" w:cs="Arial"/>
          <w:sz w:val="22"/>
          <w:szCs w:val="22"/>
        </w:rPr>
        <w:t>, con código 223090000411, aparece con cierre temporal (Tabla 10).</w:t>
      </w:r>
    </w:p>
    <w:p w:rsidR="004662E4" w:rsidRPr="00D4546B" w:rsidRDefault="004662E4" w:rsidP="000A5BEA">
      <w:pPr>
        <w:jc w:val="both"/>
        <w:rPr>
          <w:rFonts w:ascii="Arial" w:hAnsi="Arial" w:cs="Arial"/>
          <w:b/>
          <w:bCs/>
          <w:sz w:val="22"/>
          <w:szCs w:val="22"/>
        </w:rPr>
      </w:pPr>
    </w:p>
    <w:p w:rsidR="004662E4" w:rsidRPr="00D4546B" w:rsidRDefault="004662E4" w:rsidP="000A5BEA">
      <w:pPr>
        <w:jc w:val="center"/>
        <w:rPr>
          <w:rFonts w:ascii="Arial" w:hAnsi="Arial" w:cs="Arial"/>
          <w:b/>
          <w:sz w:val="18"/>
          <w:szCs w:val="22"/>
          <w:lang w:val="es-CO"/>
        </w:rPr>
      </w:pPr>
      <w:r w:rsidRPr="00D4546B">
        <w:rPr>
          <w:rFonts w:ascii="Arial" w:hAnsi="Arial" w:cs="Arial"/>
          <w:b/>
          <w:sz w:val="18"/>
          <w:szCs w:val="22"/>
          <w:lang w:val="es-CO"/>
        </w:rPr>
        <w:t>TABLA 10.</w:t>
      </w:r>
      <w:r w:rsidRPr="00D4546B">
        <w:rPr>
          <w:rFonts w:ascii="Arial" w:hAnsi="Arial" w:cs="Arial"/>
        </w:rPr>
        <w:t xml:space="preserve"> </w:t>
      </w:r>
      <w:r w:rsidRPr="00D4546B">
        <w:rPr>
          <w:rFonts w:ascii="Arial" w:hAnsi="Arial" w:cs="Arial"/>
          <w:b/>
          <w:sz w:val="18"/>
          <w:szCs w:val="22"/>
          <w:lang w:val="es-CO"/>
        </w:rPr>
        <w:t>IED NO ACTIVAS SEGÚN EL ARCHIVO DE ESTABLECIMIENTOS CON CUENTA ACTIVA EN EL SIFSE</w:t>
      </w:r>
    </w:p>
    <w:p w:rsidR="004662E4" w:rsidRPr="00D4546B" w:rsidRDefault="004662E4" w:rsidP="000A5BEA">
      <w:pPr>
        <w:jc w:val="center"/>
        <w:rPr>
          <w:rFonts w:ascii="Arial" w:hAnsi="Arial" w:cs="Arial"/>
          <w:b/>
          <w:sz w:val="18"/>
          <w:szCs w:val="22"/>
          <w:lang w:val="es-CO"/>
        </w:rPr>
      </w:pPr>
      <w:r w:rsidRPr="00D4546B">
        <w:rPr>
          <w:rFonts w:ascii="Arial" w:hAnsi="Arial" w:cs="Arial"/>
          <w:b/>
          <w:sz w:val="18"/>
          <w:szCs w:val="22"/>
          <w:lang w:val="es-CO"/>
        </w:rPr>
        <w:t>Vigencia 2019</w:t>
      </w:r>
    </w:p>
    <w:p w:rsidR="004662E4" w:rsidRPr="00D4546B" w:rsidRDefault="004662E4" w:rsidP="00AB6A00">
      <w:pPr>
        <w:jc w:val="center"/>
        <w:rPr>
          <w:rFonts w:ascii="Arial" w:hAnsi="Arial" w:cs="Arial"/>
          <w:sz w:val="22"/>
          <w:szCs w:val="22"/>
        </w:rPr>
      </w:pPr>
      <w:r w:rsidRPr="00D4546B">
        <w:rPr>
          <w:rFonts w:ascii="Arial" w:hAnsi="Arial" w:cs="Arial"/>
          <w:noProof/>
          <w:lang w:val="es-CO" w:eastAsia="es-CO"/>
        </w:rPr>
        <w:drawing>
          <wp:inline distT="0" distB="0" distL="0" distR="0">
            <wp:extent cx="5137150" cy="5549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65090" cy="557993"/>
                    </a:xfrm>
                    <a:prstGeom prst="rect">
                      <a:avLst/>
                    </a:prstGeom>
                    <a:noFill/>
                    <a:ln>
                      <a:noFill/>
                    </a:ln>
                  </pic:spPr>
                </pic:pic>
              </a:graphicData>
            </a:graphic>
          </wp:inline>
        </w:drawing>
      </w:r>
    </w:p>
    <w:p w:rsidR="004662E4" w:rsidRPr="00D4546B" w:rsidRDefault="004662E4" w:rsidP="000A5BEA">
      <w:pPr>
        <w:jc w:val="center"/>
        <w:rPr>
          <w:rFonts w:ascii="Arial" w:hAnsi="Arial" w:cs="Arial"/>
          <w:b/>
          <w:bCs/>
          <w:sz w:val="22"/>
          <w:szCs w:val="22"/>
        </w:rPr>
      </w:pPr>
      <w:r w:rsidRPr="00D4546B">
        <w:rPr>
          <w:rStyle w:val="nfasissutil"/>
          <w:rFonts w:cs="Arial"/>
          <w:i/>
        </w:rPr>
        <w:t>Fuente: documentos 4.5 Actualizaciones de establecimientos oficiales y no oficiales, 4.6 Actualización de cuentas maestras SIFSE</w:t>
      </w:r>
    </w:p>
    <w:p w:rsidR="004662E4" w:rsidRPr="00D4546B" w:rsidRDefault="004662E4" w:rsidP="000A5BEA">
      <w:pPr>
        <w:jc w:val="both"/>
        <w:rPr>
          <w:rFonts w:ascii="Arial" w:hAnsi="Arial" w:cs="Arial"/>
          <w:b/>
          <w:bCs/>
          <w:sz w:val="22"/>
          <w:szCs w:val="22"/>
        </w:rPr>
      </w:pPr>
    </w:p>
    <w:p w:rsidR="004662E4" w:rsidRDefault="004662E4" w:rsidP="000A5BEA">
      <w:pPr>
        <w:jc w:val="both"/>
        <w:rPr>
          <w:rFonts w:ascii="Arial" w:hAnsi="Arial" w:cs="Arial"/>
          <w:sz w:val="22"/>
          <w:szCs w:val="22"/>
        </w:rPr>
      </w:pPr>
      <w:r w:rsidRPr="00D4546B">
        <w:rPr>
          <w:rFonts w:ascii="Arial" w:hAnsi="Arial" w:cs="Arial"/>
          <w:sz w:val="22"/>
          <w:szCs w:val="22"/>
        </w:rPr>
        <w:t xml:space="preserve">Adicionalmente, tanto en el archivo 4.5 Actualizaciones sedes no oficiales y oficiales como en el 4.5 Actualizaciones establecimientos oficiales y no oficiales, se encuentran 15 </w:t>
      </w:r>
      <w:r w:rsidR="00E215B5">
        <w:rPr>
          <w:rFonts w:ascii="Arial" w:hAnsi="Arial" w:cs="Arial"/>
          <w:sz w:val="22"/>
          <w:szCs w:val="22"/>
        </w:rPr>
        <w:t xml:space="preserve">Establecimientos Educativos </w:t>
      </w:r>
      <w:r w:rsidRPr="00D4546B">
        <w:rPr>
          <w:rFonts w:ascii="Arial" w:hAnsi="Arial" w:cs="Arial"/>
          <w:sz w:val="22"/>
          <w:szCs w:val="22"/>
        </w:rPr>
        <w:t>oficial</w:t>
      </w:r>
      <w:r w:rsidR="00E215B5">
        <w:rPr>
          <w:rFonts w:ascii="Arial" w:hAnsi="Arial" w:cs="Arial"/>
          <w:sz w:val="22"/>
          <w:szCs w:val="22"/>
        </w:rPr>
        <w:t>es</w:t>
      </w:r>
      <w:r w:rsidRPr="00D4546B">
        <w:rPr>
          <w:rFonts w:ascii="Arial" w:hAnsi="Arial" w:cs="Arial"/>
          <w:sz w:val="22"/>
          <w:szCs w:val="22"/>
        </w:rPr>
        <w:t xml:space="preserve"> y con estado activo que no aparecen en el archivo 4.6 Actualización de cuentas maestras (SIFSE) (Tabla 11).</w:t>
      </w:r>
    </w:p>
    <w:p w:rsidR="00AB6A00" w:rsidRPr="00D4546B" w:rsidRDefault="00AB6A00" w:rsidP="000A5BEA">
      <w:pPr>
        <w:jc w:val="both"/>
        <w:rPr>
          <w:rFonts w:ascii="Arial" w:hAnsi="Arial" w:cs="Arial"/>
          <w:sz w:val="22"/>
          <w:szCs w:val="22"/>
        </w:rPr>
      </w:pPr>
    </w:p>
    <w:p w:rsidR="004662E4" w:rsidRPr="00D4546B" w:rsidRDefault="004662E4" w:rsidP="000A5BEA">
      <w:pPr>
        <w:jc w:val="center"/>
        <w:rPr>
          <w:rFonts w:ascii="Arial" w:hAnsi="Arial" w:cs="Arial"/>
          <w:b/>
          <w:sz w:val="18"/>
          <w:szCs w:val="22"/>
          <w:lang w:val="es-CO"/>
        </w:rPr>
      </w:pPr>
      <w:r w:rsidRPr="00D4546B">
        <w:rPr>
          <w:rFonts w:ascii="Arial" w:hAnsi="Arial" w:cs="Arial"/>
          <w:b/>
          <w:sz w:val="18"/>
          <w:szCs w:val="22"/>
          <w:lang w:val="es-CO"/>
        </w:rPr>
        <w:t>TABLA 11. IED ACTIVAS SEGÚN LOS ARCHIVOS DE ESTABLECIMIENTOS Y SEDES SIN CUENTA ACTIVA EN EL SIFSE</w:t>
      </w:r>
      <w:r w:rsidR="00785277">
        <w:rPr>
          <w:rFonts w:ascii="Arial" w:hAnsi="Arial" w:cs="Arial"/>
          <w:b/>
          <w:sz w:val="18"/>
          <w:szCs w:val="22"/>
          <w:lang w:val="es-CO"/>
        </w:rPr>
        <w:t xml:space="preserve"> </w:t>
      </w:r>
    </w:p>
    <w:p w:rsidR="004662E4" w:rsidRPr="00D4546B" w:rsidRDefault="004662E4" w:rsidP="000A5BEA">
      <w:pPr>
        <w:jc w:val="center"/>
        <w:rPr>
          <w:rFonts w:ascii="Arial" w:hAnsi="Arial" w:cs="Arial"/>
          <w:b/>
          <w:sz w:val="18"/>
          <w:szCs w:val="22"/>
          <w:lang w:val="es-CO"/>
        </w:rPr>
      </w:pPr>
      <w:r w:rsidRPr="00D4546B">
        <w:rPr>
          <w:rFonts w:ascii="Arial" w:hAnsi="Arial" w:cs="Arial"/>
          <w:b/>
          <w:sz w:val="18"/>
          <w:szCs w:val="22"/>
          <w:lang w:val="es-CO"/>
        </w:rPr>
        <w:t>Vigencia 2019</w:t>
      </w:r>
    </w:p>
    <w:p w:rsidR="004662E4" w:rsidRPr="00D4546B" w:rsidRDefault="004662E4" w:rsidP="000A5BEA">
      <w:pPr>
        <w:jc w:val="center"/>
        <w:rPr>
          <w:rFonts w:ascii="Arial" w:hAnsi="Arial" w:cs="Arial"/>
          <w:b/>
          <w:sz w:val="18"/>
          <w:szCs w:val="22"/>
          <w:lang w:val="es-CO"/>
        </w:rPr>
      </w:pPr>
      <w:r w:rsidRPr="00D4546B">
        <w:rPr>
          <w:rFonts w:ascii="Arial" w:hAnsi="Arial" w:cs="Arial"/>
          <w:noProof/>
          <w:lang w:val="es-CO" w:eastAsia="es-CO"/>
        </w:rPr>
        <w:drawing>
          <wp:inline distT="0" distB="0" distL="0" distR="0">
            <wp:extent cx="4961255" cy="2000749"/>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91098" cy="2012784"/>
                    </a:xfrm>
                    <a:prstGeom prst="rect">
                      <a:avLst/>
                    </a:prstGeom>
                    <a:noFill/>
                    <a:ln>
                      <a:noFill/>
                    </a:ln>
                  </pic:spPr>
                </pic:pic>
              </a:graphicData>
            </a:graphic>
          </wp:inline>
        </w:drawing>
      </w:r>
    </w:p>
    <w:p w:rsidR="004662E4" w:rsidRPr="00D4546B" w:rsidRDefault="004662E4" w:rsidP="000A5BEA">
      <w:pPr>
        <w:jc w:val="center"/>
        <w:rPr>
          <w:rStyle w:val="nfasissutil"/>
          <w:rFonts w:cs="Arial"/>
          <w:i/>
        </w:rPr>
      </w:pPr>
      <w:r w:rsidRPr="00D4546B">
        <w:rPr>
          <w:rStyle w:val="nfasissutil"/>
          <w:rFonts w:cs="Arial"/>
          <w:i/>
        </w:rPr>
        <w:t>Fuente: documentos 4.5 Actualizaciones de establecimientos oficiales y no oficiales, 4.6 Actualización de cuentas maestras SIFSE, 4.5 Actualizaciones sedes no oficiales y oficiales</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b/>
          <w:bCs/>
          <w:sz w:val="22"/>
          <w:szCs w:val="22"/>
        </w:rPr>
      </w:pPr>
      <w:r w:rsidRPr="00D4546B">
        <w:rPr>
          <w:rFonts w:ascii="Arial" w:hAnsi="Arial" w:cs="Arial"/>
          <w:b/>
          <w:bCs/>
          <w:sz w:val="22"/>
          <w:szCs w:val="22"/>
        </w:rPr>
        <w:t>HUMANO</w:t>
      </w:r>
    </w:p>
    <w:p w:rsidR="00753D6E" w:rsidRPr="00D4546B" w:rsidRDefault="00753D6E"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La entidad envió un comparativo en el archivo 4.6 Validación DUE vs HUMANO con corte a marzo 13 de 2020, pero el archivo no es una consulta de HUMANO.</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lastRenderedPageBreak/>
        <w:t xml:space="preserve">Se encuentran 72 sedes que no están en el archivo 4.6 Validación DUE vs HUMANO con corte a marzo 13 </w:t>
      </w:r>
      <w:r w:rsidR="00E215B5">
        <w:rPr>
          <w:rFonts w:ascii="Arial" w:hAnsi="Arial" w:cs="Arial"/>
          <w:sz w:val="22"/>
          <w:szCs w:val="22"/>
        </w:rPr>
        <w:t xml:space="preserve">de </w:t>
      </w:r>
      <w:r w:rsidRPr="00D4546B">
        <w:rPr>
          <w:rFonts w:ascii="Arial" w:hAnsi="Arial" w:cs="Arial"/>
          <w:sz w:val="22"/>
          <w:szCs w:val="22"/>
        </w:rPr>
        <w:t xml:space="preserve">2020, pero se encuentran en el archivo 4.5 Actualizaciones sedes no oficiales y oficiales como sedes oficiales con estado Antiguo-Activo o Nuevo-Activo. Esto significaría que existen sedes activas, probablemente con estudiantes asociados, pero sin docentes </w:t>
      </w:r>
      <w:r w:rsidR="00E215B5">
        <w:rPr>
          <w:rFonts w:ascii="Arial" w:hAnsi="Arial" w:cs="Arial"/>
          <w:sz w:val="22"/>
          <w:szCs w:val="22"/>
        </w:rPr>
        <w:t>asignados</w:t>
      </w:r>
      <w:r w:rsidRPr="00D4546B">
        <w:rPr>
          <w:rFonts w:ascii="Arial" w:hAnsi="Arial" w:cs="Arial"/>
          <w:sz w:val="22"/>
          <w:szCs w:val="22"/>
        </w:rPr>
        <w:t xml:space="preserve">. Este registro inadecuado crea dificultades para el cálculo de relaciones alumno docente y </w:t>
      </w:r>
      <w:r w:rsidR="00E215B5">
        <w:rPr>
          <w:rFonts w:ascii="Arial" w:hAnsi="Arial" w:cs="Arial"/>
          <w:sz w:val="22"/>
          <w:szCs w:val="22"/>
        </w:rPr>
        <w:t xml:space="preserve">la </w:t>
      </w:r>
      <w:r w:rsidRPr="00D4546B">
        <w:rPr>
          <w:rFonts w:ascii="Arial" w:hAnsi="Arial" w:cs="Arial"/>
          <w:sz w:val="22"/>
          <w:szCs w:val="22"/>
        </w:rPr>
        <w:t>toma de decisiones sobre distribución de la planta de personal (Tabla 12).</w:t>
      </w:r>
    </w:p>
    <w:p w:rsidR="004662E4" w:rsidRPr="00D4546B" w:rsidRDefault="004662E4" w:rsidP="000A5BEA">
      <w:pPr>
        <w:jc w:val="both"/>
        <w:rPr>
          <w:rFonts w:ascii="Arial" w:hAnsi="Arial" w:cs="Arial"/>
          <w:sz w:val="22"/>
          <w:szCs w:val="22"/>
        </w:rPr>
      </w:pPr>
    </w:p>
    <w:p w:rsidR="004662E4" w:rsidRDefault="004662E4" w:rsidP="000A5BEA">
      <w:pPr>
        <w:jc w:val="both"/>
        <w:rPr>
          <w:rFonts w:ascii="Arial" w:hAnsi="Arial" w:cs="Arial"/>
          <w:sz w:val="22"/>
          <w:szCs w:val="22"/>
        </w:rPr>
      </w:pPr>
      <w:r w:rsidRPr="00D4546B">
        <w:rPr>
          <w:rFonts w:ascii="Arial" w:hAnsi="Arial" w:cs="Arial"/>
          <w:sz w:val="22"/>
          <w:szCs w:val="22"/>
        </w:rPr>
        <w:t>Se evidenciaron inconsistencias entre la resolución, la consulta del DUE y las consultas del SIFSE y HUMANO. Por lo anterior, la actividad se encuentra incumplida.</w:t>
      </w:r>
    </w:p>
    <w:p w:rsidR="00AB6A00" w:rsidRDefault="00AB6A00" w:rsidP="000A5BEA">
      <w:pPr>
        <w:jc w:val="both"/>
        <w:rPr>
          <w:rFonts w:ascii="Arial" w:hAnsi="Arial" w:cs="Arial"/>
          <w:sz w:val="22"/>
          <w:szCs w:val="22"/>
        </w:rPr>
      </w:pPr>
    </w:p>
    <w:p w:rsidR="004662E4" w:rsidRPr="00D4546B" w:rsidRDefault="004662E4" w:rsidP="000A5BEA">
      <w:pPr>
        <w:jc w:val="center"/>
        <w:rPr>
          <w:rFonts w:ascii="Arial" w:hAnsi="Arial" w:cs="Arial"/>
          <w:b/>
          <w:sz w:val="18"/>
          <w:szCs w:val="22"/>
          <w:lang w:val="es-CO"/>
        </w:rPr>
      </w:pPr>
      <w:r w:rsidRPr="00D4546B">
        <w:rPr>
          <w:rFonts w:ascii="Arial" w:hAnsi="Arial" w:cs="Arial"/>
          <w:b/>
          <w:sz w:val="18"/>
          <w:szCs w:val="22"/>
          <w:lang w:val="es-CO"/>
        </w:rPr>
        <w:t>TABLA 12. SEDES OFICIALES ACTIVAS EN EL ARCHIVO DE SEDES QUE NO SE ENCUENTRAN EN EL ARCHIVO 4.6 VALIDACIÓN DUE VS HUMANO – Vigencia 2019</w:t>
      </w:r>
    </w:p>
    <w:p w:rsidR="004662E4" w:rsidRPr="00D4546B" w:rsidRDefault="004662E4" w:rsidP="000A5BEA">
      <w:pPr>
        <w:jc w:val="center"/>
        <w:rPr>
          <w:rFonts w:ascii="Arial" w:hAnsi="Arial" w:cs="Arial"/>
          <w:b/>
          <w:sz w:val="18"/>
          <w:szCs w:val="22"/>
          <w:lang w:val="es-CO"/>
        </w:rPr>
      </w:pPr>
      <w:r w:rsidRPr="00D4546B">
        <w:rPr>
          <w:rFonts w:ascii="Arial" w:hAnsi="Arial" w:cs="Arial"/>
          <w:noProof/>
          <w:lang w:val="es-CO" w:eastAsia="es-CO"/>
        </w:rPr>
        <w:lastRenderedPageBreak/>
        <w:drawing>
          <wp:inline distT="0" distB="0" distL="0" distR="0">
            <wp:extent cx="5762104" cy="73056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75389" cy="7322519"/>
                    </a:xfrm>
                    <a:prstGeom prst="rect">
                      <a:avLst/>
                    </a:prstGeom>
                    <a:noFill/>
                    <a:ln>
                      <a:noFill/>
                    </a:ln>
                  </pic:spPr>
                </pic:pic>
              </a:graphicData>
            </a:graphic>
          </wp:inline>
        </w:drawing>
      </w:r>
    </w:p>
    <w:p w:rsidR="004662E4" w:rsidRPr="00D4546B" w:rsidRDefault="004662E4" w:rsidP="000A5BEA">
      <w:pPr>
        <w:jc w:val="center"/>
        <w:rPr>
          <w:rStyle w:val="nfasissutil"/>
          <w:rFonts w:cs="Arial"/>
          <w:i/>
        </w:rPr>
      </w:pPr>
      <w:r w:rsidRPr="00D4546B">
        <w:rPr>
          <w:rStyle w:val="nfasissutil"/>
          <w:rFonts w:cs="Arial"/>
          <w:i/>
        </w:rPr>
        <w:t>Fuente: documentos 4.5 Actualizaciones sedes no oficiales y oficiales, 4.6 Validación DUE vs HUMANO con corte a marzo 13 2020</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b/>
          <w:sz w:val="22"/>
          <w:szCs w:val="22"/>
        </w:rPr>
      </w:pPr>
      <w:r w:rsidRPr="00D4546B">
        <w:rPr>
          <w:rFonts w:ascii="Arial" w:hAnsi="Arial" w:cs="Arial"/>
          <w:b/>
          <w:sz w:val="22"/>
          <w:szCs w:val="22"/>
        </w:rPr>
        <w:t>Actividad 1.3.1 Incorporar y ejecutar los recursos corrientes teniendo en cuenta su asignación y destinación, así como incorporar los recursos de balance de una vigencia a otra siguiendo lo ordenado en la técnica presupuestal y la normatividad vigente</w:t>
      </w:r>
    </w:p>
    <w:p w:rsidR="004662E4" w:rsidRPr="00D4546B" w:rsidRDefault="004662E4" w:rsidP="000A5BEA">
      <w:pPr>
        <w:jc w:val="both"/>
        <w:rPr>
          <w:rFonts w:ascii="Arial" w:hAnsi="Arial" w:cs="Arial"/>
          <w:b/>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Las evidencias se encuentran consignadas en el sistema SIED con el número de Expediente 22/2019/D028-PREDI.</w:t>
      </w:r>
      <w:r w:rsidR="008040A0">
        <w:rPr>
          <w:rFonts w:ascii="Arial" w:hAnsi="Arial" w:cs="Arial"/>
          <w:sz w:val="22"/>
          <w:szCs w:val="22"/>
        </w:rPr>
        <w:t xml:space="preserve"> </w:t>
      </w:r>
      <w:r w:rsidRPr="00D4546B">
        <w:rPr>
          <w:rFonts w:ascii="Arial" w:hAnsi="Arial" w:cs="Arial"/>
          <w:sz w:val="22"/>
          <w:szCs w:val="22"/>
        </w:rPr>
        <w:t>Dichas evidenc</w:t>
      </w:r>
      <w:r w:rsidR="00414845">
        <w:rPr>
          <w:rFonts w:ascii="Arial" w:hAnsi="Arial" w:cs="Arial"/>
          <w:sz w:val="22"/>
          <w:szCs w:val="22"/>
        </w:rPr>
        <w:t>ias se relacionan a continuación</w:t>
      </w:r>
      <w:r w:rsidRPr="00D4546B">
        <w:rPr>
          <w:rFonts w:ascii="Arial" w:hAnsi="Arial" w:cs="Arial"/>
          <w:sz w:val="22"/>
          <w:szCs w:val="22"/>
        </w:rPr>
        <w:t>:</w:t>
      </w:r>
    </w:p>
    <w:p w:rsidR="004662E4" w:rsidRPr="00D4546B" w:rsidRDefault="004662E4" w:rsidP="000A5BEA">
      <w:pPr>
        <w:jc w:val="both"/>
        <w:rPr>
          <w:rFonts w:ascii="Arial" w:hAnsi="Arial" w:cs="Arial"/>
          <w:sz w:val="22"/>
          <w:szCs w:val="22"/>
        </w:rPr>
      </w:pPr>
    </w:p>
    <w:p w:rsidR="004662E4" w:rsidRPr="00D4546B" w:rsidRDefault="004662E4" w:rsidP="000A5BEA">
      <w:pPr>
        <w:pStyle w:val="Prrafodelista"/>
        <w:numPr>
          <w:ilvl w:val="0"/>
          <w:numId w:val="15"/>
        </w:numPr>
        <w:jc w:val="both"/>
        <w:rPr>
          <w:rFonts w:ascii="Arial" w:hAnsi="Arial" w:cs="Arial"/>
          <w:sz w:val="22"/>
          <w:szCs w:val="22"/>
        </w:rPr>
      </w:pPr>
      <w:r w:rsidRPr="00D4546B">
        <w:rPr>
          <w:rFonts w:ascii="Arial" w:hAnsi="Arial" w:cs="Arial"/>
          <w:sz w:val="22"/>
          <w:szCs w:val="22"/>
        </w:rPr>
        <w:t>Ejecuciones presupuestales de ingresos y de gasto</w:t>
      </w:r>
    </w:p>
    <w:p w:rsidR="004662E4" w:rsidRPr="00D4546B" w:rsidRDefault="004662E4" w:rsidP="000A5BEA">
      <w:pPr>
        <w:pStyle w:val="Prrafodelista"/>
        <w:numPr>
          <w:ilvl w:val="0"/>
          <w:numId w:val="15"/>
        </w:numPr>
        <w:jc w:val="both"/>
        <w:rPr>
          <w:rFonts w:ascii="Arial" w:hAnsi="Arial" w:cs="Arial"/>
          <w:sz w:val="22"/>
          <w:szCs w:val="22"/>
        </w:rPr>
      </w:pPr>
      <w:r w:rsidRPr="00D4546B">
        <w:rPr>
          <w:rFonts w:ascii="Arial" w:hAnsi="Arial" w:cs="Arial"/>
          <w:sz w:val="22"/>
          <w:szCs w:val="22"/>
        </w:rPr>
        <w:t>Actos administrativos de incorporación de recursos del balance.</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La entidad territorial presentó las ejecuciones presupuestales de ingreso y gasto del 2019 incorporando los recursos corrientes SGP educación</w:t>
      </w:r>
      <w:r w:rsidR="00414845">
        <w:rPr>
          <w:rFonts w:ascii="Arial" w:hAnsi="Arial" w:cs="Arial"/>
          <w:sz w:val="22"/>
          <w:szCs w:val="22"/>
        </w:rPr>
        <w:t xml:space="preserve">, </w:t>
      </w:r>
      <w:r w:rsidRPr="00D4546B">
        <w:rPr>
          <w:rFonts w:ascii="Arial" w:hAnsi="Arial" w:cs="Arial"/>
          <w:sz w:val="22"/>
          <w:szCs w:val="22"/>
        </w:rPr>
        <w:t>recursos de balance por $1.897 millones y rendimientos financieros por $713 millones. Estas cantidades no coinciden exactamente con la información del saldo en caja y bancos para la vigencia 2018 entregado por la entidad territorial ($9.920 millones), las cuentas por pagar ($3.892 millones) y las reservas presupuestales ($3.432 millones).</w:t>
      </w:r>
      <w:r w:rsidR="008040A0">
        <w:rPr>
          <w:rFonts w:ascii="Arial" w:hAnsi="Arial" w:cs="Arial"/>
          <w:sz w:val="22"/>
          <w:szCs w:val="22"/>
        </w:rPr>
        <w:t xml:space="preserve"> </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La entidad entregó un informe de ejecución presupuestal para el periodo Enero-Diciembre de 2018 que evidencia el pago de cuentas por pagar por $3.032 millones</w:t>
      </w:r>
      <w:r w:rsidR="00414845">
        <w:rPr>
          <w:rFonts w:ascii="Arial" w:hAnsi="Arial" w:cs="Arial"/>
          <w:sz w:val="22"/>
          <w:szCs w:val="22"/>
        </w:rPr>
        <w:t>,</w:t>
      </w:r>
      <w:r w:rsidRPr="00D4546B">
        <w:rPr>
          <w:rFonts w:ascii="Arial" w:hAnsi="Arial" w:cs="Arial"/>
          <w:sz w:val="22"/>
          <w:szCs w:val="22"/>
        </w:rPr>
        <w:t xml:space="preserve"> cantidad inferior a las cuentas por pagar constituidas por acto administrativo</w:t>
      </w:r>
      <w:r w:rsidRPr="00D4546B">
        <w:rPr>
          <w:rStyle w:val="Refdenotaalpie"/>
          <w:rFonts w:ascii="Arial" w:hAnsi="Arial" w:cs="Arial"/>
          <w:sz w:val="22"/>
          <w:szCs w:val="22"/>
        </w:rPr>
        <w:footnoteReference w:id="2"/>
      </w:r>
      <w:r w:rsidRPr="00D4546B">
        <w:rPr>
          <w:rFonts w:ascii="Arial" w:hAnsi="Arial" w:cs="Arial"/>
          <w:sz w:val="22"/>
          <w:szCs w:val="22"/>
        </w:rPr>
        <w:t xml:space="preserve"> ($3.998 millones), y reportadas en el FUT ($3.892 millones) en la vigencia 2018. </w:t>
      </w:r>
      <w:bookmarkStart w:id="7" w:name="_Hlk39107410"/>
      <w:r w:rsidRPr="00D4546B">
        <w:rPr>
          <w:rFonts w:ascii="Arial" w:hAnsi="Arial" w:cs="Arial"/>
          <w:sz w:val="22"/>
          <w:szCs w:val="22"/>
        </w:rPr>
        <w:t>En el Decreto 0079 de 2020</w:t>
      </w:r>
      <w:r w:rsidR="00414845">
        <w:rPr>
          <w:rFonts w:ascii="Arial" w:hAnsi="Arial" w:cs="Arial"/>
          <w:sz w:val="22"/>
          <w:szCs w:val="22"/>
        </w:rPr>
        <w:t>,</w:t>
      </w:r>
      <w:r w:rsidRPr="00D4546B">
        <w:rPr>
          <w:rFonts w:ascii="Arial" w:hAnsi="Arial" w:cs="Arial"/>
          <w:sz w:val="22"/>
          <w:szCs w:val="22"/>
        </w:rPr>
        <w:t xml:space="preserve"> </w:t>
      </w:r>
      <w:r w:rsidRPr="00414845">
        <w:rPr>
          <w:rFonts w:ascii="Arial" w:hAnsi="Arial" w:cs="Arial"/>
          <w:i/>
          <w:sz w:val="22"/>
          <w:szCs w:val="22"/>
        </w:rPr>
        <w:t>“por medio del cual se constituyen las reservas presupuestales y las cuentas por pagar de la vigencia 2019, se cancelan las reservas y cuentas por pagar y se cierra la vigencia fiscal 2019”</w:t>
      </w:r>
      <w:r w:rsidRPr="00D4546B">
        <w:rPr>
          <w:rFonts w:ascii="Arial" w:hAnsi="Arial" w:cs="Arial"/>
          <w:sz w:val="22"/>
          <w:szCs w:val="22"/>
        </w:rPr>
        <w:t>, se cancelan reservas presupuestales no ejecutadas al cierre de la vigencia fiscal 2019 con cargo a recursos del SGP para Educación por la suma de $231 millones.</w:t>
      </w:r>
    </w:p>
    <w:bookmarkEnd w:id="7"/>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Frente a la ejecución de recursos teniendo en cuenta su asignación y destinación se destaca lo siguiente:</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b/>
          <w:bCs/>
          <w:sz w:val="22"/>
          <w:szCs w:val="22"/>
        </w:rPr>
      </w:pPr>
      <w:r w:rsidRPr="00D4546B">
        <w:rPr>
          <w:rFonts w:ascii="Arial" w:hAnsi="Arial" w:cs="Arial"/>
          <w:b/>
          <w:bCs/>
          <w:sz w:val="22"/>
          <w:szCs w:val="22"/>
        </w:rPr>
        <w:t>GASTOS ADMINISTRATIVOS</w:t>
      </w:r>
    </w:p>
    <w:p w:rsidR="000A5BEA" w:rsidRPr="00D4546B" w:rsidRDefault="000A5BEA" w:rsidP="000A5BEA">
      <w:pPr>
        <w:jc w:val="both"/>
        <w:rPr>
          <w:rFonts w:ascii="Arial" w:hAnsi="Arial" w:cs="Arial"/>
          <w:sz w:val="22"/>
          <w:szCs w:val="22"/>
        </w:rPr>
      </w:pPr>
    </w:p>
    <w:p w:rsidR="004662E4" w:rsidRDefault="004662E4" w:rsidP="000A5BEA">
      <w:pPr>
        <w:jc w:val="both"/>
        <w:rPr>
          <w:rFonts w:ascii="Arial" w:hAnsi="Arial" w:cs="Arial"/>
          <w:sz w:val="22"/>
          <w:szCs w:val="22"/>
        </w:rPr>
      </w:pPr>
      <w:r w:rsidRPr="00D4546B">
        <w:rPr>
          <w:rFonts w:ascii="Arial" w:hAnsi="Arial" w:cs="Arial"/>
          <w:sz w:val="22"/>
          <w:szCs w:val="22"/>
        </w:rPr>
        <w:t xml:space="preserve">El límite de gastos administrativos para la Gobernación de Córdoba en la vigencia 2019 </w:t>
      </w:r>
      <w:r w:rsidR="00A33BAE">
        <w:rPr>
          <w:rFonts w:ascii="Arial" w:hAnsi="Arial" w:cs="Arial"/>
          <w:sz w:val="22"/>
          <w:szCs w:val="22"/>
        </w:rPr>
        <w:t xml:space="preserve">fue </w:t>
      </w:r>
      <w:r w:rsidRPr="00D4546B">
        <w:rPr>
          <w:rFonts w:ascii="Arial" w:hAnsi="Arial" w:cs="Arial"/>
          <w:sz w:val="22"/>
          <w:szCs w:val="22"/>
        </w:rPr>
        <w:t>de $53.456 millones</w:t>
      </w:r>
      <w:r w:rsidR="00A33BAE">
        <w:rPr>
          <w:rFonts w:ascii="Arial" w:hAnsi="Arial" w:cs="Arial"/>
          <w:sz w:val="22"/>
          <w:szCs w:val="22"/>
        </w:rPr>
        <w:t>, de acuerdo con lo establecido por el Documento de Distribución del SGP No. 34 de 2019</w:t>
      </w:r>
      <w:r w:rsidRPr="00D4546B">
        <w:rPr>
          <w:rFonts w:ascii="Arial" w:hAnsi="Arial" w:cs="Arial"/>
          <w:sz w:val="22"/>
          <w:szCs w:val="22"/>
        </w:rPr>
        <w:t>, mientras que los compromisos por concepto de funcionamiento (personal administrativo del nivel central y gastos generales) alcanzaron la suma de $</w:t>
      </w:r>
      <w:r w:rsidR="00414845">
        <w:rPr>
          <w:rFonts w:ascii="Arial" w:hAnsi="Arial" w:cs="Arial"/>
          <w:sz w:val="22"/>
          <w:szCs w:val="22"/>
        </w:rPr>
        <w:t xml:space="preserve">43.883 </w:t>
      </w:r>
      <w:r w:rsidRPr="00D4546B">
        <w:rPr>
          <w:rFonts w:ascii="Arial" w:hAnsi="Arial" w:cs="Arial"/>
          <w:sz w:val="22"/>
          <w:szCs w:val="22"/>
        </w:rPr>
        <w:t>millones, por lo que la entidad habría respetado el límite establecido.</w:t>
      </w:r>
    </w:p>
    <w:p w:rsidR="008B29F2" w:rsidRDefault="008B29F2" w:rsidP="000A5BEA">
      <w:pPr>
        <w:jc w:val="both"/>
        <w:rPr>
          <w:rFonts w:ascii="Arial" w:hAnsi="Arial" w:cs="Arial"/>
          <w:sz w:val="22"/>
          <w:szCs w:val="22"/>
        </w:rPr>
      </w:pPr>
    </w:p>
    <w:p w:rsidR="008B29F2" w:rsidRDefault="008B29F2" w:rsidP="000A5BEA">
      <w:pPr>
        <w:jc w:val="both"/>
        <w:rPr>
          <w:rFonts w:ascii="Arial" w:hAnsi="Arial" w:cs="Arial"/>
          <w:sz w:val="22"/>
          <w:szCs w:val="22"/>
        </w:rPr>
      </w:pPr>
      <w:r>
        <w:rPr>
          <w:rFonts w:ascii="Arial" w:hAnsi="Arial" w:cs="Arial"/>
          <w:sz w:val="22"/>
          <w:szCs w:val="22"/>
        </w:rPr>
        <w:t xml:space="preserve">En cuanto a la vigencia 2020, el límite autorizado por la Nación </w:t>
      </w:r>
      <w:r w:rsidR="00785277">
        <w:rPr>
          <w:rFonts w:ascii="Arial" w:hAnsi="Arial" w:cs="Arial"/>
          <w:sz w:val="22"/>
          <w:szCs w:val="22"/>
        </w:rPr>
        <w:t xml:space="preserve">por concepto de gastos administrativos </w:t>
      </w:r>
      <w:r w:rsidR="00A33BAE">
        <w:rPr>
          <w:rFonts w:ascii="Arial" w:hAnsi="Arial" w:cs="Arial"/>
          <w:sz w:val="22"/>
          <w:szCs w:val="22"/>
        </w:rPr>
        <w:t xml:space="preserve">mediante Documento de Distribución del SGP No. 50 de 2020 </w:t>
      </w:r>
      <w:r>
        <w:rPr>
          <w:rFonts w:ascii="Arial" w:hAnsi="Arial" w:cs="Arial"/>
          <w:sz w:val="22"/>
          <w:szCs w:val="22"/>
        </w:rPr>
        <w:t xml:space="preserve">para el Departamento de Córdoba ascendió a </w:t>
      </w:r>
      <w:r w:rsidR="00785277">
        <w:rPr>
          <w:rFonts w:ascii="Arial" w:hAnsi="Arial" w:cs="Arial"/>
          <w:sz w:val="22"/>
          <w:szCs w:val="22"/>
        </w:rPr>
        <w:t>$46.680 millones, mientras que los compromisos adquiridos por la Entidad Territorial sumaron $43.334 millones, según la información reportada en las Categorías de Gastos de Inversión y Gastos de Funcionamiento del FUT.</w:t>
      </w:r>
    </w:p>
    <w:p w:rsidR="00AB6A00" w:rsidRPr="00D4546B" w:rsidRDefault="00AB6A00" w:rsidP="000A5BEA">
      <w:pPr>
        <w:jc w:val="both"/>
        <w:rPr>
          <w:rFonts w:ascii="Arial" w:hAnsi="Arial" w:cs="Arial"/>
          <w:sz w:val="22"/>
          <w:szCs w:val="22"/>
          <w:lang w:val="es-CO"/>
        </w:rPr>
      </w:pPr>
    </w:p>
    <w:p w:rsidR="004662E4" w:rsidRPr="00D4546B" w:rsidRDefault="004662E4" w:rsidP="000A5BEA">
      <w:pPr>
        <w:jc w:val="both"/>
        <w:rPr>
          <w:rFonts w:ascii="Arial" w:hAnsi="Arial" w:cs="Arial"/>
          <w:b/>
          <w:bCs/>
          <w:sz w:val="22"/>
          <w:szCs w:val="22"/>
        </w:rPr>
      </w:pPr>
    </w:p>
    <w:p w:rsidR="004662E4" w:rsidRPr="00D4546B" w:rsidRDefault="004662E4" w:rsidP="000A5BEA">
      <w:pPr>
        <w:jc w:val="both"/>
        <w:rPr>
          <w:rFonts w:ascii="Arial" w:hAnsi="Arial" w:cs="Arial"/>
          <w:b/>
          <w:bCs/>
          <w:sz w:val="22"/>
          <w:szCs w:val="22"/>
        </w:rPr>
      </w:pPr>
      <w:r w:rsidRPr="00D4546B">
        <w:rPr>
          <w:rFonts w:ascii="Arial" w:hAnsi="Arial" w:cs="Arial"/>
          <w:b/>
          <w:bCs/>
          <w:sz w:val="22"/>
          <w:szCs w:val="22"/>
        </w:rPr>
        <w:t>NEE</w:t>
      </w:r>
    </w:p>
    <w:p w:rsidR="000A5BEA" w:rsidRPr="00D4546B" w:rsidRDefault="000A5BEA"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 xml:space="preserve">De acuerdo con información del Ministerio de Educación Nacional, en la vigencia 2019 la Gobernación de Córdoba recibió recursos suplementarios </w:t>
      </w:r>
      <w:r w:rsidR="00414845">
        <w:rPr>
          <w:rFonts w:ascii="Arial" w:hAnsi="Arial" w:cs="Arial"/>
          <w:sz w:val="22"/>
          <w:szCs w:val="22"/>
        </w:rPr>
        <w:t xml:space="preserve">para atender a la </w:t>
      </w:r>
      <w:r w:rsidRPr="00D4546B">
        <w:rPr>
          <w:rFonts w:ascii="Arial" w:hAnsi="Arial" w:cs="Arial"/>
          <w:sz w:val="22"/>
          <w:szCs w:val="22"/>
        </w:rPr>
        <w:t>población con necesidades educativas especiales por $1.903 millones</w:t>
      </w:r>
      <w:r w:rsidR="00414845">
        <w:rPr>
          <w:rFonts w:ascii="Arial" w:hAnsi="Arial" w:cs="Arial"/>
          <w:sz w:val="22"/>
          <w:szCs w:val="22"/>
        </w:rPr>
        <w:t>. S</w:t>
      </w:r>
      <w:r w:rsidRPr="00D4546B">
        <w:rPr>
          <w:rFonts w:ascii="Arial" w:hAnsi="Arial" w:cs="Arial"/>
          <w:sz w:val="22"/>
          <w:szCs w:val="22"/>
        </w:rPr>
        <w:t xml:space="preserve">in embargo, el valor reflejado por este concepto en el FUT, la ejecución presupuestal y la relación de contratos es de $312 millones (Tabla 13). </w:t>
      </w:r>
    </w:p>
    <w:p w:rsidR="004662E4" w:rsidRPr="00D4546B" w:rsidRDefault="004662E4" w:rsidP="000A5BEA">
      <w:pPr>
        <w:jc w:val="both"/>
        <w:rPr>
          <w:rFonts w:ascii="Arial" w:hAnsi="Arial" w:cs="Arial"/>
          <w:sz w:val="22"/>
          <w:szCs w:val="22"/>
          <w:lang w:val="es-CO"/>
        </w:rPr>
      </w:pPr>
      <w:r w:rsidRPr="00D4546B">
        <w:rPr>
          <w:rFonts w:ascii="Arial" w:hAnsi="Arial" w:cs="Arial"/>
          <w:sz w:val="22"/>
          <w:szCs w:val="22"/>
        </w:rPr>
        <w:t xml:space="preserve"> </w:t>
      </w:r>
    </w:p>
    <w:p w:rsidR="004662E4" w:rsidRPr="00D4546B" w:rsidRDefault="004662E4" w:rsidP="000A5BEA">
      <w:pPr>
        <w:jc w:val="both"/>
        <w:rPr>
          <w:rFonts w:ascii="Arial" w:hAnsi="Arial" w:cs="Arial"/>
          <w:sz w:val="22"/>
          <w:szCs w:val="22"/>
        </w:rPr>
      </w:pPr>
      <w:r w:rsidRPr="00D4546B">
        <w:rPr>
          <w:rFonts w:ascii="Arial" w:hAnsi="Arial" w:cs="Arial"/>
          <w:sz w:val="22"/>
          <w:szCs w:val="22"/>
        </w:rPr>
        <w:t xml:space="preserve">Se destaca que la mayoría de los contratos se realizan a mitad del año escolar, </w:t>
      </w:r>
      <w:r w:rsidR="00620EDB" w:rsidRPr="00620EDB">
        <w:rPr>
          <w:rFonts w:ascii="Arial" w:hAnsi="Arial" w:cs="Arial"/>
          <w:sz w:val="22"/>
          <w:szCs w:val="22"/>
        </w:rPr>
        <w:t>por lo cual no es posible constatar que durante el primer semestre de la vigencia, la población beneficiaria de estos recursos hubiera recibido el servicio educativo de conformidad con sus necesidades</w:t>
      </w:r>
      <w:r w:rsidR="003C4B01">
        <w:rPr>
          <w:rFonts w:ascii="Arial" w:hAnsi="Arial" w:cs="Arial"/>
          <w:sz w:val="22"/>
          <w:szCs w:val="22"/>
        </w:rPr>
        <w:t>.</w:t>
      </w:r>
    </w:p>
    <w:p w:rsidR="004662E4" w:rsidRPr="00D4546B" w:rsidRDefault="004662E4" w:rsidP="000A5BEA">
      <w:pPr>
        <w:jc w:val="both"/>
        <w:rPr>
          <w:rFonts w:ascii="Arial" w:hAnsi="Arial" w:cs="Arial"/>
          <w:sz w:val="22"/>
          <w:szCs w:val="22"/>
        </w:rPr>
      </w:pPr>
    </w:p>
    <w:p w:rsidR="004662E4" w:rsidRPr="00D4546B" w:rsidRDefault="004662E4" w:rsidP="000A5BEA">
      <w:pPr>
        <w:jc w:val="center"/>
        <w:rPr>
          <w:rFonts w:ascii="Arial" w:hAnsi="Arial" w:cs="Arial"/>
          <w:b/>
          <w:sz w:val="18"/>
          <w:szCs w:val="22"/>
          <w:lang w:val="es-CO"/>
        </w:rPr>
      </w:pPr>
      <w:r w:rsidRPr="00D4546B">
        <w:rPr>
          <w:rFonts w:ascii="Arial" w:hAnsi="Arial" w:cs="Arial"/>
          <w:b/>
          <w:sz w:val="18"/>
          <w:szCs w:val="22"/>
          <w:lang w:val="es-CO"/>
        </w:rPr>
        <w:t>TABLA 13. RELACIÓN DE CONTRATOS DE NEE</w:t>
      </w:r>
    </w:p>
    <w:p w:rsidR="004662E4" w:rsidRPr="00D4546B" w:rsidRDefault="004662E4" w:rsidP="000A5BEA">
      <w:pPr>
        <w:jc w:val="center"/>
        <w:rPr>
          <w:rFonts w:ascii="Arial" w:hAnsi="Arial" w:cs="Arial"/>
          <w:b/>
          <w:sz w:val="18"/>
          <w:szCs w:val="22"/>
          <w:lang w:val="es-CO"/>
        </w:rPr>
      </w:pPr>
      <w:r w:rsidRPr="00D4546B">
        <w:rPr>
          <w:rFonts w:ascii="Arial" w:hAnsi="Arial" w:cs="Arial"/>
          <w:b/>
          <w:sz w:val="18"/>
          <w:szCs w:val="22"/>
          <w:lang w:val="es-CO"/>
        </w:rPr>
        <w:t>Vigencia 2019</w:t>
      </w:r>
    </w:p>
    <w:p w:rsidR="004662E4" w:rsidRPr="00D4546B" w:rsidRDefault="004662E4" w:rsidP="000A5BEA">
      <w:pPr>
        <w:tabs>
          <w:tab w:val="left" w:pos="4253"/>
        </w:tabs>
        <w:autoSpaceDE w:val="0"/>
        <w:autoSpaceDN w:val="0"/>
        <w:adjustRightInd w:val="0"/>
        <w:jc w:val="center"/>
        <w:rPr>
          <w:rFonts w:ascii="Arial" w:hAnsi="Arial" w:cs="Arial"/>
          <w:i/>
          <w:sz w:val="18"/>
          <w:szCs w:val="22"/>
          <w:lang w:val="es-CO"/>
        </w:rPr>
      </w:pPr>
      <w:r w:rsidRPr="00D4546B">
        <w:rPr>
          <w:rFonts w:ascii="Arial" w:hAnsi="Arial" w:cs="Arial"/>
          <w:i/>
          <w:sz w:val="18"/>
          <w:szCs w:val="22"/>
          <w:lang w:val="es-CO"/>
        </w:rPr>
        <w:t>(en millones de $)</w:t>
      </w:r>
    </w:p>
    <w:p w:rsidR="004662E4" w:rsidRPr="00D4546B" w:rsidRDefault="004662E4" w:rsidP="000A5BEA">
      <w:pPr>
        <w:jc w:val="center"/>
        <w:rPr>
          <w:rFonts w:ascii="Arial" w:hAnsi="Arial" w:cs="Arial"/>
          <w:sz w:val="22"/>
          <w:szCs w:val="22"/>
        </w:rPr>
      </w:pPr>
      <w:r w:rsidRPr="00D4546B">
        <w:rPr>
          <w:rFonts w:ascii="Arial" w:hAnsi="Arial" w:cs="Arial"/>
          <w:noProof/>
          <w:lang w:val="es-CO" w:eastAsia="es-CO"/>
        </w:rPr>
        <w:drawing>
          <wp:inline distT="0" distB="0" distL="0" distR="0">
            <wp:extent cx="4507230" cy="1649609"/>
            <wp:effectExtent l="0" t="0" r="7620" b="82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21585" cy="1654863"/>
                    </a:xfrm>
                    <a:prstGeom prst="rect">
                      <a:avLst/>
                    </a:prstGeom>
                    <a:noFill/>
                    <a:ln>
                      <a:noFill/>
                    </a:ln>
                  </pic:spPr>
                </pic:pic>
              </a:graphicData>
            </a:graphic>
          </wp:inline>
        </w:drawing>
      </w:r>
    </w:p>
    <w:p w:rsidR="004662E4" w:rsidRPr="00D4546B" w:rsidRDefault="004662E4" w:rsidP="000A5BEA">
      <w:pPr>
        <w:jc w:val="center"/>
        <w:rPr>
          <w:rStyle w:val="nfasissutil"/>
          <w:rFonts w:cs="Arial"/>
          <w:i/>
        </w:rPr>
      </w:pPr>
      <w:r w:rsidRPr="00D4546B">
        <w:rPr>
          <w:rStyle w:val="nfasissutil"/>
          <w:rFonts w:cs="Arial"/>
          <w:i/>
        </w:rPr>
        <w:t>Fuente: documentos 3.1 Contratos y actas discapacidad – 2019 y 3.1 Informe Necesidades Educativas Especiales 2019-2020</w:t>
      </w:r>
    </w:p>
    <w:p w:rsidR="004662E4" w:rsidRPr="00D4546B" w:rsidRDefault="004662E4" w:rsidP="000A5BEA">
      <w:pPr>
        <w:jc w:val="both"/>
        <w:rPr>
          <w:rFonts w:ascii="Arial" w:hAnsi="Arial" w:cs="Arial"/>
          <w:sz w:val="22"/>
          <w:szCs w:val="22"/>
        </w:rPr>
      </w:pPr>
    </w:p>
    <w:p w:rsidR="004662E4" w:rsidRDefault="004662E4" w:rsidP="000A5BEA">
      <w:pPr>
        <w:jc w:val="both"/>
        <w:rPr>
          <w:rFonts w:ascii="Arial" w:hAnsi="Arial" w:cs="Arial"/>
          <w:sz w:val="22"/>
          <w:szCs w:val="22"/>
        </w:rPr>
      </w:pPr>
      <w:r w:rsidRPr="00D4546B">
        <w:rPr>
          <w:rFonts w:ascii="Arial" w:hAnsi="Arial" w:cs="Arial"/>
          <w:sz w:val="22"/>
          <w:szCs w:val="22"/>
        </w:rPr>
        <w:t xml:space="preserve">La entidad </w:t>
      </w:r>
      <w:r w:rsidR="00414845">
        <w:rPr>
          <w:rFonts w:ascii="Arial" w:hAnsi="Arial" w:cs="Arial"/>
          <w:sz w:val="22"/>
          <w:szCs w:val="22"/>
        </w:rPr>
        <w:t xml:space="preserve">territorial </w:t>
      </w:r>
      <w:r w:rsidRPr="00D4546B">
        <w:rPr>
          <w:rFonts w:ascii="Arial" w:hAnsi="Arial" w:cs="Arial"/>
          <w:sz w:val="22"/>
          <w:szCs w:val="22"/>
        </w:rPr>
        <w:t>envió la relación de contratos, los contratos y los informes de supervisión excepto para el contrato 911 con la Fundación Revivir Sueños</w:t>
      </w:r>
      <w:r w:rsidR="00414845">
        <w:rPr>
          <w:rFonts w:ascii="Arial" w:hAnsi="Arial" w:cs="Arial"/>
          <w:sz w:val="22"/>
          <w:szCs w:val="22"/>
        </w:rPr>
        <w:t>, suscrito</w:t>
      </w:r>
      <w:r w:rsidRPr="00D4546B">
        <w:rPr>
          <w:rFonts w:ascii="Arial" w:hAnsi="Arial" w:cs="Arial"/>
          <w:sz w:val="22"/>
          <w:szCs w:val="22"/>
        </w:rPr>
        <w:t xml:space="preserve"> para capacitar docentes en atención de estudiantes con capacidades excepcionales en 14 municipios y 16 instituciones educativas. Los contratos 1138-2019 y 1139-2019 no se encuentran en la Relación de contratos remitida por la entidad</w:t>
      </w:r>
      <w:r w:rsidR="00414845">
        <w:rPr>
          <w:rFonts w:ascii="Arial" w:hAnsi="Arial" w:cs="Arial"/>
          <w:sz w:val="22"/>
          <w:szCs w:val="22"/>
        </w:rPr>
        <w:t xml:space="preserve"> territorial</w:t>
      </w:r>
      <w:r w:rsidRPr="00D4546B">
        <w:rPr>
          <w:rFonts w:ascii="Arial" w:hAnsi="Arial" w:cs="Arial"/>
          <w:sz w:val="22"/>
          <w:szCs w:val="22"/>
        </w:rPr>
        <w:t>. La Secretaría no remitió el vínculo de SECOP de estos contratos.</w:t>
      </w:r>
    </w:p>
    <w:p w:rsidR="00785277" w:rsidRDefault="00785277" w:rsidP="000A5BEA">
      <w:pPr>
        <w:jc w:val="both"/>
        <w:rPr>
          <w:rFonts w:ascii="Arial" w:hAnsi="Arial" w:cs="Arial"/>
          <w:sz w:val="22"/>
          <w:szCs w:val="22"/>
        </w:rPr>
      </w:pPr>
    </w:p>
    <w:p w:rsidR="00785277" w:rsidRDefault="00785277" w:rsidP="00785277">
      <w:pPr>
        <w:jc w:val="both"/>
        <w:rPr>
          <w:rFonts w:ascii="Arial" w:hAnsi="Arial" w:cs="Arial"/>
          <w:sz w:val="22"/>
          <w:szCs w:val="22"/>
          <w:lang w:val="es-CO"/>
        </w:rPr>
      </w:pPr>
      <w:r>
        <w:rPr>
          <w:rFonts w:ascii="Arial" w:hAnsi="Arial" w:cs="Arial"/>
          <w:sz w:val="22"/>
          <w:szCs w:val="22"/>
          <w:lang w:val="es-CO"/>
        </w:rPr>
        <w:t xml:space="preserve">Así mismo, para la vigencia 2020 se evidencian compromisos por </w:t>
      </w:r>
      <w:r w:rsidR="007912FF">
        <w:rPr>
          <w:rFonts w:ascii="Arial" w:hAnsi="Arial" w:cs="Arial"/>
          <w:sz w:val="22"/>
          <w:szCs w:val="22"/>
          <w:lang w:val="es-CO"/>
        </w:rPr>
        <w:t xml:space="preserve">$260 millones de los $1.285 millones </w:t>
      </w:r>
      <w:r>
        <w:rPr>
          <w:rFonts w:ascii="Arial" w:hAnsi="Arial" w:cs="Arial"/>
          <w:sz w:val="22"/>
          <w:szCs w:val="22"/>
          <w:lang w:val="es-CO"/>
        </w:rPr>
        <w:t>asignados para la atención de población con Necesidades Educativas Especiales. De conformidad con la información publicada por la Entid</w:t>
      </w:r>
      <w:r w:rsidRPr="00B51F51">
        <w:rPr>
          <w:rFonts w:ascii="Arial" w:hAnsi="Arial" w:cs="Arial"/>
          <w:sz w:val="22"/>
          <w:szCs w:val="22"/>
          <w:lang w:val="es-CO"/>
        </w:rPr>
        <w:t xml:space="preserve">ad Territorial en la plataforma SECOP II, </w:t>
      </w:r>
      <w:r w:rsidR="00B51F51" w:rsidRPr="00B51F51">
        <w:rPr>
          <w:rFonts w:ascii="Arial" w:hAnsi="Arial" w:cs="Arial"/>
          <w:sz w:val="22"/>
          <w:szCs w:val="22"/>
          <w:lang w:val="es-CO"/>
        </w:rPr>
        <w:t>entre el 26 de junio y el 28 de agosto de 2020 se suscribieron diecisiete contratos con profesionales de apoyo pedagógico</w:t>
      </w:r>
      <w:r w:rsidRPr="00B51F51">
        <w:rPr>
          <w:rFonts w:ascii="Arial" w:hAnsi="Arial" w:cs="Arial"/>
          <w:sz w:val="22"/>
          <w:szCs w:val="22"/>
          <w:lang w:val="es-CO"/>
        </w:rPr>
        <w:t xml:space="preserve">, </w:t>
      </w:r>
      <w:r w:rsidR="00B51F51" w:rsidRPr="00B51F51">
        <w:rPr>
          <w:rFonts w:ascii="Arial" w:hAnsi="Arial" w:cs="Arial"/>
          <w:sz w:val="22"/>
          <w:szCs w:val="22"/>
          <w:lang w:val="es-CO"/>
        </w:rPr>
        <w:t xml:space="preserve">por valor total de $284 millones, </w:t>
      </w:r>
      <w:r w:rsidRPr="00B51F51">
        <w:rPr>
          <w:rFonts w:ascii="Arial" w:hAnsi="Arial" w:cs="Arial"/>
          <w:sz w:val="22"/>
          <w:szCs w:val="22"/>
          <w:lang w:val="es-CO"/>
        </w:rPr>
        <w:t>estableciéndose plazo</w:t>
      </w:r>
      <w:r w:rsidR="00B51F51" w:rsidRPr="00B51F51">
        <w:rPr>
          <w:rFonts w:ascii="Arial" w:hAnsi="Arial" w:cs="Arial"/>
          <w:sz w:val="22"/>
          <w:szCs w:val="22"/>
          <w:lang w:val="es-CO"/>
        </w:rPr>
        <w:t>s</w:t>
      </w:r>
      <w:r w:rsidRPr="00B51F51">
        <w:rPr>
          <w:rFonts w:ascii="Arial" w:hAnsi="Arial" w:cs="Arial"/>
          <w:sz w:val="22"/>
          <w:szCs w:val="22"/>
          <w:lang w:val="es-CO"/>
        </w:rPr>
        <w:t xml:space="preserve"> </w:t>
      </w:r>
      <w:r w:rsidR="00B51F51" w:rsidRPr="00B51F51">
        <w:rPr>
          <w:rFonts w:ascii="Arial" w:hAnsi="Arial" w:cs="Arial"/>
          <w:sz w:val="22"/>
          <w:szCs w:val="22"/>
          <w:lang w:val="es-CO"/>
        </w:rPr>
        <w:t xml:space="preserve">entre 4 y 6 </w:t>
      </w:r>
      <w:r w:rsidRPr="00B51F51">
        <w:rPr>
          <w:rFonts w:ascii="Arial" w:hAnsi="Arial" w:cs="Arial"/>
          <w:sz w:val="22"/>
          <w:szCs w:val="22"/>
          <w:lang w:val="es-CO"/>
        </w:rPr>
        <w:t>meses para su ejecución.</w:t>
      </w:r>
      <w:r>
        <w:rPr>
          <w:rFonts w:ascii="Arial" w:hAnsi="Arial" w:cs="Arial"/>
          <w:sz w:val="22"/>
          <w:szCs w:val="22"/>
          <w:lang w:val="es-CO"/>
        </w:rPr>
        <w:t xml:space="preserve"> </w:t>
      </w:r>
    </w:p>
    <w:p w:rsidR="00785277" w:rsidRDefault="00785277" w:rsidP="00785277">
      <w:pPr>
        <w:jc w:val="both"/>
        <w:rPr>
          <w:rFonts w:ascii="Arial" w:hAnsi="Arial" w:cs="Arial"/>
          <w:sz w:val="22"/>
          <w:szCs w:val="22"/>
          <w:lang w:val="es-CO"/>
        </w:rPr>
      </w:pPr>
    </w:p>
    <w:p w:rsidR="004662E4" w:rsidRDefault="00785277" w:rsidP="00785277">
      <w:pPr>
        <w:jc w:val="both"/>
        <w:rPr>
          <w:rFonts w:ascii="Arial" w:hAnsi="Arial" w:cs="Arial"/>
          <w:sz w:val="22"/>
          <w:szCs w:val="22"/>
        </w:rPr>
      </w:pPr>
      <w:r>
        <w:rPr>
          <w:rFonts w:ascii="Arial" w:hAnsi="Arial" w:cs="Arial"/>
          <w:sz w:val="22"/>
          <w:szCs w:val="22"/>
          <w:lang w:val="es-CO"/>
        </w:rPr>
        <w:t xml:space="preserve">Como se aprecia, persisten debilidades administrativas para el uso adecuado de los recursos asignados para prestar este servicio a la población caracterizada en condición de discapacidad, dado que no fueron invertidos en la solución de las necesidades para las cuales fueron asignados, durante la vigencia en la que se giraron por parte de la Nación, </w:t>
      </w:r>
      <w:r>
        <w:rPr>
          <w:rFonts w:ascii="Arial" w:hAnsi="Arial" w:cs="Arial"/>
          <w:sz w:val="22"/>
          <w:szCs w:val="22"/>
          <w:lang w:val="es-CO"/>
        </w:rPr>
        <w:lastRenderedPageBreak/>
        <w:t>afectando la calidad del servicio educativo ofrecido en su jurisdicción</w:t>
      </w:r>
      <w:r>
        <w:rPr>
          <w:rFonts w:ascii="Arial" w:hAnsi="Arial" w:cs="Arial"/>
          <w:sz w:val="22"/>
          <w:szCs w:val="22"/>
        </w:rPr>
        <w:t xml:space="preserve"> a la población caracterizada en condición de discapacidad o con capacidades o talentos excepcionales de su jurisdicción, conforme lo establece el Decreto 1075 de 2015.</w:t>
      </w:r>
    </w:p>
    <w:p w:rsidR="007912FF" w:rsidRPr="00D4546B" w:rsidRDefault="007912FF" w:rsidP="00785277">
      <w:pPr>
        <w:jc w:val="both"/>
        <w:rPr>
          <w:rFonts w:ascii="Arial" w:hAnsi="Arial" w:cs="Arial"/>
          <w:sz w:val="22"/>
          <w:szCs w:val="22"/>
        </w:rPr>
      </w:pPr>
    </w:p>
    <w:p w:rsidR="004662E4" w:rsidRPr="00D4546B" w:rsidRDefault="004662E4" w:rsidP="000A5BEA">
      <w:pPr>
        <w:jc w:val="both"/>
        <w:rPr>
          <w:rFonts w:ascii="Arial" w:hAnsi="Arial" w:cs="Arial"/>
          <w:b/>
          <w:bCs/>
          <w:sz w:val="22"/>
          <w:szCs w:val="22"/>
        </w:rPr>
      </w:pPr>
      <w:r w:rsidRPr="00D4546B">
        <w:rPr>
          <w:rFonts w:ascii="Arial" w:hAnsi="Arial" w:cs="Arial"/>
          <w:b/>
          <w:bCs/>
          <w:sz w:val="22"/>
          <w:szCs w:val="22"/>
        </w:rPr>
        <w:t>CANCELACIONES</w:t>
      </w:r>
    </w:p>
    <w:p w:rsidR="000A5BEA" w:rsidRPr="00D4546B" w:rsidRDefault="000A5BEA"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En la ejecución presupuestal de gastos se evidencia que los recursos de Cancelaciones solo se comprometieron para financiar este concepto de gasto.</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b/>
          <w:bCs/>
          <w:sz w:val="22"/>
          <w:szCs w:val="22"/>
        </w:rPr>
      </w:pPr>
      <w:r w:rsidRPr="00D4546B">
        <w:rPr>
          <w:rFonts w:ascii="Arial" w:hAnsi="Arial" w:cs="Arial"/>
          <w:b/>
          <w:bCs/>
          <w:sz w:val="22"/>
          <w:szCs w:val="22"/>
        </w:rPr>
        <w:t xml:space="preserve">CONECTIVIDAD </w:t>
      </w:r>
    </w:p>
    <w:p w:rsidR="000A5BEA" w:rsidRPr="00D4546B" w:rsidRDefault="000A5BEA"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De acuerdo con la ejecución presupuestal de gasto y el reporte en FUT</w:t>
      </w:r>
      <w:r w:rsidR="00414845">
        <w:rPr>
          <w:rFonts w:ascii="Arial" w:hAnsi="Arial" w:cs="Arial"/>
          <w:sz w:val="22"/>
          <w:szCs w:val="22"/>
        </w:rPr>
        <w:t>,</w:t>
      </w:r>
      <w:r w:rsidRPr="00D4546B">
        <w:rPr>
          <w:rFonts w:ascii="Arial" w:hAnsi="Arial" w:cs="Arial"/>
          <w:sz w:val="22"/>
          <w:szCs w:val="22"/>
        </w:rPr>
        <w:t xml:space="preserve"> el Departamento comprometió recursos por $2.523 millones para la conectividad de las instituciones educativas</w:t>
      </w:r>
      <w:r w:rsidR="00414845">
        <w:rPr>
          <w:rFonts w:ascii="Arial" w:hAnsi="Arial" w:cs="Arial"/>
          <w:sz w:val="22"/>
          <w:szCs w:val="22"/>
        </w:rPr>
        <w:t xml:space="preserve"> durante 2019</w:t>
      </w:r>
      <w:r w:rsidRPr="00D4546B">
        <w:rPr>
          <w:rFonts w:ascii="Arial" w:hAnsi="Arial" w:cs="Arial"/>
          <w:sz w:val="22"/>
          <w:szCs w:val="22"/>
        </w:rPr>
        <w:t xml:space="preserve">. </w:t>
      </w:r>
    </w:p>
    <w:p w:rsidR="004662E4" w:rsidRPr="00D4546B" w:rsidRDefault="004662E4" w:rsidP="000A5BEA">
      <w:pPr>
        <w:jc w:val="both"/>
        <w:rPr>
          <w:rFonts w:ascii="Arial" w:hAnsi="Arial" w:cs="Arial"/>
          <w:b/>
          <w:bCs/>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La Secretaría envió un documento de estudios previos, el contrato 654 de 2019 con INFOTIC S.A. por valor de $2.151.788.869 y con objeto “C</w:t>
      </w:r>
      <w:r w:rsidRPr="00D4546B">
        <w:rPr>
          <w:rFonts w:ascii="Arial" w:hAnsi="Arial" w:cs="Arial"/>
          <w:i/>
          <w:iCs/>
          <w:sz w:val="22"/>
          <w:szCs w:val="22"/>
        </w:rPr>
        <w:t xml:space="preserve">ontrato interadministrativo entre el </w:t>
      </w:r>
      <w:r w:rsidR="00B51F51">
        <w:rPr>
          <w:rFonts w:ascii="Arial" w:hAnsi="Arial" w:cs="Arial"/>
          <w:i/>
          <w:iCs/>
          <w:sz w:val="22"/>
          <w:szCs w:val="22"/>
        </w:rPr>
        <w:t>D</w:t>
      </w:r>
      <w:r w:rsidRPr="00D4546B">
        <w:rPr>
          <w:rFonts w:ascii="Arial" w:hAnsi="Arial" w:cs="Arial"/>
          <w:i/>
          <w:iCs/>
          <w:sz w:val="22"/>
          <w:szCs w:val="22"/>
        </w:rPr>
        <w:t xml:space="preserve">epartamento de </w:t>
      </w:r>
      <w:r w:rsidR="00B51F51">
        <w:rPr>
          <w:rFonts w:ascii="Arial" w:hAnsi="Arial" w:cs="Arial"/>
          <w:i/>
          <w:iCs/>
          <w:sz w:val="22"/>
          <w:szCs w:val="22"/>
        </w:rPr>
        <w:t>Có</w:t>
      </w:r>
      <w:r w:rsidRPr="00D4546B">
        <w:rPr>
          <w:rFonts w:ascii="Arial" w:hAnsi="Arial" w:cs="Arial"/>
          <w:i/>
          <w:iCs/>
          <w:sz w:val="22"/>
          <w:szCs w:val="22"/>
        </w:rPr>
        <w:t xml:space="preserve">rdoba e </w:t>
      </w:r>
      <w:r w:rsidR="00B51F51" w:rsidRPr="00D4546B">
        <w:rPr>
          <w:rFonts w:ascii="Arial" w:hAnsi="Arial" w:cs="Arial"/>
          <w:i/>
          <w:iCs/>
          <w:sz w:val="22"/>
          <w:szCs w:val="22"/>
        </w:rPr>
        <w:t>INFOTIC S.A.</w:t>
      </w:r>
      <w:r w:rsidRPr="00D4546B">
        <w:rPr>
          <w:rFonts w:ascii="Arial" w:hAnsi="Arial" w:cs="Arial"/>
          <w:i/>
          <w:iCs/>
          <w:sz w:val="22"/>
          <w:szCs w:val="22"/>
        </w:rPr>
        <w:t>, para servicio de conectividad a 227 sedes de las instituciones educativas de los municipios no certificados del departamento, correspondiente al año 2019</w:t>
      </w:r>
      <w:r w:rsidRPr="00D4546B">
        <w:rPr>
          <w:rFonts w:ascii="Arial" w:hAnsi="Arial" w:cs="Arial"/>
          <w:sz w:val="22"/>
          <w:szCs w:val="22"/>
        </w:rPr>
        <w:t>” y los informes correspondientes a los periodos de junio 17 a julio 17, 18 de julio a 18 de agosto y 19 de agosto a 19 de septiembre.</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Se destaca que a pesar de que la distribución se realizó el 13 de febrero el contrato se suscribió por contratación directa el 30 de abril de 2019, con un mes de alistamiento. El servicio se suministró en 20 de los 27 municipios del departamento, en 115 sedes urbanas y 111 sedes rurales durante 5 meses. En el documento de estudios previos no es posible encontrar información que soporte el costo mensual definido ($1.987.558 en área urbana y $1-740.957 en área rural), la tecnología de última milla ofrecida (Radio) y el ancho de banda ofrecido (15MG en área urbana y 10MG en área rural).</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 xml:space="preserve">Adicionalmente, en la relación de contratación (2.1 Relación contratos 2019 educación) se relaciona el contrato </w:t>
      </w:r>
      <w:bookmarkStart w:id="8" w:name="_Hlk39110863"/>
      <w:r w:rsidRPr="00D4546B">
        <w:rPr>
          <w:rFonts w:ascii="Arial" w:hAnsi="Arial" w:cs="Arial"/>
          <w:sz w:val="22"/>
          <w:szCs w:val="22"/>
        </w:rPr>
        <w:t xml:space="preserve">807 de 2019 </w:t>
      </w:r>
      <w:bookmarkEnd w:id="8"/>
      <w:r w:rsidRPr="00D4546B">
        <w:rPr>
          <w:rFonts w:ascii="Arial" w:hAnsi="Arial" w:cs="Arial"/>
          <w:sz w:val="22"/>
          <w:szCs w:val="22"/>
        </w:rPr>
        <w:t>con INFOTIC S.A. con objeto “</w:t>
      </w:r>
      <w:r w:rsidRPr="00D4546B">
        <w:rPr>
          <w:rFonts w:ascii="Arial" w:hAnsi="Arial" w:cs="Arial"/>
          <w:i/>
          <w:iCs/>
          <w:sz w:val="22"/>
          <w:szCs w:val="22"/>
        </w:rPr>
        <w:t xml:space="preserve">Contrato interadministrativo entre el </w:t>
      </w:r>
      <w:r w:rsidR="00B51F51">
        <w:rPr>
          <w:rFonts w:ascii="Arial" w:hAnsi="Arial" w:cs="Arial"/>
          <w:i/>
          <w:iCs/>
          <w:sz w:val="22"/>
          <w:szCs w:val="22"/>
        </w:rPr>
        <w:t>D</w:t>
      </w:r>
      <w:r w:rsidRPr="00D4546B">
        <w:rPr>
          <w:rFonts w:ascii="Arial" w:hAnsi="Arial" w:cs="Arial"/>
          <w:i/>
          <w:iCs/>
          <w:sz w:val="22"/>
          <w:szCs w:val="22"/>
        </w:rPr>
        <w:t xml:space="preserve">epartamento de </w:t>
      </w:r>
      <w:r w:rsidR="00B51F51">
        <w:rPr>
          <w:rFonts w:ascii="Arial" w:hAnsi="Arial" w:cs="Arial"/>
          <w:i/>
          <w:iCs/>
          <w:sz w:val="22"/>
          <w:szCs w:val="22"/>
        </w:rPr>
        <w:t>C</w:t>
      </w:r>
      <w:r w:rsidRPr="00D4546B">
        <w:rPr>
          <w:rFonts w:ascii="Arial" w:hAnsi="Arial" w:cs="Arial"/>
          <w:i/>
          <w:iCs/>
          <w:sz w:val="22"/>
          <w:szCs w:val="22"/>
        </w:rPr>
        <w:t xml:space="preserve">órdoba e </w:t>
      </w:r>
      <w:r w:rsidR="00B51F51" w:rsidRPr="00D4546B">
        <w:rPr>
          <w:rFonts w:ascii="Arial" w:hAnsi="Arial" w:cs="Arial"/>
          <w:i/>
          <w:iCs/>
          <w:sz w:val="22"/>
          <w:szCs w:val="22"/>
        </w:rPr>
        <w:t>INFOTIC S.A</w:t>
      </w:r>
      <w:r w:rsidRPr="00D4546B">
        <w:rPr>
          <w:rFonts w:ascii="Arial" w:hAnsi="Arial" w:cs="Arial"/>
          <w:i/>
          <w:iCs/>
          <w:sz w:val="22"/>
          <w:szCs w:val="22"/>
        </w:rPr>
        <w:t>. para prestación de servicio de conectividad en 12 puntos vive digital plus ubicados en los municipios no certificados del departamento de córdoba</w:t>
      </w:r>
      <w:r w:rsidRPr="00D4546B">
        <w:rPr>
          <w:rFonts w:ascii="Arial" w:hAnsi="Arial" w:cs="Arial"/>
          <w:sz w:val="22"/>
          <w:szCs w:val="22"/>
        </w:rPr>
        <w:t>”, contrato con fecha del 18 de junio de 2019 por $371.999.976.</w:t>
      </w:r>
      <w:r w:rsidR="008040A0">
        <w:rPr>
          <w:rFonts w:ascii="Arial" w:hAnsi="Arial" w:cs="Arial"/>
          <w:sz w:val="22"/>
          <w:szCs w:val="22"/>
        </w:rPr>
        <w:t xml:space="preserve"> </w:t>
      </w:r>
      <w:r w:rsidRPr="00D4546B">
        <w:rPr>
          <w:rFonts w:ascii="Arial" w:hAnsi="Arial" w:cs="Arial"/>
          <w:sz w:val="22"/>
          <w:szCs w:val="22"/>
        </w:rPr>
        <w:t>Debe justificarse cómo este contrato corresponde a los usos definidos para los recursos de conectividad cuyo propósito es “dotar de conectividad y mejorar la infraestructura tecnológica, tales como equipos de cómputo, redes locales, reposición de equipos y mantenimiento, en todo caso con prioridad en la dotación de conectividad a los establecimientos educativos”</w:t>
      </w:r>
      <w:r w:rsidRPr="00D4546B">
        <w:rPr>
          <w:rStyle w:val="Refdecomentario"/>
          <w:rFonts w:ascii="Arial" w:hAnsi="Arial" w:cs="Arial"/>
        </w:rPr>
        <w:t xml:space="preserve"> </w:t>
      </w:r>
      <w:r w:rsidRPr="00D4546B">
        <w:rPr>
          <w:rStyle w:val="Refdenotaalpie"/>
          <w:rFonts w:ascii="Arial" w:hAnsi="Arial" w:cs="Arial"/>
        </w:rPr>
        <w:footnoteReference w:id="3"/>
      </w:r>
      <w:r w:rsidRPr="00D4546B">
        <w:rPr>
          <w:rFonts w:ascii="Arial" w:hAnsi="Arial" w:cs="Arial"/>
        </w:rPr>
        <w:t>.</w:t>
      </w:r>
      <w:r w:rsidRPr="00D4546B">
        <w:rPr>
          <w:rFonts w:ascii="Arial" w:hAnsi="Arial" w:cs="Arial"/>
          <w:sz w:val="22"/>
          <w:szCs w:val="22"/>
        </w:rPr>
        <w:t xml:space="preserve"> </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En todo caso la entidad no destinó la totalidad de los recursos de conectividad asignados por el documento de distribución SGP 36 a la provisión de este servicio</w:t>
      </w:r>
      <w:r w:rsidR="00B51F51">
        <w:rPr>
          <w:rFonts w:ascii="Arial" w:hAnsi="Arial" w:cs="Arial"/>
          <w:sz w:val="22"/>
          <w:szCs w:val="22"/>
        </w:rPr>
        <w:t xml:space="preserve"> </w:t>
      </w:r>
      <w:r w:rsidR="00B51F51" w:rsidRPr="00D4546B">
        <w:rPr>
          <w:rFonts w:ascii="Arial" w:hAnsi="Arial" w:cs="Arial"/>
          <w:sz w:val="22"/>
          <w:szCs w:val="22"/>
        </w:rPr>
        <w:t>($2.540.977.075)</w:t>
      </w:r>
      <w:r w:rsidRPr="00D4546B">
        <w:rPr>
          <w:rFonts w:ascii="Arial" w:hAnsi="Arial" w:cs="Arial"/>
          <w:sz w:val="22"/>
          <w:szCs w:val="22"/>
        </w:rPr>
        <w:t>.</w:t>
      </w:r>
      <w:r w:rsidR="00B51F51">
        <w:rPr>
          <w:rFonts w:ascii="Arial" w:hAnsi="Arial" w:cs="Arial"/>
          <w:sz w:val="22"/>
          <w:szCs w:val="22"/>
        </w:rPr>
        <w:t xml:space="preserve"> De igual manera, en la vigencia 2020 se registran compromisos en la Categoría de Gastos </w:t>
      </w:r>
      <w:r w:rsidR="00B51F51">
        <w:rPr>
          <w:rFonts w:ascii="Arial" w:hAnsi="Arial" w:cs="Arial"/>
          <w:sz w:val="22"/>
          <w:szCs w:val="22"/>
        </w:rPr>
        <w:lastRenderedPageBreak/>
        <w:t>de Inversión del FUT por $</w:t>
      </w:r>
      <w:r w:rsidR="000E7552">
        <w:rPr>
          <w:rFonts w:ascii="Arial" w:hAnsi="Arial" w:cs="Arial"/>
          <w:sz w:val="22"/>
          <w:szCs w:val="22"/>
        </w:rPr>
        <w:t xml:space="preserve">2.457 millones </w:t>
      </w:r>
      <w:r w:rsidR="00B51F51">
        <w:rPr>
          <w:rFonts w:ascii="Arial" w:hAnsi="Arial" w:cs="Arial"/>
          <w:sz w:val="22"/>
          <w:szCs w:val="22"/>
        </w:rPr>
        <w:t xml:space="preserve">de los </w:t>
      </w:r>
      <w:r w:rsidR="000E7552">
        <w:rPr>
          <w:rFonts w:ascii="Arial" w:hAnsi="Arial" w:cs="Arial"/>
          <w:sz w:val="22"/>
          <w:szCs w:val="22"/>
        </w:rPr>
        <w:t xml:space="preserve">$2.458 millones </w:t>
      </w:r>
      <w:r w:rsidR="00B51F51">
        <w:rPr>
          <w:rFonts w:ascii="Arial" w:hAnsi="Arial" w:cs="Arial"/>
          <w:sz w:val="22"/>
          <w:szCs w:val="22"/>
        </w:rPr>
        <w:t xml:space="preserve">asignados al Departamento </w:t>
      </w:r>
      <w:r w:rsidR="000E7552">
        <w:rPr>
          <w:rFonts w:ascii="Arial" w:hAnsi="Arial" w:cs="Arial"/>
          <w:sz w:val="22"/>
          <w:szCs w:val="22"/>
        </w:rPr>
        <w:t>mediante el Documento de Distribución No. 44 de 2020, a través de la suscripción del contrato Interadministrativo No. SE-044-2020, el 30 de julio de 2020, con la Empresa de Telecomunicaciones de Popayán S.A. EMTEL E.S.P., para la prestación del servicio de conectividad a 163 sedes de las instituciones educativas de los municipios no certificados del Departamento, correspondiente al año 2020.</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Bajo este escenario, se concluye que persisten diferencias entre las fuentes de información (ejecución presupuestal y reporte FUT) en lo que respecta a los ingresos de capital y consecuentemente en los recursos de balance. Adicionalmente, se destaca la no ejecución de la totalidad de los recursos de NEE y conectividad para los propósitos para los cuales fueron asignados, y la suscripción de los contratos para proveer estos servicios cuando el calendario escolar se encuentra muy avanzado.</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Por lo anterior esta actividad se encuentra incumplida.</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b/>
          <w:sz w:val="22"/>
          <w:szCs w:val="22"/>
        </w:rPr>
      </w:pPr>
      <w:r w:rsidRPr="00D4546B">
        <w:rPr>
          <w:rFonts w:ascii="Arial" w:hAnsi="Arial" w:cs="Arial"/>
          <w:b/>
          <w:sz w:val="22"/>
          <w:szCs w:val="22"/>
        </w:rPr>
        <w:t>Actividad 1.3.2. Provisionar los recursos destinados al pago de las cesantías retroactivas</w:t>
      </w:r>
    </w:p>
    <w:p w:rsidR="004662E4" w:rsidRPr="00D4546B" w:rsidRDefault="004662E4" w:rsidP="000A5BEA">
      <w:pPr>
        <w:jc w:val="both"/>
        <w:rPr>
          <w:rFonts w:ascii="Arial" w:hAnsi="Arial" w:cs="Arial"/>
          <w:b/>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Las evidencias se encuentran consignadas en el sistema SIED con el número de Expediente 22/2019/D028-PREDI.</w:t>
      </w:r>
      <w:r w:rsidR="008040A0">
        <w:rPr>
          <w:rFonts w:ascii="Arial" w:hAnsi="Arial" w:cs="Arial"/>
          <w:sz w:val="22"/>
          <w:szCs w:val="22"/>
        </w:rPr>
        <w:t xml:space="preserve"> </w:t>
      </w:r>
      <w:r w:rsidRPr="00D4546B">
        <w:rPr>
          <w:rFonts w:ascii="Arial" w:hAnsi="Arial" w:cs="Arial"/>
          <w:sz w:val="22"/>
          <w:szCs w:val="22"/>
        </w:rPr>
        <w:t>Dichas evidencias se relacionan a continuación:</w:t>
      </w:r>
    </w:p>
    <w:p w:rsidR="004662E4" w:rsidRPr="00D4546B" w:rsidRDefault="004662E4" w:rsidP="000A5BEA">
      <w:pPr>
        <w:jc w:val="both"/>
        <w:rPr>
          <w:rFonts w:ascii="Arial" w:hAnsi="Arial" w:cs="Arial"/>
          <w:sz w:val="22"/>
          <w:szCs w:val="22"/>
        </w:rPr>
      </w:pPr>
      <w:r w:rsidRPr="00D4546B">
        <w:rPr>
          <w:rFonts w:ascii="Arial" w:hAnsi="Arial" w:cs="Arial"/>
          <w:sz w:val="22"/>
          <w:szCs w:val="22"/>
        </w:rPr>
        <w:t xml:space="preserve"> </w:t>
      </w:r>
    </w:p>
    <w:p w:rsidR="004662E4" w:rsidRPr="00D4546B" w:rsidRDefault="004662E4" w:rsidP="000A5BEA">
      <w:pPr>
        <w:pStyle w:val="Prrafodelista"/>
        <w:numPr>
          <w:ilvl w:val="0"/>
          <w:numId w:val="16"/>
        </w:numPr>
        <w:jc w:val="both"/>
        <w:rPr>
          <w:rFonts w:ascii="Arial" w:hAnsi="Arial" w:cs="Arial"/>
          <w:sz w:val="22"/>
          <w:szCs w:val="22"/>
        </w:rPr>
      </w:pPr>
      <w:r w:rsidRPr="00D4546B">
        <w:rPr>
          <w:rFonts w:ascii="Arial" w:hAnsi="Arial" w:cs="Arial"/>
          <w:sz w:val="22"/>
          <w:szCs w:val="22"/>
        </w:rPr>
        <w:t xml:space="preserve">Informe del cálculo actuarial estimado, el valor de las cesantías causadas de los funcionarios administrativos. </w:t>
      </w:r>
    </w:p>
    <w:p w:rsidR="004662E4" w:rsidRPr="00D4546B" w:rsidRDefault="004662E4" w:rsidP="000A5BEA">
      <w:pPr>
        <w:pStyle w:val="Prrafodelista"/>
        <w:numPr>
          <w:ilvl w:val="0"/>
          <w:numId w:val="16"/>
        </w:numPr>
        <w:jc w:val="both"/>
        <w:rPr>
          <w:rFonts w:ascii="Arial" w:hAnsi="Arial" w:cs="Arial"/>
          <w:sz w:val="22"/>
          <w:szCs w:val="22"/>
        </w:rPr>
      </w:pPr>
      <w:r w:rsidRPr="00D4546B">
        <w:rPr>
          <w:rFonts w:ascii="Arial" w:hAnsi="Arial" w:cs="Arial"/>
          <w:sz w:val="22"/>
          <w:szCs w:val="22"/>
        </w:rPr>
        <w:t>5.6 Calculo actuarial estimado administrativos con corte al 31 de marzo de 2019</w:t>
      </w:r>
    </w:p>
    <w:p w:rsidR="004662E4" w:rsidRPr="00D4546B" w:rsidRDefault="004662E4" w:rsidP="000A5BEA">
      <w:pPr>
        <w:pStyle w:val="Prrafodelista"/>
        <w:numPr>
          <w:ilvl w:val="0"/>
          <w:numId w:val="16"/>
        </w:numPr>
        <w:jc w:val="both"/>
        <w:rPr>
          <w:rFonts w:ascii="Arial" w:hAnsi="Arial" w:cs="Arial"/>
          <w:sz w:val="22"/>
          <w:szCs w:val="22"/>
        </w:rPr>
      </w:pPr>
      <w:r w:rsidRPr="00D4546B">
        <w:rPr>
          <w:rFonts w:ascii="Arial" w:hAnsi="Arial" w:cs="Arial"/>
          <w:sz w:val="22"/>
          <w:szCs w:val="22"/>
        </w:rPr>
        <w:t>5.6 Relación funcionarios con régimen de retroactividad</w:t>
      </w:r>
    </w:p>
    <w:p w:rsidR="004662E4" w:rsidRPr="00D4546B" w:rsidRDefault="004662E4" w:rsidP="000A5BEA">
      <w:pPr>
        <w:pStyle w:val="Prrafodelista"/>
        <w:numPr>
          <w:ilvl w:val="0"/>
          <w:numId w:val="16"/>
        </w:numPr>
        <w:jc w:val="both"/>
        <w:rPr>
          <w:rFonts w:ascii="Arial" w:hAnsi="Arial" w:cs="Arial"/>
          <w:sz w:val="22"/>
          <w:szCs w:val="22"/>
        </w:rPr>
      </w:pPr>
      <w:r w:rsidRPr="00D4546B">
        <w:rPr>
          <w:rFonts w:ascii="Arial" w:hAnsi="Arial" w:cs="Arial"/>
          <w:sz w:val="22"/>
          <w:szCs w:val="22"/>
        </w:rPr>
        <w:t>Copia de la transacciones efectuadas al fondo para la provisión de cesantías del 2002 al 2014, de 2016 y 2017.</w:t>
      </w:r>
    </w:p>
    <w:p w:rsidR="004662E4" w:rsidRPr="00D4546B" w:rsidRDefault="004662E4" w:rsidP="000A5BEA">
      <w:pPr>
        <w:pStyle w:val="Prrafodelista"/>
        <w:numPr>
          <w:ilvl w:val="0"/>
          <w:numId w:val="16"/>
        </w:numPr>
        <w:jc w:val="both"/>
        <w:rPr>
          <w:rFonts w:ascii="Arial" w:hAnsi="Arial" w:cs="Arial"/>
          <w:sz w:val="22"/>
          <w:szCs w:val="22"/>
        </w:rPr>
      </w:pPr>
      <w:r w:rsidRPr="00D4546B">
        <w:rPr>
          <w:rFonts w:ascii="Arial" w:hAnsi="Arial" w:cs="Arial"/>
          <w:sz w:val="22"/>
          <w:szCs w:val="22"/>
        </w:rPr>
        <w:t>5.6 Convenio cesantías Protección</w:t>
      </w:r>
    </w:p>
    <w:p w:rsidR="004662E4" w:rsidRPr="00D4546B" w:rsidRDefault="004662E4" w:rsidP="000A5BEA">
      <w:pPr>
        <w:pStyle w:val="Prrafodelista"/>
        <w:numPr>
          <w:ilvl w:val="0"/>
          <w:numId w:val="16"/>
        </w:numPr>
        <w:jc w:val="both"/>
        <w:rPr>
          <w:rFonts w:ascii="Arial" w:hAnsi="Arial" w:cs="Arial"/>
          <w:sz w:val="22"/>
          <w:szCs w:val="22"/>
        </w:rPr>
      </w:pPr>
      <w:r w:rsidRPr="00D4546B">
        <w:rPr>
          <w:rFonts w:ascii="Arial" w:hAnsi="Arial" w:cs="Arial"/>
          <w:sz w:val="22"/>
          <w:szCs w:val="22"/>
        </w:rPr>
        <w:t>Resumen deudas laborales, SED Córdoba, octubre 2019, con valores 2018</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 xml:space="preserve">El documento 5.6 Relación funcionarios con régimen de retroactividad solo relaciona funcionarios administrativos, no docentes. La información del documento es consistente con el archivo 5.6 Cálculo actuarial estimado administrativos con corte al 31 de marzo de 2019. El último documento sí incluye información de los docentes con régimen de cesantías retroactivas. El documento se encuentra actualizado al 31 de marzo de 2019. </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De acuerdo con este documento el valor de cesantías retroactivas de administrativos es $9.841</w:t>
      </w:r>
      <w:r w:rsidR="001B507A">
        <w:rPr>
          <w:rFonts w:ascii="Arial" w:hAnsi="Arial" w:cs="Arial"/>
          <w:sz w:val="22"/>
          <w:szCs w:val="22"/>
        </w:rPr>
        <w:t xml:space="preserve"> millones </w:t>
      </w:r>
      <w:r w:rsidRPr="00D4546B">
        <w:rPr>
          <w:rFonts w:ascii="Arial" w:hAnsi="Arial" w:cs="Arial"/>
          <w:sz w:val="22"/>
          <w:szCs w:val="22"/>
        </w:rPr>
        <w:t>y de docentes, $5.817</w:t>
      </w:r>
      <w:r w:rsidR="001B507A">
        <w:rPr>
          <w:rFonts w:ascii="Arial" w:hAnsi="Arial" w:cs="Arial"/>
          <w:sz w:val="22"/>
          <w:szCs w:val="22"/>
        </w:rPr>
        <w:t xml:space="preserve"> millones</w:t>
      </w:r>
      <w:r w:rsidRPr="00D4546B">
        <w:rPr>
          <w:rFonts w:ascii="Arial" w:hAnsi="Arial" w:cs="Arial"/>
          <w:sz w:val="22"/>
          <w:szCs w:val="22"/>
        </w:rPr>
        <w:t>. Este no es consistente con el valor referido en el archivo 5.4 Resumen deudas laborales SED Córdoba octubre 2019 con valores 2018, donde se relaciona deuda por cesantías retroactivas administrativos por $11.81</w:t>
      </w:r>
      <w:r w:rsidR="001B507A">
        <w:rPr>
          <w:rFonts w:ascii="Arial" w:hAnsi="Arial" w:cs="Arial"/>
          <w:sz w:val="22"/>
          <w:szCs w:val="22"/>
        </w:rPr>
        <w:t xml:space="preserve">9 millones </w:t>
      </w:r>
      <w:r w:rsidRPr="00D4546B">
        <w:rPr>
          <w:rFonts w:ascii="Arial" w:hAnsi="Arial" w:cs="Arial"/>
          <w:sz w:val="22"/>
          <w:szCs w:val="22"/>
        </w:rPr>
        <w:t>con corte a 2018. Se debe indicar a que corresponde la disminución en el saldo de la deuda.</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 xml:space="preserve">La entidad remite el archivo 5.6 Convenio cesantías Protección que contiene el Convenio Administración de Cesantías Retroactivas de Servidores Públicos con la administradora de Fondos de Pensiones y Cesantías “Protección S.A.” y remite prueba de una transferencia </w:t>
      </w:r>
      <w:r w:rsidRPr="00D4546B">
        <w:rPr>
          <w:rFonts w:ascii="Arial" w:hAnsi="Arial" w:cs="Arial"/>
          <w:sz w:val="22"/>
          <w:szCs w:val="22"/>
        </w:rPr>
        <w:lastRenderedPageBreak/>
        <w:t xml:space="preserve">por $1.500.000 con cargo a recursos de Prestación del Servicio al Fondo de Pensiones y Cesantías Protección para la atención de las cesantías retroactivas de los funcionarios administrativos y docentes no afiliados al FOMAG (Resolución 4265 del 22 de octubre 2019 </w:t>
      </w:r>
      <w:r w:rsidRPr="001B507A">
        <w:rPr>
          <w:rFonts w:ascii="Arial" w:hAnsi="Arial" w:cs="Arial"/>
          <w:i/>
          <w:sz w:val="22"/>
          <w:szCs w:val="22"/>
        </w:rPr>
        <w:t>“Por la cual se reconoce y autoriza el pago de los salarios, prestaciones sociales, aportes patronales, parafiscales y terceros de la nómina de educación del mes de octubre de 2019 con cargo a recursos del SGP Población Atendida”</w:t>
      </w:r>
      <w:r w:rsidRPr="00D4546B">
        <w:rPr>
          <w:rFonts w:ascii="Arial" w:hAnsi="Arial" w:cs="Arial"/>
          <w:sz w:val="22"/>
          <w:szCs w:val="22"/>
        </w:rPr>
        <w:t xml:space="preserve">). El rubro se refleja en la ejecución presupuestal por valor de $1.771 millones. </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A pesar que la entidad presenta información del Convenio</w:t>
      </w:r>
      <w:r w:rsidR="002A79FE">
        <w:rPr>
          <w:rFonts w:ascii="Arial" w:hAnsi="Arial" w:cs="Arial"/>
          <w:sz w:val="22"/>
          <w:szCs w:val="22"/>
        </w:rPr>
        <w:t xml:space="preserve"> (</w:t>
      </w:r>
      <w:r w:rsidRPr="00D4546B">
        <w:rPr>
          <w:rFonts w:ascii="Arial" w:hAnsi="Arial" w:cs="Arial"/>
          <w:sz w:val="22"/>
          <w:szCs w:val="22"/>
        </w:rPr>
        <w:t>relación de funcionarios beneficiarios y el cálculo actuarial de las obligaciones</w:t>
      </w:r>
      <w:r w:rsidR="002A79FE">
        <w:rPr>
          <w:rFonts w:ascii="Arial" w:hAnsi="Arial" w:cs="Arial"/>
          <w:sz w:val="22"/>
          <w:szCs w:val="22"/>
        </w:rPr>
        <w:t>),</w:t>
      </w:r>
      <w:r w:rsidRPr="00D4546B">
        <w:rPr>
          <w:rFonts w:ascii="Arial" w:hAnsi="Arial" w:cs="Arial"/>
          <w:sz w:val="22"/>
          <w:szCs w:val="22"/>
        </w:rPr>
        <w:t xml:space="preserve"> </w:t>
      </w:r>
      <w:r w:rsidR="002A79FE">
        <w:rPr>
          <w:rFonts w:ascii="Arial" w:hAnsi="Arial" w:cs="Arial"/>
          <w:sz w:val="22"/>
          <w:szCs w:val="22"/>
        </w:rPr>
        <w:t xml:space="preserve">no se identificó </w:t>
      </w:r>
      <w:r w:rsidRPr="00D4546B">
        <w:rPr>
          <w:rFonts w:ascii="Arial" w:hAnsi="Arial" w:cs="Arial"/>
          <w:sz w:val="22"/>
          <w:szCs w:val="22"/>
        </w:rPr>
        <w:t>información sobre el estado de la apropiación de recursos</w:t>
      </w:r>
      <w:r w:rsidR="003C4B01">
        <w:rPr>
          <w:rFonts w:ascii="Arial" w:hAnsi="Arial" w:cs="Arial"/>
          <w:sz w:val="22"/>
          <w:szCs w:val="22"/>
        </w:rPr>
        <w:t>,</w:t>
      </w:r>
      <w:r w:rsidRPr="00D4546B">
        <w:rPr>
          <w:rFonts w:ascii="Arial" w:hAnsi="Arial" w:cs="Arial"/>
          <w:sz w:val="22"/>
          <w:szCs w:val="22"/>
        </w:rPr>
        <w:t xml:space="preserve"> ni frente a la fuente de financiación para la financiación del pasivo asociado a este concepto. </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Por lo anterior, esta actividad se encuentra incumplida.</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b/>
          <w:sz w:val="22"/>
          <w:szCs w:val="22"/>
        </w:rPr>
      </w:pPr>
      <w:r w:rsidRPr="00D4546B">
        <w:rPr>
          <w:rFonts w:ascii="Arial" w:hAnsi="Arial" w:cs="Arial"/>
          <w:b/>
          <w:sz w:val="22"/>
          <w:szCs w:val="22"/>
        </w:rPr>
        <w:t>Actividad 1.3.5 Compensar al Sector Educativo los recursos de excedentes del SGP Educación del año 2014 que se utilizaron para pagar los compromisos de nómina de la vigencia 2015 y/o recursos corrientes de 2016 que se hayan utilizado para pagar los compromisos de nómina no pagados durante la vigencia 2015.</w:t>
      </w:r>
    </w:p>
    <w:p w:rsidR="004662E4" w:rsidRPr="00D4546B" w:rsidRDefault="004662E4" w:rsidP="000A5BEA">
      <w:pPr>
        <w:jc w:val="both"/>
        <w:rPr>
          <w:rFonts w:ascii="Arial" w:hAnsi="Arial" w:cs="Arial"/>
          <w:b/>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Las evidencias se encuentran consignadas en el sistema SIED con el número de Expediente 22/2019/D028-PREDI.</w:t>
      </w:r>
      <w:r w:rsidR="008040A0">
        <w:rPr>
          <w:rFonts w:ascii="Arial" w:hAnsi="Arial" w:cs="Arial"/>
          <w:sz w:val="22"/>
          <w:szCs w:val="22"/>
        </w:rPr>
        <w:t xml:space="preserve"> </w:t>
      </w:r>
      <w:r w:rsidRPr="00D4546B">
        <w:rPr>
          <w:rFonts w:ascii="Arial" w:hAnsi="Arial" w:cs="Arial"/>
          <w:sz w:val="22"/>
          <w:szCs w:val="22"/>
        </w:rPr>
        <w:t>Dichas evidencias se relacionan a continuación:</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La información objeto de análisis para esta actividad fue la siguiente:</w:t>
      </w:r>
    </w:p>
    <w:p w:rsidR="004662E4" w:rsidRPr="00D4546B" w:rsidRDefault="004662E4" w:rsidP="000A5BEA">
      <w:pPr>
        <w:jc w:val="both"/>
        <w:rPr>
          <w:rFonts w:ascii="Arial" w:hAnsi="Arial" w:cs="Arial"/>
          <w:sz w:val="22"/>
          <w:szCs w:val="22"/>
        </w:rPr>
      </w:pPr>
    </w:p>
    <w:p w:rsidR="004662E4" w:rsidRPr="00D4546B" w:rsidRDefault="004662E4" w:rsidP="000A5BEA">
      <w:pPr>
        <w:pStyle w:val="Prrafodelista"/>
        <w:numPr>
          <w:ilvl w:val="0"/>
          <w:numId w:val="17"/>
        </w:numPr>
        <w:jc w:val="both"/>
        <w:rPr>
          <w:rFonts w:ascii="Arial" w:hAnsi="Arial" w:cs="Arial"/>
          <w:sz w:val="22"/>
          <w:szCs w:val="22"/>
        </w:rPr>
      </w:pPr>
      <w:r w:rsidRPr="00D4546B">
        <w:rPr>
          <w:rFonts w:ascii="Arial" w:hAnsi="Arial" w:cs="Arial"/>
          <w:sz w:val="22"/>
          <w:szCs w:val="22"/>
        </w:rPr>
        <w:t>Informe con evidencias presupuestales y tesorales de la financiación de déficit generado al cierre de la vigencia 2015.</w:t>
      </w:r>
    </w:p>
    <w:p w:rsidR="004662E4" w:rsidRPr="00D4546B" w:rsidRDefault="004662E4" w:rsidP="000A5BEA">
      <w:pPr>
        <w:pStyle w:val="Prrafodelista"/>
        <w:numPr>
          <w:ilvl w:val="0"/>
          <w:numId w:val="17"/>
        </w:numPr>
        <w:jc w:val="both"/>
        <w:rPr>
          <w:rFonts w:ascii="Arial" w:hAnsi="Arial" w:cs="Arial"/>
          <w:sz w:val="22"/>
          <w:szCs w:val="22"/>
        </w:rPr>
      </w:pPr>
      <w:r w:rsidRPr="00D4546B">
        <w:rPr>
          <w:rFonts w:ascii="Arial" w:hAnsi="Arial" w:cs="Arial"/>
          <w:sz w:val="22"/>
          <w:szCs w:val="22"/>
        </w:rPr>
        <w:t>Evidenciar la compensación de los recursos a través de la ejecución de proyectos de inversión en el sector educativo, financiados con fuentes diferentes al SGP educación.</w:t>
      </w:r>
    </w:p>
    <w:p w:rsidR="004662E4" w:rsidRPr="00D4546B" w:rsidRDefault="004662E4" w:rsidP="000A5BEA">
      <w:pPr>
        <w:jc w:val="both"/>
        <w:rPr>
          <w:rFonts w:ascii="Arial" w:hAnsi="Arial" w:cs="Arial"/>
          <w:sz w:val="22"/>
          <w:szCs w:val="22"/>
        </w:rPr>
      </w:pPr>
    </w:p>
    <w:p w:rsidR="003C4B01" w:rsidRDefault="004662E4" w:rsidP="000A5BEA">
      <w:pPr>
        <w:jc w:val="both"/>
        <w:rPr>
          <w:rFonts w:ascii="Arial" w:hAnsi="Arial" w:cs="Arial"/>
          <w:sz w:val="22"/>
          <w:szCs w:val="22"/>
        </w:rPr>
      </w:pPr>
      <w:r w:rsidRPr="00D4546B">
        <w:rPr>
          <w:rFonts w:ascii="Arial" w:hAnsi="Arial" w:cs="Arial"/>
          <w:sz w:val="22"/>
          <w:szCs w:val="22"/>
        </w:rPr>
        <w:t xml:space="preserve">La Gobernación remitió la certificación del director financiero de recursos apropiados para atender proyectos de infraestructura y conectividad en el sector educación y recursos del convenio 515-2017 Fondo de Inversión para la Paz – prosperidad social FIP por valor de $2.921 millones. Sin embargo, en la ejecución presupuestal solo se reflejan compromisos en gastos de inversión en educación preescolar, básica y media con cargo a la fuente Impuestos al consumo de licores por $645 millones. No se registran compromisos con cargo a la fuente del Convenio 515-2017. </w:t>
      </w:r>
    </w:p>
    <w:p w:rsidR="003C4B01" w:rsidRDefault="003C4B01"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 xml:space="preserve">En este sentido, la Gobernación debe continuar el avance en la compensación de </w:t>
      </w:r>
      <w:r w:rsidR="003C4B01">
        <w:rPr>
          <w:rFonts w:ascii="Arial" w:hAnsi="Arial" w:cs="Arial"/>
          <w:sz w:val="22"/>
          <w:szCs w:val="22"/>
        </w:rPr>
        <w:t>los $5.473 millones identificados en el diagnóstico inicial de la medida</w:t>
      </w:r>
      <w:r w:rsidR="001B507A">
        <w:rPr>
          <w:rFonts w:ascii="Arial" w:hAnsi="Arial" w:cs="Arial"/>
          <w:sz w:val="22"/>
          <w:szCs w:val="22"/>
        </w:rPr>
        <w:t>, mediante el suministro de los soportes documentales suficientes, como minutas contractuales, registros presupuestales e informes de ejecución de tales contratos.</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Por lo anterior, la actividad se encuentra incumplida.</w:t>
      </w:r>
    </w:p>
    <w:p w:rsidR="004662E4" w:rsidRPr="00D4546B" w:rsidRDefault="004662E4" w:rsidP="000A5BEA">
      <w:pPr>
        <w:jc w:val="both"/>
        <w:rPr>
          <w:rFonts w:ascii="Arial" w:hAnsi="Arial" w:cs="Arial"/>
          <w:sz w:val="20"/>
          <w:szCs w:val="20"/>
        </w:rPr>
      </w:pPr>
    </w:p>
    <w:p w:rsidR="004662E4" w:rsidRPr="00D4546B" w:rsidRDefault="004662E4" w:rsidP="000A5BEA">
      <w:pPr>
        <w:jc w:val="both"/>
        <w:rPr>
          <w:rFonts w:ascii="Arial" w:hAnsi="Arial" w:cs="Arial"/>
          <w:b/>
          <w:sz w:val="22"/>
          <w:szCs w:val="22"/>
        </w:rPr>
      </w:pPr>
      <w:r w:rsidRPr="00D4546B">
        <w:rPr>
          <w:rFonts w:ascii="Arial" w:hAnsi="Arial" w:cs="Arial"/>
          <w:b/>
          <w:sz w:val="22"/>
          <w:szCs w:val="22"/>
        </w:rPr>
        <w:t>Actividad 2.1.2. Normalizar la entrega de la dotación de personal del sector educativo conforme la normatividad.</w:t>
      </w:r>
    </w:p>
    <w:p w:rsidR="004662E4" w:rsidRPr="00D4546B" w:rsidRDefault="004662E4" w:rsidP="000A5BEA">
      <w:pPr>
        <w:jc w:val="both"/>
        <w:rPr>
          <w:rFonts w:ascii="Arial" w:hAnsi="Arial" w:cs="Arial"/>
          <w:b/>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Las evidencias se encuentran consignadas en el sistema SIED con el número de Expediente 22/2019/D028-PREDI.</w:t>
      </w:r>
      <w:r w:rsidR="008040A0">
        <w:rPr>
          <w:rFonts w:ascii="Arial" w:hAnsi="Arial" w:cs="Arial"/>
          <w:sz w:val="22"/>
          <w:szCs w:val="22"/>
        </w:rPr>
        <w:t xml:space="preserve"> </w:t>
      </w:r>
      <w:r w:rsidRPr="00D4546B">
        <w:rPr>
          <w:rFonts w:ascii="Arial" w:hAnsi="Arial" w:cs="Arial"/>
          <w:sz w:val="22"/>
          <w:szCs w:val="22"/>
        </w:rPr>
        <w:t>Dichas evidencias se relacionan a continuación:</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La información objeto de análisis para esta actividad fue la siguiente:</w:t>
      </w:r>
    </w:p>
    <w:p w:rsidR="004662E4" w:rsidRPr="00D4546B" w:rsidRDefault="004662E4" w:rsidP="000A5BEA">
      <w:pPr>
        <w:jc w:val="both"/>
        <w:rPr>
          <w:rFonts w:ascii="Arial" w:hAnsi="Arial" w:cs="Arial"/>
          <w:sz w:val="22"/>
          <w:szCs w:val="22"/>
        </w:rPr>
      </w:pPr>
    </w:p>
    <w:p w:rsidR="004662E4" w:rsidRPr="00D4546B" w:rsidRDefault="004662E4" w:rsidP="000A5BEA">
      <w:pPr>
        <w:pStyle w:val="Prrafodelista"/>
        <w:numPr>
          <w:ilvl w:val="0"/>
          <w:numId w:val="18"/>
        </w:numPr>
        <w:jc w:val="both"/>
        <w:rPr>
          <w:rFonts w:ascii="Arial" w:hAnsi="Arial" w:cs="Arial"/>
          <w:sz w:val="22"/>
          <w:szCs w:val="22"/>
        </w:rPr>
      </w:pPr>
      <w:r w:rsidRPr="00D4546B">
        <w:rPr>
          <w:rFonts w:ascii="Arial" w:hAnsi="Arial" w:cs="Arial"/>
          <w:sz w:val="22"/>
          <w:szCs w:val="22"/>
        </w:rPr>
        <w:t xml:space="preserve">Evidencias verificables en SECOP de los procesos adelantados para el suministro de la dotación de vestuario y calzado al personal del sector educativo del Municipio </w:t>
      </w:r>
    </w:p>
    <w:p w:rsidR="004662E4" w:rsidRPr="00D4546B" w:rsidRDefault="004662E4" w:rsidP="000A5BEA">
      <w:pPr>
        <w:pStyle w:val="Prrafodelista"/>
        <w:numPr>
          <w:ilvl w:val="0"/>
          <w:numId w:val="18"/>
        </w:numPr>
        <w:jc w:val="both"/>
        <w:rPr>
          <w:rFonts w:ascii="Arial" w:hAnsi="Arial" w:cs="Arial"/>
          <w:sz w:val="22"/>
          <w:szCs w:val="22"/>
        </w:rPr>
      </w:pPr>
      <w:r w:rsidRPr="00D4546B">
        <w:rPr>
          <w:rFonts w:ascii="Arial" w:hAnsi="Arial" w:cs="Arial"/>
          <w:sz w:val="22"/>
          <w:szCs w:val="22"/>
        </w:rPr>
        <w:t>Informes de supervisión que reporten la entrega de la dotación al personal del sector educativo en los plazos definidos en la Ley.</w:t>
      </w:r>
    </w:p>
    <w:p w:rsidR="004662E4" w:rsidRPr="00D4546B" w:rsidRDefault="004662E4" w:rsidP="000A5BEA">
      <w:pPr>
        <w:pStyle w:val="Prrafodelista"/>
        <w:numPr>
          <w:ilvl w:val="0"/>
          <w:numId w:val="18"/>
        </w:numPr>
        <w:jc w:val="both"/>
        <w:rPr>
          <w:rFonts w:ascii="Arial" w:hAnsi="Arial" w:cs="Arial"/>
          <w:sz w:val="22"/>
          <w:szCs w:val="22"/>
        </w:rPr>
      </w:pPr>
      <w:r w:rsidRPr="00D4546B">
        <w:rPr>
          <w:rFonts w:ascii="Arial" w:hAnsi="Arial" w:cs="Arial"/>
          <w:sz w:val="22"/>
          <w:szCs w:val="22"/>
        </w:rPr>
        <w:t>Actas de entrega de dotación</w:t>
      </w:r>
    </w:p>
    <w:p w:rsidR="004662E4" w:rsidRPr="00D4546B" w:rsidRDefault="004662E4" w:rsidP="000A5BEA">
      <w:pPr>
        <w:jc w:val="both"/>
        <w:rPr>
          <w:rFonts w:ascii="Arial" w:hAnsi="Arial" w:cs="Arial"/>
          <w:sz w:val="22"/>
          <w:szCs w:val="22"/>
        </w:rPr>
      </w:pPr>
    </w:p>
    <w:p w:rsidR="005F2D21" w:rsidRDefault="004662E4" w:rsidP="000A5BEA">
      <w:pPr>
        <w:jc w:val="both"/>
        <w:rPr>
          <w:rFonts w:ascii="Arial" w:hAnsi="Arial" w:cs="Arial"/>
          <w:sz w:val="22"/>
          <w:szCs w:val="22"/>
        </w:rPr>
      </w:pPr>
      <w:r w:rsidRPr="00D4546B">
        <w:rPr>
          <w:rFonts w:ascii="Arial" w:hAnsi="Arial" w:cs="Arial"/>
          <w:sz w:val="22"/>
          <w:szCs w:val="22"/>
        </w:rPr>
        <w:t xml:space="preserve">En la ejecución presupuestal </w:t>
      </w:r>
      <w:r w:rsidR="005F2D21">
        <w:rPr>
          <w:rFonts w:ascii="Arial" w:hAnsi="Arial" w:cs="Arial"/>
          <w:sz w:val="22"/>
          <w:szCs w:val="22"/>
        </w:rPr>
        <w:t xml:space="preserve">de la vigencia 2019 </w:t>
      </w:r>
      <w:r w:rsidRPr="00D4546B">
        <w:rPr>
          <w:rFonts w:ascii="Arial" w:hAnsi="Arial" w:cs="Arial"/>
          <w:sz w:val="22"/>
          <w:szCs w:val="22"/>
        </w:rPr>
        <w:t xml:space="preserve">se encuentra el rubro Dotación Ley 70/88 para docentes y directivos docentes con compromisos </w:t>
      </w:r>
      <w:r w:rsidR="005F2D21">
        <w:rPr>
          <w:rFonts w:ascii="Arial" w:hAnsi="Arial" w:cs="Arial"/>
          <w:sz w:val="22"/>
          <w:szCs w:val="22"/>
        </w:rPr>
        <w:t xml:space="preserve">por $769 millones </w:t>
      </w:r>
      <w:r w:rsidRPr="00D4546B">
        <w:rPr>
          <w:rFonts w:ascii="Arial" w:hAnsi="Arial" w:cs="Arial"/>
          <w:sz w:val="22"/>
          <w:szCs w:val="22"/>
        </w:rPr>
        <w:t>asociados</w:t>
      </w:r>
      <w:r w:rsidR="002A79FE">
        <w:rPr>
          <w:rFonts w:ascii="Arial" w:hAnsi="Arial" w:cs="Arial"/>
          <w:sz w:val="22"/>
          <w:szCs w:val="22"/>
        </w:rPr>
        <w:t xml:space="preserve"> principalmente a los primeros, siendo que en los segundos no se evidenciaron compromisos</w:t>
      </w:r>
      <w:r w:rsidRPr="00D4546B">
        <w:rPr>
          <w:rFonts w:ascii="Arial" w:hAnsi="Arial" w:cs="Arial"/>
          <w:sz w:val="22"/>
          <w:szCs w:val="22"/>
        </w:rPr>
        <w:t xml:space="preserve">. </w:t>
      </w:r>
      <w:r w:rsidR="005F2D21">
        <w:rPr>
          <w:rFonts w:ascii="Arial" w:hAnsi="Arial" w:cs="Arial"/>
          <w:sz w:val="22"/>
          <w:szCs w:val="22"/>
        </w:rPr>
        <w:t>Para la vigencia 2020, la información reportada por la Entidad Territorial en las Categorías de Gastos de Inversión y Gastos de Funcionamiento no reflejan compromisos por este concepto.</w:t>
      </w:r>
    </w:p>
    <w:p w:rsidR="005F2D21" w:rsidRDefault="005F2D21" w:rsidP="000A5BEA">
      <w:pPr>
        <w:jc w:val="both"/>
        <w:rPr>
          <w:rFonts w:ascii="Arial" w:hAnsi="Arial" w:cs="Arial"/>
          <w:sz w:val="22"/>
          <w:szCs w:val="22"/>
        </w:rPr>
      </w:pPr>
    </w:p>
    <w:p w:rsidR="004662E4" w:rsidRDefault="004662E4" w:rsidP="000A5BEA">
      <w:pPr>
        <w:jc w:val="both"/>
        <w:rPr>
          <w:rFonts w:ascii="Arial" w:hAnsi="Arial" w:cs="Arial"/>
          <w:sz w:val="22"/>
          <w:szCs w:val="22"/>
        </w:rPr>
      </w:pPr>
      <w:r w:rsidRPr="00D4546B">
        <w:rPr>
          <w:rFonts w:ascii="Arial" w:hAnsi="Arial" w:cs="Arial"/>
          <w:sz w:val="22"/>
          <w:szCs w:val="22"/>
        </w:rPr>
        <w:t xml:space="preserve">La Gobernación no remitió información que permita verificar la contratación y entrega de la dotación para el personal del sector educativo conforme a la normatividad. </w:t>
      </w:r>
    </w:p>
    <w:p w:rsidR="009F102C" w:rsidRDefault="009F102C" w:rsidP="000A5BEA">
      <w:pPr>
        <w:jc w:val="both"/>
        <w:rPr>
          <w:rFonts w:ascii="Arial" w:hAnsi="Arial" w:cs="Arial"/>
          <w:sz w:val="22"/>
          <w:szCs w:val="22"/>
        </w:rPr>
      </w:pPr>
    </w:p>
    <w:p w:rsidR="009F102C" w:rsidRPr="005E010E" w:rsidRDefault="009F102C" w:rsidP="009F102C">
      <w:pPr>
        <w:jc w:val="both"/>
        <w:rPr>
          <w:rFonts w:ascii="Arial" w:hAnsi="Arial" w:cs="Arial"/>
          <w:bCs/>
          <w:sz w:val="22"/>
          <w:szCs w:val="22"/>
        </w:rPr>
      </w:pPr>
      <w:r>
        <w:rPr>
          <w:rFonts w:ascii="Arial" w:hAnsi="Arial" w:cs="Arial"/>
          <w:bCs/>
          <w:sz w:val="22"/>
          <w:szCs w:val="22"/>
        </w:rPr>
        <w:t>Así</w:t>
      </w:r>
      <w:r w:rsidRPr="005E010E">
        <w:rPr>
          <w:rFonts w:ascii="Arial" w:hAnsi="Arial" w:cs="Arial"/>
          <w:bCs/>
          <w:sz w:val="22"/>
          <w:szCs w:val="22"/>
        </w:rPr>
        <w:t xml:space="preserve">, la Entidad Territorial incumple con la entrega de la dotación en los términos establecidos en la Ley 70 de 1988 y su Decreto reglamentario. Aunado a lo anterior, </w:t>
      </w:r>
      <w:r>
        <w:rPr>
          <w:rFonts w:ascii="Arial" w:hAnsi="Arial" w:cs="Arial"/>
          <w:bCs/>
          <w:sz w:val="22"/>
          <w:szCs w:val="22"/>
        </w:rPr>
        <w:t>l</w:t>
      </w:r>
      <w:r w:rsidRPr="005E010E">
        <w:rPr>
          <w:rFonts w:ascii="Arial" w:hAnsi="Arial" w:cs="Arial"/>
          <w:bCs/>
          <w:sz w:val="22"/>
          <w:szCs w:val="22"/>
        </w:rPr>
        <w:t>a Dirección General de Apoyo Fiscal ha considerado que si la Entidad Territorial por falta de planeación y administración del recurso para la entrega del calzado y vestuario conforme la ley, genera deudas por este concepto, estos pasivos no deben ser financiados con recursos excedentes del Sistema General de Participaciones, ni con cargo a los recursos del Presupuesto General de la Nación, al carecer de fundamento legal y constitucional de acuerdo al artículo 148 de la Ley 1450 de 2011, dado que se originó por la omisión de la Entidad Territorial que contradijo el ordenamiento jurídico, posición que recogió el Ministerio de Educación Nacional hasta la expedición de la Circular 18 de 2016.</w:t>
      </w:r>
    </w:p>
    <w:p w:rsidR="009F102C" w:rsidRPr="00D4546B" w:rsidRDefault="009F102C"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Por lo anterior, esta actividad se encuentra incumplida.</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b/>
          <w:sz w:val="22"/>
          <w:szCs w:val="22"/>
        </w:rPr>
      </w:pPr>
      <w:r w:rsidRPr="00D4546B">
        <w:rPr>
          <w:rFonts w:ascii="Arial" w:hAnsi="Arial" w:cs="Arial"/>
          <w:b/>
          <w:sz w:val="22"/>
          <w:szCs w:val="22"/>
        </w:rPr>
        <w:t>Actividad 2.1.5. No generar deuda por el no pago oportuno de conceptos salariales y prestacionales. Depurar los conceptos de deuda identificados, definir la fuente de financiación y establecer un plan de pago.</w:t>
      </w:r>
    </w:p>
    <w:p w:rsidR="004662E4" w:rsidRPr="00D4546B" w:rsidRDefault="004662E4" w:rsidP="000A5BEA">
      <w:pPr>
        <w:jc w:val="both"/>
        <w:rPr>
          <w:rFonts w:ascii="Arial" w:hAnsi="Arial" w:cs="Arial"/>
          <w:b/>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Las evidencias se encuentran consignadas en el sistema SIED con el número de Expediente 22/2019/D028-PREDI.</w:t>
      </w:r>
      <w:r w:rsidR="008040A0">
        <w:rPr>
          <w:rFonts w:ascii="Arial" w:hAnsi="Arial" w:cs="Arial"/>
          <w:sz w:val="22"/>
          <w:szCs w:val="22"/>
        </w:rPr>
        <w:t xml:space="preserve"> </w:t>
      </w:r>
      <w:r w:rsidRPr="00D4546B">
        <w:rPr>
          <w:rFonts w:ascii="Arial" w:hAnsi="Arial" w:cs="Arial"/>
          <w:sz w:val="22"/>
          <w:szCs w:val="22"/>
        </w:rPr>
        <w:t>Dichas evidencias se relacionan a continuación</w:t>
      </w:r>
      <w:r w:rsidR="005F2D21">
        <w:rPr>
          <w:rFonts w:ascii="Arial" w:hAnsi="Arial" w:cs="Arial"/>
          <w:sz w:val="22"/>
          <w:szCs w:val="22"/>
        </w:rPr>
        <w:t>, correspondiente a l</w:t>
      </w:r>
      <w:r w:rsidRPr="00D4546B">
        <w:rPr>
          <w:rFonts w:ascii="Arial" w:hAnsi="Arial" w:cs="Arial"/>
          <w:sz w:val="22"/>
          <w:szCs w:val="22"/>
        </w:rPr>
        <w:t>a información objeto de análisis para esta actividad:</w:t>
      </w:r>
    </w:p>
    <w:p w:rsidR="004662E4" w:rsidRPr="00D4546B" w:rsidRDefault="004662E4" w:rsidP="000A5BEA">
      <w:pPr>
        <w:jc w:val="both"/>
        <w:rPr>
          <w:rFonts w:ascii="Arial" w:hAnsi="Arial" w:cs="Arial"/>
          <w:sz w:val="22"/>
          <w:szCs w:val="22"/>
        </w:rPr>
      </w:pPr>
    </w:p>
    <w:p w:rsidR="004662E4" w:rsidRPr="00D4546B" w:rsidRDefault="004662E4" w:rsidP="000A5BEA">
      <w:pPr>
        <w:pStyle w:val="Prrafodelista"/>
        <w:numPr>
          <w:ilvl w:val="0"/>
          <w:numId w:val="19"/>
        </w:numPr>
        <w:jc w:val="both"/>
        <w:rPr>
          <w:rFonts w:ascii="Arial" w:hAnsi="Arial" w:cs="Arial"/>
          <w:sz w:val="22"/>
          <w:szCs w:val="22"/>
        </w:rPr>
      </w:pPr>
      <w:r w:rsidRPr="00D4546B">
        <w:rPr>
          <w:rFonts w:ascii="Arial" w:hAnsi="Arial" w:cs="Arial"/>
          <w:sz w:val="22"/>
          <w:szCs w:val="22"/>
        </w:rPr>
        <w:t>Certificación expedida por el repres</w:t>
      </w:r>
      <w:r w:rsidR="005F2D21">
        <w:rPr>
          <w:rFonts w:ascii="Arial" w:hAnsi="Arial" w:cs="Arial"/>
          <w:sz w:val="22"/>
          <w:szCs w:val="22"/>
        </w:rPr>
        <w:t>e</w:t>
      </w:r>
      <w:r w:rsidRPr="00D4546B">
        <w:rPr>
          <w:rFonts w:ascii="Arial" w:hAnsi="Arial" w:cs="Arial"/>
          <w:sz w:val="22"/>
          <w:szCs w:val="22"/>
        </w:rPr>
        <w:t>nta</w:t>
      </w:r>
      <w:r w:rsidR="005F2D21">
        <w:rPr>
          <w:rFonts w:ascii="Arial" w:hAnsi="Arial" w:cs="Arial"/>
          <w:sz w:val="22"/>
          <w:szCs w:val="22"/>
        </w:rPr>
        <w:t>n</w:t>
      </w:r>
      <w:r w:rsidRPr="00D4546B">
        <w:rPr>
          <w:rFonts w:ascii="Arial" w:hAnsi="Arial" w:cs="Arial"/>
          <w:sz w:val="22"/>
          <w:szCs w:val="22"/>
        </w:rPr>
        <w:t xml:space="preserve">te legal de la entidad territorial y el jefe de talento humano en la que conste se han pagado todos los conceptos de nómina de acuerdo con la Constitución y la Ley al personal Docente, Directivo Docente y </w:t>
      </w:r>
      <w:r w:rsidRPr="00D4546B">
        <w:rPr>
          <w:rFonts w:ascii="Arial" w:hAnsi="Arial" w:cs="Arial"/>
          <w:sz w:val="22"/>
          <w:szCs w:val="22"/>
        </w:rPr>
        <w:lastRenderedPageBreak/>
        <w:t>Administrativo adscrito a la Secretaría de Educación y financiado con recursos del SGP Educación de manera oportuna.</w:t>
      </w:r>
    </w:p>
    <w:p w:rsidR="004662E4" w:rsidRPr="00D4546B" w:rsidRDefault="004662E4" w:rsidP="000A5BEA">
      <w:pPr>
        <w:pStyle w:val="Prrafodelista"/>
        <w:numPr>
          <w:ilvl w:val="0"/>
          <w:numId w:val="19"/>
        </w:numPr>
        <w:jc w:val="both"/>
        <w:rPr>
          <w:rFonts w:ascii="Arial" w:hAnsi="Arial" w:cs="Arial"/>
          <w:sz w:val="22"/>
          <w:szCs w:val="22"/>
        </w:rPr>
      </w:pPr>
      <w:r w:rsidRPr="00D4546B">
        <w:rPr>
          <w:rFonts w:ascii="Arial" w:hAnsi="Arial" w:cs="Arial"/>
          <w:sz w:val="22"/>
          <w:szCs w:val="22"/>
        </w:rPr>
        <w:t>Relación depurada de las deudas de la entidad territorial en la que se establezca el concepto, vigencias, valor, número de beneficiarios y fuente de financiación.</w:t>
      </w:r>
    </w:p>
    <w:p w:rsidR="004662E4" w:rsidRPr="00D4546B" w:rsidRDefault="004662E4" w:rsidP="000A5BEA">
      <w:pPr>
        <w:pStyle w:val="Prrafodelista"/>
        <w:numPr>
          <w:ilvl w:val="0"/>
          <w:numId w:val="19"/>
        </w:numPr>
        <w:jc w:val="both"/>
        <w:rPr>
          <w:rFonts w:ascii="Arial" w:hAnsi="Arial" w:cs="Arial"/>
          <w:sz w:val="22"/>
          <w:szCs w:val="22"/>
        </w:rPr>
      </w:pPr>
      <w:r w:rsidRPr="00D4546B">
        <w:rPr>
          <w:rFonts w:ascii="Arial" w:hAnsi="Arial" w:cs="Arial"/>
          <w:sz w:val="22"/>
          <w:szCs w:val="22"/>
        </w:rPr>
        <w:t>Plan de pagos para los conceptos identificados de acuerdo la fuente de financiación.</w:t>
      </w:r>
    </w:p>
    <w:p w:rsidR="004662E4" w:rsidRPr="00D4546B" w:rsidRDefault="004662E4" w:rsidP="000A5BEA">
      <w:pPr>
        <w:pStyle w:val="Prrafodelista"/>
        <w:numPr>
          <w:ilvl w:val="0"/>
          <w:numId w:val="19"/>
        </w:numPr>
        <w:jc w:val="both"/>
        <w:rPr>
          <w:rFonts w:ascii="Arial" w:hAnsi="Arial" w:cs="Arial"/>
          <w:sz w:val="22"/>
          <w:szCs w:val="22"/>
        </w:rPr>
      </w:pPr>
      <w:r w:rsidRPr="00D4546B">
        <w:rPr>
          <w:rFonts w:ascii="Arial" w:hAnsi="Arial" w:cs="Arial"/>
          <w:sz w:val="22"/>
          <w:szCs w:val="22"/>
        </w:rPr>
        <w:t>Resúmenes de nómina mes a mes HUMANO</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 xml:space="preserve">La secretaría de educación del departamento presentó certificación de haber pagado oportunamente todos los conceptos de nómina mensual del sector con fecha del 10 de abril de 2018. Esta debe ser actualizada. </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Se destaca que se presentan diferencias entre los reportes de nómina mes a mes, arrojados por el Sistema Humano para docentes, directivos docentes y administrativos, y los valores reportados en el FUT y en la ejecución de gastos (Tabla 14)</w:t>
      </w:r>
      <w:r w:rsidRPr="00D4546B">
        <w:rPr>
          <w:rStyle w:val="Refdenotaalpie"/>
          <w:rFonts w:ascii="Arial" w:hAnsi="Arial" w:cs="Arial"/>
          <w:sz w:val="22"/>
          <w:szCs w:val="22"/>
        </w:rPr>
        <w:footnoteReference w:id="4"/>
      </w:r>
      <w:r w:rsidRPr="00D4546B">
        <w:rPr>
          <w:rFonts w:ascii="Arial" w:hAnsi="Arial" w:cs="Arial"/>
          <w:sz w:val="22"/>
          <w:szCs w:val="22"/>
        </w:rPr>
        <w:t>.</w:t>
      </w:r>
    </w:p>
    <w:p w:rsidR="004662E4" w:rsidRPr="00D4546B" w:rsidRDefault="004662E4" w:rsidP="000A5BEA">
      <w:pPr>
        <w:jc w:val="center"/>
        <w:rPr>
          <w:rFonts w:ascii="Arial" w:hAnsi="Arial" w:cs="Arial"/>
          <w:b/>
          <w:sz w:val="18"/>
          <w:szCs w:val="22"/>
          <w:lang w:val="es-CO"/>
        </w:rPr>
      </w:pPr>
    </w:p>
    <w:p w:rsidR="004662E4" w:rsidRPr="00D4546B" w:rsidRDefault="004662E4" w:rsidP="000A5BEA">
      <w:pPr>
        <w:jc w:val="center"/>
        <w:rPr>
          <w:rFonts w:ascii="Arial" w:hAnsi="Arial" w:cs="Arial"/>
          <w:b/>
          <w:sz w:val="18"/>
          <w:szCs w:val="22"/>
          <w:lang w:val="es-CO"/>
        </w:rPr>
      </w:pPr>
      <w:r w:rsidRPr="00D4546B">
        <w:rPr>
          <w:rFonts w:ascii="Arial" w:hAnsi="Arial" w:cs="Arial"/>
          <w:b/>
          <w:sz w:val="18"/>
          <w:szCs w:val="22"/>
          <w:lang w:val="es-CO"/>
        </w:rPr>
        <w:t xml:space="preserve">TABLA 14. COMPARACIÓN GASTOS DE PERSONAL Y APORTES PATRONALES </w:t>
      </w:r>
    </w:p>
    <w:p w:rsidR="004662E4" w:rsidRPr="00D4546B" w:rsidRDefault="004662E4" w:rsidP="000A5BEA">
      <w:pPr>
        <w:jc w:val="center"/>
        <w:rPr>
          <w:rFonts w:ascii="Arial" w:hAnsi="Arial" w:cs="Arial"/>
          <w:b/>
          <w:sz w:val="18"/>
          <w:szCs w:val="22"/>
          <w:lang w:val="es-CO"/>
        </w:rPr>
      </w:pPr>
      <w:r w:rsidRPr="00D4546B">
        <w:rPr>
          <w:rFonts w:ascii="Arial" w:hAnsi="Arial" w:cs="Arial"/>
          <w:b/>
          <w:sz w:val="18"/>
          <w:szCs w:val="22"/>
          <w:lang w:val="es-CO"/>
        </w:rPr>
        <w:t>Vigencia 2019</w:t>
      </w:r>
    </w:p>
    <w:p w:rsidR="004662E4" w:rsidRPr="00D4546B" w:rsidRDefault="004662E4" w:rsidP="000A5BEA">
      <w:pPr>
        <w:jc w:val="center"/>
        <w:rPr>
          <w:rFonts w:ascii="Arial" w:hAnsi="Arial" w:cs="Arial"/>
          <w:b/>
          <w:sz w:val="18"/>
          <w:szCs w:val="22"/>
          <w:lang w:val="es-CO"/>
        </w:rPr>
      </w:pPr>
      <w:r w:rsidRPr="00D4546B">
        <w:rPr>
          <w:rFonts w:ascii="Arial" w:hAnsi="Arial" w:cs="Arial"/>
          <w:i/>
          <w:sz w:val="18"/>
          <w:szCs w:val="22"/>
          <w:lang w:val="es-CO"/>
        </w:rPr>
        <w:t>(en millones de $)</w:t>
      </w:r>
    </w:p>
    <w:p w:rsidR="004662E4" w:rsidRPr="00D4546B" w:rsidRDefault="004662E4" w:rsidP="00AB6A00">
      <w:pPr>
        <w:jc w:val="center"/>
        <w:rPr>
          <w:rFonts w:ascii="Arial" w:hAnsi="Arial" w:cs="Arial"/>
          <w:sz w:val="22"/>
          <w:szCs w:val="22"/>
        </w:rPr>
      </w:pPr>
      <w:r w:rsidRPr="00D4546B">
        <w:rPr>
          <w:rFonts w:ascii="Arial" w:hAnsi="Arial" w:cs="Arial"/>
          <w:noProof/>
          <w:lang w:val="es-CO" w:eastAsia="es-CO"/>
        </w:rPr>
        <w:drawing>
          <wp:inline distT="0" distB="0" distL="0" distR="0">
            <wp:extent cx="5165725" cy="110794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91884" cy="1113554"/>
                    </a:xfrm>
                    <a:prstGeom prst="rect">
                      <a:avLst/>
                    </a:prstGeom>
                    <a:noFill/>
                    <a:ln>
                      <a:noFill/>
                    </a:ln>
                  </pic:spPr>
                </pic:pic>
              </a:graphicData>
            </a:graphic>
          </wp:inline>
        </w:drawing>
      </w:r>
    </w:p>
    <w:p w:rsidR="004662E4" w:rsidRPr="00D4546B" w:rsidRDefault="004662E4" w:rsidP="000A5BEA">
      <w:pPr>
        <w:jc w:val="center"/>
        <w:rPr>
          <w:rStyle w:val="nfasissutil"/>
          <w:rFonts w:cs="Arial"/>
          <w:i/>
        </w:rPr>
      </w:pPr>
      <w:r w:rsidRPr="00D4546B">
        <w:rPr>
          <w:rFonts w:ascii="Arial" w:hAnsi="Arial" w:cs="Arial"/>
          <w:sz w:val="22"/>
          <w:szCs w:val="22"/>
        </w:rPr>
        <w:t xml:space="preserve"> </w:t>
      </w:r>
      <w:r w:rsidRPr="00D4546B">
        <w:rPr>
          <w:rStyle w:val="nfasissutil"/>
          <w:rFonts w:cs="Arial"/>
          <w:i/>
        </w:rPr>
        <w:t>Fuente: Con información de la Secretaria de Educación y reporte FUT</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 xml:space="preserve">Al respecto, es importante reiterar la importancia de cumplir a cabalidad el mandato de los artículos 175 de la Ley 115 de 1994, 15 de la Ley 715 de 2001 y 29 de la Ley 1176 de 2007, frente al pago oportuno de los conceptos salariales y prestacionales del personal asociado al sector educativo y financiado con recursos del Sistema General de Participaciones. </w:t>
      </w:r>
    </w:p>
    <w:p w:rsidR="004662E4" w:rsidRPr="00D4546B" w:rsidRDefault="004662E4" w:rsidP="000A5BEA">
      <w:pPr>
        <w:jc w:val="both"/>
        <w:rPr>
          <w:rFonts w:ascii="Arial" w:hAnsi="Arial" w:cs="Arial"/>
          <w:sz w:val="22"/>
          <w:szCs w:val="22"/>
        </w:rPr>
      </w:pPr>
    </w:p>
    <w:p w:rsidR="004662E4" w:rsidRPr="00D4546B" w:rsidRDefault="004662E4" w:rsidP="000A5BEA">
      <w:pPr>
        <w:autoSpaceDE w:val="0"/>
        <w:autoSpaceDN w:val="0"/>
        <w:adjustRightInd w:val="0"/>
        <w:jc w:val="both"/>
        <w:rPr>
          <w:rFonts w:ascii="Arial" w:hAnsi="Arial" w:cs="Arial"/>
          <w:sz w:val="22"/>
          <w:szCs w:val="22"/>
          <w:lang w:val="es-ES_tradnl"/>
        </w:rPr>
      </w:pPr>
      <w:r w:rsidRPr="00D4546B">
        <w:rPr>
          <w:rFonts w:ascii="Arial" w:hAnsi="Arial" w:cs="Arial"/>
          <w:sz w:val="22"/>
          <w:szCs w:val="22"/>
          <w:lang w:val="es-ES_tradnl"/>
        </w:rPr>
        <w:t xml:space="preserve">De conformidad con lo prescrito en el artículo 15 numeral 15.1 de la Ley 715 de 2001, los recursos del Componente para Educación del SGP se destinarán a financiar la prestación del Servicio Educativo, entre otros, el pago del personal docente y administrativo de las instituciones educativas públicas, las contribuciones inherentes a la nómina y sus prestaciones sociales; es decir, entre otros conceptos, el pago de cesantías, ascensos en el escalafón y reubicación salarial, bonificación por laborar en zonas de difícil acceso, horas extras, festivos y compensatorios. </w:t>
      </w:r>
    </w:p>
    <w:p w:rsidR="004662E4" w:rsidRPr="00D4546B" w:rsidRDefault="004662E4" w:rsidP="000A5BEA">
      <w:pPr>
        <w:autoSpaceDE w:val="0"/>
        <w:autoSpaceDN w:val="0"/>
        <w:adjustRightInd w:val="0"/>
        <w:jc w:val="both"/>
        <w:rPr>
          <w:rFonts w:ascii="Arial" w:hAnsi="Arial" w:cs="Arial"/>
          <w:sz w:val="22"/>
          <w:szCs w:val="22"/>
          <w:lang w:val="es-ES_tradnl"/>
        </w:rPr>
      </w:pPr>
    </w:p>
    <w:p w:rsidR="004662E4" w:rsidRPr="00D4546B" w:rsidRDefault="004662E4" w:rsidP="000A5BEA">
      <w:pPr>
        <w:autoSpaceDE w:val="0"/>
        <w:autoSpaceDN w:val="0"/>
        <w:adjustRightInd w:val="0"/>
        <w:jc w:val="both"/>
        <w:rPr>
          <w:rFonts w:ascii="Arial" w:hAnsi="Arial" w:cs="Arial"/>
          <w:sz w:val="22"/>
          <w:szCs w:val="22"/>
          <w:lang w:val="es-ES_tradnl"/>
        </w:rPr>
      </w:pPr>
      <w:r w:rsidRPr="00D4546B">
        <w:rPr>
          <w:rFonts w:ascii="Arial" w:hAnsi="Arial" w:cs="Arial"/>
          <w:sz w:val="22"/>
          <w:szCs w:val="22"/>
          <w:lang w:val="es-ES_tradnl"/>
        </w:rPr>
        <w:t>Al respecto el Ministerio de Educación Nacional mediante la Directiva 04 de 2003 señaló que:</w:t>
      </w:r>
    </w:p>
    <w:p w:rsidR="004662E4" w:rsidRPr="00D4546B" w:rsidRDefault="004662E4" w:rsidP="000A5BEA">
      <w:pPr>
        <w:autoSpaceDE w:val="0"/>
        <w:autoSpaceDN w:val="0"/>
        <w:adjustRightInd w:val="0"/>
        <w:jc w:val="both"/>
        <w:rPr>
          <w:rFonts w:ascii="Arial" w:hAnsi="Arial" w:cs="Arial"/>
          <w:sz w:val="22"/>
          <w:szCs w:val="22"/>
          <w:lang w:val="es-ES_tradnl"/>
        </w:rPr>
      </w:pPr>
    </w:p>
    <w:p w:rsidR="004662E4" w:rsidRPr="00D4546B" w:rsidRDefault="004662E4" w:rsidP="00A97D17">
      <w:pPr>
        <w:autoSpaceDE w:val="0"/>
        <w:autoSpaceDN w:val="0"/>
        <w:adjustRightInd w:val="0"/>
        <w:ind w:left="567" w:right="49"/>
        <w:jc w:val="both"/>
        <w:rPr>
          <w:rFonts w:ascii="Arial" w:hAnsi="Arial" w:cs="Arial"/>
          <w:i/>
          <w:sz w:val="18"/>
          <w:szCs w:val="20"/>
          <w:lang w:val="es-ES_tradnl"/>
        </w:rPr>
      </w:pPr>
      <w:r w:rsidRPr="00D4546B">
        <w:rPr>
          <w:rFonts w:ascii="Arial" w:hAnsi="Arial" w:cs="Arial"/>
          <w:i/>
          <w:sz w:val="18"/>
          <w:szCs w:val="20"/>
          <w:lang w:val="es-ES_tradnl"/>
        </w:rPr>
        <w:lastRenderedPageBreak/>
        <w:t xml:space="preserve">“Los departamentos y municipios certificados, con los recursos que se giran mensualmente para prestación de servicios, deberán hacer las respectivas reservas y provisiones para las prestaciones sociales que no son de exigibilidad mensual, tales como: primas de vacaciones, de navidad y dotación del personal docente y administrativo según Ley 70 de 1988”. </w:t>
      </w:r>
    </w:p>
    <w:p w:rsidR="004662E4" w:rsidRPr="00D4546B" w:rsidRDefault="004662E4" w:rsidP="000A5BEA">
      <w:pPr>
        <w:autoSpaceDE w:val="0"/>
        <w:autoSpaceDN w:val="0"/>
        <w:adjustRightInd w:val="0"/>
        <w:ind w:left="567" w:right="567"/>
        <w:jc w:val="both"/>
        <w:rPr>
          <w:rFonts w:ascii="Arial" w:hAnsi="Arial" w:cs="Arial"/>
          <w:i/>
          <w:sz w:val="22"/>
          <w:szCs w:val="22"/>
          <w:lang w:val="es-ES_tradnl"/>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Por lo anterior, la Dirección General de Apoyo Fiscal ha considerado que si la Entidad Territorial genera sobrecostos o deudas laborales por alguno de los conceptos salariales o prestacionales, estos reconocimientos deben ser financiados con ingresos corrientes de libre destinación de la Entidad Territorial y no con cargo a los recursos excedentes del Sistema General de Participaciones, ni con cargo a los recursos del Presupuesto General de la Nación, al carecer de fundamento legal y constitucional de acuerdo al artículo 148 de la Ley 1450 de 2011, dado que se originaron por la omisión de la Entidad Territorial que contradijo el ordenamiento jurídico, posición que recogió el Ministerio de Educación Nacional hasta la expedición de las Circulares 17 y 18 de 2016.</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 xml:space="preserve">Así mismo, frente a la información de deuda remitida por la entidad territorial (Tabla 5) se tenía datos preliminares hasta junio de 2018. En este contexto, el departamento entregó un cuadro donde se identificaba los principales conceptos de deuda, su valor, fuente de financiación y estado actual. </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Considerando la información que se tiene sobre las deudas vigentes, a continuación, reiteramos la posición de la Dirección General de Apoyo Fiscal al respecto.</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b/>
          <w:bCs/>
          <w:sz w:val="22"/>
          <w:szCs w:val="22"/>
        </w:rPr>
      </w:pPr>
      <w:r w:rsidRPr="00D4546B">
        <w:rPr>
          <w:rFonts w:ascii="Arial" w:hAnsi="Arial" w:cs="Arial"/>
          <w:b/>
          <w:bCs/>
          <w:sz w:val="22"/>
          <w:szCs w:val="22"/>
        </w:rPr>
        <w:t>PRIMA SEMESTRAL Y PRIMA DE ANTIGUEDAD</w:t>
      </w:r>
    </w:p>
    <w:p w:rsidR="00A97D17" w:rsidRPr="00D4546B" w:rsidRDefault="00A97D17"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 xml:space="preserve">Frente a las primas extralegales, </w:t>
      </w:r>
      <w:r w:rsidRPr="00D4546B">
        <w:rPr>
          <w:rFonts w:ascii="Arial" w:eastAsia="Times New Roman" w:hAnsi="Arial" w:cs="Arial"/>
          <w:color w:val="000000"/>
          <w:sz w:val="22"/>
          <w:szCs w:val="22"/>
          <w:lang w:eastAsia="es-CO"/>
        </w:rPr>
        <w:t>es necesario aclarar que</w:t>
      </w:r>
      <w:r w:rsidRPr="00D4546B">
        <w:rPr>
          <w:rFonts w:ascii="Arial" w:hAnsi="Arial" w:cs="Arial"/>
          <w:sz w:val="22"/>
          <w:szCs w:val="22"/>
        </w:rPr>
        <w:t xml:space="preserve"> ni las asambleas departamentales ni los concejos municipales tienen la facultad de determinar el régimen salarial y prestacional de los empleados públicos del nivel territorial; en relación con el régimen prestacional ni en la Constitución Política de 1886, ni en la de 1991 se otorgó competencia a las corporaciones públicas del nivel territorial para expedir actos administrativos reconociendo prestaciones sociales. De igual forma, respecto al régimen salarial de los empleados públicos desde el Acto Legislativo No. 01 de 1968 que modificó la Constitución Política de 1886, posición recogida por el literal (e) del numeral 19 del artículo 150 de la Constitución Política de 1991, el único competente para fijar el régimen salarial como el prestacional es el Congreso de la República.</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Ahora bien, mediante la Ley 4 de 1992 el Congreso de la República otorgó de manera exclusiva al Gobierno Nacional la facultad para determinar el régimen salarial y prestacional de los empleados públicos, por lo cual las asambleas departamentales y los concejos distritales o municipales sólo están facultados para determinar las escalas de remuneración de los cargos de sus dependencias, según la categoría del empleo de que se trate y los gobernadores y alcaldes, para fijar los emolumentos de sus dependencias, teniendo en cuenta las estipulaciones que para el efecto dicten las asambleas departamentales y concejos distritales o municipales, emolumentos que en ningún caso pueden desconocer los límites máximos determinados por el Gobierno Nacional.</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 xml:space="preserve">En consecuencia, el artículo 10 y 12 de la Ley 4 de 1992 determinan que las corporaciones públicas territoriales no pueden arrogarse la facultad de determinar el régimen salarial o </w:t>
      </w:r>
      <w:r w:rsidRPr="00D4546B">
        <w:rPr>
          <w:rFonts w:ascii="Arial" w:hAnsi="Arial" w:cs="Arial"/>
          <w:sz w:val="22"/>
          <w:szCs w:val="22"/>
        </w:rPr>
        <w:lastRenderedPageBreak/>
        <w:t>prestacional de los empleados públicos, por lo cual las prestaciones que se establezcan “</w:t>
      </w:r>
      <w:r w:rsidRPr="00D4546B">
        <w:rPr>
          <w:rFonts w:ascii="Arial" w:hAnsi="Arial" w:cs="Arial"/>
          <w:i/>
          <w:sz w:val="22"/>
          <w:szCs w:val="22"/>
        </w:rPr>
        <w:t>contraviniendo las disposiciones contenidas en la presente Ley o en los decretos que dicte el Gobierno Nacional en desarrollo de esta, carecerán de todo efecto y no crearán derechos adquiridos</w:t>
      </w:r>
      <w:r w:rsidRPr="00D4546B">
        <w:rPr>
          <w:rFonts w:ascii="Arial" w:hAnsi="Arial" w:cs="Arial"/>
          <w:sz w:val="22"/>
          <w:szCs w:val="22"/>
        </w:rPr>
        <w:t>”.</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Ulteriormente, el Consejo de Estado mediante concepto No. 2302 del 28 de febrero</w:t>
      </w:r>
      <w:r w:rsidR="00E84BA1">
        <w:rPr>
          <w:rFonts w:ascii="Arial" w:hAnsi="Arial" w:cs="Arial"/>
          <w:sz w:val="22"/>
          <w:szCs w:val="22"/>
        </w:rPr>
        <w:t xml:space="preserve"> de 2017</w:t>
      </w:r>
      <w:r w:rsidRPr="00D4546B">
        <w:rPr>
          <w:rFonts w:ascii="Arial" w:hAnsi="Arial" w:cs="Arial"/>
          <w:sz w:val="22"/>
          <w:szCs w:val="22"/>
        </w:rPr>
        <w:t xml:space="preserve"> con ponencia del Consejero Germán Alberto Bula Escobar, mencionó que:</w:t>
      </w:r>
    </w:p>
    <w:p w:rsidR="004662E4" w:rsidRPr="00D4546B" w:rsidRDefault="004662E4" w:rsidP="000A5BEA">
      <w:pPr>
        <w:ind w:left="709" w:right="709"/>
        <w:jc w:val="both"/>
        <w:rPr>
          <w:rFonts w:ascii="Arial" w:hAnsi="Arial" w:cs="Arial"/>
          <w:sz w:val="22"/>
          <w:szCs w:val="22"/>
        </w:rPr>
      </w:pPr>
    </w:p>
    <w:p w:rsidR="004662E4" w:rsidRPr="00D4546B" w:rsidRDefault="004662E4" w:rsidP="00A97D17">
      <w:pPr>
        <w:ind w:left="567" w:right="49"/>
        <w:jc w:val="both"/>
        <w:rPr>
          <w:rFonts w:ascii="Arial" w:hAnsi="Arial" w:cs="Arial"/>
          <w:i/>
          <w:sz w:val="18"/>
          <w:szCs w:val="22"/>
        </w:rPr>
      </w:pPr>
      <w:r w:rsidRPr="00D4546B">
        <w:rPr>
          <w:rFonts w:ascii="Arial" w:hAnsi="Arial" w:cs="Arial"/>
          <w:sz w:val="18"/>
          <w:szCs w:val="22"/>
        </w:rPr>
        <w:t>“</w:t>
      </w:r>
      <w:r w:rsidRPr="00D4546B">
        <w:rPr>
          <w:rFonts w:ascii="Arial" w:hAnsi="Arial" w:cs="Arial"/>
          <w:i/>
          <w:sz w:val="18"/>
          <w:szCs w:val="22"/>
        </w:rPr>
        <w:t>La competencia para crear o suprimir un emolumento o factor prestacional o salarial no se encuentra radicada en las autoridades y en las autoridades y corporaciones territoriales, pues a éstas les está permitido únicamente la determinación de la escala salarial y sus emolumentos dentro de la competencia concurrente que tiene con el Gobierno nacional y el Congreso de la República.”</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Así lo reconoce la Corte Constitucional y Consejo de Estado, como en la Sentencia del 28 de enero de 2010 con ponencia del Magistrado Alfonso Vargas Rincón:</w:t>
      </w:r>
    </w:p>
    <w:p w:rsidR="004662E4" w:rsidRPr="00D4546B" w:rsidRDefault="004662E4" w:rsidP="000A5BEA">
      <w:pPr>
        <w:ind w:left="567" w:right="567"/>
        <w:jc w:val="both"/>
        <w:rPr>
          <w:rFonts w:ascii="Arial" w:hAnsi="Arial" w:cs="Arial"/>
          <w:i/>
          <w:sz w:val="22"/>
          <w:szCs w:val="22"/>
        </w:rPr>
      </w:pPr>
    </w:p>
    <w:p w:rsidR="004662E4" w:rsidRPr="00D4546B" w:rsidRDefault="004662E4" w:rsidP="00A97D17">
      <w:pPr>
        <w:ind w:left="567" w:right="49"/>
        <w:jc w:val="both"/>
        <w:rPr>
          <w:rFonts w:ascii="Arial" w:hAnsi="Arial" w:cs="Arial"/>
          <w:i/>
          <w:sz w:val="18"/>
          <w:szCs w:val="22"/>
        </w:rPr>
      </w:pPr>
      <w:r w:rsidRPr="00D4546B">
        <w:rPr>
          <w:rFonts w:ascii="Arial" w:hAnsi="Arial" w:cs="Arial"/>
          <w:i/>
          <w:sz w:val="18"/>
          <w:szCs w:val="22"/>
        </w:rPr>
        <w:t>“De los preceptos constitucionales transcritos, se puede apreciar que el Constituyente de 1968 estatuyó una competencia concurrente para la fijación del régimen salarial y prestacional de los empleados públicos, razón por la cual, encuentra la Sala que las entidades que profirieron los actos contentivos de las primas semestral y de antigüedad que reclama el demandante no tenían competencia para crear emolumentos a favor de los empleados a favor de los empleados del Departamento de Sucre.</w:t>
      </w:r>
    </w:p>
    <w:p w:rsidR="004662E4" w:rsidRPr="00D4546B" w:rsidRDefault="004662E4" w:rsidP="00A97D17">
      <w:pPr>
        <w:ind w:left="567" w:right="49"/>
        <w:jc w:val="both"/>
        <w:rPr>
          <w:rFonts w:ascii="Arial" w:hAnsi="Arial" w:cs="Arial"/>
          <w:i/>
          <w:sz w:val="18"/>
          <w:szCs w:val="22"/>
        </w:rPr>
      </w:pPr>
    </w:p>
    <w:p w:rsidR="004662E4" w:rsidRPr="00D4546B" w:rsidRDefault="004662E4" w:rsidP="00A97D17">
      <w:pPr>
        <w:ind w:left="567" w:right="49"/>
        <w:jc w:val="both"/>
        <w:rPr>
          <w:rFonts w:ascii="Arial" w:hAnsi="Arial" w:cs="Arial"/>
          <w:i/>
          <w:sz w:val="18"/>
          <w:szCs w:val="22"/>
        </w:rPr>
      </w:pPr>
      <w:r w:rsidRPr="00D4546B">
        <w:rPr>
          <w:rFonts w:ascii="Arial" w:hAnsi="Arial" w:cs="Arial"/>
          <w:i/>
          <w:sz w:val="18"/>
          <w:szCs w:val="22"/>
        </w:rPr>
        <w:t>De la lectura armónica de los artículos transcritos se puede concluir que a las Asambleas Departamentales le estaba asignada la competencia para determinar las escalas salariales más no para crear derechos salariales como es la prima semestral contenida en la Ordenanza 08 de 1985. En igual manera el Gobernador, quien debía someterse a lo reglado por la mencionada corporación en desarrollo de la función asignada.</w:t>
      </w:r>
    </w:p>
    <w:p w:rsidR="004662E4" w:rsidRPr="00D4546B" w:rsidRDefault="004662E4" w:rsidP="00A97D17">
      <w:pPr>
        <w:ind w:left="567" w:right="49"/>
        <w:jc w:val="both"/>
        <w:rPr>
          <w:rFonts w:ascii="Arial" w:hAnsi="Arial" w:cs="Arial"/>
          <w:i/>
          <w:sz w:val="18"/>
          <w:szCs w:val="22"/>
        </w:rPr>
      </w:pPr>
    </w:p>
    <w:p w:rsidR="004662E4" w:rsidRPr="00D4546B" w:rsidRDefault="004662E4" w:rsidP="00A97D17">
      <w:pPr>
        <w:ind w:left="567" w:right="49"/>
        <w:jc w:val="both"/>
        <w:rPr>
          <w:rFonts w:ascii="Arial" w:hAnsi="Arial" w:cs="Arial"/>
          <w:i/>
          <w:sz w:val="18"/>
          <w:szCs w:val="22"/>
        </w:rPr>
      </w:pPr>
      <w:r w:rsidRPr="00D4546B">
        <w:rPr>
          <w:rFonts w:ascii="Arial" w:hAnsi="Arial" w:cs="Arial"/>
          <w:i/>
          <w:sz w:val="18"/>
          <w:szCs w:val="22"/>
        </w:rPr>
        <w:t>En tales circunstancias y en atención a lo anteriormente expuesto, comparte la Sala la decisión proferida por el Tribunal Administrativo de Sucre, en el sentido de inaplicar por inconstitucionalidad la Ordenanza 08 de 1985 y el Decreto 402 de 1988, en cumplimiento a lo dispuesto por el artículo 4 de la Constitución Política, pues como se precisó, el contenido de las mismas es contrario a la normatividad superior vigente si se tiene en cuenta que fueron proferidas por autoridades incompetentes.”</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Por otro lado, el financiamiento de estas primas extralegales o de cualquier deuda generada por estos conceptos no puede realizarse con cargo a los excedentes del Sistema General de Participaciones del Sector Educación o de forma subsidiaria con Presupuesto General de la Nación en virtud del artículo 148 de la Ley 1450 de 2011, porque la disposición legal señalada establece como requisito el fundamento legal o constitucional del reconocimiento pretendido</w:t>
      </w:r>
      <w:r w:rsidRPr="00D4546B">
        <w:rPr>
          <w:rFonts w:ascii="Arial" w:hAnsi="Arial" w:cs="Arial"/>
          <w:color w:val="000000" w:themeColor="text1"/>
          <w:sz w:val="22"/>
          <w:szCs w:val="22"/>
        </w:rPr>
        <w:t>.</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De igual forma, el reconocimiento y pago de las primas mencionadas para los empleados públicos del nivel territorial tampoco puede financiarse con los recursos del Sistema General de Participaciones en virtud del inciso tercero del artículo 38 de la Ley 715 de 2001 que señala:</w:t>
      </w:r>
    </w:p>
    <w:p w:rsidR="004662E4" w:rsidRPr="00D4546B" w:rsidRDefault="004662E4" w:rsidP="000A5BEA">
      <w:pPr>
        <w:jc w:val="both"/>
        <w:rPr>
          <w:rFonts w:ascii="Arial" w:eastAsia="Arial" w:hAnsi="Arial" w:cs="Arial"/>
          <w:b/>
          <w:bCs/>
          <w:sz w:val="22"/>
          <w:szCs w:val="22"/>
          <w:u w:val="single"/>
        </w:rPr>
      </w:pPr>
    </w:p>
    <w:p w:rsidR="004662E4" w:rsidRPr="00D4546B" w:rsidRDefault="004662E4" w:rsidP="00A97D17">
      <w:pPr>
        <w:ind w:left="567" w:right="49"/>
        <w:jc w:val="both"/>
        <w:rPr>
          <w:rFonts w:ascii="Arial" w:hAnsi="Arial" w:cs="Arial"/>
          <w:i/>
          <w:sz w:val="18"/>
          <w:szCs w:val="22"/>
        </w:rPr>
      </w:pPr>
      <w:r w:rsidRPr="00D4546B">
        <w:rPr>
          <w:rFonts w:ascii="Arial" w:hAnsi="Arial" w:cs="Arial"/>
          <w:b/>
          <w:bCs/>
          <w:i/>
          <w:sz w:val="18"/>
          <w:szCs w:val="22"/>
          <w:u w:val="single"/>
        </w:rPr>
        <w:t>"A los docentes, directivos docentes y funcionarios administrativos de los planteles educativos que se financien con recursos del Sistema General de Participaciones, sólo se les podrá reconocer el régimen salarial y prestacional establecido por ley o de acuerdo con esta</w:t>
      </w:r>
      <w:r w:rsidRPr="00D4546B">
        <w:rPr>
          <w:rFonts w:ascii="Arial" w:hAnsi="Arial" w:cs="Arial"/>
          <w:i/>
          <w:sz w:val="18"/>
          <w:szCs w:val="22"/>
        </w:rPr>
        <w:t>."</w:t>
      </w:r>
    </w:p>
    <w:p w:rsidR="004662E4" w:rsidRPr="00D4546B" w:rsidRDefault="004662E4" w:rsidP="000A5BEA">
      <w:pPr>
        <w:jc w:val="both"/>
        <w:rPr>
          <w:rFonts w:ascii="Arial" w:eastAsia="Calibri" w:hAnsi="Arial" w:cs="Arial"/>
          <w:b/>
          <w:sz w:val="22"/>
          <w:szCs w:val="22"/>
          <w:lang w:val="es-ES_tradnl" w:eastAsia="en-US"/>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lastRenderedPageBreak/>
        <w:t xml:space="preserve">Al respecto la entidad </w:t>
      </w:r>
      <w:r w:rsidR="00E84BA1">
        <w:rPr>
          <w:rFonts w:ascii="Arial" w:hAnsi="Arial" w:cs="Arial"/>
          <w:sz w:val="22"/>
          <w:szCs w:val="22"/>
        </w:rPr>
        <w:t xml:space="preserve">territorial </w:t>
      </w:r>
      <w:r w:rsidRPr="00D4546B">
        <w:rPr>
          <w:rFonts w:ascii="Arial" w:hAnsi="Arial" w:cs="Arial"/>
          <w:sz w:val="22"/>
          <w:szCs w:val="22"/>
        </w:rPr>
        <w:t>informa que está reconoci</w:t>
      </w:r>
      <w:r w:rsidR="00E84BA1">
        <w:rPr>
          <w:rFonts w:ascii="Arial" w:hAnsi="Arial" w:cs="Arial"/>
          <w:sz w:val="22"/>
          <w:szCs w:val="22"/>
        </w:rPr>
        <w:t xml:space="preserve">endo </w:t>
      </w:r>
      <w:r w:rsidRPr="00D4546B">
        <w:rPr>
          <w:rFonts w:ascii="Arial" w:hAnsi="Arial" w:cs="Arial"/>
          <w:sz w:val="22"/>
          <w:szCs w:val="22"/>
        </w:rPr>
        <w:t>en la nómina de administrativos del sector educación las siguientes primas extralegales:</w:t>
      </w:r>
    </w:p>
    <w:p w:rsidR="004662E4" w:rsidRPr="00D4546B" w:rsidRDefault="004662E4" w:rsidP="000A5BEA">
      <w:pPr>
        <w:jc w:val="both"/>
        <w:rPr>
          <w:rFonts w:ascii="Arial" w:hAnsi="Arial" w:cs="Arial"/>
          <w:sz w:val="22"/>
          <w:szCs w:val="22"/>
        </w:rPr>
      </w:pPr>
    </w:p>
    <w:p w:rsidR="004662E4" w:rsidRPr="00D4546B" w:rsidRDefault="004662E4" w:rsidP="00753D6E">
      <w:pPr>
        <w:pStyle w:val="Prrafodelista"/>
        <w:numPr>
          <w:ilvl w:val="0"/>
          <w:numId w:val="28"/>
        </w:numPr>
        <w:ind w:left="284" w:hanging="284"/>
        <w:jc w:val="both"/>
        <w:rPr>
          <w:rFonts w:ascii="Arial" w:hAnsi="Arial" w:cs="Arial"/>
          <w:sz w:val="22"/>
          <w:szCs w:val="22"/>
        </w:rPr>
      </w:pPr>
      <w:r w:rsidRPr="00D4546B">
        <w:rPr>
          <w:rFonts w:ascii="Arial" w:hAnsi="Arial" w:cs="Arial"/>
          <w:sz w:val="22"/>
          <w:szCs w:val="22"/>
        </w:rPr>
        <w:t>Ordenanza 008 del 30 de octubre de 1986</w:t>
      </w:r>
      <w:r w:rsidR="00E84BA1">
        <w:rPr>
          <w:rFonts w:ascii="Arial" w:hAnsi="Arial" w:cs="Arial"/>
          <w:sz w:val="22"/>
          <w:szCs w:val="22"/>
        </w:rPr>
        <w:t>,</w:t>
      </w:r>
      <w:r w:rsidRPr="00D4546B">
        <w:rPr>
          <w:rFonts w:ascii="Arial" w:hAnsi="Arial" w:cs="Arial"/>
          <w:sz w:val="22"/>
          <w:szCs w:val="22"/>
        </w:rPr>
        <w:t xml:space="preserve"> Por la cual se crea una Prima de Antigüedad a los empleados del Departamento y se dictan otras disposiciones. </w:t>
      </w:r>
    </w:p>
    <w:p w:rsidR="004662E4" w:rsidRPr="00D4546B" w:rsidRDefault="004662E4" w:rsidP="00753D6E">
      <w:pPr>
        <w:pStyle w:val="Prrafodelista"/>
        <w:numPr>
          <w:ilvl w:val="0"/>
          <w:numId w:val="28"/>
        </w:numPr>
        <w:ind w:left="284" w:hanging="284"/>
        <w:jc w:val="both"/>
        <w:rPr>
          <w:rFonts w:ascii="Arial" w:hAnsi="Arial" w:cs="Arial"/>
          <w:sz w:val="22"/>
          <w:szCs w:val="22"/>
        </w:rPr>
      </w:pPr>
      <w:r w:rsidRPr="00D4546B">
        <w:rPr>
          <w:rFonts w:ascii="Arial" w:hAnsi="Arial" w:cs="Arial"/>
          <w:sz w:val="22"/>
          <w:szCs w:val="22"/>
        </w:rPr>
        <w:t>Ordenanza 07 del 12 de noviembre de 1992</w:t>
      </w:r>
      <w:r w:rsidR="00E84BA1">
        <w:rPr>
          <w:rFonts w:ascii="Arial" w:hAnsi="Arial" w:cs="Arial"/>
          <w:sz w:val="22"/>
          <w:szCs w:val="22"/>
        </w:rPr>
        <w:t>,</w:t>
      </w:r>
      <w:r w:rsidRPr="00D4546B">
        <w:rPr>
          <w:rFonts w:ascii="Arial" w:hAnsi="Arial" w:cs="Arial"/>
          <w:sz w:val="22"/>
          <w:szCs w:val="22"/>
        </w:rPr>
        <w:t xml:space="preserve"> Por la cual se establece el Sistema de Clasificación y Nomenclatura de los empleados del Estado al servicio de la Administración Central y Descentraliza</w:t>
      </w:r>
      <w:r w:rsidR="00E84BA1">
        <w:rPr>
          <w:rFonts w:ascii="Arial" w:hAnsi="Arial" w:cs="Arial"/>
          <w:sz w:val="22"/>
          <w:szCs w:val="22"/>
        </w:rPr>
        <w:t>das</w:t>
      </w:r>
      <w:r w:rsidRPr="00D4546B">
        <w:rPr>
          <w:rFonts w:ascii="Arial" w:hAnsi="Arial" w:cs="Arial"/>
          <w:sz w:val="22"/>
          <w:szCs w:val="22"/>
        </w:rPr>
        <w:t xml:space="preserve"> del departamento y se fijan las escalas de asignación correspondientes a dichos empleos y se dictan otras disposiciones</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 xml:space="preserve">En el reporte de nómina de HUMANO </w:t>
      </w:r>
      <w:r w:rsidR="00E84BA1">
        <w:rPr>
          <w:rFonts w:ascii="Arial" w:hAnsi="Arial" w:cs="Arial"/>
          <w:sz w:val="22"/>
          <w:szCs w:val="22"/>
        </w:rPr>
        <w:t xml:space="preserve">de la vigencia 2019 </w:t>
      </w:r>
      <w:r w:rsidRPr="00D4546B">
        <w:rPr>
          <w:rFonts w:ascii="Arial" w:hAnsi="Arial" w:cs="Arial"/>
          <w:sz w:val="22"/>
          <w:szCs w:val="22"/>
        </w:rPr>
        <w:t>es posible identificar el pago de $31</w:t>
      </w:r>
      <w:r w:rsidR="00E84BA1">
        <w:rPr>
          <w:rFonts w:ascii="Arial" w:hAnsi="Arial" w:cs="Arial"/>
          <w:sz w:val="22"/>
          <w:szCs w:val="22"/>
        </w:rPr>
        <w:t xml:space="preserve">4 millones </w:t>
      </w:r>
      <w:r w:rsidRPr="00D4546B">
        <w:rPr>
          <w:rFonts w:ascii="Arial" w:hAnsi="Arial" w:cs="Arial"/>
          <w:sz w:val="22"/>
          <w:szCs w:val="22"/>
        </w:rPr>
        <w:t xml:space="preserve">por concepto de prima de antigüedad a los funcionarios administrativos. El concepto de prima semestral no se puede identificar. Mientras que en la ejecución </w:t>
      </w:r>
      <w:r w:rsidR="00E84BA1">
        <w:rPr>
          <w:rFonts w:ascii="Arial" w:hAnsi="Arial" w:cs="Arial"/>
          <w:sz w:val="22"/>
          <w:szCs w:val="22"/>
        </w:rPr>
        <w:t xml:space="preserve">presupuestal </w:t>
      </w:r>
      <w:r w:rsidRPr="00D4546B">
        <w:rPr>
          <w:rFonts w:ascii="Arial" w:hAnsi="Arial" w:cs="Arial"/>
          <w:sz w:val="22"/>
          <w:szCs w:val="22"/>
        </w:rPr>
        <w:t>de gastos se destacan compromisos con cargo al SGP Población Atendida para el pago de prima de Antigüedad a</w:t>
      </w:r>
      <w:r w:rsidR="00E84BA1">
        <w:rPr>
          <w:rFonts w:ascii="Arial" w:hAnsi="Arial" w:cs="Arial"/>
          <w:sz w:val="22"/>
          <w:szCs w:val="22"/>
        </w:rPr>
        <w:t>l</w:t>
      </w:r>
      <w:r w:rsidRPr="00D4546B">
        <w:rPr>
          <w:rFonts w:ascii="Arial" w:hAnsi="Arial" w:cs="Arial"/>
          <w:sz w:val="22"/>
          <w:szCs w:val="22"/>
        </w:rPr>
        <w:t xml:space="preserve"> personal administrativo por $315 millones y de prima Semestral por $845 millones.</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Se refleja también el pago de Prima de Clima, Prima de Escalafón y Prima de grado en el resumen de nómina de HUMANO. Se requiere conocer el fundament</w:t>
      </w:r>
      <w:r w:rsidR="00E84BA1">
        <w:rPr>
          <w:rFonts w:ascii="Arial" w:hAnsi="Arial" w:cs="Arial"/>
          <w:sz w:val="22"/>
          <w:szCs w:val="22"/>
        </w:rPr>
        <w:t>o</w:t>
      </w:r>
      <w:r w:rsidRPr="00D4546B">
        <w:rPr>
          <w:rFonts w:ascii="Arial" w:hAnsi="Arial" w:cs="Arial"/>
          <w:sz w:val="22"/>
          <w:szCs w:val="22"/>
        </w:rPr>
        <w:t xml:space="preserve"> legal de estos reconocimientos.</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lang w:val="es-ES_tradnl"/>
        </w:rPr>
      </w:pPr>
      <w:r w:rsidRPr="00D4546B">
        <w:rPr>
          <w:rFonts w:ascii="Arial" w:hAnsi="Arial" w:cs="Arial"/>
          <w:sz w:val="22"/>
          <w:szCs w:val="22"/>
          <w:lang w:val="es-ES_tradnl"/>
        </w:rPr>
        <w:t>Asimismo, con respecto a la Prima Semestral creada por la Ordenanza 07 de 1992 y la Prima de Antigüedad creada por la Ordenanza 08 de 1986 se debe recordar que la Sala de Consulta y Servicio Civil del Consejo de Estado emitió con Concepto con Radicado 2302 fechado el 28 de febrero de 2017, en el cual se dispone con respecto a las primas creadas por las entidades territoriales con posterioridad a la entrada en vigencia del Acto Legislativo 01 de 1968, lo siguiente:</w:t>
      </w:r>
    </w:p>
    <w:p w:rsidR="004662E4" w:rsidRPr="00D4546B" w:rsidRDefault="004662E4" w:rsidP="000A5BEA">
      <w:pPr>
        <w:jc w:val="both"/>
        <w:rPr>
          <w:rFonts w:ascii="Arial" w:hAnsi="Arial" w:cs="Arial"/>
          <w:sz w:val="22"/>
          <w:szCs w:val="22"/>
          <w:lang w:val="es-ES_tradnl"/>
        </w:rPr>
      </w:pPr>
    </w:p>
    <w:p w:rsidR="004662E4" w:rsidRPr="00D4546B" w:rsidRDefault="004662E4" w:rsidP="000A5BEA">
      <w:pPr>
        <w:pStyle w:val="Prrafodelista"/>
        <w:numPr>
          <w:ilvl w:val="1"/>
          <w:numId w:val="20"/>
        </w:numPr>
        <w:ind w:left="426"/>
        <w:jc w:val="both"/>
        <w:rPr>
          <w:rFonts w:ascii="Arial" w:hAnsi="Arial" w:cs="Arial"/>
          <w:sz w:val="22"/>
          <w:szCs w:val="22"/>
          <w:lang w:val="es-ES_tradnl"/>
        </w:rPr>
      </w:pPr>
      <w:r w:rsidRPr="00D4546B">
        <w:rPr>
          <w:rFonts w:ascii="Arial" w:hAnsi="Arial" w:cs="Arial"/>
          <w:sz w:val="22"/>
          <w:szCs w:val="22"/>
          <w:lang w:val="es-ES_tradnl"/>
        </w:rPr>
        <w:t>El Acto legislativo 01 de 1968 determinó como exclusiva del Congreso la facultad de regular el sistema salarial y prestacional de los empleados oficiales de cualquier orden.</w:t>
      </w:r>
    </w:p>
    <w:p w:rsidR="004662E4" w:rsidRPr="00D4546B" w:rsidRDefault="004662E4" w:rsidP="000A5BEA">
      <w:pPr>
        <w:pStyle w:val="Prrafodelista"/>
        <w:numPr>
          <w:ilvl w:val="1"/>
          <w:numId w:val="20"/>
        </w:numPr>
        <w:ind w:left="426"/>
        <w:jc w:val="both"/>
        <w:rPr>
          <w:rFonts w:ascii="Arial" w:hAnsi="Arial" w:cs="Arial"/>
          <w:sz w:val="22"/>
          <w:szCs w:val="22"/>
          <w:lang w:val="es-ES_tradnl"/>
        </w:rPr>
      </w:pPr>
      <w:r w:rsidRPr="00D4546B">
        <w:rPr>
          <w:rFonts w:ascii="Arial" w:hAnsi="Arial" w:cs="Arial"/>
          <w:sz w:val="22"/>
          <w:szCs w:val="22"/>
          <w:lang w:val="es-ES_tradnl"/>
        </w:rPr>
        <w:t>Con la expedición del Acto Legislativo 01 de 1968, los entes territoriales no contaban con la competencia para crear asignaciones salariales a favor de los servidores de la educación y cualquier reconocimiento creado por acuerdos, ordenanzas y decretos departamentales sería contrario al ordenamiento superior.</w:t>
      </w:r>
    </w:p>
    <w:p w:rsidR="004662E4" w:rsidRPr="00D4546B" w:rsidRDefault="004662E4" w:rsidP="000A5BEA">
      <w:pPr>
        <w:pStyle w:val="Prrafodelista"/>
        <w:numPr>
          <w:ilvl w:val="1"/>
          <w:numId w:val="20"/>
        </w:numPr>
        <w:ind w:left="426"/>
        <w:jc w:val="both"/>
        <w:rPr>
          <w:rFonts w:ascii="Arial" w:hAnsi="Arial" w:cs="Arial"/>
          <w:sz w:val="22"/>
          <w:szCs w:val="22"/>
          <w:lang w:val="es-ES_tradnl"/>
        </w:rPr>
      </w:pPr>
      <w:r w:rsidRPr="00D4546B">
        <w:rPr>
          <w:rFonts w:ascii="Arial" w:hAnsi="Arial" w:cs="Arial"/>
          <w:sz w:val="22"/>
          <w:szCs w:val="22"/>
          <w:lang w:val="es-ES_tradnl"/>
        </w:rPr>
        <w:t>La administración está en la obligación de inaplicar actos administrativos inconstitucionales.</w:t>
      </w:r>
    </w:p>
    <w:p w:rsidR="004662E4" w:rsidRPr="00D4546B" w:rsidRDefault="004662E4" w:rsidP="000A5BEA">
      <w:pPr>
        <w:pStyle w:val="Prrafodelista"/>
        <w:numPr>
          <w:ilvl w:val="1"/>
          <w:numId w:val="20"/>
        </w:numPr>
        <w:ind w:left="426"/>
        <w:jc w:val="both"/>
        <w:rPr>
          <w:rFonts w:ascii="Arial" w:hAnsi="Arial" w:cs="Arial"/>
          <w:sz w:val="22"/>
          <w:szCs w:val="22"/>
          <w:lang w:val="es-ES_tradnl"/>
        </w:rPr>
      </w:pPr>
      <w:r w:rsidRPr="00D4546B">
        <w:rPr>
          <w:rFonts w:ascii="Arial" w:hAnsi="Arial" w:cs="Arial"/>
          <w:sz w:val="22"/>
          <w:szCs w:val="22"/>
          <w:lang w:val="es-ES_tradnl"/>
        </w:rPr>
        <w:t xml:space="preserve">No puede alegarse derechos adquiridos a favor de los servidores de la educación que percibieron dinero por actos administrativos creados en oposición a la Constitución. </w:t>
      </w:r>
    </w:p>
    <w:p w:rsidR="004662E4" w:rsidRPr="00D4546B" w:rsidRDefault="004662E4" w:rsidP="000A5BEA">
      <w:pPr>
        <w:pStyle w:val="Prrafodelista"/>
        <w:numPr>
          <w:ilvl w:val="1"/>
          <w:numId w:val="20"/>
        </w:numPr>
        <w:ind w:left="426"/>
        <w:jc w:val="both"/>
        <w:rPr>
          <w:rFonts w:ascii="Arial" w:hAnsi="Arial" w:cs="Arial"/>
          <w:sz w:val="22"/>
          <w:szCs w:val="22"/>
          <w:lang w:val="es-ES_tradnl"/>
        </w:rPr>
      </w:pPr>
      <w:r w:rsidRPr="00D4546B">
        <w:rPr>
          <w:rFonts w:ascii="Arial" w:hAnsi="Arial" w:cs="Arial"/>
          <w:sz w:val="22"/>
          <w:szCs w:val="22"/>
          <w:lang w:val="es-ES_tradnl"/>
        </w:rPr>
        <w:t>El Estado no puede pagar conceptos salariales y prestacionales creados por acuerdos, ordenanzas y decretos departamentales, dado que carecen de amparo constitucional y legal.</w:t>
      </w:r>
    </w:p>
    <w:p w:rsidR="004662E4" w:rsidRPr="00D4546B" w:rsidRDefault="004662E4" w:rsidP="000A5BEA">
      <w:pPr>
        <w:jc w:val="both"/>
        <w:rPr>
          <w:rFonts w:ascii="Arial" w:hAnsi="Arial" w:cs="Arial"/>
          <w:sz w:val="22"/>
          <w:szCs w:val="22"/>
          <w:lang w:val="es-ES_tradnl"/>
        </w:rPr>
      </w:pPr>
    </w:p>
    <w:p w:rsidR="004662E4" w:rsidRPr="00D4546B" w:rsidRDefault="004662E4" w:rsidP="000A5BEA">
      <w:pPr>
        <w:jc w:val="both"/>
        <w:rPr>
          <w:rFonts w:ascii="Arial" w:hAnsi="Arial" w:cs="Arial"/>
          <w:sz w:val="22"/>
          <w:szCs w:val="22"/>
          <w:lang w:val="es-ES_tradnl"/>
        </w:rPr>
      </w:pPr>
      <w:r w:rsidRPr="00D4546B">
        <w:rPr>
          <w:rFonts w:ascii="Arial" w:hAnsi="Arial" w:cs="Arial"/>
          <w:sz w:val="22"/>
          <w:szCs w:val="22"/>
          <w:lang w:val="es-ES_tradnl"/>
        </w:rPr>
        <w:t xml:space="preserve">De acuerdo con lo anterior, el Ministerio de Educación Nacional informó a las entidades territoriales en la vigencia 2017 lo siguiente: </w:t>
      </w:r>
    </w:p>
    <w:p w:rsidR="00753D6E" w:rsidRPr="00D4546B" w:rsidRDefault="00753D6E" w:rsidP="000A5BEA">
      <w:pPr>
        <w:jc w:val="both"/>
        <w:rPr>
          <w:rFonts w:ascii="Arial" w:hAnsi="Arial" w:cs="Arial"/>
          <w:sz w:val="22"/>
          <w:szCs w:val="22"/>
          <w:lang w:val="es-ES_tradnl"/>
        </w:rPr>
      </w:pPr>
    </w:p>
    <w:p w:rsidR="004662E4" w:rsidRPr="00D4546B" w:rsidRDefault="004662E4" w:rsidP="000A5BEA">
      <w:pPr>
        <w:pStyle w:val="Prrafodelista"/>
        <w:numPr>
          <w:ilvl w:val="1"/>
          <w:numId w:val="20"/>
        </w:numPr>
        <w:ind w:left="426"/>
        <w:jc w:val="both"/>
        <w:rPr>
          <w:rFonts w:ascii="Arial" w:hAnsi="Arial" w:cs="Arial"/>
          <w:sz w:val="22"/>
          <w:szCs w:val="22"/>
          <w:lang w:val="es-ES_tradnl"/>
        </w:rPr>
      </w:pPr>
      <w:r w:rsidRPr="00D4546B">
        <w:rPr>
          <w:rFonts w:ascii="Arial" w:hAnsi="Arial" w:cs="Arial"/>
          <w:sz w:val="22"/>
          <w:szCs w:val="22"/>
          <w:lang w:val="es-ES_tradnl"/>
        </w:rPr>
        <w:lastRenderedPageBreak/>
        <w:t xml:space="preserve">No es posible la cancelación de primas extralegales con recursos del Estado, y especialmente con recursos del Sistema General de Participaciones por tratarse de conceptos salariales y prestacionales que carecen de amparo constitucional y legal. </w:t>
      </w:r>
    </w:p>
    <w:p w:rsidR="004662E4" w:rsidRPr="00D4546B" w:rsidRDefault="004662E4" w:rsidP="000A5BEA">
      <w:pPr>
        <w:pStyle w:val="Prrafodelista"/>
        <w:numPr>
          <w:ilvl w:val="1"/>
          <w:numId w:val="20"/>
        </w:numPr>
        <w:ind w:left="426"/>
        <w:jc w:val="both"/>
        <w:rPr>
          <w:rFonts w:ascii="Arial" w:hAnsi="Arial" w:cs="Arial"/>
          <w:sz w:val="22"/>
          <w:szCs w:val="22"/>
          <w:lang w:val="es-ES_tradnl"/>
        </w:rPr>
      </w:pPr>
      <w:r w:rsidRPr="00D4546B">
        <w:rPr>
          <w:rFonts w:ascii="Arial" w:hAnsi="Arial" w:cs="Arial"/>
          <w:sz w:val="22"/>
          <w:szCs w:val="22"/>
          <w:lang w:val="es-ES_tradnl"/>
        </w:rPr>
        <w:t xml:space="preserve">Las entidades deben adelantar las acciones necesarias en el marco de las competencias establecidas en los numerales 6.2.3 y del artículo 6 y 7.3 del artículo 7 de la Ley 715 de 2001 para suspender el pago de primas extralegales y así evitar las consecuencias fiscales y disciplinarias derivadas del pago de lo no debido. </w:t>
      </w:r>
    </w:p>
    <w:p w:rsidR="004662E4" w:rsidRPr="00D4546B" w:rsidRDefault="004662E4" w:rsidP="000A5BEA">
      <w:pPr>
        <w:pStyle w:val="Prrafodelista"/>
        <w:numPr>
          <w:ilvl w:val="1"/>
          <w:numId w:val="20"/>
        </w:numPr>
        <w:ind w:left="426"/>
        <w:jc w:val="both"/>
        <w:rPr>
          <w:rFonts w:ascii="Arial" w:hAnsi="Arial" w:cs="Arial"/>
          <w:sz w:val="22"/>
          <w:szCs w:val="22"/>
          <w:lang w:val="es-ES_tradnl"/>
        </w:rPr>
      </w:pPr>
      <w:r w:rsidRPr="00D4546B">
        <w:rPr>
          <w:rFonts w:ascii="Arial" w:hAnsi="Arial" w:cs="Arial"/>
          <w:sz w:val="22"/>
          <w:szCs w:val="22"/>
          <w:lang w:val="es-ES_tradnl"/>
        </w:rPr>
        <w:t>No podrá tenerse en cuenta para efectos de ninguna asignación de recursos del Sistema General de Participaciones para Educación los pagos de primas extralegales realizados a favor de personal docente y administrativo del sector educativo.</w:t>
      </w:r>
    </w:p>
    <w:p w:rsidR="004662E4" w:rsidRPr="00D4546B" w:rsidRDefault="004662E4" w:rsidP="000A5BEA">
      <w:pPr>
        <w:pStyle w:val="Prrafodelista"/>
        <w:numPr>
          <w:ilvl w:val="1"/>
          <w:numId w:val="20"/>
        </w:numPr>
        <w:ind w:left="426"/>
        <w:jc w:val="both"/>
        <w:rPr>
          <w:rFonts w:ascii="Arial" w:hAnsi="Arial" w:cs="Arial"/>
          <w:sz w:val="22"/>
          <w:szCs w:val="22"/>
          <w:lang w:val="es-ES_tradnl"/>
        </w:rPr>
      </w:pPr>
      <w:r w:rsidRPr="00D4546B">
        <w:rPr>
          <w:rFonts w:ascii="Arial" w:hAnsi="Arial" w:cs="Arial"/>
          <w:sz w:val="22"/>
          <w:szCs w:val="22"/>
          <w:lang w:val="es-ES_tradnl"/>
        </w:rPr>
        <w:t>No podrán tramitarse deudas por concepto de primas extralegales en el marco del proceso de saneamiento de deudas laborales del sector educativo definido por el artículo 148 de la Ley 1450 de 2011 por carecer de amparo constitucional y legal.</w:t>
      </w:r>
    </w:p>
    <w:p w:rsidR="004662E4" w:rsidRPr="00D4546B" w:rsidRDefault="004662E4" w:rsidP="000A5BEA">
      <w:pPr>
        <w:jc w:val="both"/>
        <w:rPr>
          <w:rFonts w:ascii="Arial" w:hAnsi="Arial" w:cs="Arial"/>
          <w:sz w:val="22"/>
          <w:szCs w:val="22"/>
          <w:lang w:val="es-ES_tradnl"/>
        </w:rPr>
      </w:pPr>
    </w:p>
    <w:p w:rsidR="004662E4" w:rsidRPr="00D4546B" w:rsidRDefault="004662E4" w:rsidP="000A5BEA">
      <w:pPr>
        <w:jc w:val="both"/>
        <w:rPr>
          <w:rFonts w:ascii="Arial" w:hAnsi="Arial" w:cs="Arial"/>
          <w:sz w:val="22"/>
          <w:szCs w:val="22"/>
          <w:lang w:val="es-ES_tradnl"/>
        </w:rPr>
      </w:pPr>
      <w:r w:rsidRPr="00D4546B">
        <w:rPr>
          <w:rFonts w:ascii="Arial" w:hAnsi="Arial" w:cs="Arial"/>
          <w:sz w:val="22"/>
          <w:szCs w:val="22"/>
          <w:lang w:val="es-ES_tradnl"/>
        </w:rPr>
        <w:t xml:space="preserve">La Sala de Consulta y Servicio Civil del Consejo de Estado reiteró esta postura en el Concepto con radicado 2379 con fecha del 31 de julio de 2018, donde expresa: </w:t>
      </w:r>
      <w:r w:rsidRPr="00E84BA1">
        <w:rPr>
          <w:rFonts w:ascii="Arial" w:hAnsi="Arial" w:cs="Arial"/>
          <w:i/>
          <w:sz w:val="22"/>
          <w:szCs w:val="22"/>
          <w:lang w:val="es-ES_tradnl"/>
        </w:rPr>
        <w:t>“No es ajustado a derecho que se continúe con el pago de primas extralegales salvo las creadas antes de la entrada en vigencia del Acto Legislativo 01 de 1968, y no hace diferencia el que se consideren factor prestacional o salarial, pues es claro que desde dicha reforma constitucional la competencia para instituir el régimen salarial y prestacional de los empleados públicos es del legislador”.</w:t>
      </w:r>
    </w:p>
    <w:p w:rsidR="004662E4" w:rsidRPr="00D4546B" w:rsidRDefault="004662E4" w:rsidP="000A5BEA">
      <w:pPr>
        <w:jc w:val="both"/>
        <w:rPr>
          <w:rFonts w:ascii="Arial" w:hAnsi="Arial" w:cs="Arial"/>
          <w:sz w:val="22"/>
          <w:szCs w:val="22"/>
          <w:lang w:val="es-ES_tradnl"/>
        </w:rPr>
      </w:pPr>
    </w:p>
    <w:p w:rsidR="004662E4" w:rsidRPr="00D4546B" w:rsidRDefault="004662E4" w:rsidP="000A5BEA">
      <w:pPr>
        <w:jc w:val="both"/>
        <w:rPr>
          <w:rFonts w:ascii="Arial" w:hAnsi="Arial" w:cs="Arial"/>
          <w:b/>
          <w:bCs/>
          <w:sz w:val="22"/>
          <w:szCs w:val="22"/>
          <w:lang w:val="es-ES_tradnl"/>
        </w:rPr>
      </w:pPr>
      <w:r w:rsidRPr="00D4546B">
        <w:rPr>
          <w:rFonts w:ascii="Arial" w:hAnsi="Arial" w:cs="Arial"/>
          <w:b/>
          <w:bCs/>
          <w:sz w:val="22"/>
          <w:szCs w:val="22"/>
          <w:lang w:val="es-ES_tradnl"/>
        </w:rPr>
        <w:t>HOMOLOGACIÓN Y NIVELACIÓN SALARIAL</w:t>
      </w:r>
    </w:p>
    <w:p w:rsidR="00753D6E" w:rsidRPr="00D4546B" w:rsidRDefault="00753D6E" w:rsidP="000A5BEA">
      <w:pPr>
        <w:jc w:val="both"/>
        <w:rPr>
          <w:rFonts w:ascii="Arial" w:hAnsi="Arial" w:cs="Arial"/>
          <w:sz w:val="22"/>
          <w:szCs w:val="22"/>
          <w:lang w:val="es-ES_tradnl"/>
        </w:rPr>
      </w:pPr>
    </w:p>
    <w:p w:rsidR="004662E4" w:rsidRPr="00D4546B" w:rsidRDefault="004662E4" w:rsidP="000A5BEA">
      <w:pPr>
        <w:jc w:val="both"/>
        <w:rPr>
          <w:rFonts w:ascii="Arial" w:hAnsi="Arial" w:cs="Arial"/>
          <w:sz w:val="22"/>
          <w:szCs w:val="22"/>
        </w:rPr>
      </w:pPr>
      <w:r w:rsidRPr="00D4546B">
        <w:rPr>
          <w:rFonts w:ascii="Arial" w:hAnsi="Arial" w:cs="Arial"/>
          <w:sz w:val="22"/>
          <w:szCs w:val="22"/>
          <w:lang w:val="es-ES_tradnl"/>
        </w:rPr>
        <w:t xml:space="preserve">Frente a la reclamación por concepto de costos retroactivos de homologación y nivelación salarial por $105.561 millones es necesario reiterar </w:t>
      </w:r>
      <w:r w:rsidRPr="00D4546B">
        <w:rPr>
          <w:rFonts w:ascii="Arial" w:hAnsi="Arial" w:cs="Arial"/>
          <w:sz w:val="22"/>
          <w:szCs w:val="22"/>
        </w:rPr>
        <w:t>lo expuesto en el Diagnóstico que dio origen a la adopción de la medida preventiva vigente, así:</w:t>
      </w:r>
    </w:p>
    <w:p w:rsidR="004662E4" w:rsidRPr="00D4546B" w:rsidRDefault="004662E4" w:rsidP="00753D6E">
      <w:pPr>
        <w:ind w:right="49"/>
        <w:jc w:val="both"/>
        <w:rPr>
          <w:rFonts w:ascii="Arial" w:hAnsi="Arial" w:cs="Arial"/>
          <w:sz w:val="20"/>
          <w:szCs w:val="22"/>
        </w:rPr>
      </w:pPr>
    </w:p>
    <w:p w:rsidR="004662E4" w:rsidRPr="00D4546B" w:rsidRDefault="004662E4" w:rsidP="00753D6E">
      <w:pPr>
        <w:ind w:left="567" w:right="49"/>
        <w:jc w:val="both"/>
        <w:rPr>
          <w:rFonts w:ascii="Arial" w:hAnsi="Arial" w:cs="Arial"/>
          <w:i/>
          <w:sz w:val="18"/>
          <w:szCs w:val="22"/>
        </w:rPr>
      </w:pPr>
      <w:r w:rsidRPr="00D4546B">
        <w:rPr>
          <w:rFonts w:ascii="Arial" w:hAnsi="Arial" w:cs="Arial"/>
          <w:i/>
          <w:sz w:val="18"/>
          <w:szCs w:val="22"/>
        </w:rPr>
        <w:t xml:space="preserve">“Mediante Sentencia de tutela No. 2014-00033 del 23 de abril de 2014 el Juez Primero de Lorica Córdoba condenó al Departamento de Córdoba a cancelar a 1338 funcionarios administrativos de la Secretaría de Educación la modificación al estudio técnico de homologación por una suma de $ 138.909 millones, toda vez que el primer estudio técnico de homologación que se había cancelado en el año 2008 por la suma de $56.233 millones financiados con recursos del Presupuesto General de la Nación, no incluía conceptos como la Prima de Antigüedad, la Prima Semestral, la Prima Técnica y horas extras. De igual forma, la Sentencia de tutela ordenó al Departamento de Córdoba el pago de la indexación y los correspondientes intereses moratorios. </w:t>
      </w:r>
    </w:p>
    <w:p w:rsidR="004662E4" w:rsidRPr="00D4546B" w:rsidRDefault="004662E4" w:rsidP="00753D6E">
      <w:pPr>
        <w:ind w:left="567" w:right="49"/>
        <w:jc w:val="both"/>
        <w:rPr>
          <w:rFonts w:ascii="Arial" w:hAnsi="Arial" w:cs="Arial"/>
          <w:i/>
          <w:sz w:val="18"/>
          <w:szCs w:val="22"/>
        </w:rPr>
      </w:pPr>
    </w:p>
    <w:p w:rsidR="004662E4" w:rsidRPr="00D4546B" w:rsidRDefault="004662E4" w:rsidP="00753D6E">
      <w:pPr>
        <w:ind w:left="567" w:right="49"/>
        <w:jc w:val="both"/>
        <w:rPr>
          <w:rFonts w:ascii="Arial" w:hAnsi="Arial" w:cs="Arial"/>
          <w:i/>
          <w:sz w:val="18"/>
          <w:szCs w:val="22"/>
        </w:rPr>
      </w:pPr>
      <w:r w:rsidRPr="00D4546B">
        <w:rPr>
          <w:rFonts w:ascii="Arial" w:hAnsi="Arial" w:cs="Arial"/>
          <w:i/>
          <w:sz w:val="18"/>
          <w:szCs w:val="22"/>
        </w:rPr>
        <w:t>Posteriormente, el Ministerio de Educación Nacional mediante oficios radicados No. 1-2014-063480 y 1-2014-063411 del 29 de agosto de 2014 certificó y validó el pago de la deuda para que se financiara con Presupuesto General de la Nación en el marco del procedimiento establecido por el artículo 148 de la Ley 1450 de 2011.</w:t>
      </w:r>
    </w:p>
    <w:p w:rsidR="004662E4" w:rsidRPr="00D4546B" w:rsidRDefault="004662E4" w:rsidP="00753D6E">
      <w:pPr>
        <w:ind w:left="567" w:right="49"/>
        <w:jc w:val="both"/>
        <w:rPr>
          <w:rFonts w:ascii="Arial" w:hAnsi="Arial" w:cs="Arial"/>
          <w:i/>
          <w:sz w:val="18"/>
          <w:szCs w:val="22"/>
        </w:rPr>
      </w:pPr>
    </w:p>
    <w:p w:rsidR="004662E4" w:rsidRPr="00D4546B" w:rsidRDefault="004662E4" w:rsidP="00753D6E">
      <w:pPr>
        <w:ind w:left="567" w:right="49"/>
        <w:jc w:val="both"/>
        <w:rPr>
          <w:rFonts w:ascii="Arial" w:hAnsi="Arial" w:cs="Arial"/>
          <w:i/>
          <w:sz w:val="18"/>
          <w:szCs w:val="22"/>
        </w:rPr>
      </w:pPr>
      <w:r w:rsidRPr="00D4546B">
        <w:rPr>
          <w:rFonts w:ascii="Arial" w:hAnsi="Arial" w:cs="Arial"/>
          <w:i/>
          <w:sz w:val="18"/>
          <w:szCs w:val="22"/>
        </w:rPr>
        <w:t>No obstante, la Sentencia 2014-00033 del 23 de abril de 2014 inobservó el requisito de subsidiaridad de la acción de tutela,</w:t>
      </w:r>
      <w:r w:rsidR="008040A0">
        <w:rPr>
          <w:rFonts w:ascii="Arial" w:hAnsi="Arial" w:cs="Arial"/>
          <w:i/>
          <w:sz w:val="18"/>
          <w:szCs w:val="22"/>
        </w:rPr>
        <w:t xml:space="preserve"> </w:t>
      </w:r>
      <w:r w:rsidRPr="00D4546B">
        <w:rPr>
          <w:rFonts w:ascii="Arial" w:hAnsi="Arial" w:cs="Arial"/>
          <w:i/>
          <w:sz w:val="18"/>
          <w:szCs w:val="22"/>
        </w:rPr>
        <w:t>ignoró el mandato del juez constitucional de proteger el patrimonio público</w:t>
      </w:r>
      <w:r w:rsidR="008040A0">
        <w:rPr>
          <w:rFonts w:ascii="Arial" w:hAnsi="Arial" w:cs="Arial"/>
          <w:i/>
          <w:sz w:val="18"/>
          <w:szCs w:val="22"/>
        </w:rPr>
        <w:t xml:space="preserve"> </w:t>
      </w:r>
      <w:r w:rsidRPr="00D4546B">
        <w:rPr>
          <w:rFonts w:ascii="Arial" w:hAnsi="Arial" w:cs="Arial"/>
          <w:i/>
          <w:sz w:val="18"/>
          <w:szCs w:val="22"/>
        </w:rPr>
        <w:t xml:space="preserve">y desvió el uso de la acción de tutela para resolver controversias sobre temas ajenos a esa jurisdicción, tales como el pago de la prima de servicios; pago e indexación de cesantías ya canceladas; horas extras, prima técnica, indexación de las homologaciones de los administrativos del sector docente; retroactivo por concepto de la homologación y nivelación salarial a los funcionarios administrativos de las secretarías de educación . </w:t>
      </w:r>
    </w:p>
    <w:p w:rsidR="004662E4" w:rsidRPr="00D4546B" w:rsidRDefault="004662E4" w:rsidP="00753D6E">
      <w:pPr>
        <w:ind w:left="567" w:right="49"/>
        <w:jc w:val="both"/>
        <w:rPr>
          <w:rFonts w:ascii="Arial" w:hAnsi="Arial" w:cs="Arial"/>
          <w:i/>
          <w:sz w:val="18"/>
          <w:szCs w:val="22"/>
        </w:rPr>
      </w:pPr>
    </w:p>
    <w:p w:rsidR="004662E4" w:rsidRPr="00D4546B" w:rsidRDefault="004662E4" w:rsidP="00753D6E">
      <w:pPr>
        <w:ind w:left="567" w:right="49"/>
        <w:jc w:val="both"/>
        <w:rPr>
          <w:rFonts w:ascii="Arial" w:hAnsi="Arial" w:cs="Arial"/>
          <w:i/>
          <w:sz w:val="18"/>
          <w:szCs w:val="22"/>
        </w:rPr>
      </w:pPr>
      <w:r w:rsidRPr="00D4546B">
        <w:rPr>
          <w:rFonts w:ascii="Arial" w:hAnsi="Arial" w:cs="Arial"/>
          <w:i/>
          <w:sz w:val="18"/>
          <w:szCs w:val="22"/>
        </w:rPr>
        <w:lastRenderedPageBreak/>
        <w:t>De igual forma, el fallo judicial desconoció la incompatibilidad en el reconocimiento de indexaciones e intereses moratorios y el principio de sostenibilidad fiscal consagrado en el artículo 334 de la Constitución Política, adicionado por el Acto Legislativo 3 de 2011, toda vez que este tipo de condenas afecta de manera importante la estructura financiera sectorial y, puede generar efectos multiplicadores asociados a los futuros impactos fiscales por ese mismo hecho.</w:t>
      </w:r>
    </w:p>
    <w:p w:rsidR="004662E4" w:rsidRPr="00D4546B" w:rsidRDefault="004662E4" w:rsidP="00753D6E">
      <w:pPr>
        <w:ind w:left="567" w:right="49"/>
        <w:jc w:val="both"/>
        <w:rPr>
          <w:rFonts w:ascii="Arial" w:hAnsi="Arial" w:cs="Arial"/>
          <w:i/>
          <w:sz w:val="18"/>
          <w:szCs w:val="22"/>
        </w:rPr>
      </w:pPr>
    </w:p>
    <w:p w:rsidR="004662E4" w:rsidRPr="00D4546B" w:rsidRDefault="004662E4" w:rsidP="00753D6E">
      <w:pPr>
        <w:ind w:left="567" w:right="49"/>
        <w:jc w:val="both"/>
        <w:rPr>
          <w:rFonts w:ascii="Arial" w:hAnsi="Arial" w:cs="Arial"/>
          <w:i/>
          <w:sz w:val="18"/>
          <w:szCs w:val="22"/>
        </w:rPr>
      </w:pPr>
      <w:r w:rsidRPr="00D4546B">
        <w:rPr>
          <w:rFonts w:ascii="Arial" w:hAnsi="Arial" w:cs="Arial"/>
          <w:i/>
          <w:sz w:val="18"/>
          <w:szCs w:val="22"/>
        </w:rPr>
        <w:t>En consecuencia, este Ministerio solicitó la revisión de los fallos de acción de tutela ante la Corte Constitucional el día 5 de diciembre de 2014, los cuales fueron revocados por la Corte Constitucional mediante sentencia T-282 de 2015, a través de la cual resolvió el recurso extraordinario de revisión interpuesto por este Ministerio, a su vez ordenó compulsar copias a la Fiscalía General de la Nación y a la Sala del Consejo Superior de la Judicatura para que se examinar</w:t>
      </w:r>
      <w:r w:rsidR="00E84BA1">
        <w:rPr>
          <w:rFonts w:ascii="Arial" w:hAnsi="Arial" w:cs="Arial"/>
          <w:i/>
          <w:sz w:val="18"/>
          <w:szCs w:val="22"/>
        </w:rPr>
        <w:t>a</w:t>
      </w:r>
      <w:r w:rsidRPr="00D4546B">
        <w:rPr>
          <w:rFonts w:ascii="Arial" w:hAnsi="Arial" w:cs="Arial"/>
          <w:i/>
          <w:sz w:val="18"/>
          <w:szCs w:val="22"/>
        </w:rPr>
        <w:t>n las actuaciones desplegadas”</w:t>
      </w:r>
      <w:r w:rsidR="002D72A6">
        <w:rPr>
          <w:rFonts w:ascii="Arial" w:hAnsi="Arial" w:cs="Arial"/>
          <w:i/>
          <w:sz w:val="18"/>
          <w:szCs w:val="22"/>
        </w:rPr>
        <w:t>.</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Por lo cual, aunque la Corte Constitucional rechazó las pretensiones de la acción de tutela, por considerar que este es un mecanismo residual, transitorio y subsidiario y que el tema objeto de controversia debe tramitarse por la vía ordinaria de la jurisdicción contenciosa administrativa, esta Dirección considera, como lo manifestó en su momento, que la pretensión del pago de la modificación al estudio técnico de homologación incluye elementos que no tienen fundamento legal ni constitucional como el pago de primas extralegales, como la Prima de Antigüedad y la Prima Semestral y el reconocimiento de la indexación e inter</w:t>
      </w:r>
      <w:r w:rsidR="002D72A6">
        <w:rPr>
          <w:rFonts w:ascii="Arial" w:hAnsi="Arial" w:cs="Arial"/>
          <w:sz w:val="22"/>
          <w:szCs w:val="22"/>
        </w:rPr>
        <w:t>e</w:t>
      </w:r>
      <w:r w:rsidRPr="00D4546B">
        <w:rPr>
          <w:rFonts w:ascii="Arial" w:hAnsi="Arial" w:cs="Arial"/>
          <w:sz w:val="22"/>
          <w:szCs w:val="22"/>
        </w:rPr>
        <w:t>s</w:t>
      </w:r>
      <w:r w:rsidR="002D72A6">
        <w:rPr>
          <w:rFonts w:ascii="Arial" w:hAnsi="Arial" w:cs="Arial"/>
          <w:sz w:val="22"/>
          <w:szCs w:val="22"/>
        </w:rPr>
        <w:t>es</w:t>
      </w:r>
      <w:r w:rsidRPr="00D4546B">
        <w:rPr>
          <w:rFonts w:ascii="Arial" w:hAnsi="Arial" w:cs="Arial"/>
          <w:sz w:val="22"/>
          <w:szCs w:val="22"/>
        </w:rPr>
        <w:t xml:space="preserve">, conceptos </w:t>
      </w:r>
      <w:r w:rsidR="002D72A6" w:rsidRPr="00D4546B">
        <w:rPr>
          <w:rFonts w:ascii="Arial" w:hAnsi="Arial" w:cs="Arial"/>
          <w:sz w:val="22"/>
          <w:szCs w:val="22"/>
        </w:rPr>
        <w:t>as</w:t>
      </w:r>
      <w:r w:rsidR="002D72A6">
        <w:rPr>
          <w:rFonts w:ascii="Arial" w:hAnsi="Arial" w:cs="Arial"/>
          <w:sz w:val="22"/>
          <w:szCs w:val="22"/>
        </w:rPr>
        <w:t>í</w:t>
      </w:r>
      <w:r w:rsidR="002D72A6" w:rsidRPr="00D4546B">
        <w:rPr>
          <w:rFonts w:ascii="Arial" w:hAnsi="Arial" w:cs="Arial"/>
          <w:sz w:val="22"/>
          <w:szCs w:val="22"/>
        </w:rPr>
        <w:t>miles</w:t>
      </w:r>
      <w:r w:rsidRPr="00D4546B">
        <w:rPr>
          <w:rFonts w:ascii="Arial" w:hAnsi="Arial" w:cs="Arial"/>
          <w:sz w:val="22"/>
          <w:szCs w:val="22"/>
        </w:rPr>
        <w:t xml:space="preserve"> que no pueden aplicarse al mismo tiempo pues tienen la misma finalidad.</w:t>
      </w:r>
      <w:r w:rsidR="008040A0">
        <w:rPr>
          <w:rFonts w:ascii="Arial" w:hAnsi="Arial" w:cs="Arial"/>
          <w:sz w:val="22"/>
          <w:szCs w:val="22"/>
        </w:rPr>
        <w:t xml:space="preserve"> </w:t>
      </w:r>
    </w:p>
    <w:p w:rsidR="004662E4" w:rsidRPr="00D4546B" w:rsidRDefault="004662E4" w:rsidP="000A5BEA">
      <w:pPr>
        <w:jc w:val="both"/>
        <w:rPr>
          <w:rFonts w:ascii="Arial" w:hAnsi="Arial" w:cs="Arial"/>
          <w:sz w:val="22"/>
          <w:szCs w:val="22"/>
        </w:rPr>
      </w:pPr>
    </w:p>
    <w:p w:rsidR="004662E4" w:rsidRDefault="004662E4" w:rsidP="000A5BEA">
      <w:pPr>
        <w:jc w:val="both"/>
        <w:rPr>
          <w:rFonts w:ascii="Arial" w:hAnsi="Arial" w:cs="Arial"/>
          <w:sz w:val="22"/>
          <w:szCs w:val="22"/>
        </w:rPr>
      </w:pPr>
      <w:r w:rsidRPr="00D4546B">
        <w:rPr>
          <w:rFonts w:ascii="Arial" w:hAnsi="Arial" w:cs="Arial"/>
          <w:sz w:val="22"/>
          <w:szCs w:val="22"/>
        </w:rPr>
        <w:t>De igual forma, debe observarse el concepto No. 2301 del 14 de diciembre de 2016 que emitió la Sala de Consulta y Servicio Civil del Consejo de Estado por petición del Ministerio de Educación Nacional en torno a la modificación de los estudios técnicos de homologación, en donde señala que sólo de comprobarse errores en los estudios técnicos de homologación que afecten derechos laborales debe realizarse un nuevo estudio de homologación de manera definitiva y por última vez, no pueden incluirse dentro del estudio de homologación primas extralegales, debe aplicarse la prescripción trienal a los reconocimientos y la validación que realiza el Ministerio de Educación Nacional no solo es formal, es una verificación integral de que se pague lo estrictamente legal y no se afecten derechos laborales.</w:t>
      </w:r>
    </w:p>
    <w:p w:rsidR="0040070E" w:rsidRDefault="0040070E" w:rsidP="000A5BEA">
      <w:pPr>
        <w:jc w:val="both"/>
        <w:rPr>
          <w:rFonts w:ascii="Arial" w:hAnsi="Arial" w:cs="Arial"/>
          <w:sz w:val="22"/>
          <w:szCs w:val="22"/>
        </w:rPr>
      </w:pPr>
    </w:p>
    <w:p w:rsidR="0040070E" w:rsidRPr="00D4546B" w:rsidRDefault="0040070E" w:rsidP="000A5BEA">
      <w:pPr>
        <w:jc w:val="both"/>
        <w:rPr>
          <w:rFonts w:ascii="Arial" w:hAnsi="Arial" w:cs="Arial"/>
          <w:sz w:val="22"/>
          <w:szCs w:val="22"/>
        </w:rPr>
      </w:pPr>
      <w:r>
        <w:rPr>
          <w:rFonts w:ascii="Arial" w:hAnsi="Arial" w:cs="Arial"/>
          <w:sz w:val="22"/>
          <w:szCs w:val="22"/>
        </w:rPr>
        <w:t>Teniendo en cuenta el marco legislativo y jurisprudencial expuesto, es necesario que la entidad territorial evalúe la legalidad de los actos administrativos de reconocimiento de las primas extralegales, teniendo en cuenta que contra la Constitución y la Ley no se generan derechos adquiridos y adelantar las acciones administrativas y judiciales necesarias para cesar sus efectos.</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Por lo anterior, esta actividad se encuentra incumplida.</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b/>
          <w:sz w:val="22"/>
          <w:szCs w:val="22"/>
        </w:rPr>
      </w:pPr>
      <w:r w:rsidRPr="00D4546B">
        <w:rPr>
          <w:rFonts w:ascii="Arial" w:hAnsi="Arial" w:cs="Arial"/>
          <w:b/>
          <w:sz w:val="22"/>
          <w:szCs w:val="22"/>
        </w:rPr>
        <w:t>Actividad 3.1.1 Surtir los procesos de contratación de la administración y/o prestación del servicio en el marco de lo establecido en los capítulos 3 y 4 de la parte 2 del libro 2 del decreto 1075 de 2015. (El capítulo 3 fue subrogado por el Decreto 1851 de 2015).</w:t>
      </w:r>
    </w:p>
    <w:p w:rsidR="004662E4" w:rsidRPr="00D4546B" w:rsidRDefault="004662E4" w:rsidP="000A5BEA">
      <w:pPr>
        <w:jc w:val="both"/>
        <w:rPr>
          <w:rFonts w:ascii="Arial" w:hAnsi="Arial" w:cs="Arial"/>
          <w:b/>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Las evidencias se encuentran consignadas en el sistema SIED con el número de Expediente 22/2019/D028-PREDI.</w:t>
      </w:r>
      <w:r w:rsidR="008040A0">
        <w:rPr>
          <w:rFonts w:ascii="Arial" w:hAnsi="Arial" w:cs="Arial"/>
          <w:sz w:val="22"/>
          <w:szCs w:val="22"/>
        </w:rPr>
        <w:t xml:space="preserve"> </w:t>
      </w:r>
      <w:r w:rsidRPr="00D4546B">
        <w:rPr>
          <w:rFonts w:ascii="Arial" w:hAnsi="Arial" w:cs="Arial"/>
          <w:sz w:val="22"/>
          <w:szCs w:val="22"/>
        </w:rPr>
        <w:t>Dichas evidencias se relacionan a continuación</w:t>
      </w:r>
      <w:r w:rsidR="001A00F6">
        <w:rPr>
          <w:rFonts w:ascii="Arial" w:hAnsi="Arial" w:cs="Arial"/>
          <w:sz w:val="22"/>
          <w:szCs w:val="22"/>
        </w:rPr>
        <w:t xml:space="preserve"> y corresponden a la</w:t>
      </w:r>
      <w:r w:rsidRPr="00D4546B">
        <w:rPr>
          <w:rFonts w:ascii="Arial" w:hAnsi="Arial" w:cs="Arial"/>
          <w:sz w:val="22"/>
          <w:szCs w:val="22"/>
        </w:rPr>
        <w:t xml:space="preserve"> información objeto de análisis para esta actividad:</w:t>
      </w:r>
    </w:p>
    <w:p w:rsidR="004662E4" w:rsidRPr="00D4546B" w:rsidRDefault="004662E4" w:rsidP="000A5BEA">
      <w:pPr>
        <w:jc w:val="both"/>
        <w:rPr>
          <w:rFonts w:ascii="Arial" w:hAnsi="Arial" w:cs="Arial"/>
          <w:sz w:val="22"/>
          <w:szCs w:val="22"/>
        </w:rPr>
      </w:pPr>
    </w:p>
    <w:p w:rsidR="004662E4" w:rsidRPr="00D4546B" w:rsidRDefault="004662E4" w:rsidP="000A5BEA">
      <w:pPr>
        <w:pStyle w:val="Prrafodelista"/>
        <w:numPr>
          <w:ilvl w:val="0"/>
          <w:numId w:val="21"/>
        </w:numPr>
        <w:jc w:val="both"/>
        <w:rPr>
          <w:rFonts w:ascii="Arial" w:hAnsi="Arial" w:cs="Arial"/>
          <w:sz w:val="22"/>
          <w:szCs w:val="22"/>
        </w:rPr>
      </w:pPr>
      <w:r w:rsidRPr="00D4546B">
        <w:rPr>
          <w:rFonts w:ascii="Arial" w:hAnsi="Arial" w:cs="Arial"/>
          <w:sz w:val="22"/>
          <w:szCs w:val="22"/>
        </w:rPr>
        <w:t>Copia del Estudio de insuficiencia y limitaciones de la capacidad oficial para contratar la prestación del servicio educativo, presentado al Ministerio de Educación Nacional.</w:t>
      </w:r>
    </w:p>
    <w:p w:rsidR="004662E4" w:rsidRPr="00D4546B" w:rsidRDefault="004662E4" w:rsidP="000A5BEA">
      <w:pPr>
        <w:pStyle w:val="Prrafodelista"/>
        <w:numPr>
          <w:ilvl w:val="0"/>
          <w:numId w:val="21"/>
        </w:numPr>
        <w:jc w:val="both"/>
        <w:rPr>
          <w:rFonts w:ascii="Arial" w:hAnsi="Arial" w:cs="Arial"/>
          <w:sz w:val="22"/>
          <w:szCs w:val="22"/>
        </w:rPr>
      </w:pPr>
      <w:r w:rsidRPr="00D4546B">
        <w:rPr>
          <w:rFonts w:ascii="Arial" w:hAnsi="Arial" w:cs="Arial"/>
          <w:sz w:val="22"/>
          <w:szCs w:val="22"/>
        </w:rPr>
        <w:t>Relación de los contratos de administración, concesión o prestación del servicio educativo para el sector educación discriminada por número del contrato, fecha de suscripción, objeto contractual, valor, plazo, y fuente de financiación.</w:t>
      </w:r>
    </w:p>
    <w:p w:rsidR="004662E4" w:rsidRPr="00D4546B" w:rsidRDefault="004662E4" w:rsidP="000A5BEA">
      <w:pPr>
        <w:pStyle w:val="Prrafodelista"/>
        <w:numPr>
          <w:ilvl w:val="0"/>
          <w:numId w:val="21"/>
        </w:numPr>
        <w:jc w:val="both"/>
        <w:rPr>
          <w:rFonts w:ascii="Arial" w:hAnsi="Arial" w:cs="Arial"/>
          <w:sz w:val="22"/>
          <w:szCs w:val="22"/>
        </w:rPr>
      </w:pPr>
      <w:r w:rsidRPr="00D4546B">
        <w:rPr>
          <w:rFonts w:ascii="Arial" w:hAnsi="Arial" w:cs="Arial"/>
          <w:sz w:val="22"/>
          <w:szCs w:val="22"/>
        </w:rPr>
        <w:t>Copia de los contratos de prestación y/o administración del servicio suscritos y sus respectivos certificados de disponibilidad y registro presupuestal</w:t>
      </w:r>
    </w:p>
    <w:p w:rsidR="004662E4" w:rsidRPr="00D4546B" w:rsidRDefault="004662E4" w:rsidP="000A5BEA">
      <w:pPr>
        <w:pStyle w:val="Prrafodelista"/>
        <w:numPr>
          <w:ilvl w:val="0"/>
          <w:numId w:val="21"/>
        </w:numPr>
        <w:jc w:val="both"/>
        <w:rPr>
          <w:rFonts w:ascii="Arial" w:hAnsi="Arial" w:cs="Arial"/>
          <w:sz w:val="22"/>
          <w:szCs w:val="22"/>
        </w:rPr>
      </w:pPr>
      <w:r w:rsidRPr="00D4546B">
        <w:rPr>
          <w:rFonts w:ascii="Arial" w:hAnsi="Arial" w:cs="Arial"/>
          <w:sz w:val="22"/>
          <w:szCs w:val="22"/>
        </w:rPr>
        <w:t>Copia de las modificaciones y/o adiciones realizadas a los contratos</w:t>
      </w:r>
    </w:p>
    <w:p w:rsidR="004662E4" w:rsidRPr="00D4546B" w:rsidRDefault="004662E4" w:rsidP="000A5BEA">
      <w:pPr>
        <w:pStyle w:val="Prrafodelista"/>
        <w:numPr>
          <w:ilvl w:val="0"/>
          <w:numId w:val="21"/>
        </w:numPr>
        <w:jc w:val="both"/>
        <w:rPr>
          <w:rFonts w:ascii="Arial" w:hAnsi="Arial" w:cs="Arial"/>
          <w:sz w:val="22"/>
          <w:szCs w:val="22"/>
        </w:rPr>
      </w:pPr>
      <w:r w:rsidRPr="00D4546B">
        <w:rPr>
          <w:rFonts w:ascii="Arial" w:hAnsi="Arial" w:cs="Arial"/>
          <w:sz w:val="22"/>
          <w:szCs w:val="22"/>
        </w:rPr>
        <w:t>Copia del Reporte al MEN de la información de Contratación del Servicio Educativo en el Formato Único de Contratación - FUC, de acuerdo con la información de los contratos suscritos por la entidad territorial, en los tiempos establecidos por el MEN.</w:t>
      </w:r>
    </w:p>
    <w:p w:rsidR="004662E4" w:rsidRPr="00D4546B" w:rsidRDefault="004662E4" w:rsidP="000A5BEA">
      <w:pPr>
        <w:pStyle w:val="Prrafodelista"/>
        <w:numPr>
          <w:ilvl w:val="0"/>
          <w:numId w:val="21"/>
        </w:numPr>
        <w:jc w:val="both"/>
        <w:rPr>
          <w:rFonts w:ascii="Arial" w:hAnsi="Arial" w:cs="Arial"/>
          <w:sz w:val="22"/>
          <w:szCs w:val="22"/>
        </w:rPr>
      </w:pPr>
      <w:r w:rsidRPr="00D4546B">
        <w:rPr>
          <w:rFonts w:ascii="Arial" w:hAnsi="Arial" w:cs="Arial"/>
          <w:sz w:val="22"/>
          <w:szCs w:val="22"/>
        </w:rPr>
        <w:t>Acto administrativo de fijación del calendario académico.</w:t>
      </w:r>
    </w:p>
    <w:p w:rsidR="004662E4" w:rsidRPr="00D4546B" w:rsidRDefault="004662E4" w:rsidP="000A5BEA">
      <w:pPr>
        <w:pStyle w:val="Prrafodelista"/>
        <w:numPr>
          <w:ilvl w:val="0"/>
          <w:numId w:val="21"/>
        </w:numPr>
        <w:jc w:val="both"/>
        <w:rPr>
          <w:rFonts w:ascii="Arial" w:hAnsi="Arial" w:cs="Arial"/>
          <w:sz w:val="22"/>
          <w:szCs w:val="22"/>
        </w:rPr>
      </w:pPr>
      <w:r w:rsidRPr="00D4546B">
        <w:rPr>
          <w:rFonts w:ascii="Arial" w:hAnsi="Arial" w:cs="Arial"/>
          <w:sz w:val="22"/>
          <w:szCs w:val="22"/>
        </w:rPr>
        <w:t>Copia de canastas y anexos de estudiantes</w:t>
      </w:r>
    </w:p>
    <w:p w:rsidR="004662E4" w:rsidRPr="00D4546B" w:rsidRDefault="004662E4" w:rsidP="000A5BEA">
      <w:pPr>
        <w:pStyle w:val="Prrafodelista"/>
        <w:numPr>
          <w:ilvl w:val="0"/>
          <w:numId w:val="21"/>
        </w:numPr>
        <w:jc w:val="both"/>
        <w:rPr>
          <w:rFonts w:ascii="Arial" w:hAnsi="Arial" w:cs="Arial"/>
          <w:sz w:val="22"/>
          <w:szCs w:val="22"/>
        </w:rPr>
      </w:pPr>
      <w:r w:rsidRPr="00D4546B">
        <w:rPr>
          <w:rFonts w:ascii="Arial" w:hAnsi="Arial" w:cs="Arial"/>
          <w:sz w:val="22"/>
          <w:szCs w:val="22"/>
        </w:rPr>
        <w:t>Documentos de idoneidad y trayectoria de los contratistas</w:t>
      </w:r>
    </w:p>
    <w:p w:rsidR="004662E4" w:rsidRPr="00D4546B" w:rsidRDefault="004662E4" w:rsidP="000A5BEA">
      <w:pPr>
        <w:jc w:val="both"/>
        <w:rPr>
          <w:rFonts w:ascii="Arial" w:hAnsi="Arial" w:cs="Arial"/>
          <w:sz w:val="22"/>
          <w:szCs w:val="22"/>
        </w:rPr>
      </w:pPr>
    </w:p>
    <w:p w:rsidR="004662E4" w:rsidRPr="00D4546B" w:rsidRDefault="00A63E00" w:rsidP="000A5BEA">
      <w:pPr>
        <w:jc w:val="both"/>
        <w:rPr>
          <w:rFonts w:ascii="Arial" w:hAnsi="Arial" w:cs="Arial"/>
          <w:sz w:val="22"/>
          <w:szCs w:val="22"/>
        </w:rPr>
      </w:pPr>
      <w:r>
        <w:rPr>
          <w:rFonts w:ascii="Arial" w:hAnsi="Arial" w:cs="Arial"/>
          <w:sz w:val="22"/>
          <w:szCs w:val="22"/>
        </w:rPr>
        <w:t>Para la vigencia 2019, e</w:t>
      </w:r>
      <w:r w:rsidR="004662E4" w:rsidRPr="00D4546B">
        <w:rPr>
          <w:rFonts w:ascii="Arial" w:hAnsi="Arial" w:cs="Arial"/>
          <w:sz w:val="22"/>
          <w:szCs w:val="22"/>
        </w:rPr>
        <w:t>l departamento presentó una relación de los contratos de administración, concesión o prestación del servicio educativo que mantiene el sector educación, especificando el No. de contrato, fecha de suscripción, objeto, valor, plazo y fuente de financiación con el cual se va respaldar cada uno de los contratos, además de las modificaciones realizadas. No obstante, como ya se destacó previamente, existe una diferencia entre el valor de los contratos en la relación de contratación y el valor en el reporte FUT y la ejecución presupuestal por $1.285 millones. La Secretaría de Educación no remite un informe de supervisión con los ajustes y descuentos contractuales a los que haya lugar de acuerdo con las diferencias entre la matrícula contratada y la matrícula efectivamente atendida que expliquen esta diferencia.</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Además de las diferencias entre el número de estudiantes contratados y el número de estudiantes reflejados como matrícula contratada en el SIMAT y las inconsistencias ya señaladas entre el valor total de los contratos y el valor de las tipologías definidas para la entidad territorial en la vigencia 2019 (Tabla 7), no es posible realizar más observaciones porque la entidad no remitió el estudio técnico de insuficiencia para la vigencia 2019, información de modificaciones y/o adiciones a los contratos, copias de las canastas ofrecidas ni documentos de idoneidad y trayectoria de los contratistas.</w:t>
      </w:r>
    </w:p>
    <w:p w:rsidR="004662E4" w:rsidRDefault="004662E4" w:rsidP="000A5BEA">
      <w:pPr>
        <w:jc w:val="both"/>
        <w:rPr>
          <w:rFonts w:ascii="Arial" w:hAnsi="Arial" w:cs="Arial"/>
          <w:sz w:val="22"/>
          <w:szCs w:val="22"/>
        </w:rPr>
      </w:pPr>
    </w:p>
    <w:p w:rsidR="004662E4" w:rsidRPr="00D4546B" w:rsidRDefault="00A63E00" w:rsidP="000A5BEA">
      <w:pPr>
        <w:jc w:val="both"/>
        <w:rPr>
          <w:rFonts w:ascii="Arial" w:hAnsi="Arial" w:cs="Arial"/>
          <w:sz w:val="22"/>
          <w:szCs w:val="22"/>
        </w:rPr>
      </w:pPr>
      <w:r>
        <w:rPr>
          <w:rFonts w:ascii="Arial" w:hAnsi="Arial" w:cs="Arial"/>
          <w:sz w:val="22"/>
          <w:szCs w:val="22"/>
        </w:rPr>
        <w:t xml:space="preserve">La contratación de la vigencia 2020 y 2021 será analizada en el siguiente corte de evaluación. </w:t>
      </w:r>
      <w:r w:rsidR="004662E4" w:rsidRPr="00D4546B">
        <w:rPr>
          <w:rFonts w:ascii="Arial" w:hAnsi="Arial" w:cs="Arial"/>
          <w:sz w:val="22"/>
          <w:szCs w:val="22"/>
        </w:rPr>
        <w:t>Por lo anterior, la actividad se encuentra incumplida.</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b/>
          <w:sz w:val="22"/>
          <w:szCs w:val="22"/>
        </w:rPr>
      </w:pPr>
      <w:r w:rsidRPr="00D4546B">
        <w:rPr>
          <w:rFonts w:ascii="Arial" w:hAnsi="Arial" w:cs="Arial"/>
          <w:b/>
          <w:sz w:val="22"/>
          <w:szCs w:val="22"/>
        </w:rPr>
        <w:t>Actividad 3.1.2 Garantizar la supervisión y/o interventoría de acuerdo con la normatividad vigente</w:t>
      </w:r>
    </w:p>
    <w:p w:rsidR="004662E4" w:rsidRPr="00D4546B" w:rsidRDefault="004662E4" w:rsidP="000A5BEA">
      <w:pPr>
        <w:jc w:val="both"/>
        <w:rPr>
          <w:rFonts w:ascii="Arial" w:hAnsi="Arial" w:cs="Arial"/>
          <w:b/>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Las evidencias se encuentran consignadas en el sistema SIED con el número de Expediente 22/2019/D028-PREDI.</w:t>
      </w:r>
      <w:r w:rsidR="008040A0">
        <w:rPr>
          <w:rFonts w:ascii="Arial" w:hAnsi="Arial" w:cs="Arial"/>
          <w:sz w:val="22"/>
          <w:szCs w:val="22"/>
        </w:rPr>
        <w:t xml:space="preserve"> </w:t>
      </w:r>
      <w:r w:rsidRPr="00D4546B">
        <w:rPr>
          <w:rFonts w:ascii="Arial" w:hAnsi="Arial" w:cs="Arial"/>
          <w:sz w:val="22"/>
          <w:szCs w:val="22"/>
        </w:rPr>
        <w:t>Dichas evidencias se relacionan a continuación</w:t>
      </w:r>
      <w:r w:rsidR="00A63E00">
        <w:rPr>
          <w:rFonts w:ascii="Arial" w:hAnsi="Arial" w:cs="Arial"/>
          <w:sz w:val="22"/>
          <w:szCs w:val="22"/>
        </w:rPr>
        <w:t xml:space="preserve">, que corresponden a la </w:t>
      </w:r>
      <w:r w:rsidRPr="00D4546B">
        <w:rPr>
          <w:rFonts w:ascii="Arial" w:hAnsi="Arial" w:cs="Arial"/>
          <w:sz w:val="22"/>
          <w:szCs w:val="22"/>
        </w:rPr>
        <w:t>información objeto de análisis para esta actividad:</w:t>
      </w:r>
    </w:p>
    <w:p w:rsidR="004662E4" w:rsidRPr="00D4546B" w:rsidRDefault="004662E4" w:rsidP="000A5BEA">
      <w:pPr>
        <w:jc w:val="both"/>
        <w:rPr>
          <w:rFonts w:ascii="Arial" w:hAnsi="Arial" w:cs="Arial"/>
          <w:sz w:val="22"/>
          <w:szCs w:val="22"/>
        </w:rPr>
      </w:pPr>
    </w:p>
    <w:p w:rsidR="004662E4" w:rsidRPr="00D4546B" w:rsidRDefault="004662E4" w:rsidP="000A5BEA">
      <w:pPr>
        <w:pStyle w:val="Prrafodelista"/>
        <w:numPr>
          <w:ilvl w:val="0"/>
          <w:numId w:val="22"/>
        </w:numPr>
        <w:jc w:val="both"/>
        <w:rPr>
          <w:rFonts w:ascii="Arial" w:hAnsi="Arial" w:cs="Arial"/>
          <w:sz w:val="22"/>
          <w:szCs w:val="22"/>
        </w:rPr>
      </w:pPr>
      <w:r w:rsidRPr="00D4546B">
        <w:rPr>
          <w:rFonts w:ascii="Arial" w:hAnsi="Arial" w:cs="Arial"/>
          <w:sz w:val="22"/>
          <w:szCs w:val="22"/>
        </w:rPr>
        <w:t>Plan de trabajo de supervisión</w:t>
      </w:r>
    </w:p>
    <w:p w:rsidR="004662E4" w:rsidRPr="00D4546B" w:rsidRDefault="004662E4" w:rsidP="000A5BEA">
      <w:pPr>
        <w:pStyle w:val="Prrafodelista"/>
        <w:numPr>
          <w:ilvl w:val="0"/>
          <w:numId w:val="22"/>
        </w:numPr>
        <w:jc w:val="both"/>
        <w:rPr>
          <w:rFonts w:ascii="Arial" w:hAnsi="Arial" w:cs="Arial"/>
          <w:sz w:val="22"/>
          <w:szCs w:val="22"/>
        </w:rPr>
      </w:pPr>
      <w:r w:rsidRPr="00D4546B">
        <w:rPr>
          <w:rFonts w:ascii="Arial" w:hAnsi="Arial" w:cs="Arial"/>
          <w:sz w:val="22"/>
          <w:szCs w:val="22"/>
        </w:rPr>
        <w:lastRenderedPageBreak/>
        <w:t xml:space="preserve">Informes con sus debidos soportes que </w:t>
      </w:r>
      <w:bookmarkStart w:id="9" w:name="_Hlk39106545"/>
      <w:r w:rsidRPr="00D4546B">
        <w:rPr>
          <w:rFonts w:ascii="Arial" w:hAnsi="Arial" w:cs="Arial"/>
          <w:sz w:val="22"/>
          <w:szCs w:val="22"/>
        </w:rPr>
        <w:t>den cuenta del cumplimiento de las obligaciones contractuales, número de alumnos atendidos y entrega de la canasta pactada, así como los requisitos mínimos en la prestación del servicio educativo como lo exige la normatividad vigente</w:t>
      </w:r>
    </w:p>
    <w:bookmarkEnd w:id="9"/>
    <w:p w:rsidR="004662E4" w:rsidRPr="00D4546B" w:rsidRDefault="004662E4" w:rsidP="000A5BEA">
      <w:pPr>
        <w:pStyle w:val="Prrafodelista"/>
        <w:numPr>
          <w:ilvl w:val="0"/>
          <w:numId w:val="22"/>
        </w:numPr>
        <w:jc w:val="both"/>
        <w:rPr>
          <w:rFonts w:ascii="Arial" w:hAnsi="Arial" w:cs="Arial"/>
          <w:sz w:val="22"/>
          <w:szCs w:val="22"/>
        </w:rPr>
      </w:pPr>
      <w:r w:rsidRPr="00D4546B">
        <w:rPr>
          <w:rFonts w:ascii="Arial" w:hAnsi="Arial" w:cs="Arial"/>
          <w:sz w:val="22"/>
          <w:szCs w:val="22"/>
        </w:rPr>
        <w:t>Certificación de la idoneidad del personal docente contratado.</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 xml:space="preserve">La entidad entregó información completa de los contratos para atender NEE </w:t>
      </w:r>
      <w:r w:rsidR="00A63E00">
        <w:rPr>
          <w:rFonts w:ascii="Arial" w:hAnsi="Arial" w:cs="Arial"/>
          <w:sz w:val="22"/>
          <w:szCs w:val="22"/>
        </w:rPr>
        <w:t xml:space="preserve">e informes de </w:t>
      </w:r>
      <w:r w:rsidRPr="00D4546B">
        <w:rPr>
          <w:rFonts w:ascii="Arial" w:hAnsi="Arial" w:cs="Arial"/>
          <w:sz w:val="22"/>
          <w:szCs w:val="22"/>
        </w:rPr>
        <w:t xml:space="preserve">supervisión de los mismos, excepto por el contrato 911 con fecha del 8 de julio de 2019. Adicionalmente, entregó el contrato 654 de 2019 para la prestación del servicio de conectividad e informes para tres meses de operación del mismo. </w:t>
      </w:r>
    </w:p>
    <w:p w:rsidR="004662E4" w:rsidRPr="00D4546B" w:rsidRDefault="004662E4" w:rsidP="000A5BEA">
      <w:pPr>
        <w:jc w:val="both"/>
        <w:rPr>
          <w:rFonts w:ascii="Arial" w:hAnsi="Arial" w:cs="Arial"/>
          <w:sz w:val="22"/>
          <w:szCs w:val="22"/>
        </w:rPr>
      </w:pPr>
    </w:p>
    <w:p w:rsidR="004662E4" w:rsidRDefault="004662E4" w:rsidP="000A5BEA">
      <w:pPr>
        <w:jc w:val="both"/>
        <w:rPr>
          <w:rFonts w:ascii="Arial" w:hAnsi="Arial" w:cs="Arial"/>
          <w:sz w:val="22"/>
          <w:szCs w:val="22"/>
        </w:rPr>
      </w:pPr>
      <w:r w:rsidRPr="00D4546B">
        <w:rPr>
          <w:rFonts w:ascii="Arial" w:hAnsi="Arial" w:cs="Arial"/>
          <w:sz w:val="22"/>
          <w:szCs w:val="22"/>
        </w:rPr>
        <w:t xml:space="preserve">Además de la certificación del supervisor del contrato 991 de 2019 e interventoría a los contratos 173 de 2019, 637 de 2019, 768 de 2019 y 769 de 2019 y el SIMAT con fecha del 26 de septiembre de 2019, la entidad no entrega información </w:t>
      </w:r>
      <w:r w:rsidR="00A63E00">
        <w:rPr>
          <w:rFonts w:ascii="Arial" w:hAnsi="Arial" w:cs="Arial"/>
          <w:sz w:val="22"/>
          <w:szCs w:val="22"/>
        </w:rPr>
        <w:t xml:space="preserve">que </w:t>
      </w:r>
      <w:r w:rsidRPr="00D4546B">
        <w:rPr>
          <w:rFonts w:ascii="Arial" w:hAnsi="Arial" w:cs="Arial"/>
          <w:sz w:val="22"/>
          <w:szCs w:val="22"/>
        </w:rPr>
        <w:t>d</w:t>
      </w:r>
      <w:r w:rsidR="00A63E00">
        <w:rPr>
          <w:rFonts w:ascii="Arial" w:hAnsi="Arial" w:cs="Arial"/>
          <w:sz w:val="22"/>
          <w:szCs w:val="22"/>
        </w:rPr>
        <w:t>é</w:t>
      </w:r>
      <w:r w:rsidRPr="00D4546B">
        <w:rPr>
          <w:rFonts w:ascii="Arial" w:hAnsi="Arial" w:cs="Arial"/>
          <w:sz w:val="22"/>
          <w:szCs w:val="22"/>
        </w:rPr>
        <w:t xml:space="preserve"> cuenta del cumplimiento de las obligaciones contractuales, número de alumnos atendidos y entrega de la canasta pactada, así como los requisitos mínimos en la prestación del servicio educativo como lo exige la normatividad vigente.</w:t>
      </w:r>
    </w:p>
    <w:p w:rsidR="00A63E00" w:rsidRDefault="00A63E00" w:rsidP="000A5BEA">
      <w:pPr>
        <w:jc w:val="both"/>
        <w:rPr>
          <w:rFonts w:ascii="Arial" w:hAnsi="Arial" w:cs="Arial"/>
          <w:sz w:val="22"/>
          <w:szCs w:val="22"/>
        </w:rPr>
      </w:pPr>
    </w:p>
    <w:p w:rsidR="004662E4" w:rsidRPr="00D4546B" w:rsidRDefault="00A63E00" w:rsidP="000A5BEA">
      <w:pPr>
        <w:jc w:val="both"/>
        <w:rPr>
          <w:rFonts w:ascii="Arial" w:hAnsi="Arial" w:cs="Arial"/>
          <w:sz w:val="22"/>
          <w:szCs w:val="22"/>
        </w:rPr>
      </w:pPr>
      <w:r>
        <w:rPr>
          <w:rFonts w:ascii="Arial" w:hAnsi="Arial" w:cs="Arial"/>
          <w:sz w:val="22"/>
          <w:szCs w:val="22"/>
        </w:rPr>
        <w:t xml:space="preserve">El ejercicio de la supervisión de los contratos suscritos en la vigencia 2020 y 2021 será analizada en el siguiente corte de evaluación. </w:t>
      </w:r>
      <w:r w:rsidR="004662E4" w:rsidRPr="00D4546B">
        <w:rPr>
          <w:rFonts w:ascii="Arial" w:hAnsi="Arial" w:cs="Arial"/>
          <w:sz w:val="22"/>
          <w:szCs w:val="22"/>
        </w:rPr>
        <w:t>Por lo anterior, esta actividad se encuentra incumplida.</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b/>
          <w:sz w:val="22"/>
          <w:szCs w:val="22"/>
        </w:rPr>
      </w:pPr>
      <w:r w:rsidRPr="00D4546B">
        <w:rPr>
          <w:rFonts w:ascii="Arial" w:hAnsi="Arial" w:cs="Arial"/>
          <w:b/>
          <w:sz w:val="22"/>
          <w:szCs w:val="22"/>
        </w:rPr>
        <w:t xml:space="preserve">Actividad 3.1.3 Publicar oportunamente en el SECOP la totalidad de los procesos de contratación y los documentos y actos relacionados con cada proceso; así como la publicación y actualización del plan anual de adquisiciones, en las fechas establecidas por la normatividad vigente. </w:t>
      </w:r>
    </w:p>
    <w:p w:rsidR="004662E4" w:rsidRPr="00D4546B" w:rsidRDefault="004662E4" w:rsidP="000A5BEA">
      <w:pPr>
        <w:jc w:val="both"/>
        <w:rPr>
          <w:rFonts w:ascii="Arial" w:hAnsi="Arial" w:cs="Arial"/>
          <w:b/>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Las evidencias se encuentran consignadas en el sistema SIED con el número de Expediente 22/2019/D028-PREDI.</w:t>
      </w:r>
      <w:r w:rsidR="008040A0">
        <w:rPr>
          <w:rFonts w:ascii="Arial" w:hAnsi="Arial" w:cs="Arial"/>
          <w:sz w:val="22"/>
          <w:szCs w:val="22"/>
        </w:rPr>
        <w:t xml:space="preserve"> </w:t>
      </w:r>
      <w:r w:rsidRPr="00D4546B">
        <w:rPr>
          <w:rFonts w:ascii="Arial" w:hAnsi="Arial" w:cs="Arial"/>
          <w:sz w:val="22"/>
          <w:szCs w:val="22"/>
        </w:rPr>
        <w:t>Dichas evidencias se relacionan a continuación</w:t>
      </w:r>
      <w:r w:rsidR="00A63E00">
        <w:rPr>
          <w:rFonts w:ascii="Arial" w:hAnsi="Arial" w:cs="Arial"/>
          <w:sz w:val="22"/>
          <w:szCs w:val="22"/>
        </w:rPr>
        <w:t xml:space="preserve"> y corresponden a l</w:t>
      </w:r>
      <w:r w:rsidRPr="00D4546B">
        <w:rPr>
          <w:rFonts w:ascii="Arial" w:hAnsi="Arial" w:cs="Arial"/>
          <w:sz w:val="22"/>
          <w:szCs w:val="22"/>
        </w:rPr>
        <w:t>a información objeto de análisis para esta actividad:</w:t>
      </w:r>
    </w:p>
    <w:p w:rsidR="004662E4" w:rsidRPr="00D4546B" w:rsidRDefault="004662E4" w:rsidP="000A5BEA">
      <w:pPr>
        <w:jc w:val="both"/>
        <w:rPr>
          <w:rFonts w:ascii="Arial" w:hAnsi="Arial" w:cs="Arial"/>
          <w:sz w:val="22"/>
          <w:szCs w:val="22"/>
        </w:rPr>
      </w:pPr>
    </w:p>
    <w:p w:rsidR="004662E4" w:rsidRPr="00D4546B" w:rsidRDefault="004662E4" w:rsidP="000A5BEA">
      <w:pPr>
        <w:pStyle w:val="Prrafodelista"/>
        <w:numPr>
          <w:ilvl w:val="0"/>
          <w:numId w:val="23"/>
        </w:numPr>
        <w:jc w:val="both"/>
        <w:rPr>
          <w:rFonts w:ascii="Arial" w:hAnsi="Arial" w:cs="Arial"/>
          <w:sz w:val="22"/>
          <w:szCs w:val="22"/>
        </w:rPr>
      </w:pPr>
      <w:r w:rsidRPr="00D4546B">
        <w:rPr>
          <w:rFonts w:ascii="Arial" w:hAnsi="Arial" w:cs="Arial"/>
          <w:sz w:val="22"/>
          <w:szCs w:val="22"/>
        </w:rPr>
        <w:t>Relación contractual en la que se incluya la totalidad de los contratos del sector educación incluyendo link en que se evidencie la publicación en el SECOP.</w:t>
      </w:r>
    </w:p>
    <w:p w:rsidR="004662E4" w:rsidRPr="00D4546B" w:rsidRDefault="004662E4" w:rsidP="000A5BEA">
      <w:pPr>
        <w:pStyle w:val="Prrafodelista"/>
        <w:numPr>
          <w:ilvl w:val="0"/>
          <w:numId w:val="23"/>
        </w:numPr>
        <w:jc w:val="both"/>
        <w:rPr>
          <w:rFonts w:ascii="Arial" w:hAnsi="Arial" w:cs="Arial"/>
          <w:sz w:val="22"/>
          <w:szCs w:val="22"/>
        </w:rPr>
      </w:pPr>
      <w:r w:rsidRPr="00D4546B">
        <w:rPr>
          <w:rFonts w:ascii="Arial" w:hAnsi="Arial" w:cs="Arial"/>
          <w:sz w:val="22"/>
          <w:szCs w:val="22"/>
        </w:rPr>
        <w:t>Consecutivo de la publicación y actualización del Plan de adquisiciones de acuerdo a las fechas establecidas por la normatividad vigente.</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 xml:space="preserve">La entidad remitió una relación de 38 contratos con información de número de contrato, objeto, valor inicial, nombre del contratista, fecha de suscripción, plazo de ejecución, fuente de financiación y código presupuestal. Todos los contratos pudieron encontrarse en SECOP, aunque los contratos 218, 546 y 965 presentan diferencias en los valores, frente a los dados en la relación de contratos. </w:t>
      </w:r>
      <w:r w:rsidR="00A63E00">
        <w:rPr>
          <w:rFonts w:ascii="Arial" w:hAnsi="Arial" w:cs="Arial"/>
          <w:sz w:val="22"/>
          <w:szCs w:val="22"/>
        </w:rPr>
        <w:t>No obstante, l</w:t>
      </w:r>
      <w:r w:rsidRPr="00D4546B">
        <w:rPr>
          <w:rFonts w:ascii="Arial" w:hAnsi="Arial" w:cs="Arial"/>
          <w:sz w:val="22"/>
          <w:szCs w:val="22"/>
        </w:rPr>
        <w:t>a entidad no entregó el Plan de adquisiciones para 2019 actualizado.</w:t>
      </w:r>
    </w:p>
    <w:p w:rsidR="004662E4" w:rsidRPr="00D4546B" w:rsidRDefault="004662E4" w:rsidP="000A5BEA">
      <w:pPr>
        <w:jc w:val="both"/>
        <w:rPr>
          <w:rFonts w:ascii="Arial" w:hAnsi="Arial" w:cs="Arial"/>
          <w:sz w:val="22"/>
          <w:szCs w:val="22"/>
        </w:rPr>
      </w:pPr>
    </w:p>
    <w:p w:rsidR="004662E4" w:rsidRPr="00D4546B" w:rsidRDefault="00A63E00" w:rsidP="000A5BEA">
      <w:pPr>
        <w:jc w:val="both"/>
        <w:rPr>
          <w:rFonts w:ascii="Arial" w:hAnsi="Arial" w:cs="Arial"/>
          <w:sz w:val="22"/>
          <w:szCs w:val="22"/>
        </w:rPr>
      </w:pPr>
      <w:r>
        <w:rPr>
          <w:rFonts w:ascii="Arial" w:hAnsi="Arial" w:cs="Arial"/>
          <w:sz w:val="22"/>
          <w:szCs w:val="22"/>
        </w:rPr>
        <w:t xml:space="preserve">La continuidad en el cumplimiento de la publicación en SECOP para los procesos de contratación adelantados en la vigencia 2020 y 2021 será analizada en el siguiente corte de evaluación. </w:t>
      </w:r>
      <w:r w:rsidR="004662E4" w:rsidRPr="00D4546B">
        <w:rPr>
          <w:rFonts w:ascii="Arial" w:hAnsi="Arial" w:cs="Arial"/>
          <w:sz w:val="22"/>
          <w:szCs w:val="22"/>
        </w:rPr>
        <w:t>Por lo anterior, la actividad se encuentra incumplida.</w:t>
      </w:r>
    </w:p>
    <w:p w:rsidR="004662E4" w:rsidRPr="00D4546B" w:rsidRDefault="004662E4" w:rsidP="000A5BEA">
      <w:pPr>
        <w:jc w:val="both"/>
        <w:rPr>
          <w:rFonts w:ascii="Arial" w:hAnsi="Arial" w:cs="Arial"/>
          <w:sz w:val="22"/>
          <w:szCs w:val="22"/>
        </w:rPr>
      </w:pPr>
    </w:p>
    <w:p w:rsidR="004662E4" w:rsidRPr="00D4546B" w:rsidRDefault="004662E4" w:rsidP="000A5BEA">
      <w:pPr>
        <w:pStyle w:val="Prrafodelista"/>
        <w:numPr>
          <w:ilvl w:val="0"/>
          <w:numId w:val="11"/>
        </w:numPr>
        <w:jc w:val="both"/>
        <w:rPr>
          <w:rFonts w:ascii="Arial" w:hAnsi="Arial" w:cs="Arial"/>
          <w:b/>
          <w:sz w:val="22"/>
          <w:szCs w:val="22"/>
        </w:rPr>
      </w:pPr>
      <w:r w:rsidRPr="00D4546B">
        <w:rPr>
          <w:rFonts w:ascii="Arial" w:hAnsi="Arial" w:cs="Arial"/>
          <w:b/>
          <w:sz w:val="22"/>
          <w:szCs w:val="22"/>
        </w:rPr>
        <w:lastRenderedPageBreak/>
        <w:t xml:space="preserve">Avances: </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b/>
          <w:sz w:val="22"/>
          <w:szCs w:val="22"/>
        </w:rPr>
      </w:pPr>
      <w:r w:rsidRPr="00D4546B">
        <w:rPr>
          <w:rFonts w:ascii="Arial" w:hAnsi="Arial" w:cs="Arial"/>
          <w:b/>
          <w:sz w:val="22"/>
          <w:szCs w:val="22"/>
        </w:rPr>
        <w:t>Actividad 1.1.1 Reportar la información financiera de ingresos y gastos y cierre fiscal del sector, en el FUT, con criterios de consistencia, calidad, oportunidad, formalidad y suficiencia, de conformidad con las ejecuciones presupuestales de la entidad y lo establecido en la normatividad vigente.</w:t>
      </w:r>
    </w:p>
    <w:p w:rsidR="004662E4" w:rsidRPr="00D4546B" w:rsidRDefault="004662E4" w:rsidP="000A5BEA">
      <w:pPr>
        <w:jc w:val="both"/>
        <w:rPr>
          <w:rFonts w:ascii="Arial" w:hAnsi="Arial" w:cs="Arial"/>
          <w:b/>
          <w:sz w:val="22"/>
          <w:szCs w:val="22"/>
        </w:rPr>
      </w:pPr>
    </w:p>
    <w:p w:rsidR="004662E4" w:rsidRPr="00D4546B" w:rsidRDefault="004662E4" w:rsidP="00DB540A">
      <w:pPr>
        <w:jc w:val="both"/>
        <w:rPr>
          <w:rFonts w:ascii="Arial" w:hAnsi="Arial" w:cs="Arial"/>
          <w:sz w:val="22"/>
          <w:szCs w:val="22"/>
        </w:rPr>
      </w:pPr>
      <w:r w:rsidRPr="00D4546B">
        <w:rPr>
          <w:rFonts w:ascii="Arial" w:hAnsi="Arial" w:cs="Arial"/>
          <w:sz w:val="22"/>
          <w:szCs w:val="22"/>
        </w:rPr>
        <w:t>Las evidencias se encuentran consignadas en el sistema SIED con el número de Expediente 22/2019/D028-PREDI.</w:t>
      </w:r>
      <w:r w:rsidR="008040A0">
        <w:rPr>
          <w:rFonts w:ascii="Arial" w:hAnsi="Arial" w:cs="Arial"/>
          <w:sz w:val="22"/>
          <w:szCs w:val="22"/>
        </w:rPr>
        <w:t xml:space="preserve"> </w:t>
      </w:r>
      <w:r w:rsidRPr="00D4546B">
        <w:rPr>
          <w:rFonts w:ascii="Arial" w:hAnsi="Arial" w:cs="Arial"/>
          <w:sz w:val="22"/>
          <w:szCs w:val="22"/>
        </w:rPr>
        <w:t>Dichas evidencias se relacionan a continuación</w:t>
      </w:r>
      <w:r w:rsidR="00DB540A">
        <w:rPr>
          <w:rFonts w:ascii="Arial" w:hAnsi="Arial" w:cs="Arial"/>
          <w:sz w:val="22"/>
          <w:szCs w:val="22"/>
        </w:rPr>
        <w:t xml:space="preserve"> y corresponden a l</w:t>
      </w:r>
      <w:r w:rsidRPr="00D4546B">
        <w:rPr>
          <w:rFonts w:ascii="Arial" w:hAnsi="Arial" w:cs="Arial"/>
          <w:sz w:val="22"/>
          <w:szCs w:val="22"/>
        </w:rPr>
        <w:t>a información objeto de análisis para esta actividad:</w:t>
      </w:r>
    </w:p>
    <w:p w:rsidR="004662E4" w:rsidRPr="00D4546B" w:rsidRDefault="004662E4" w:rsidP="000A5BEA">
      <w:pPr>
        <w:jc w:val="both"/>
        <w:rPr>
          <w:rFonts w:ascii="Arial" w:hAnsi="Arial" w:cs="Arial"/>
          <w:sz w:val="22"/>
          <w:szCs w:val="22"/>
        </w:rPr>
      </w:pPr>
    </w:p>
    <w:p w:rsidR="004662E4" w:rsidRPr="00D4546B" w:rsidRDefault="004662E4" w:rsidP="000A5BEA">
      <w:pPr>
        <w:pStyle w:val="Prrafodelista"/>
        <w:numPr>
          <w:ilvl w:val="0"/>
          <w:numId w:val="24"/>
        </w:numPr>
        <w:jc w:val="both"/>
        <w:rPr>
          <w:rFonts w:ascii="Arial" w:hAnsi="Arial" w:cs="Arial"/>
          <w:sz w:val="22"/>
          <w:szCs w:val="22"/>
        </w:rPr>
      </w:pPr>
      <w:r w:rsidRPr="00D4546B">
        <w:rPr>
          <w:rFonts w:ascii="Arial" w:hAnsi="Arial" w:cs="Arial"/>
          <w:sz w:val="22"/>
          <w:szCs w:val="22"/>
        </w:rPr>
        <w:t xml:space="preserve">Ejecuciones presupuestales de ingresos y de gastos consistentes con FUT </w:t>
      </w:r>
    </w:p>
    <w:p w:rsidR="004662E4" w:rsidRPr="00D4546B" w:rsidRDefault="004662E4" w:rsidP="000A5BEA">
      <w:pPr>
        <w:pStyle w:val="Prrafodelista"/>
        <w:numPr>
          <w:ilvl w:val="0"/>
          <w:numId w:val="24"/>
        </w:numPr>
        <w:jc w:val="both"/>
        <w:rPr>
          <w:rFonts w:ascii="Arial" w:hAnsi="Arial" w:cs="Arial"/>
          <w:sz w:val="22"/>
          <w:szCs w:val="22"/>
        </w:rPr>
      </w:pPr>
      <w:r w:rsidRPr="00D4546B">
        <w:rPr>
          <w:rFonts w:ascii="Arial" w:hAnsi="Arial" w:cs="Arial"/>
          <w:sz w:val="22"/>
          <w:szCs w:val="22"/>
        </w:rPr>
        <w:t>Actos administrativos de constitución de reservas presupuestales y cuentas por pagar al cierre de cada vigencia.</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 xml:space="preserve">El departamento de Córdoba presentó las ejecuciones presupuestales tanto de ingresos como de gastos del sector educación para el periodo correspondiente a la vigencia 2019 (Enero-Diciembre). Al realizar el respectivo análisis y contrastarlo con la información reportada al CHIP, se evidenció que los ingresos corrientes de SGP-Educación en general y la ejecución de gastos guardan consistencia entre la ejecución presupuestal y el FUT, </w:t>
      </w:r>
      <w:r w:rsidR="00DB540A">
        <w:rPr>
          <w:rFonts w:ascii="Arial" w:hAnsi="Arial" w:cs="Arial"/>
          <w:sz w:val="22"/>
          <w:szCs w:val="22"/>
        </w:rPr>
        <w:t xml:space="preserve">sin perjuicio de </w:t>
      </w:r>
      <w:r w:rsidRPr="00D4546B">
        <w:rPr>
          <w:rFonts w:ascii="Arial" w:hAnsi="Arial" w:cs="Arial"/>
          <w:sz w:val="22"/>
          <w:szCs w:val="22"/>
        </w:rPr>
        <w:t>las diferencias en el reporte de recursos SSF, Gastos de personal y Costos derivados del mejoramiento de la calidad educativa.</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 xml:space="preserve">La entidad remitió los decretos y actos </w:t>
      </w:r>
      <w:r w:rsidR="00DB540A">
        <w:rPr>
          <w:rFonts w:ascii="Arial" w:hAnsi="Arial" w:cs="Arial"/>
          <w:sz w:val="22"/>
          <w:szCs w:val="22"/>
        </w:rPr>
        <w:t>administrativos</w:t>
      </w:r>
      <w:r w:rsidRPr="00D4546B">
        <w:rPr>
          <w:rFonts w:ascii="Arial" w:hAnsi="Arial" w:cs="Arial"/>
          <w:sz w:val="22"/>
          <w:szCs w:val="22"/>
        </w:rPr>
        <w:t xml:space="preserve"> de constitución de reservas y cuentas por pagar de la vigencia 2018. Como ya se mencionó en el análisis financiero (Tabla 4), estas son consistentes con el reporte FUT pero se encuentran diferencias frente a la ejecución presupuestal de la Secretaría de educación. </w:t>
      </w:r>
    </w:p>
    <w:p w:rsidR="004662E4" w:rsidRPr="00D4546B" w:rsidRDefault="004662E4" w:rsidP="000A5BEA">
      <w:pPr>
        <w:jc w:val="both"/>
        <w:rPr>
          <w:rFonts w:ascii="Arial" w:hAnsi="Arial" w:cs="Arial"/>
          <w:sz w:val="22"/>
          <w:szCs w:val="22"/>
        </w:rPr>
      </w:pPr>
    </w:p>
    <w:p w:rsidR="004662E4" w:rsidRPr="008E5F31" w:rsidRDefault="004662E4" w:rsidP="000A5BEA">
      <w:pPr>
        <w:jc w:val="both"/>
        <w:rPr>
          <w:rFonts w:ascii="Arial" w:hAnsi="Arial" w:cs="Arial"/>
          <w:sz w:val="22"/>
          <w:szCs w:val="22"/>
        </w:rPr>
      </w:pPr>
      <w:r w:rsidRPr="00D4546B">
        <w:rPr>
          <w:rFonts w:ascii="Arial" w:hAnsi="Arial" w:cs="Arial"/>
          <w:sz w:val="22"/>
          <w:szCs w:val="22"/>
        </w:rPr>
        <w:t xml:space="preserve">Frente a los eventos de riesgo a superar, la entidad cumple con el reporte al FUT, pero debe continuar sus esfuerzos </w:t>
      </w:r>
      <w:r w:rsidRPr="008E5F31">
        <w:rPr>
          <w:rFonts w:ascii="Arial" w:hAnsi="Arial" w:cs="Arial"/>
          <w:sz w:val="22"/>
          <w:szCs w:val="22"/>
        </w:rPr>
        <w:t>para eliminar las discrepancias entre los reportes.</w:t>
      </w:r>
      <w:r w:rsidR="008E5F31">
        <w:rPr>
          <w:rFonts w:ascii="Arial" w:hAnsi="Arial" w:cs="Arial"/>
          <w:sz w:val="22"/>
          <w:szCs w:val="22"/>
        </w:rPr>
        <w:t xml:space="preserve"> Considerando que se trata de una actividad periódica, ésta será nuevamente evaluada en el siguiente informe de seguimiento a la medida.</w:t>
      </w:r>
    </w:p>
    <w:p w:rsidR="004662E4" w:rsidRPr="008E5F31" w:rsidRDefault="004662E4" w:rsidP="000A5BEA">
      <w:pPr>
        <w:jc w:val="both"/>
        <w:rPr>
          <w:rFonts w:ascii="Arial" w:hAnsi="Arial" w:cs="Arial"/>
          <w:b/>
          <w:sz w:val="22"/>
          <w:szCs w:val="22"/>
        </w:rPr>
      </w:pPr>
    </w:p>
    <w:p w:rsidR="004662E4" w:rsidRPr="008E5F31" w:rsidRDefault="004662E4" w:rsidP="000A5BEA">
      <w:pPr>
        <w:jc w:val="both"/>
        <w:rPr>
          <w:rFonts w:ascii="Arial" w:hAnsi="Arial" w:cs="Arial"/>
          <w:b/>
          <w:sz w:val="22"/>
          <w:szCs w:val="22"/>
        </w:rPr>
      </w:pPr>
      <w:r w:rsidRPr="008E5F31">
        <w:rPr>
          <w:rFonts w:ascii="Arial" w:hAnsi="Arial" w:cs="Arial"/>
          <w:b/>
          <w:sz w:val="22"/>
          <w:szCs w:val="22"/>
        </w:rPr>
        <w:t>Actividad 1.3.3 Incorporar en el ingreso de acuerdo a la asignación y ejecutar en el gasto de acuerdo a las liquidaciones de nómina, los recursos del SGP en Educación SSF - Aportes del Patrono y Aportes del Docente - (Realizando toda la cadena presupuestal, contable y de Tesorería)</w:t>
      </w:r>
    </w:p>
    <w:p w:rsidR="004662E4" w:rsidRPr="008E5F31" w:rsidRDefault="004662E4" w:rsidP="000A5BEA">
      <w:pPr>
        <w:jc w:val="both"/>
        <w:rPr>
          <w:rFonts w:ascii="Arial" w:hAnsi="Arial" w:cs="Arial"/>
          <w:b/>
          <w:sz w:val="22"/>
          <w:szCs w:val="22"/>
        </w:rPr>
      </w:pPr>
    </w:p>
    <w:p w:rsidR="004662E4" w:rsidRPr="00D4546B" w:rsidRDefault="004662E4" w:rsidP="000A5BEA">
      <w:pPr>
        <w:jc w:val="both"/>
        <w:rPr>
          <w:rFonts w:ascii="Arial" w:hAnsi="Arial" w:cs="Arial"/>
          <w:sz w:val="22"/>
          <w:szCs w:val="22"/>
        </w:rPr>
      </w:pPr>
      <w:r w:rsidRPr="008E5F31">
        <w:rPr>
          <w:rFonts w:ascii="Arial" w:hAnsi="Arial" w:cs="Arial"/>
          <w:sz w:val="22"/>
          <w:szCs w:val="22"/>
        </w:rPr>
        <w:t>Las evidencias se encuentran consignadas</w:t>
      </w:r>
      <w:r w:rsidRPr="00D4546B">
        <w:rPr>
          <w:rFonts w:ascii="Arial" w:hAnsi="Arial" w:cs="Arial"/>
          <w:sz w:val="22"/>
          <w:szCs w:val="22"/>
        </w:rPr>
        <w:t xml:space="preserve"> en el sistema SIED con el número de Expediente 22/2019/D028-PREDI.</w:t>
      </w:r>
      <w:r w:rsidR="008040A0">
        <w:rPr>
          <w:rFonts w:ascii="Arial" w:hAnsi="Arial" w:cs="Arial"/>
          <w:sz w:val="22"/>
          <w:szCs w:val="22"/>
        </w:rPr>
        <w:t xml:space="preserve"> </w:t>
      </w:r>
      <w:r w:rsidRPr="00D4546B">
        <w:rPr>
          <w:rFonts w:ascii="Arial" w:hAnsi="Arial" w:cs="Arial"/>
          <w:sz w:val="22"/>
          <w:szCs w:val="22"/>
        </w:rPr>
        <w:t>Dichas evidencias se relacionan a continuación</w:t>
      </w:r>
      <w:r w:rsidR="00DB540A">
        <w:rPr>
          <w:rFonts w:ascii="Arial" w:hAnsi="Arial" w:cs="Arial"/>
          <w:sz w:val="22"/>
          <w:szCs w:val="22"/>
        </w:rPr>
        <w:t xml:space="preserve"> y corresponden a l</w:t>
      </w:r>
      <w:r w:rsidRPr="00D4546B">
        <w:rPr>
          <w:rFonts w:ascii="Arial" w:hAnsi="Arial" w:cs="Arial"/>
          <w:sz w:val="22"/>
          <w:szCs w:val="22"/>
        </w:rPr>
        <w:t>a información objeto de análisis para esta actividad:</w:t>
      </w:r>
    </w:p>
    <w:p w:rsidR="004662E4" w:rsidRPr="00D4546B" w:rsidRDefault="004662E4" w:rsidP="000A5BEA">
      <w:pPr>
        <w:jc w:val="both"/>
        <w:rPr>
          <w:rFonts w:ascii="Arial" w:hAnsi="Arial" w:cs="Arial"/>
          <w:sz w:val="22"/>
          <w:szCs w:val="22"/>
        </w:rPr>
      </w:pPr>
    </w:p>
    <w:p w:rsidR="004662E4" w:rsidRPr="00D4546B" w:rsidRDefault="004662E4" w:rsidP="000A5BEA">
      <w:pPr>
        <w:pStyle w:val="Prrafodelista"/>
        <w:numPr>
          <w:ilvl w:val="0"/>
          <w:numId w:val="25"/>
        </w:numPr>
        <w:jc w:val="both"/>
        <w:rPr>
          <w:rFonts w:ascii="Arial" w:hAnsi="Arial" w:cs="Arial"/>
          <w:sz w:val="22"/>
          <w:szCs w:val="22"/>
        </w:rPr>
      </w:pPr>
      <w:r w:rsidRPr="00D4546B">
        <w:rPr>
          <w:rFonts w:ascii="Arial" w:hAnsi="Arial" w:cs="Arial"/>
          <w:sz w:val="22"/>
          <w:szCs w:val="22"/>
        </w:rPr>
        <w:t>Evidencias de los ajustes presupuestales realizados, acta de conciliación entre Documentos de Distribución y presupuesto, además evidencia de los informes enviados a la Fiducia y al MEN</w:t>
      </w:r>
    </w:p>
    <w:p w:rsidR="004662E4" w:rsidRPr="00D4546B" w:rsidRDefault="004662E4" w:rsidP="000A5BEA">
      <w:pPr>
        <w:pStyle w:val="Prrafodelista"/>
        <w:numPr>
          <w:ilvl w:val="0"/>
          <w:numId w:val="25"/>
        </w:numPr>
        <w:jc w:val="both"/>
        <w:rPr>
          <w:rFonts w:ascii="Arial" w:hAnsi="Arial" w:cs="Arial"/>
          <w:sz w:val="22"/>
          <w:szCs w:val="22"/>
        </w:rPr>
      </w:pPr>
      <w:r w:rsidRPr="00D4546B">
        <w:rPr>
          <w:rFonts w:ascii="Arial" w:hAnsi="Arial" w:cs="Arial"/>
          <w:sz w:val="22"/>
          <w:szCs w:val="22"/>
        </w:rPr>
        <w:t>Ejecuciones presupuestales de ingresos y gastos</w:t>
      </w:r>
    </w:p>
    <w:p w:rsidR="004662E4" w:rsidRPr="00D4546B" w:rsidRDefault="004662E4" w:rsidP="000A5BEA">
      <w:pPr>
        <w:pStyle w:val="Prrafodelista"/>
        <w:numPr>
          <w:ilvl w:val="0"/>
          <w:numId w:val="25"/>
        </w:numPr>
        <w:jc w:val="both"/>
        <w:rPr>
          <w:rFonts w:ascii="Arial" w:hAnsi="Arial" w:cs="Arial"/>
          <w:sz w:val="22"/>
          <w:szCs w:val="22"/>
        </w:rPr>
      </w:pPr>
      <w:r w:rsidRPr="00D4546B">
        <w:rPr>
          <w:rFonts w:ascii="Arial" w:hAnsi="Arial" w:cs="Arial"/>
          <w:sz w:val="22"/>
          <w:szCs w:val="22"/>
        </w:rPr>
        <w:t>Conciliación con la Fiduprevisora</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De acuerdo con las fuentes de información, se constató que el departamento incorporó y ejecutó los recursos del SGP SSF - Aportes Patronales y Aportes del Docente- conforme a la normatividad del proceso presupuestal, contable y tesoral. Se presentan diferencias entre los reportes frente al monto de recursos CSF y SSF pero estas son inferiores al 0.3% de los recursos.</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La entidad remitió una copia de la conciliación con la Fiduprevisora de los aportes SGP-Educación Sin Situación de Fondos con corte a diciembre de 2019. Dicho informe estable</w:t>
      </w:r>
      <w:r w:rsidR="009B66EF">
        <w:rPr>
          <w:rFonts w:ascii="Arial" w:hAnsi="Arial" w:cs="Arial"/>
          <w:sz w:val="22"/>
          <w:szCs w:val="22"/>
        </w:rPr>
        <w:t>ce</w:t>
      </w:r>
      <w:r w:rsidRPr="00D4546B">
        <w:rPr>
          <w:rFonts w:ascii="Arial" w:hAnsi="Arial" w:cs="Arial"/>
          <w:sz w:val="22"/>
          <w:szCs w:val="22"/>
        </w:rPr>
        <w:t xml:space="preserve"> un saldo favor del FOMAG de $16.952 millones, lo anterior teniendo en cuenta que existe un proceso de conciliación de los aportes registrados en sistema humano contra lo girado por el Ministerio de Educación Nacional.</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Por lo anterior, la actividad se encuentra cumplida.</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b/>
          <w:sz w:val="22"/>
          <w:szCs w:val="22"/>
        </w:rPr>
      </w:pPr>
      <w:r w:rsidRPr="00D4546B">
        <w:rPr>
          <w:rFonts w:ascii="Arial" w:hAnsi="Arial" w:cs="Arial"/>
          <w:b/>
          <w:sz w:val="22"/>
          <w:szCs w:val="22"/>
        </w:rPr>
        <w:t>Actividad 1.3.4 Constituir los actos administrativos de liquidación del presupuesto, de determinación e incorporación de recursos del balance, cuentas por pagar, reservas y cierre fiscal de acuerdo con el cierre de la entidad.</w:t>
      </w:r>
    </w:p>
    <w:p w:rsidR="004662E4" w:rsidRPr="00D4546B" w:rsidRDefault="004662E4" w:rsidP="000A5BEA">
      <w:pPr>
        <w:jc w:val="both"/>
        <w:rPr>
          <w:rFonts w:ascii="Arial" w:hAnsi="Arial" w:cs="Arial"/>
          <w:b/>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Las evidencias se encuentran consignadas en el sistema SIED con el número de Expediente 22/2019/D028-PREDI.</w:t>
      </w:r>
      <w:r w:rsidR="008040A0">
        <w:rPr>
          <w:rFonts w:ascii="Arial" w:hAnsi="Arial" w:cs="Arial"/>
          <w:sz w:val="22"/>
          <w:szCs w:val="22"/>
        </w:rPr>
        <w:t xml:space="preserve"> </w:t>
      </w:r>
      <w:r w:rsidRPr="00D4546B">
        <w:rPr>
          <w:rFonts w:ascii="Arial" w:hAnsi="Arial" w:cs="Arial"/>
          <w:sz w:val="22"/>
          <w:szCs w:val="22"/>
        </w:rPr>
        <w:t>Dichas evidencias se relacionan a continuación</w:t>
      </w:r>
      <w:r w:rsidR="009B66EF">
        <w:rPr>
          <w:rFonts w:ascii="Arial" w:hAnsi="Arial" w:cs="Arial"/>
          <w:sz w:val="22"/>
          <w:szCs w:val="22"/>
        </w:rPr>
        <w:t xml:space="preserve"> y corresponden a l</w:t>
      </w:r>
      <w:r w:rsidRPr="00D4546B">
        <w:rPr>
          <w:rFonts w:ascii="Arial" w:hAnsi="Arial" w:cs="Arial"/>
          <w:sz w:val="22"/>
          <w:szCs w:val="22"/>
        </w:rPr>
        <w:t>a información objeto de análisis para esta actividad:</w:t>
      </w:r>
    </w:p>
    <w:p w:rsidR="004662E4" w:rsidRPr="00D4546B" w:rsidRDefault="004662E4" w:rsidP="000A5BEA">
      <w:pPr>
        <w:jc w:val="both"/>
        <w:rPr>
          <w:rFonts w:ascii="Arial" w:hAnsi="Arial" w:cs="Arial"/>
          <w:sz w:val="22"/>
          <w:szCs w:val="22"/>
        </w:rPr>
      </w:pPr>
    </w:p>
    <w:p w:rsidR="004662E4" w:rsidRPr="00D4546B" w:rsidRDefault="004662E4" w:rsidP="000A5BEA">
      <w:pPr>
        <w:pStyle w:val="Prrafodelista"/>
        <w:numPr>
          <w:ilvl w:val="0"/>
          <w:numId w:val="26"/>
        </w:numPr>
        <w:jc w:val="both"/>
        <w:rPr>
          <w:rFonts w:ascii="Arial" w:hAnsi="Arial" w:cs="Arial"/>
          <w:sz w:val="22"/>
          <w:szCs w:val="22"/>
        </w:rPr>
      </w:pPr>
      <w:r w:rsidRPr="00D4546B">
        <w:rPr>
          <w:rFonts w:ascii="Arial" w:hAnsi="Arial" w:cs="Arial"/>
          <w:sz w:val="22"/>
          <w:szCs w:val="22"/>
        </w:rPr>
        <w:t>Ejecuciones presupuestales de ingresos y de gasto.</w:t>
      </w:r>
    </w:p>
    <w:p w:rsidR="004662E4" w:rsidRPr="00D4546B" w:rsidRDefault="004662E4" w:rsidP="000A5BEA">
      <w:pPr>
        <w:pStyle w:val="Prrafodelista"/>
        <w:numPr>
          <w:ilvl w:val="0"/>
          <w:numId w:val="26"/>
        </w:numPr>
        <w:jc w:val="both"/>
        <w:rPr>
          <w:rFonts w:ascii="Arial" w:hAnsi="Arial" w:cs="Arial"/>
          <w:sz w:val="22"/>
          <w:szCs w:val="22"/>
        </w:rPr>
      </w:pPr>
      <w:r w:rsidRPr="00D4546B">
        <w:rPr>
          <w:rFonts w:ascii="Arial" w:hAnsi="Arial" w:cs="Arial"/>
          <w:sz w:val="22"/>
          <w:szCs w:val="22"/>
        </w:rPr>
        <w:t>Actos administrativos de liquidación del presupuesto,</w:t>
      </w:r>
    </w:p>
    <w:p w:rsidR="004662E4" w:rsidRPr="00D4546B" w:rsidRDefault="004662E4" w:rsidP="000A5BEA">
      <w:pPr>
        <w:pStyle w:val="Prrafodelista"/>
        <w:numPr>
          <w:ilvl w:val="0"/>
          <w:numId w:val="26"/>
        </w:numPr>
        <w:jc w:val="both"/>
        <w:rPr>
          <w:rFonts w:ascii="Arial" w:hAnsi="Arial" w:cs="Arial"/>
          <w:sz w:val="22"/>
          <w:szCs w:val="22"/>
        </w:rPr>
      </w:pPr>
      <w:r w:rsidRPr="00D4546B">
        <w:rPr>
          <w:rFonts w:ascii="Arial" w:hAnsi="Arial" w:cs="Arial"/>
          <w:sz w:val="22"/>
          <w:szCs w:val="22"/>
        </w:rPr>
        <w:t>Actos administrativos de determinación e incorporación de recursos del balance, cuentas por pagar, reservas presupuestales y cierre fiscal de acuerdo con el cierre de la entidad.</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El departamento de Córdoba entregó el Decreto 0079 de 2020</w:t>
      </w:r>
      <w:r w:rsidR="009B66EF">
        <w:rPr>
          <w:rFonts w:ascii="Arial" w:hAnsi="Arial" w:cs="Arial"/>
          <w:sz w:val="22"/>
          <w:szCs w:val="22"/>
        </w:rPr>
        <w:t>,</w:t>
      </w:r>
      <w:r w:rsidRPr="00D4546B">
        <w:rPr>
          <w:rFonts w:ascii="Arial" w:hAnsi="Arial" w:cs="Arial"/>
          <w:sz w:val="22"/>
          <w:szCs w:val="22"/>
        </w:rPr>
        <w:t xml:space="preserve"> </w:t>
      </w:r>
      <w:r w:rsidRPr="009B66EF">
        <w:rPr>
          <w:rFonts w:ascii="Arial" w:hAnsi="Arial" w:cs="Arial"/>
          <w:i/>
          <w:sz w:val="22"/>
          <w:szCs w:val="22"/>
        </w:rPr>
        <w:t>“por medio del cual se constituyen las reservas presupuestales y las cuentas por pagar de la vigencia 2019, se cancelan las reservas y cuentas por pagar y se cierra la vigencia fiscal 2019”</w:t>
      </w:r>
      <w:r w:rsidRPr="00D4546B">
        <w:rPr>
          <w:rFonts w:ascii="Arial" w:hAnsi="Arial" w:cs="Arial"/>
          <w:sz w:val="22"/>
          <w:szCs w:val="22"/>
        </w:rPr>
        <w:t>, en el que se encuentran la constitución de reservas presupuestales, cuentas por pagar, y cierre fiscal, además de la incorporación de estos recursos al presupuesto de la vigencia 2019. La información de reservas presupuestales y cuentas por pagar coincide con la información reportada al FUT y presenta una variación de 6.5% en el valor de las reservas frente a la ejecución presupuestal (Tabla 4).</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Por lo anterior, esta actividad se encuentra cumplida.</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b/>
          <w:sz w:val="22"/>
          <w:szCs w:val="22"/>
        </w:rPr>
      </w:pPr>
      <w:r w:rsidRPr="00D4546B">
        <w:rPr>
          <w:rFonts w:ascii="Arial" w:hAnsi="Arial" w:cs="Arial"/>
          <w:b/>
          <w:sz w:val="22"/>
          <w:szCs w:val="22"/>
        </w:rPr>
        <w:t xml:space="preserve">Actividad 2.1.1 Reconocer oportunamente las Zonas de Difícil Acceso, así como, apropiar, ejecutar y pagar, las obligaciones por este concepto a los docentes y directivos docentes, que, durante el año lectivo, laboren permanentemente en Zonas de Difícil Acceso de acuerdo a lo establecido en la normatividad vigente y el respectivo calendario escolar </w:t>
      </w:r>
    </w:p>
    <w:p w:rsidR="004662E4" w:rsidRPr="00D4546B" w:rsidRDefault="004662E4" w:rsidP="000A5BEA">
      <w:pPr>
        <w:jc w:val="both"/>
        <w:rPr>
          <w:rFonts w:ascii="Arial" w:hAnsi="Arial" w:cs="Arial"/>
          <w:b/>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lastRenderedPageBreak/>
        <w:t>Las evidencias se encuentran consignadas en el sistema SIED con el número de Expediente 22/2019/D028-PREDI.</w:t>
      </w:r>
      <w:r w:rsidR="008040A0">
        <w:rPr>
          <w:rFonts w:ascii="Arial" w:hAnsi="Arial" w:cs="Arial"/>
          <w:sz w:val="22"/>
          <w:szCs w:val="22"/>
        </w:rPr>
        <w:t xml:space="preserve"> </w:t>
      </w:r>
      <w:r w:rsidRPr="00D4546B">
        <w:rPr>
          <w:rFonts w:ascii="Arial" w:hAnsi="Arial" w:cs="Arial"/>
          <w:sz w:val="22"/>
          <w:szCs w:val="22"/>
        </w:rPr>
        <w:t>Dichas evidencias se relacionan a continuación:</w:t>
      </w:r>
    </w:p>
    <w:p w:rsidR="004662E4" w:rsidRPr="00D4546B" w:rsidRDefault="004662E4" w:rsidP="000A5BEA">
      <w:pPr>
        <w:jc w:val="both"/>
        <w:rPr>
          <w:rFonts w:ascii="Arial" w:hAnsi="Arial" w:cs="Arial"/>
          <w:sz w:val="22"/>
          <w:szCs w:val="22"/>
        </w:rPr>
      </w:pPr>
      <w:r w:rsidRPr="00D4546B">
        <w:rPr>
          <w:rFonts w:ascii="Arial" w:hAnsi="Arial" w:cs="Arial"/>
          <w:sz w:val="22"/>
          <w:szCs w:val="22"/>
        </w:rPr>
        <w:t xml:space="preserve"> </w:t>
      </w:r>
    </w:p>
    <w:p w:rsidR="004662E4" w:rsidRPr="00D4546B" w:rsidRDefault="004662E4" w:rsidP="000A5BEA">
      <w:pPr>
        <w:pStyle w:val="Prrafodelista"/>
        <w:numPr>
          <w:ilvl w:val="0"/>
          <w:numId w:val="27"/>
        </w:numPr>
        <w:jc w:val="both"/>
        <w:rPr>
          <w:rFonts w:ascii="Arial" w:hAnsi="Arial" w:cs="Arial"/>
          <w:sz w:val="22"/>
          <w:szCs w:val="22"/>
        </w:rPr>
      </w:pPr>
      <w:r w:rsidRPr="00D4546B">
        <w:rPr>
          <w:rFonts w:ascii="Arial" w:hAnsi="Arial" w:cs="Arial"/>
          <w:sz w:val="22"/>
          <w:szCs w:val="22"/>
        </w:rPr>
        <w:t>Acto administrativo de definición de instituciones ubicada en Zonas de Difícil Acceso expedido oportunamente</w:t>
      </w:r>
    </w:p>
    <w:p w:rsidR="004662E4" w:rsidRPr="00D4546B" w:rsidRDefault="004662E4" w:rsidP="000A5BEA">
      <w:pPr>
        <w:pStyle w:val="Prrafodelista"/>
        <w:numPr>
          <w:ilvl w:val="0"/>
          <w:numId w:val="27"/>
        </w:numPr>
        <w:jc w:val="both"/>
        <w:rPr>
          <w:rFonts w:ascii="Arial" w:hAnsi="Arial" w:cs="Arial"/>
          <w:sz w:val="22"/>
          <w:szCs w:val="22"/>
        </w:rPr>
      </w:pPr>
      <w:r w:rsidRPr="00D4546B">
        <w:rPr>
          <w:rFonts w:ascii="Arial" w:hAnsi="Arial" w:cs="Arial"/>
          <w:sz w:val="22"/>
          <w:szCs w:val="22"/>
        </w:rPr>
        <w:t xml:space="preserve">Reportes de nómina </w:t>
      </w:r>
    </w:p>
    <w:p w:rsidR="004662E4" w:rsidRPr="00D4546B" w:rsidRDefault="004662E4" w:rsidP="000A5BEA">
      <w:pPr>
        <w:pStyle w:val="Prrafodelista"/>
        <w:numPr>
          <w:ilvl w:val="0"/>
          <w:numId w:val="27"/>
        </w:numPr>
        <w:jc w:val="both"/>
        <w:rPr>
          <w:rFonts w:ascii="Arial" w:hAnsi="Arial" w:cs="Arial"/>
          <w:sz w:val="22"/>
          <w:szCs w:val="22"/>
        </w:rPr>
      </w:pPr>
      <w:r w:rsidRPr="00D4546B">
        <w:rPr>
          <w:rFonts w:ascii="Arial" w:hAnsi="Arial" w:cs="Arial"/>
          <w:sz w:val="22"/>
          <w:szCs w:val="22"/>
        </w:rPr>
        <w:t>Acto administrativo de definición de calendario escolar</w:t>
      </w:r>
    </w:p>
    <w:p w:rsidR="004662E4" w:rsidRPr="00D4546B" w:rsidRDefault="004662E4" w:rsidP="000A5BEA">
      <w:pPr>
        <w:pStyle w:val="Prrafodelista"/>
        <w:numPr>
          <w:ilvl w:val="0"/>
          <w:numId w:val="27"/>
        </w:numPr>
        <w:jc w:val="both"/>
        <w:rPr>
          <w:rFonts w:ascii="Arial" w:hAnsi="Arial" w:cs="Arial"/>
          <w:sz w:val="22"/>
          <w:szCs w:val="22"/>
        </w:rPr>
      </w:pPr>
      <w:r w:rsidRPr="00D4546B">
        <w:rPr>
          <w:rFonts w:ascii="Arial" w:hAnsi="Arial" w:cs="Arial"/>
          <w:sz w:val="22"/>
          <w:szCs w:val="22"/>
        </w:rPr>
        <w:t>Ejecuciones presupuestales de ingresos y de gastos reportados en el FUT.</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La Secretaría envió evidencia por medio de los Decretos 498 del 30 de octubre de 2018 y Decreto 630 del 25 de octubre de 2019 de haber reconocido oportunamente (antes del 1 de noviembre de la vigencia anterior) las ZDA para las vigencias 2019 y 2020.</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El reporte de pago del resumen de nómina de HUMANO refleja un reconocimiento de las ZDA coherente con el calendario escolar (Resolución 668 del 31 de octubre de 2018 por la cual se establece el calendario académico para los establecimientos educativos de preescolar, básica y media oficiales de los municipios no certificados del departamento de Córdoba). Es decir, toma</w:t>
      </w:r>
      <w:r w:rsidR="009B66EF">
        <w:rPr>
          <w:rFonts w:ascii="Arial" w:hAnsi="Arial" w:cs="Arial"/>
          <w:sz w:val="22"/>
          <w:szCs w:val="22"/>
        </w:rPr>
        <w:t>n</w:t>
      </w:r>
      <w:r w:rsidRPr="00D4546B">
        <w:rPr>
          <w:rFonts w:ascii="Arial" w:hAnsi="Arial" w:cs="Arial"/>
          <w:sz w:val="22"/>
          <w:szCs w:val="22"/>
        </w:rPr>
        <w:t>do como referencia el mes de septiembre</w:t>
      </w:r>
      <w:r w:rsidR="009B66EF">
        <w:rPr>
          <w:rFonts w:ascii="Arial" w:hAnsi="Arial" w:cs="Arial"/>
          <w:sz w:val="22"/>
          <w:szCs w:val="22"/>
        </w:rPr>
        <w:t xml:space="preserve"> –</w:t>
      </w:r>
      <w:r w:rsidRPr="00D4546B">
        <w:rPr>
          <w:rFonts w:ascii="Arial" w:hAnsi="Arial" w:cs="Arial"/>
          <w:sz w:val="22"/>
          <w:szCs w:val="22"/>
        </w:rPr>
        <w:t xml:space="preserve"> que</w:t>
      </w:r>
      <w:r w:rsidR="009B66EF">
        <w:rPr>
          <w:rFonts w:ascii="Arial" w:hAnsi="Arial" w:cs="Arial"/>
          <w:sz w:val="22"/>
          <w:szCs w:val="22"/>
        </w:rPr>
        <w:t xml:space="preserve"> </w:t>
      </w:r>
      <w:r w:rsidRPr="00D4546B">
        <w:rPr>
          <w:rFonts w:ascii="Arial" w:hAnsi="Arial" w:cs="Arial"/>
          <w:sz w:val="22"/>
          <w:szCs w:val="22"/>
        </w:rPr>
        <w:t xml:space="preserve">no tiene días festivos ni coincide con periodos de vacaciones </w:t>
      </w:r>
      <w:r w:rsidR="009B66EF">
        <w:rPr>
          <w:rFonts w:ascii="Arial" w:hAnsi="Arial" w:cs="Arial"/>
          <w:sz w:val="22"/>
          <w:szCs w:val="22"/>
        </w:rPr>
        <w:t xml:space="preserve">– </w:t>
      </w:r>
      <w:r w:rsidRPr="00D4546B">
        <w:rPr>
          <w:rFonts w:ascii="Arial" w:hAnsi="Arial" w:cs="Arial"/>
          <w:sz w:val="22"/>
          <w:szCs w:val="22"/>
        </w:rPr>
        <w:t>se</w:t>
      </w:r>
      <w:r w:rsidR="009B66EF">
        <w:rPr>
          <w:rFonts w:ascii="Arial" w:hAnsi="Arial" w:cs="Arial"/>
          <w:sz w:val="22"/>
          <w:szCs w:val="22"/>
        </w:rPr>
        <w:t xml:space="preserve"> </w:t>
      </w:r>
      <w:r w:rsidRPr="00D4546B">
        <w:rPr>
          <w:rFonts w:ascii="Arial" w:hAnsi="Arial" w:cs="Arial"/>
          <w:sz w:val="22"/>
          <w:szCs w:val="22"/>
        </w:rPr>
        <w:t>encuentra que los docentes y directivos docentes recibieron un pago proporcional a los días hábiles del calendario escolar en los meses de enero, abril, julio y diciembre.</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 xml:space="preserve">En la ejecución presupuestal de gasto, se </w:t>
      </w:r>
      <w:r w:rsidR="001C3A83">
        <w:rPr>
          <w:rFonts w:ascii="Arial" w:hAnsi="Arial" w:cs="Arial"/>
          <w:sz w:val="22"/>
          <w:szCs w:val="22"/>
        </w:rPr>
        <w:t xml:space="preserve">registran compromisos </w:t>
      </w:r>
      <w:r w:rsidRPr="00D4546B">
        <w:rPr>
          <w:rFonts w:ascii="Arial" w:hAnsi="Arial" w:cs="Arial"/>
          <w:sz w:val="22"/>
          <w:szCs w:val="22"/>
        </w:rPr>
        <w:t xml:space="preserve">por $24.536 millones por </w:t>
      </w:r>
      <w:r w:rsidR="001C3A83">
        <w:rPr>
          <w:rFonts w:ascii="Arial" w:hAnsi="Arial" w:cs="Arial"/>
          <w:sz w:val="22"/>
          <w:szCs w:val="22"/>
        </w:rPr>
        <w:t xml:space="preserve">concepto de </w:t>
      </w:r>
      <w:r w:rsidRPr="00D4546B">
        <w:rPr>
          <w:rFonts w:ascii="Arial" w:hAnsi="Arial" w:cs="Arial"/>
          <w:sz w:val="22"/>
          <w:szCs w:val="22"/>
        </w:rPr>
        <w:t>estímulo a Docentes y Directivos Docentes rurales, aun suponiendo que el incremento salarial se encuentre en los conceptos de provisión de ascensos, existe una diferencia de $913 millones entre la liquidación de nómina en HUMANO y los valores de la ejecución presupuestal. La actividad se encuentra cumplida, no obstante, la Secretaría debe asegurar la consistencia entre la liquidación en HUMANO y la ejecución presupuestal (Tabla 15).</w:t>
      </w:r>
    </w:p>
    <w:p w:rsidR="009B66EF" w:rsidRDefault="009B66EF" w:rsidP="000A5BEA">
      <w:pPr>
        <w:jc w:val="center"/>
        <w:rPr>
          <w:rFonts w:ascii="Arial" w:hAnsi="Arial" w:cs="Arial"/>
          <w:b/>
          <w:sz w:val="18"/>
          <w:szCs w:val="22"/>
          <w:lang w:val="es-CO"/>
        </w:rPr>
      </w:pPr>
    </w:p>
    <w:p w:rsidR="004662E4" w:rsidRPr="00D4546B" w:rsidRDefault="004662E4" w:rsidP="000A5BEA">
      <w:pPr>
        <w:jc w:val="center"/>
        <w:rPr>
          <w:rFonts w:ascii="Arial" w:hAnsi="Arial" w:cs="Arial"/>
          <w:b/>
          <w:sz w:val="18"/>
          <w:szCs w:val="22"/>
          <w:lang w:val="es-CO"/>
        </w:rPr>
      </w:pPr>
      <w:r w:rsidRPr="00D4546B">
        <w:rPr>
          <w:rFonts w:ascii="Arial" w:hAnsi="Arial" w:cs="Arial"/>
          <w:b/>
          <w:sz w:val="18"/>
          <w:szCs w:val="22"/>
          <w:lang w:val="es-CO"/>
        </w:rPr>
        <w:t>TABLA 15. RECONOCIMIENTOS DE BONIFICACIÓN POR ZDA SEGÚN RESUMEN DE NÓMINA DE HUMANO VIGENCIA 2019</w:t>
      </w:r>
    </w:p>
    <w:p w:rsidR="004662E4" w:rsidRPr="00D4546B" w:rsidRDefault="004662E4" w:rsidP="000A5BEA">
      <w:pPr>
        <w:jc w:val="center"/>
        <w:rPr>
          <w:rFonts w:ascii="Arial" w:hAnsi="Arial" w:cs="Arial"/>
          <w:b/>
          <w:sz w:val="18"/>
          <w:szCs w:val="22"/>
          <w:lang w:val="es-CO"/>
        </w:rPr>
      </w:pPr>
      <w:r w:rsidRPr="00D4546B">
        <w:rPr>
          <w:rFonts w:ascii="Arial" w:hAnsi="Arial" w:cs="Arial"/>
          <w:i/>
          <w:sz w:val="18"/>
          <w:szCs w:val="22"/>
          <w:lang w:val="es-CO"/>
        </w:rPr>
        <w:t>(en millones de $)</w:t>
      </w:r>
    </w:p>
    <w:p w:rsidR="004662E4" w:rsidRPr="00D4546B" w:rsidRDefault="004662E4" w:rsidP="000A5BEA">
      <w:pPr>
        <w:jc w:val="center"/>
        <w:rPr>
          <w:rFonts w:ascii="Arial" w:hAnsi="Arial" w:cs="Arial"/>
        </w:rPr>
      </w:pPr>
      <w:r w:rsidRPr="00D4546B">
        <w:rPr>
          <w:rFonts w:ascii="Arial" w:hAnsi="Arial" w:cs="Arial"/>
          <w:noProof/>
          <w:lang w:val="es-CO" w:eastAsia="es-CO"/>
        </w:rPr>
        <w:drawing>
          <wp:inline distT="0" distB="0" distL="0" distR="0">
            <wp:extent cx="5622290" cy="2054860"/>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22290" cy="2054860"/>
                    </a:xfrm>
                    <a:prstGeom prst="rect">
                      <a:avLst/>
                    </a:prstGeom>
                    <a:noFill/>
                    <a:ln>
                      <a:noFill/>
                    </a:ln>
                  </pic:spPr>
                </pic:pic>
              </a:graphicData>
            </a:graphic>
          </wp:inline>
        </w:drawing>
      </w:r>
    </w:p>
    <w:p w:rsidR="004662E4" w:rsidRPr="00D4546B" w:rsidRDefault="004662E4" w:rsidP="000A5BEA">
      <w:pPr>
        <w:jc w:val="center"/>
        <w:rPr>
          <w:rStyle w:val="nfasissutil"/>
          <w:rFonts w:cs="Arial"/>
          <w:i/>
        </w:rPr>
      </w:pPr>
      <w:r w:rsidRPr="00D4546B">
        <w:rPr>
          <w:rStyle w:val="nfasissutil"/>
          <w:rFonts w:cs="Arial"/>
          <w:i/>
        </w:rPr>
        <w:t>Fuente: Reporte HUMANO</w:t>
      </w:r>
    </w:p>
    <w:p w:rsidR="004662E4" w:rsidRPr="00D4546B" w:rsidRDefault="004662E4" w:rsidP="000A5BEA">
      <w:pPr>
        <w:jc w:val="both"/>
        <w:rPr>
          <w:rFonts w:ascii="Arial" w:hAnsi="Arial" w:cs="Arial"/>
          <w:b/>
          <w:sz w:val="22"/>
          <w:szCs w:val="22"/>
        </w:rPr>
      </w:pPr>
    </w:p>
    <w:p w:rsidR="009B66EF" w:rsidRPr="00D4546B" w:rsidRDefault="009B66EF" w:rsidP="009B66EF">
      <w:pPr>
        <w:jc w:val="both"/>
        <w:rPr>
          <w:rFonts w:ascii="Arial" w:hAnsi="Arial" w:cs="Arial"/>
          <w:sz w:val="22"/>
          <w:szCs w:val="22"/>
        </w:rPr>
      </w:pPr>
      <w:r w:rsidRPr="00D4546B">
        <w:rPr>
          <w:rFonts w:ascii="Arial" w:hAnsi="Arial" w:cs="Arial"/>
          <w:sz w:val="22"/>
          <w:szCs w:val="22"/>
        </w:rPr>
        <w:lastRenderedPageBreak/>
        <w:t>Por lo anterior, esta actividad se encuentra cumplida.</w:t>
      </w:r>
    </w:p>
    <w:p w:rsidR="009B66EF" w:rsidRDefault="009B66EF" w:rsidP="009B66EF">
      <w:pPr>
        <w:jc w:val="both"/>
        <w:rPr>
          <w:rFonts w:ascii="Arial" w:hAnsi="Arial" w:cs="Arial"/>
          <w:sz w:val="22"/>
          <w:szCs w:val="22"/>
        </w:rPr>
      </w:pPr>
    </w:p>
    <w:p w:rsidR="004662E4" w:rsidRPr="00D4546B" w:rsidRDefault="004662E4" w:rsidP="000A5BEA">
      <w:pPr>
        <w:jc w:val="both"/>
        <w:rPr>
          <w:rFonts w:ascii="Arial" w:hAnsi="Arial" w:cs="Arial"/>
          <w:b/>
          <w:sz w:val="22"/>
          <w:szCs w:val="22"/>
        </w:rPr>
      </w:pPr>
      <w:r w:rsidRPr="00D4546B">
        <w:rPr>
          <w:rFonts w:ascii="Arial" w:hAnsi="Arial" w:cs="Arial"/>
          <w:b/>
          <w:sz w:val="22"/>
          <w:szCs w:val="22"/>
        </w:rPr>
        <w:t xml:space="preserve">Actividad 2.1.3 Realizar la distribución de cargos y personal docente y directivo docente de acuerdo con la planta viabilizada y financiada con recursos del Sistema General de Participaciones por el MEN, de acuerdo con las relaciones técnicas. </w:t>
      </w:r>
    </w:p>
    <w:p w:rsidR="004662E4" w:rsidRPr="00D4546B" w:rsidRDefault="004662E4" w:rsidP="000A5BEA">
      <w:pPr>
        <w:jc w:val="both"/>
        <w:rPr>
          <w:rFonts w:ascii="Arial" w:hAnsi="Arial" w:cs="Arial"/>
          <w:b/>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Las evidencias se encuentran consignadas en el sistema SIED con el número de Expediente 22/2019/D028-PREDI.</w:t>
      </w:r>
      <w:r w:rsidR="008040A0">
        <w:rPr>
          <w:rFonts w:ascii="Arial" w:hAnsi="Arial" w:cs="Arial"/>
          <w:sz w:val="22"/>
          <w:szCs w:val="22"/>
        </w:rPr>
        <w:t xml:space="preserve"> </w:t>
      </w:r>
      <w:r w:rsidRPr="00D4546B">
        <w:rPr>
          <w:rFonts w:ascii="Arial" w:hAnsi="Arial" w:cs="Arial"/>
          <w:sz w:val="22"/>
          <w:szCs w:val="22"/>
        </w:rPr>
        <w:t>La información objeto de análisis para esta actividad fue la siguiente:</w:t>
      </w:r>
    </w:p>
    <w:p w:rsidR="004662E4" w:rsidRPr="00D4546B" w:rsidRDefault="004662E4" w:rsidP="000A5BEA">
      <w:pPr>
        <w:jc w:val="both"/>
        <w:rPr>
          <w:rFonts w:ascii="Arial" w:hAnsi="Arial" w:cs="Arial"/>
          <w:sz w:val="22"/>
          <w:szCs w:val="22"/>
        </w:rPr>
      </w:pPr>
    </w:p>
    <w:p w:rsidR="004662E4" w:rsidRPr="00D4546B" w:rsidRDefault="004662E4" w:rsidP="000A5BEA">
      <w:pPr>
        <w:pStyle w:val="Prrafodelista"/>
        <w:numPr>
          <w:ilvl w:val="0"/>
          <w:numId w:val="22"/>
        </w:numPr>
        <w:jc w:val="both"/>
        <w:rPr>
          <w:rFonts w:ascii="Arial" w:hAnsi="Arial" w:cs="Arial"/>
          <w:sz w:val="22"/>
          <w:szCs w:val="22"/>
        </w:rPr>
      </w:pPr>
      <w:r w:rsidRPr="00D4546B">
        <w:rPr>
          <w:rFonts w:ascii="Arial" w:hAnsi="Arial" w:cs="Arial"/>
          <w:sz w:val="22"/>
          <w:szCs w:val="22"/>
        </w:rPr>
        <w:t>Decreto de distribución de planta de cargos docentes y directivos docentes a cargo de recursos del SGP basado en las relaciones técnicas establecidas.</w:t>
      </w:r>
    </w:p>
    <w:p w:rsidR="004662E4" w:rsidRPr="00D4546B" w:rsidRDefault="004662E4" w:rsidP="000A5BEA">
      <w:pPr>
        <w:pStyle w:val="Prrafodelista"/>
        <w:numPr>
          <w:ilvl w:val="0"/>
          <w:numId w:val="22"/>
        </w:numPr>
        <w:jc w:val="both"/>
        <w:rPr>
          <w:rFonts w:ascii="Arial" w:hAnsi="Arial" w:cs="Arial"/>
          <w:sz w:val="22"/>
          <w:szCs w:val="22"/>
        </w:rPr>
      </w:pPr>
      <w:r w:rsidRPr="00D4546B">
        <w:rPr>
          <w:rFonts w:ascii="Arial" w:hAnsi="Arial" w:cs="Arial"/>
          <w:sz w:val="22"/>
          <w:szCs w:val="22"/>
        </w:rPr>
        <w:t>Planta viabilizada por el Ministerio de Educación Nacional</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La Gobernación remitió el concepto de planta viabilizada por el MEN y el decreto 120 de 2019 de modificación de la planta de personal. Estos dos documentos son consistentes entre sí (Tabla 16).</w:t>
      </w:r>
    </w:p>
    <w:p w:rsidR="004662E4" w:rsidRPr="00D4546B" w:rsidRDefault="004662E4" w:rsidP="000A5BEA">
      <w:pPr>
        <w:jc w:val="both"/>
        <w:rPr>
          <w:rFonts w:ascii="Arial" w:hAnsi="Arial" w:cs="Arial"/>
          <w:sz w:val="22"/>
          <w:szCs w:val="22"/>
        </w:rPr>
      </w:pPr>
    </w:p>
    <w:p w:rsidR="004662E4" w:rsidRPr="00D4546B" w:rsidRDefault="004662E4" w:rsidP="000A5BEA">
      <w:pPr>
        <w:tabs>
          <w:tab w:val="left" w:pos="4253"/>
        </w:tabs>
        <w:autoSpaceDE w:val="0"/>
        <w:autoSpaceDN w:val="0"/>
        <w:adjustRightInd w:val="0"/>
        <w:jc w:val="center"/>
        <w:rPr>
          <w:rFonts w:ascii="Arial" w:hAnsi="Arial" w:cs="Arial"/>
          <w:b/>
          <w:sz w:val="18"/>
          <w:szCs w:val="22"/>
          <w:lang w:val="es-CO"/>
        </w:rPr>
      </w:pPr>
      <w:r w:rsidRPr="00D4546B">
        <w:rPr>
          <w:rFonts w:ascii="Arial" w:hAnsi="Arial" w:cs="Arial"/>
          <w:b/>
          <w:sz w:val="18"/>
          <w:szCs w:val="22"/>
          <w:lang w:val="es-CO"/>
        </w:rPr>
        <w:t>TABLA 16. PLANTA DOCENTE VIABILIZADA POR EL MEN Y PLANTA DOCENTE ADOPTADA VIGENCIA 2019</w:t>
      </w:r>
    </w:p>
    <w:p w:rsidR="004662E4" w:rsidRPr="00D4546B" w:rsidRDefault="004662E4" w:rsidP="000A5BEA">
      <w:pPr>
        <w:tabs>
          <w:tab w:val="left" w:pos="4253"/>
        </w:tabs>
        <w:autoSpaceDE w:val="0"/>
        <w:autoSpaceDN w:val="0"/>
        <w:adjustRightInd w:val="0"/>
        <w:jc w:val="center"/>
        <w:rPr>
          <w:rFonts w:ascii="Arial" w:hAnsi="Arial" w:cs="Arial"/>
          <w:b/>
          <w:sz w:val="18"/>
          <w:szCs w:val="22"/>
          <w:lang w:val="es-CO"/>
        </w:rPr>
      </w:pPr>
      <w:r w:rsidRPr="00D4546B">
        <w:rPr>
          <w:rFonts w:ascii="Arial" w:hAnsi="Arial" w:cs="Arial"/>
          <w:noProof/>
          <w:lang w:val="es-CO" w:eastAsia="es-CO"/>
        </w:rPr>
        <w:drawing>
          <wp:inline distT="0" distB="0" distL="0" distR="0">
            <wp:extent cx="3449320" cy="2697918"/>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57780" cy="2704535"/>
                    </a:xfrm>
                    <a:prstGeom prst="rect">
                      <a:avLst/>
                    </a:prstGeom>
                    <a:noFill/>
                    <a:ln>
                      <a:noFill/>
                    </a:ln>
                  </pic:spPr>
                </pic:pic>
              </a:graphicData>
            </a:graphic>
          </wp:inline>
        </w:drawing>
      </w:r>
    </w:p>
    <w:p w:rsidR="004662E4" w:rsidRPr="00D4546B" w:rsidRDefault="004662E4" w:rsidP="000A5BEA">
      <w:pPr>
        <w:jc w:val="center"/>
        <w:rPr>
          <w:rFonts w:ascii="Arial" w:hAnsi="Arial" w:cs="Arial"/>
          <w:bCs/>
          <w:i/>
          <w:sz w:val="22"/>
          <w:szCs w:val="22"/>
          <w:lang w:val="es-ES_tradnl"/>
        </w:rPr>
      </w:pPr>
      <w:r w:rsidRPr="00D4546B">
        <w:rPr>
          <w:rStyle w:val="nfasissutil"/>
          <w:rFonts w:cs="Arial"/>
          <w:i/>
        </w:rPr>
        <w:t>Fuente: Concepto MEN 2019EE021394 22 de febrero de 2019 y Decreto 120 del 19 de marzo de 2019</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 xml:space="preserve">Al analizar el Decreto 458 </w:t>
      </w:r>
      <w:r w:rsidR="001C3A83">
        <w:rPr>
          <w:rFonts w:ascii="Arial" w:hAnsi="Arial" w:cs="Arial"/>
          <w:sz w:val="22"/>
          <w:szCs w:val="22"/>
        </w:rPr>
        <w:t xml:space="preserve">de 2019 </w:t>
      </w:r>
      <w:r w:rsidRPr="00D4546B">
        <w:rPr>
          <w:rFonts w:ascii="Arial" w:hAnsi="Arial" w:cs="Arial"/>
          <w:sz w:val="22"/>
          <w:szCs w:val="22"/>
        </w:rPr>
        <w:t>de distribución de cargos docentes, directivos docentes y administrativos del sector educativo financiado con recursos del SGP, se encuentra que se distribuyen 9800 cargos docentes y 699 cargos directivos docentes de acuerdo con el concepto del MEN. Sin embargo, el número de cargos administrativos a distribuir (636) supera la planta administrativa viabilizada por el MEN en 28 cargos. El número de cargos de coordinadores distribuidos también es inferior al viabilizado (334).</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 xml:space="preserve">Se destaca que el número de cargos de rectores distribuidos en las instituciones educativas (160) y el número de directores rurales (166) son inferiores a la planta viabilizada en el </w:t>
      </w:r>
      <w:r w:rsidRPr="00D4546B">
        <w:rPr>
          <w:rFonts w:ascii="Arial" w:hAnsi="Arial" w:cs="Arial"/>
          <w:sz w:val="22"/>
          <w:szCs w:val="22"/>
        </w:rPr>
        <w:lastRenderedPageBreak/>
        <w:t xml:space="preserve">concepto del MEN y adoptada por el Decreto 120 de 2019. La provisión de los cargos de rector y director rural debería guardar relación con el número de </w:t>
      </w:r>
      <w:r w:rsidR="001C3A83">
        <w:rPr>
          <w:rFonts w:ascii="Arial" w:hAnsi="Arial" w:cs="Arial"/>
          <w:sz w:val="22"/>
          <w:szCs w:val="22"/>
        </w:rPr>
        <w:t xml:space="preserve">Establecimientos Educativos </w:t>
      </w:r>
      <w:r w:rsidRPr="00D4546B">
        <w:rPr>
          <w:rFonts w:ascii="Arial" w:hAnsi="Arial" w:cs="Arial"/>
          <w:sz w:val="22"/>
          <w:szCs w:val="22"/>
        </w:rPr>
        <w:t xml:space="preserve">en la entidad. El número de establecimientos oficiales con estado Antiguo-Activo y Nuevo-Activo en el archivo 4.5 Actualizaciones sedes no oficiales y oficiales 10-03-2020 (336), es cercano al total de rectores y directores rurales viabilizado (334), pero es mayor que el número de </w:t>
      </w:r>
      <w:r w:rsidR="001C3A83">
        <w:rPr>
          <w:rFonts w:ascii="Arial" w:hAnsi="Arial" w:cs="Arial"/>
          <w:sz w:val="22"/>
          <w:szCs w:val="22"/>
        </w:rPr>
        <w:t xml:space="preserve">Establecimientos Educativos </w:t>
      </w:r>
      <w:r w:rsidRPr="00D4546B">
        <w:rPr>
          <w:rFonts w:ascii="Arial" w:hAnsi="Arial" w:cs="Arial"/>
          <w:sz w:val="22"/>
          <w:szCs w:val="22"/>
        </w:rPr>
        <w:t>con prestador de servicio oficial, sin matrícula contratada y con estado diferente de cierre definitivo o cierre temporal en el archivo 4.5 Actualizaciones establecimientos oficiales y no oficiales (318).</w:t>
      </w:r>
    </w:p>
    <w:p w:rsidR="004662E4" w:rsidRPr="00D4546B" w:rsidRDefault="004662E4" w:rsidP="000A5BEA">
      <w:pPr>
        <w:jc w:val="both"/>
        <w:rPr>
          <w:rFonts w:ascii="Arial" w:hAnsi="Arial" w:cs="Arial"/>
          <w:sz w:val="22"/>
          <w:szCs w:val="22"/>
        </w:rPr>
      </w:pPr>
      <w:r w:rsidRPr="00D4546B">
        <w:rPr>
          <w:rFonts w:ascii="Arial" w:hAnsi="Arial" w:cs="Arial"/>
          <w:sz w:val="22"/>
          <w:szCs w:val="22"/>
        </w:rPr>
        <w:t xml:space="preserve"> </w:t>
      </w:r>
    </w:p>
    <w:p w:rsidR="004662E4" w:rsidRPr="00D4546B" w:rsidRDefault="004662E4" w:rsidP="000A5BEA">
      <w:pPr>
        <w:jc w:val="both"/>
        <w:rPr>
          <w:rFonts w:ascii="Arial" w:hAnsi="Arial" w:cs="Arial"/>
          <w:sz w:val="22"/>
          <w:szCs w:val="22"/>
        </w:rPr>
      </w:pPr>
      <w:r w:rsidRPr="00D4546B">
        <w:rPr>
          <w:rFonts w:ascii="Arial" w:hAnsi="Arial" w:cs="Arial"/>
          <w:sz w:val="22"/>
          <w:szCs w:val="22"/>
        </w:rPr>
        <w:t>A pesar de esta inconsistencia, esta actividad se considera cumplida.</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b/>
          <w:sz w:val="22"/>
          <w:szCs w:val="22"/>
        </w:rPr>
      </w:pPr>
      <w:r w:rsidRPr="00D4546B">
        <w:rPr>
          <w:rFonts w:ascii="Arial" w:hAnsi="Arial" w:cs="Arial"/>
          <w:b/>
          <w:sz w:val="22"/>
          <w:szCs w:val="22"/>
        </w:rPr>
        <w:t>Actividad 2.1.4. Verificar que los funcionarios vinculados a la planta docente y directiva docente de la secretaría de Educación no se encuentren nombrados en otras entidades territoriales, y en adelante, abstenerse de vincular aquellos funcionarios que cuenten con vinculación en otra entidad territorial.</w:t>
      </w:r>
    </w:p>
    <w:p w:rsidR="004662E4" w:rsidRPr="00D4546B" w:rsidRDefault="004662E4" w:rsidP="000A5BEA">
      <w:pPr>
        <w:jc w:val="both"/>
        <w:rPr>
          <w:rFonts w:ascii="Arial" w:hAnsi="Arial" w:cs="Arial"/>
          <w:b/>
          <w:sz w:val="22"/>
          <w:szCs w:val="22"/>
        </w:rPr>
      </w:pPr>
    </w:p>
    <w:p w:rsidR="004662E4" w:rsidRPr="00D4546B" w:rsidRDefault="004662E4" w:rsidP="001C3A83">
      <w:pPr>
        <w:jc w:val="both"/>
        <w:rPr>
          <w:rFonts w:ascii="Arial" w:hAnsi="Arial" w:cs="Arial"/>
          <w:sz w:val="22"/>
          <w:szCs w:val="22"/>
        </w:rPr>
      </w:pPr>
      <w:r w:rsidRPr="00D4546B">
        <w:rPr>
          <w:rFonts w:ascii="Arial" w:hAnsi="Arial" w:cs="Arial"/>
          <w:sz w:val="22"/>
          <w:szCs w:val="22"/>
        </w:rPr>
        <w:t>Las evidencias se encuentran consignadas en el sistema SIED con el número de Expediente 22/2019/D028-PREDI.</w:t>
      </w:r>
      <w:r w:rsidR="008040A0">
        <w:rPr>
          <w:rFonts w:ascii="Arial" w:hAnsi="Arial" w:cs="Arial"/>
          <w:sz w:val="22"/>
          <w:szCs w:val="22"/>
        </w:rPr>
        <w:t xml:space="preserve"> </w:t>
      </w:r>
      <w:r w:rsidRPr="00D4546B">
        <w:rPr>
          <w:rFonts w:ascii="Arial" w:hAnsi="Arial" w:cs="Arial"/>
          <w:sz w:val="22"/>
          <w:szCs w:val="22"/>
        </w:rPr>
        <w:t>Dichas evidencias se relacionan a continuación</w:t>
      </w:r>
      <w:r w:rsidR="001C3A83">
        <w:rPr>
          <w:rFonts w:ascii="Arial" w:hAnsi="Arial" w:cs="Arial"/>
          <w:sz w:val="22"/>
          <w:szCs w:val="22"/>
        </w:rPr>
        <w:t xml:space="preserve"> y corresponden a la </w:t>
      </w:r>
      <w:r w:rsidRPr="00D4546B">
        <w:rPr>
          <w:rFonts w:ascii="Arial" w:hAnsi="Arial" w:cs="Arial"/>
          <w:sz w:val="22"/>
          <w:szCs w:val="22"/>
        </w:rPr>
        <w:t>información objeto de análisis para esta actividad:</w:t>
      </w:r>
    </w:p>
    <w:p w:rsidR="004662E4" w:rsidRPr="00D4546B" w:rsidRDefault="004662E4" w:rsidP="000A5BEA">
      <w:pPr>
        <w:jc w:val="both"/>
        <w:rPr>
          <w:rFonts w:ascii="Arial" w:hAnsi="Arial" w:cs="Arial"/>
          <w:sz w:val="22"/>
          <w:szCs w:val="22"/>
        </w:rPr>
      </w:pPr>
    </w:p>
    <w:p w:rsidR="004662E4" w:rsidRPr="00D4546B" w:rsidRDefault="004662E4" w:rsidP="000A5BEA">
      <w:pPr>
        <w:pStyle w:val="Prrafodelista"/>
        <w:numPr>
          <w:ilvl w:val="0"/>
          <w:numId w:val="22"/>
        </w:numPr>
        <w:jc w:val="both"/>
        <w:rPr>
          <w:rFonts w:ascii="Arial" w:hAnsi="Arial" w:cs="Arial"/>
          <w:sz w:val="22"/>
          <w:szCs w:val="22"/>
        </w:rPr>
      </w:pPr>
      <w:r w:rsidRPr="00D4546B">
        <w:rPr>
          <w:rFonts w:ascii="Arial" w:hAnsi="Arial" w:cs="Arial"/>
          <w:sz w:val="22"/>
          <w:szCs w:val="22"/>
        </w:rPr>
        <w:t>Certificación expedida por el jefe de talento humano en la que conste que ninguno de sus docentes se encuentra vinculado a otras Secretarías de educación.</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 xml:space="preserve">La entidad entregó certificación de la líder de talento humano de que no existe personal docente y directivo docente adscrito y activo en la Secretaría de </w:t>
      </w:r>
      <w:r w:rsidR="001C3A83">
        <w:rPr>
          <w:rFonts w:ascii="Arial" w:hAnsi="Arial" w:cs="Arial"/>
          <w:sz w:val="22"/>
          <w:szCs w:val="22"/>
        </w:rPr>
        <w:t>E</w:t>
      </w:r>
      <w:r w:rsidRPr="00D4546B">
        <w:rPr>
          <w:rFonts w:ascii="Arial" w:hAnsi="Arial" w:cs="Arial"/>
          <w:sz w:val="22"/>
          <w:szCs w:val="22"/>
        </w:rPr>
        <w:t xml:space="preserve">ducación </w:t>
      </w:r>
      <w:r w:rsidR="001C3A83">
        <w:rPr>
          <w:rFonts w:ascii="Arial" w:hAnsi="Arial" w:cs="Arial"/>
          <w:sz w:val="22"/>
          <w:szCs w:val="22"/>
        </w:rPr>
        <w:t>D</w:t>
      </w:r>
      <w:r w:rsidRPr="00D4546B">
        <w:rPr>
          <w:rFonts w:ascii="Arial" w:hAnsi="Arial" w:cs="Arial"/>
          <w:sz w:val="22"/>
          <w:szCs w:val="22"/>
        </w:rPr>
        <w:t xml:space="preserve">epartamental de Córdoba, que se encuentre vinculado o prestando sus servicios en otra entidad territorial certificada en educación con fecha del 10 de marzo de 2020. </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Por lo anterior, la actividad se encuentra cumplida.</w:t>
      </w:r>
    </w:p>
    <w:p w:rsidR="004662E4" w:rsidRPr="00D4546B" w:rsidRDefault="004662E4" w:rsidP="000A5BEA">
      <w:pPr>
        <w:jc w:val="both"/>
        <w:rPr>
          <w:rFonts w:ascii="Arial" w:hAnsi="Arial" w:cs="Arial"/>
          <w:sz w:val="22"/>
          <w:szCs w:val="22"/>
        </w:rPr>
      </w:pPr>
    </w:p>
    <w:p w:rsidR="004662E4" w:rsidRPr="00D4546B" w:rsidRDefault="004662E4" w:rsidP="000A5BEA">
      <w:pPr>
        <w:pStyle w:val="Prrafodelista"/>
        <w:numPr>
          <w:ilvl w:val="0"/>
          <w:numId w:val="8"/>
        </w:numPr>
        <w:jc w:val="both"/>
        <w:rPr>
          <w:rFonts w:ascii="Arial" w:hAnsi="Arial" w:cs="Arial"/>
          <w:b/>
          <w:sz w:val="22"/>
          <w:szCs w:val="22"/>
        </w:rPr>
      </w:pPr>
      <w:r w:rsidRPr="00D4546B">
        <w:rPr>
          <w:rFonts w:ascii="Arial" w:hAnsi="Arial" w:cs="Arial"/>
          <w:b/>
          <w:sz w:val="22"/>
          <w:szCs w:val="22"/>
        </w:rPr>
        <w:t>Conclusiones y Recomendaciones:</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lang w:val="es-CO" w:eastAsia="es-CO"/>
        </w:rPr>
      </w:pPr>
      <w:bookmarkStart w:id="10" w:name="_Hlk39108471"/>
      <w:r w:rsidRPr="00D4546B">
        <w:rPr>
          <w:rFonts w:ascii="Arial" w:hAnsi="Arial" w:cs="Arial"/>
          <w:sz w:val="22"/>
          <w:szCs w:val="22"/>
          <w:lang w:val="es-CO"/>
        </w:rPr>
        <w:t xml:space="preserve">Como resultado de la evaluación se concluye que el </w:t>
      </w:r>
      <w:r w:rsidRPr="00D4546B">
        <w:rPr>
          <w:rFonts w:ascii="Arial" w:hAnsi="Arial" w:cs="Arial"/>
        </w:rPr>
        <w:fldChar w:fldCharType="begin"/>
      </w:r>
      <w:r w:rsidRPr="00D4546B">
        <w:rPr>
          <w:rFonts w:ascii="Arial" w:hAnsi="Arial" w:cs="Arial"/>
          <w:sz w:val="22"/>
          <w:szCs w:val="22"/>
        </w:rPr>
        <w:instrText xml:space="preserve"> LINK Excel.SheetMacroEnabled.12 "\\\\MH-EXMOSSSA01.MHEXT.RED\\EncuestasPSFF_Archivos\\Decreto028\\BD\\Excel\\Matriz_2018_PlanDesempeño_Departamento_Córdoba_Sector_Educación.xlsm" "Principal!F6C7" \a \t  \* MERGEFORMAT </w:instrText>
      </w:r>
      <w:r w:rsidRPr="00D4546B">
        <w:rPr>
          <w:rFonts w:ascii="Arial" w:hAnsi="Arial" w:cs="Arial"/>
        </w:rPr>
        <w:fldChar w:fldCharType="separate"/>
      </w:r>
      <w:r w:rsidRPr="00D4546B">
        <w:rPr>
          <w:rFonts w:ascii="Arial" w:hAnsi="Arial" w:cs="Arial"/>
          <w:sz w:val="22"/>
          <w:szCs w:val="22"/>
        </w:rPr>
        <w:t>Departamento: Córdoba</w:t>
      </w:r>
      <w:r w:rsidRPr="00D4546B">
        <w:rPr>
          <w:rFonts w:ascii="Arial" w:hAnsi="Arial" w:cs="Arial"/>
        </w:rPr>
        <w:fldChar w:fldCharType="end"/>
      </w:r>
      <w:r w:rsidRPr="00D4546B">
        <w:rPr>
          <w:rFonts w:ascii="Arial" w:hAnsi="Arial" w:cs="Arial"/>
          <w:sz w:val="22"/>
          <w:szCs w:val="22"/>
          <w:lang w:val="es-CO"/>
        </w:rPr>
        <w:t xml:space="preserve"> cumplió 6 de </w:t>
      </w:r>
      <w:r w:rsidR="001C3A83">
        <w:rPr>
          <w:rFonts w:ascii="Arial" w:hAnsi="Arial" w:cs="Arial"/>
          <w:sz w:val="22"/>
          <w:szCs w:val="22"/>
          <w:lang w:val="es-CO"/>
        </w:rPr>
        <w:t xml:space="preserve">las </w:t>
      </w:r>
      <w:r w:rsidRPr="00D4546B">
        <w:rPr>
          <w:rFonts w:ascii="Arial" w:hAnsi="Arial" w:cs="Arial"/>
          <w:sz w:val="22"/>
          <w:szCs w:val="22"/>
          <w:lang w:val="es-CO"/>
        </w:rPr>
        <w:t xml:space="preserve">16 actividades contempladas en la </w:t>
      </w:r>
      <w:r w:rsidRPr="00D4546B">
        <w:rPr>
          <w:rFonts w:ascii="Arial" w:hAnsi="Arial" w:cs="Arial"/>
        </w:rPr>
        <w:fldChar w:fldCharType="begin"/>
      </w:r>
      <w:r w:rsidRPr="00D4546B">
        <w:rPr>
          <w:rFonts w:ascii="Arial" w:hAnsi="Arial" w:cs="Arial"/>
          <w:sz w:val="22"/>
          <w:szCs w:val="22"/>
        </w:rPr>
        <w:instrText xml:space="preserve"> LINK Excel.SheetMacroEnabled.12 "\\\\MH-EXMOSSSA01.MHEXT.RED\\EncuestasPSFF_Archivos\\Decreto028\\BD\\Excel\\Matriz_2018_PlanDesempeño_Departamento_Córdoba_Sector_Educación.xlsm" "Principal!F18C8" \a \t  \* MERGEFORMAT </w:instrText>
      </w:r>
      <w:r w:rsidRPr="00D4546B">
        <w:rPr>
          <w:rFonts w:ascii="Arial" w:hAnsi="Arial" w:cs="Arial"/>
        </w:rPr>
        <w:fldChar w:fldCharType="separate"/>
      </w:r>
      <w:r w:rsidRPr="00D4546B">
        <w:rPr>
          <w:rFonts w:ascii="Arial" w:hAnsi="Arial" w:cs="Arial"/>
          <w:sz w:val="22"/>
          <w:szCs w:val="22"/>
        </w:rPr>
        <w:t>Medida Preventiva: Plan de Desempeño</w:t>
      </w:r>
      <w:r w:rsidRPr="00D4546B">
        <w:rPr>
          <w:rFonts w:ascii="Arial" w:hAnsi="Arial" w:cs="Arial"/>
        </w:rPr>
        <w:fldChar w:fldCharType="end"/>
      </w:r>
      <w:r w:rsidRPr="00D4546B">
        <w:rPr>
          <w:rFonts w:ascii="Arial" w:hAnsi="Arial" w:cs="Arial"/>
          <w:sz w:val="22"/>
          <w:szCs w:val="22"/>
          <w:lang w:val="es-CO"/>
        </w:rPr>
        <w:t>, para un cumplimiento del 37.5%</w:t>
      </w:r>
      <w:r w:rsidRPr="00D4546B">
        <w:rPr>
          <w:rFonts w:ascii="Arial" w:hAnsi="Arial" w:cs="Arial"/>
          <w:sz w:val="22"/>
          <w:szCs w:val="22"/>
          <w:lang w:val="es-CO" w:eastAsia="es-CO"/>
        </w:rPr>
        <w:t>.</w:t>
      </w:r>
    </w:p>
    <w:p w:rsidR="004662E4" w:rsidRPr="00D4546B" w:rsidRDefault="004662E4" w:rsidP="000A5BEA">
      <w:pPr>
        <w:jc w:val="both"/>
        <w:rPr>
          <w:rFonts w:ascii="Arial" w:hAnsi="Arial" w:cs="Arial"/>
          <w:sz w:val="22"/>
          <w:szCs w:val="22"/>
          <w:lang w:val="es-CO"/>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La entidad territorial debe continuar trabajando para mejorar la calidad y consistencia del reporte FUT frente a las ejecuciones y actos administrativos presupuestales. Especialmente con respecto al reporte de recursos SSF y CSF y la incorporación de los recursos de balance.</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 xml:space="preserve">Frente a las deudas del sector educación, se reitera la posición del MHCP sobre las reclamaciones por concepto de Homologación y nivelación salarial y Primas Extralegales, y se insta a la entidad territorial a adelantar un análisis detallado y exhaustivo de estas con el objetivo de determinar su validez desde el ámbito legal. A pesar de que la entidad presenta información del cálculo actuarial, los beneficiarios de cesantías retroactivas, y los </w:t>
      </w:r>
      <w:r w:rsidRPr="00D4546B">
        <w:rPr>
          <w:rFonts w:ascii="Arial" w:hAnsi="Arial" w:cs="Arial"/>
          <w:sz w:val="22"/>
          <w:szCs w:val="22"/>
        </w:rPr>
        <w:lastRenderedPageBreak/>
        <w:t xml:space="preserve">recursos girados durante la vigencia 2019 para su provisión, aún no ha presentado un plan para la </w:t>
      </w:r>
      <w:r w:rsidR="00277B62">
        <w:rPr>
          <w:rFonts w:ascii="Arial" w:hAnsi="Arial" w:cs="Arial"/>
          <w:sz w:val="22"/>
          <w:szCs w:val="22"/>
        </w:rPr>
        <w:t>disposición</w:t>
      </w:r>
      <w:r w:rsidRPr="00D4546B">
        <w:rPr>
          <w:rFonts w:ascii="Arial" w:hAnsi="Arial" w:cs="Arial"/>
          <w:sz w:val="22"/>
          <w:szCs w:val="22"/>
        </w:rPr>
        <w:t xml:space="preserve"> de los recursos necesarios para cubrir este pasivo.</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 xml:space="preserve">La ejecución presupuestal </w:t>
      </w:r>
      <w:r w:rsidR="00277B62">
        <w:rPr>
          <w:rFonts w:ascii="Arial" w:hAnsi="Arial" w:cs="Arial"/>
          <w:sz w:val="22"/>
          <w:szCs w:val="22"/>
        </w:rPr>
        <w:t xml:space="preserve">de gastos </w:t>
      </w:r>
      <w:r w:rsidRPr="00D4546B">
        <w:rPr>
          <w:rFonts w:ascii="Arial" w:hAnsi="Arial" w:cs="Arial"/>
          <w:sz w:val="22"/>
          <w:szCs w:val="22"/>
        </w:rPr>
        <w:t xml:space="preserve">y el reporte en FUT permiten destacar que la entidad cumple con el límite de gastos administrativos definido por el MEN y ejecuta correctamente los recursos de cancelaciones. Con respecto a los compromisos asociados a la atención de población con NEE se encuentra una baja ejecución frente al total de recursos asignados y que la contratación se realiza muy avanzado el calendario escolar pudiendo afectar el proceso de aprendizaje de los estudiantes que requieren apoyo especial. Los compromisos para conectividad también se encuentran por debajo de la asignación para este concepto y se ejecutan tarde en el calendario escolar. Adicionalmente, debe justificarse por qué el contrato 807 de 2019 se encuentra dentro de los usos definidos para los recursos de Conectividad. </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Con respecto a la nómina docente, directiva docente y administrativa se encuentran diferencias importantes entre la liquidación en el sistema HUMANO y el reporte en la ejecución presupuestal y en el FUT. La entidad debe aclarar estas diferencias. Frente a la entrega de dotación en los términos establecidos por la Ley 70 de 1988, no se entrega documento de contratación ni actas de entrega que permitan verificar su cumplimiento.</w:t>
      </w:r>
      <w:r w:rsidR="008040A0">
        <w:rPr>
          <w:rFonts w:ascii="Arial" w:hAnsi="Arial" w:cs="Arial"/>
          <w:sz w:val="22"/>
          <w:szCs w:val="22"/>
        </w:rPr>
        <w:t xml:space="preserve"> </w:t>
      </w:r>
      <w:r w:rsidRPr="00D4546B">
        <w:rPr>
          <w:rFonts w:ascii="Arial" w:hAnsi="Arial" w:cs="Arial"/>
          <w:sz w:val="22"/>
          <w:szCs w:val="22"/>
        </w:rPr>
        <w:t xml:space="preserve">En la ejecución presupuestal </w:t>
      </w:r>
      <w:r w:rsidR="00277B62">
        <w:rPr>
          <w:rFonts w:ascii="Arial" w:hAnsi="Arial" w:cs="Arial"/>
          <w:sz w:val="22"/>
          <w:szCs w:val="22"/>
        </w:rPr>
        <w:t xml:space="preserve">de gastos de la vigencia 2019 </w:t>
      </w:r>
      <w:r w:rsidRPr="00D4546B">
        <w:rPr>
          <w:rFonts w:ascii="Arial" w:hAnsi="Arial" w:cs="Arial"/>
          <w:sz w:val="22"/>
          <w:szCs w:val="22"/>
        </w:rPr>
        <w:t>se reflejan compromisos y obligaciones asociados a este rubro, pero no pagos</w:t>
      </w:r>
      <w:r w:rsidR="00277B62">
        <w:rPr>
          <w:rFonts w:ascii="Arial" w:hAnsi="Arial" w:cs="Arial"/>
          <w:sz w:val="22"/>
          <w:szCs w:val="22"/>
        </w:rPr>
        <w:t>; mientras que en la vigencia 2020 no se registran compromisos ni contratos publicados en SECOP</w:t>
      </w:r>
      <w:r w:rsidRPr="00D4546B">
        <w:rPr>
          <w:rFonts w:ascii="Arial" w:hAnsi="Arial" w:cs="Arial"/>
          <w:sz w:val="22"/>
          <w:szCs w:val="22"/>
        </w:rPr>
        <w:t>. Es necesario que se adelanten las acciones necesarias para el cumplimiento oportuno de esta obligación.</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 xml:space="preserve">La secretaría de educación no remitió información suficiente para el análisis de los contratos de prestación del servicio </w:t>
      </w:r>
      <w:r w:rsidR="00277B62">
        <w:rPr>
          <w:rFonts w:ascii="Arial" w:hAnsi="Arial" w:cs="Arial"/>
          <w:sz w:val="22"/>
          <w:szCs w:val="22"/>
        </w:rPr>
        <w:t xml:space="preserve">educativo </w:t>
      </w:r>
      <w:r w:rsidRPr="00D4546B">
        <w:rPr>
          <w:rFonts w:ascii="Arial" w:hAnsi="Arial" w:cs="Arial"/>
          <w:sz w:val="22"/>
          <w:szCs w:val="22"/>
        </w:rPr>
        <w:t xml:space="preserve">frente al reporte en el FUT, las ejecuciones presupuestales y el SIMAT y el cumplimiento de los requisitos para la contratación del </w:t>
      </w:r>
      <w:r w:rsidR="00277B62">
        <w:rPr>
          <w:rFonts w:ascii="Arial" w:hAnsi="Arial" w:cs="Arial"/>
          <w:sz w:val="22"/>
          <w:szCs w:val="22"/>
        </w:rPr>
        <w:t>mismo</w:t>
      </w:r>
      <w:r w:rsidRPr="00D4546B">
        <w:rPr>
          <w:rFonts w:ascii="Arial" w:hAnsi="Arial" w:cs="Arial"/>
          <w:sz w:val="22"/>
          <w:szCs w:val="22"/>
        </w:rPr>
        <w:t>. Se encuentran inconsistencias entre el valor de los contratos y el valor reportado en la ejecución y el FUT que reflejan un menor valor, sin embargo, no se tiene</w:t>
      </w:r>
      <w:r w:rsidR="00277B62">
        <w:rPr>
          <w:rFonts w:ascii="Arial" w:hAnsi="Arial" w:cs="Arial"/>
          <w:sz w:val="22"/>
          <w:szCs w:val="22"/>
        </w:rPr>
        <w:t xml:space="preserve">n </w:t>
      </w:r>
      <w:r w:rsidRPr="00D4546B">
        <w:rPr>
          <w:rFonts w:ascii="Arial" w:hAnsi="Arial" w:cs="Arial"/>
          <w:sz w:val="22"/>
          <w:szCs w:val="22"/>
        </w:rPr>
        <w:t>informes de supervisión u otro tipo que explique esta diferencia. Tampoco se remitió el estudio de insuficiencia, información sobre la canasta contratada ni documentos que certifiquen la idoneidad del contratista. Se encuentra</w:t>
      </w:r>
      <w:r w:rsidR="00277B62">
        <w:rPr>
          <w:rFonts w:ascii="Arial" w:hAnsi="Arial" w:cs="Arial"/>
          <w:sz w:val="22"/>
          <w:szCs w:val="22"/>
        </w:rPr>
        <w:t>n</w:t>
      </w:r>
      <w:r w:rsidRPr="00D4546B">
        <w:rPr>
          <w:rFonts w:ascii="Arial" w:hAnsi="Arial" w:cs="Arial"/>
          <w:sz w:val="22"/>
          <w:szCs w:val="22"/>
        </w:rPr>
        <w:t xml:space="preserve"> además inconsistencias entre el valor de los contratos y el valor de la matrícula contratada multiplicada por el valor de la tipología correspondiente para la vigencia 2019. Esta diferencia debe ser explicada toda vez que el artículo de la Ley 715 de 2001 establece que </w:t>
      </w:r>
      <w:r w:rsidRPr="00277B62">
        <w:rPr>
          <w:rFonts w:ascii="Arial" w:hAnsi="Arial" w:cs="Arial"/>
          <w:i/>
          <w:sz w:val="22"/>
          <w:szCs w:val="22"/>
        </w:rPr>
        <w:t>“Cuando con cargo al Sistema General de Participaciones los municipios o distritos contraten la prestación del servicio educativo con entidades no estatales, el valor de la prestación del servicio financiado con estos recursos del sistema no podrá ser superior a la asignación por alumno definido por la Nación”.</w:t>
      </w:r>
      <w:r w:rsidRPr="00D4546B">
        <w:rPr>
          <w:rFonts w:ascii="Arial" w:hAnsi="Arial" w:cs="Arial"/>
          <w:sz w:val="22"/>
          <w:szCs w:val="22"/>
        </w:rPr>
        <w:t xml:space="preserve"> </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rPr>
        <w:t xml:space="preserve">La entidad </w:t>
      </w:r>
      <w:r w:rsidR="00277B62">
        <w:rPr>
          <w:rFonts w:ascii="Arial" w:hAnsi="Arial" w:cs="Arial"/>
          <w:sz w:val="22"/>
          <w:szCs w:val="22"/>
        </w:rPr>
        <w:t xml:space="preserve">territorial </w:t>
      </w:r>
      <w:r w:rsidRPr="00D4546B">
        <w:rPr>
          <w:rFonts w:ascii="Arial" w:hAnsi="Arial" w:cs="Arial"/>
          <w:sz w:val="22"/>
          <w:szCs w:val="22"/>
        </w:rPr>
        <w:t>no remitió el reporte trimestral de validaciones del MEN, ni reportes generados desde los sistemas de información</w:t>
      </w:r>
      <w:r w:rsidR="00277B62">
        <w:rPr>
          <w:rFonts w:ascii="Arial" w:hAnsi="Arial" w:cs="Arial"/>
          <w:sz w:val="22"/>
          <w:szCs w:val="22"/>
        </w:rPr>
        <w:t xml:space="preserve"> del sector</w:t>
      </w:r>
      <w:r w:rsidRPr="00D4546B">
        <w:rPr>
          <w:rFonts w:ascii="Arial" w:hAnsi="Arial" w:cs="Arial"/>
          <w:sz w:val="22"/>
          <w:szCs w:val="22"/>
        </w:rPr>
        <w:t xml:space="preserve">. Sin embargo, el análisis de la información enviada permitió evidenciar inconsistencias entre los sistemas de información DUE, SIFSE y HUMANO. La calidad de la información registrada en </w:t>
      </w:r>
      <w:r w:rsidR="00277B62">
        <w:rPr>
          <w:rFonts w:ascii="Arial" w:hAnsi="Arial" w:cs="Arial"/>
          <w:sz w:val="22"/>
          <w:szCs w:val="22"/>
        </w:rPr>
        <w:t xml:space="preserve">dichos </w:t>
      </w:r>
      <w:r w:rsidRPr="00D4546B">
        <w:rPr>
          <w:rFonts w:ascii="Arial" w:hAnsi="Arial" w:cs="Arial"/>
          <w:sz w:val="22"/>
          <w:szCs w:val="22"/>
        </w:rPr>
        <w:t>sistemas es imperativa para garantizar la gestión en condiciones de eficiencia del servicio educativo en el Departamento.</w:t>
      </w:r>
    </w:p>
    <w:p w:rsidR="004662E4" w:rsidRPr="00D4546B" w:rsidRDefault="004662E4" w:rsidP="000A5BEA">
      <w:pPr>
        <w:jc w:val="both"/>
        <w:rPr>
          <w:rFonts w:ascii="Arial" w:hAnsi="Arial" w:cs="Arial"/>
          <w:sz w:val="22"/>
          <w:szCs w:val="22"/>
        </w:rPr>
      </w:pPr>
      <w:r w:rsidRPr="00D4546B">
        <w:rPr>
          <w:rFonts w:ascii="Arial" w:hAnsi="Arial" w:cs="Arial"/>
          <w:sz w:val="22"/>
          <w:szCs w:val="22"/>
        </w:rPr>
        <w:t xml:space="preserve"> </w:t>
      </w:r>
    </w:p>
    <w:p w:rsidR="004662E4" w:rsidRPr="00D4546B" w:rsidRDefault="004662E4" w:rsidP="000A5BEA">
      <w:pPr>
        <w:jc w:val="both"/>
        <w:rPr>
          <w:rFonts w:ascii="Arial" w:hAnsi="Arial" w:cs="Arial"/>
          <w:sz w:val="22"/>
          <w:szCs w:val="22"/>
        </w:rPr>
      </w:pPr>
      <w:r w:rsidRPr="00D4546B">
        <w:rPr>
          <w:rFonts w:ascii="Arial" w:hAnsi="Arial" w:cs="Arial"/>
          <w:sz w:val="22"/>
          <w:szCs w:val="22"/>
        </w:rPr>
        <w:lastRenderedPageBreak/>
        <w:t xml:space="preserve">Finalmente, la no entrega de la información requerida continúa siendo un factor que dificulta la evaluación frente al cumplimiento de las actividades definidas en el plan de desempeño. </w:t>
      </w:r>
    </w:p>
    <w:p w:rsidR="004662E4" w:rsidRPr="00D4546B" w:rsidRDefault="004662E4" w:rsidP="000A5BEA">
      <w:pPr>
        <w:jc w:val="both"/>
        <w:rPr>
          <w:rFonts w:ascii="Arial" w:hAnsi="Arial" w:cs="Arial"/>
          <w:sz w:val="22"/>
          <w:szCs w:val="22"/>
        </w:rPr>
      </w:pPr>
    </w:p>
    <w:p w:rsidR="004662E4" w:rsidRPr="00D4546B" w:rsidRDefault="004662E4" w:rsidP="000A5BEA">
      <w:pPr>
        <w:jc w:val="both"/>
        <w:rPr>
          <w:rFonts w:ascii="Arial" w:hAnsi="Arial" w:cs="Arial"/>
          <w:sz w:val="22"/>
          <w:szCs w:val="22"/>
        </w:rPr>
      </w:pPr>
      <w:r w:rsidRPr="00D4546B">
        <w:rPr>
          <w:rFonts w:ascii="Arial" w:hAnsi="Arial" w:cs="Arial"/>
          <w:sz w:val="22"/>
          <w:szCs w:val="22"/>
          <w:lang w:val="es-CO" w:eastAsia="es-CO"/>
        </w:rPr>
        <w:t>Por lo anterior, se recomienda dar continuidad a los seguimientos periódicos y requerir la información necesaria a la Entidad Territorial hasta evidenciar la superación de los eventos de riesgo que dieron origen a la medida preventiva.</w:t>
      </w:r>
    </w:p>
    <w:bookmarkEnd w:id="10"/>
    <w:p w:rsidR="004662E4" w:rsidRPr="00D4546B" w:rsidRDefault="004662E4" w:rsidP="000A5BEA">
      <w:pPr>
        <w:tabs>
          <w:tab w:val="left" w:pos="3206"/>
          <w:tab w:val="left" w:pos="6338"/>
        </w:tabs>
        <w:jc w:val="both"/>
        <w:rPr>
          <w:rFonts w:ascii="Arial" w:hAnsi="Arial" w:cs="Arial"/>
          <w:sz w:val="22"/>
          <w:szCs w:val="22"/>
        </w:rPr>
      </w:pPr>
    </w:p>
    <w:p w:rsidR="004662E4" w:rsidRPr="00D4546B" w:rsidRDefault="004662E4" w:rsidP="000A5BEA">
      <w:pPr>
        <w:jc w:val="both"/>
        <w:rPr>
          <w:rFonts w:ascii="Arial" w:hAnsi="Arial" w:cs="Arial"/>
          <w:sz w:val="16"/>
          <w:szCs w:val="16"/>
        </w:rPr>
      </w:pPr>
      <w:r w:rsidRPr="00D4546B">
        <w:rPr>
          <w:rFonts w:ascii="Arial" w:hAnsi="Arial" w:cs="Arial"/>
          <w:sz w:val="16"/>
          <w:szCs w:val="16"/>
        </w:rPr>
        <w:t>Aprobó: Fernando Olivera</w:t>
      </w:r>
    </w:p>
    <w:p w:rsidR="004662E4" w:rsidRPr="00D4546B" w:rsidRDefault="004662E4" w:rsidP="000A5BEA">
      <w:pPr>
        <w:jc w:val="both"/>
        <w:rPr>
          <w:rFonts w:ascii="Arial" w:hAnsi="Arial" w:cs="Arial"/>
          <w:sz w:val="16"/>
          <w:szCs w:val="16"/>
        </w:rPr>
      </w:pPr>
      <w:r w:rsidRPr="00D4546B">
        <w:rPr>
          <w:rFonts w:ascii="Arial" w:hAnsi="Arial" w:cs="Arial"/>
          <w:sz w:val="16"/>
          <w:szCs w:val="16"/>
        </w:rPr>
        <w:t xml:space="preserve">Revisión Jurídica. Natalia Espitia </w:t>
      </w:r>
    </w:p>
    <w:p w:rsidR="004662E4" w:rsidRPr="00D4546B" w:rsidRDefault="004662E4" w:rsidP="000A5BEA">
      <w:pPr>
        <w:jc w:val="both"/>
        <w:rPr>
          <w:rFonts w:ascii="Arial" w:hAnsi="Arial" w:cs="Arial"/>
          <w:sz w:val="16"/>
          <w:szCs w:val="16"/>
        </w:rPr>
      </w:pPr>
      <w:r w:rsidRPr="00D4546B">
        <w:rPr>
          <w:rFonts w:ascii="Arial" w:hAnsi="Arial" w:cs="Arial"/>
          <w:sz w:val="16"/>
          <w:szCs w:val="16"/>
        </w:rPr>
        <w:t>Revisión Técnica: Liz Rey</w:t>
      </w:r>
    </w:p>
    <w:p w:rsidR="004662E4" w:rsidRPr="00D4546B" w:rsidRDefault="004662E4" w:rsidP="000A5BEA">
      <w:pPr>
        <w:jc w:val="both"/>
        <w:rPr>
          <w:rFonts w:ascii="Arial" w:hAnsi="Arial" w:cs="Arial"/>
          <w:sz w:val="16"/>
          <w:szCs w:val="16"/>
        </w:rPr>
      </w:pPr>
      <w:r w:rsidRPr="00D4546B">
        <w:rPr>
          <w:rFonts w:ascii="Arial" w:hAnsi="Arial" w:cs="Arial"/>
          <w:sz w:val="16"/>
          <w:szCs w:val="16"/>
        </w:rPr>
        <w:t xml:space="preserve">Elaboró: </w:t>
      </w:r>
      <w:bookmarkStart w:id="11" w:name="ELABORA"/>
      <w:bookmarkEnd w:id="11"/>
      <w:r w:rsidRPr="00D4546B">
        <w:rPr>
          <w:rFonts w:ascii="Arial" w:hAnsi="Arial" w:cs="Arial"/>
          <w:sz w:val="16"/>
          <w:szCs w:val="16"/>
        </w:rPr>
        <w:t>Mario D. Chaves y Patricia Izquierdo</w:t>
      </w:r>
    </w:p>
    <w:p w:rsidR="00F01F75" w:rsidRPr="00D4546B" w:rsidRDefault="00F01F75" w:rsidP="000A5BEA">
      <w:pPr>
        <w:rPr>
          <w:rFonts w:ascii="Arial" w:hAnsi="Arial" w:cs="Arial"/>
        </w:rPr>
      </w:pPr>
    </w:p>
    <w:sectPr w:rsidR="00F01F75" w:rsidRPr="00D4546B" w:rsidSect="004E432F">
      <w:headerReference w:type="default" r:id="rId26"/>
      <w:footerReference w:type="default" r:id="rId27"/>
      <w:headerReference w:type="first" r:id="rId28"/>
      <w:footerReference w:type="first" r:id="rId29"/>
      <w:pgSz w:w="12240" w:h="15840" w:code="1"/>
      <w:pgMar w:top="1985" w:right="1701" w:bottom="1701"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8AA" w:rsidRDefault="00E528AA" w:rsidP="00F71345">
      <w:r>
        <w:separator/>
      </w:r>
    </w:p>
  </w:endnote>
  <w:endnote w:type="continuationSeparator" w:id="0">
    <w:p w:rsidR="00E528AA" w:rsidRDefault="00E528AA"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A5D" w:rsidRPr="00F01F75" w:rsidRDefault="003C2A5D" w:rsidP="00F01F75">
    <w:pPr>
      <w:pStyle w:val="Piedepgina"/>
    </w:pPr>
    <w:r>
      <w:rPr>
        <w:noProof/>
        <w:lang w:eastAsia="es-CO"/>
      </w:rPr>
      <w:drawing>
        <wp:inline distT="0" distB="0" distL="0" distR="0">
          <wp:extent cx="3399155" cy="1014095"/>
          <wp:effectExtent l="0" t="0" r="0" b="0"/>
          <wp:docPr id="20" name="Imagen 20"/>
          <wp:cNvGraphicFramePr/>
          <a:graphic xmlns:a="http://schemas.openxmlformats.org/drawingml/2006/main">
            <a:graphicData uri="http://schemas.openxmlformats.org/drawingml/2006/picture">
              <pic:pic xmlns:pic="http://schemas.openxmlformats.org/drawingml/2006/picture">
                <pic:nvPicPr>
                  <pic:cNvPr id="38" name="Imagen 3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10140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A5D" w:rsidRPr="00F01F75" w:rsidRDefault="003C2A5D" w:rsidP="00F01F75">
    <w:pPr>
      <w:pStyle w:val="Piedepgina"/>
    </w:pPr>
    <w:r>
      <w:rPr>
        <w:noProof/>
        <w:lang w:eastAsia="es-CO"/>
      </w:rPr>
      <w:drawing>
        <wp:inline distT="0" distB="0" distL="0" distR="0">
          <wp:extent cx="3399155" cy="1014095"/>
          <wp:effectExtent l="0" t="0" r="0" b="0"/>
          <wp:docPr id="19" name="Imagen 19"/>
          <wp:cNvGraphicFramePr/>
          <a:graphic xmlns:a="http://schemas.openxmlformats.org/drawingml/2006/main">
            <a:graphicData uri="http://schemas.openxmlformats.org/drawingml/2006/picture">
              <pic:pic xmlns:pic="http://schemas.openxmlformats.org/drawingml/2006/picture">
                <pic:nvPicPr>
                  <pic:cNvPr id="38" name="Imagen 3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10140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8AA" w:rsidRDefault="00E528AA" w:rsidP="00F71345">
      <w:r>
        <w:separator/>
      </w:r>
    </w:p>
  </w:footnote>
  <w:footnote w:type="continuationSeparator" w:id="0">
    <w:p w:rsidR="00E528AA" w:rsidRDefault="00E528AA" w:rsidP="00F71345">
      <w:r>
        <w:continuationSeparator/>
      </w:r>
    </w:p>
  </w:footnote>
  <w:footnote w:id="1">
    <w:p w:rsidR="003C2A5D" w:rsidRDefault="003C2A5D" w:rsidP="004662E4">
      <w:pPr>
        <w:pStyle w:val="Textonotapie"/>
        <w:jc w:val="both"/>
        <w:rPr>
          <w:rFonts w:ascii="Arial" w:hAnsi="Arial" w:cs="Arial"/>
          <w:lang w:val="es-CO"/>
        </w:rPr>
      </w:pPr>
      <w:r>
        <w:rPr>
          <w:rStyle w:val="Refdenotaalpie"/>
          <w:rFonts w:ascii="Arial" w:hAnsi="Arial" w:cs="Arial"/>
        </w:rPr>
        <w:footnoteRef/>
      </w:r>
      <w:r>
        <w:rPr>
          <w:rFonts w:ascii="Arial" w:hAnsi="Arial" w:cs="Arial"/>
        </w:rPr>
        <w:t xml:space="preserve"> </w:t>
      </w:r>
      <w:r>
        <w:rPr>
          <w:rFonts w:ascii="Arial" w:hAnsi="Arial" w:cs="Arial"/>
          <w:lang w:val="es-CO"/>
        </w:rPr>
        <w:t xml:space="preserve">Resolución 001 de 2020 y Decreto No. 0079 de 2020 </w:t>
      </w:r>
    </w:p>
  </w:footnote>
  <w:footnote w:id="2">
    <w:p w:rsidR="003C2A5D" w:rsidRDefault="003C2A5D" w:rsidP="004662E4">
      <w:pPr>
        <w:pStyle w:val="Textonotapie"/>
        <w:jc w:val="both"/>
        <w:rPr>
          <w:rFonts w:ascii="Arial" w:hAnsi="Arial" w:cs="Arial"/>
          <w:sz w:val="18"/>
          <w:lang w:val="es-CO"/>
        </w:rPr>
      </w:pPr>
      <w:r>
        <w:rPr>
          <w:rStyle w:val="Refdenotaalpie"/>
          <w:rFonts w:ascii="Arial" w:hAnsi="Arial" w:cs="Arial"/>
          <w:sz w:val="18"/>
        </w:rPr>
        <w:footnoteRef/>
      </w:r>
      <w:r>
        <w:rPr>
          <w:rFonts w:ascii="Arial" w:hAnsi="Arial" w:cs="Arial"/>
          <w:sz w:val="18"/>
        </w:rPr>
        <w:t xml:space="preserve"> </w:t>
      </w:r>
      <w:r>
        <w:rPr>
          <w:rFonts w:ascii="Arial" w:hAnsi="Arial" w:cs="Arial"/>
          <w:sz w:val="18"/>
          <w:lang w:val="es-CO"/>
        </w:rPr>
        <w:t xml:space="preserve">Resolución 002 de 2019 y Decreto 02 de 2019 </w:t>
      </w:r>
    </w:p>
  </w:footnote>
  <w:footnote w:id="3">
    <w:p w:rsidR="003C2A5D" w:rsidRDefault="003C2A5D" w:rsidP="004662E4">
      <w:pPr>
        <w:pStyle w:val="Textonotapie"/>
      </w:pPr>
      <w:r>
        <w:rPr>
          <w:rStyle w:val="Refdenotaalpie"/>
        </w:rPr>
        <w:footnoteRef/>
      </w:r>
      <w:r>
        <w:t xml:space="preserve"> MEN (2017) Actualización guía 8 Guía para la administración de los recursos financieros del sector educativo. </w:t>
      </w:r>
      <w:hyperlink r:id="rId1" w:history="1">
        <w:r>
          <w:rPr>
            <w:rStyle w:val="Hipervnculo"/>
          </w:rPr>
          <w:t>https://www.mineducacion.gov.co/1759/articles-363148_recurso.pdf</w:t>
        </w:r>
      </w:hyperlink>
    </w:p>
  </w:footnote>
  <w:footnote w:id="4">
    <w:p w:rsidR="003C2A5D" w:rsidRDefault="003C2A5D" w:rsidP="004662E4">
      <w:pPr>
        <w:pStyle w:val="Textonotapie"/>
        <w:rPr>
          <w:lang w:val="es-CO"/>
        </w:rPr>
      </w:pPr>
      <w:r>
        <w:rPr>
          <w:rStyle w:val="Refdenotaalpie"/>
        </w:rPr>
        <w:footnoteRef/>
      </w:r>
      <w:r>
        <w:t xml:space="preserve"> La diferencia en los gastos de personal entre la ejecución presupuestal y el FUT se explica por la ubicación del rubro Costos derivados del mejoramiento de la calidad educativa. Fuente: reportes resumen de nómina HUMANO, FUT, ejecución presupuestal de Gasto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A5D" w:rsidRDefault="003C2A5D" w:rsidP="005C2ADD">
    <w:pPr>
      <w:jc w:val="both"/>
      <w:rPr>
        <w:rFonts w:ascii="Arial" w:hAnsi="Arial" w:cs="Arial"/>
        <w:sz w:val="16"/>
        <w:szCs w:val="16"/>
      </w:rPr>
    </w:pPr>
    <w:r>
      <w:rPr>
        <w:noProof/>
        <w:lang w:val="es-CO" w:eastAsia="es-CO"/>
      </w:rPr>
      <w:drawing>
        <wp:inline distT="0" distB="0" distL="0" distR="0">
          <wp:extent cx="3286125" cy="666750"/>
          <wp:effectExtent l="0" t="0" r="9525" b="0"/>
          <wp:docPr id="21" name="Imagen 2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286125" cy="666750"/>
                  </a:xfrm>
                  <a:prstGeom prst="rect">
                    <a:avLst/>
                  </a:prstGeom>
                </pic:spPr>
              </pic:pic>
            </a:graphicData>
          </a:graphic>
        </wp:inline>
      </w:drawing>
    </w:r>
  </w:p>
  <w:p w:rsidR="003C2A5D" w:rsidRPr="00F01F75" w:rsidRDefault="003C2A5D">
    <w:pPr>
      <w:pStyle w:val="Encabezado"/>
      <w:rPr>
        <w:rFonts w:ascii="Arial" w:hAnsi="Arial" w:cs="Arial"/>
        <w:sz w:val="16"/>
        <w:szCs w:val="16"/>
      </w:rPr>
    </w:pPr>
    <w:r w:rsidRPr="00F01F75">
      <w:rPr>
        <w:rFonts w:ascii="Arial" w:hAnsi="Arial" w:cs="Arial"/>
        <w:sz w:val="16"/>
        <w:szCs w:val="16"/>
      </w:rPr>
      <w:t>Continuación oficio</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D75691">
      <w:rPr>
        <w:rStyle w:val="Nmerodepgina"/>
        <w:rFonts w:ascii="Arial" w:hAnsi="Arial" w:cs="Arial"/>
        <w:noProof/>
        <w:sz w:val="16"/>
        <w:szCs w:val="16"/>
      </w:rPr>
      <w:t>21</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D75691">
      <w:rPr>
        <w:rStyle w:val="Nmerodepgina"/>
        <w:rFonts w:ascii="Arial" w:hAnsi="Arial" w:cs="Arial"/>
        <w:noProof/>
        <w:sz w:val="16"/>
        <w:szCs w:val="16"/>
      </w:rPr>
      <w:t>36</w:t>
    </w:r>
    <w:r w:rsidRPr="00F01F75">
      <w:rPr>
        <w:rStyle w:val="Nmerodepgina"/>
        <w:rFonts w:ascii="Arial" w:hAnsi="Arial" w:cs="Arial"/>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A5D" w:rsidRDefault="003C2A5D" w:rsidP="005C2ADD">
    <w:pPr>
      <w:pStyle w:val="Encabezado"/>
      <w:jc w:val="both"/>
    </w:pPr>
    <w:r>
      <w:rPr>
        <w:noProof/>
        <w:lang w:eastAsia="es-CO"/>
      </w:rPr>
      <w:drawing>
        <wp:inline distT="0" distB="0" distL="0" distR="0">
          <wp:extent cx="3286125" cy="666750"/>
          <wp:effectExtent l="0" t="0" r="9525" b="0"/>
          <wp:docPr id="27" name="Imagen 27"/>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286125" cy="666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4EA"/>
    <w:multiLevelType w:val="hybridMultilevel"/>
    <w:tmpl w:val="99C21BF8"/>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 w15:restartNumberingAfterBreak="0">
    <w:nsid w:val="0BCF2584"/>
    <w:multiLevelType w:val="hybridMultilevel"/>
    <w:tmpl w:val="D7209DB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 w15:restartNumberingAfterBreak="0">
    <w:nsid w:val="0C9B4957"/>
    <w:multiLevelType w:val="hybridMultilevel"/>
    <w:tmpl w:val="30C8F83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337FE2"/>
    <w:multiLevelType w:val="hybridMultilevel"/>
    <w:tmpl w:val="F148EA8C"/>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4" w15:restartNumberingAfterBreak="0">
    <w:nsid w:val="111C06DB"/>
    <w:multiLevelType w:val="hybridMultilevel"/>
    <w:tmpl w:val="5B984FE2"/>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5" w15:restartNumberingAfterBreak="0">
    <w:nsid w:val="15940E38"/>
    <w:multiLevelType w:val="hybridMultilevel"/>
    <w:tmpl w:val="36920F1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6" w15:restartNumberingAfterBreak="0">
    <w:nsid w:val="15FD3F9A"/>
    <w:multiLevelType w:val="hybridMultilevel"/>
    <w:tmpl w:val="F0FC84E4"/>
    <w:lvl w:ilvl="0" w:tplc="90BACEAA">
      <w:start w:val="1"/>
      <w:numFmt w:val="decimal"/>
      <w:lvlText w:val="(%1)"/>
      <w:lvlJc w:val="left"/>
      <w:pPr>
        <w:ind w:left="720" w:hanging="360"/>
      </w:pPr>
      <w:rPr>
        <w:rFonts w:hint="default"/>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3E6694"/>
    <w:multiLevelType w:val="hybridMultilevel"/>
    <w:tmpl w:val="EFA4033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F967AD2"/>
    <w:multiLevelType w:val="hybridMultilevel"/>
    <w:tmpl w:val="4F1E99D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9" w15:restartNumberingAfterBreak="0">
    <w:nsid w:val="22F846B8"/>
    <w:multiLevelType w:val="hybridMultilevel"/>
    <w:tmpl w:val="F0FC84E4"/>
    <w:lvl w:ilvl="0" w:tplc="90BACEAA">
      <w:start w:val="1"/>
      <w:numFmt w:val="decimal"/>
      <w:lvlText w:val="(%1)"/>
      <w:lvlJc w:val="left"/>
      <w:pPr>
        <w:ind w:left="720" w:hanging="360"/>
      </w:pPr>
      <w:rPr>
        <w:rFonts w:hint="default"/>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ABF274D"/>
    <w:multiLevelType w:val="hybridMultilevel"/>
    <w:tmpl w:val="4C6646A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B261B16"/>
    <w:multiLevelType w:val="hybridMultilevel"/>
    <w:tmpl w:val="F6CE003C"/>
    <w:lvl w:ilvl="0" w:tplc="90BACEA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BDF35AB"/>
    <w:multiLevelType w:val="hybridMultilevel"/>
    <w:tmpl w:val="F0FC84E4"/>
    <w:lvl w:ilvl="0" w:tplc="90BACEAA">
      <w:start w:val="1"/>
      <w:numFmt w:val="decimal"/>
      <w:lvlText w:val="(%1)"/>
      <w:lvlJc w:val="left"/>
      <w:pPr>
        <w:ind w:left="720" w:hanging="360"/>
      </w:pPr>
      <w:rPr>
        <w:rFonts w:hint="default"/>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C700538"/>
    <w:multiLevelType w:val="hybridMultilevel"/>
    <w:tmpl w:val="D5ACC6EC"/>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4" w15:restartNumberingAfterBreak="0">
    <w:nsid w:val="471416E9"/>
    <w:multiLevelType w:val="hybridMultilevel"/>
    <w:tmpl w:val="F0FC84E4"/>
    <w:lvl w:ilvl="0" w:tplc="90BACEAA">
      <w:start w:val="1"/>
      <w:numFmt w:val="decimal"/>
      <w:lvlText w:val="(%1)"/>
      <w:lvlJc w:val="left"/>
      <w:pPr>
        <w:ind w:left="720" w:hanging="360"/>
      </w:pPr>
      <w:rPr>
        <w:rFonts w:hint="default"/>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9D41E9E"/>
    <w:multiLevelType w:val="hybridMultilevel"/>
    <w:tmpl w:val="B4D49C2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6" w15:restartNumberingAfterBreak="0">
    <w:nsid w:val="4B717644"/>
    <w:multiLevelType w:val="hybridMultilevel"/>
    <w:tmpl w:val="D9540C9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7" w15:restartNumberingAfterBreak="0">
    <w:nsid w:val="51BB3091"/>
    <w:multiLevelType w:val="hybridMultilevel"/>
    <w:tmpl w:val="54524884"/>
    <w:lvl w:ilvl="0" w:tplc="34F858FC">
      <w:numFmt w:val="bullet"/>
      <w:lvlText w:val="-"/>
      <w:lvlJc w:val="left"/>
      <w:pPr>
        <w:ind w:left="720" w:hanging="360"/>
      </w:pPr>
      <w:rPr>
        <w:rFonts w:ascii="Arial" w:eastAsia="MS Mincho"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77F746A"/>
    <w:multiLevelType w:val="hybridMultilevel"/>
    <w:tmpl w:val="8FDC6D5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9" w15:restartNumberingAfterBreak="0">
    <w:nsid w:val="58864D4A"/>
    <w:multiLevelType w:val="hybridMultilevel"/>
    <w:tmpl w:val="AB4025A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0" w15:restartNumberingAfterBreak="0">
    <w:nsid w:val="5A747046"/>
    <w:multiLevelType w:val="hybridMultilevel"/>
    <w:tmpl w:val="FB347FC4"/>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1" w15:restartNumberingAfterBreak="0">
    <w:nsid w:val="5DFA0297"/>
    <w:multiLevelType w:val="hybridMultilevel"/>
    <w:tmpl w:val="F81E266C"/>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2" w15:restartNumberingAfterBreak="0">
    <w:nsid w:val="6B3525EE"/>
    <w:multiLevelType w:val="hybridMultilevel"/>
    <w:tmpl w:val="A542869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6BE04746"/>
    <w:multiLevelType w:val="hybridMultilevel"/>
    <w:tmpl w:val="1714B3CC"/>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4" w15:restartNumberingAfterBreak="0">
    <w:nsid w:val="6F502577"/>
    <w:multiLevelType w:val="hybridMultilevel"/>
    <w:tmpl w:val="2A5A1AAC"/>
    <w:lvl w:ilvl="0" w:tplc="B064968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24F19BF"/>
    <w:multiLevelType w:val="hybridMultilevel"/>
    <w:tmpl w:val="1FBE3674"/>
    <w:lvl w:ilvl="0" w:tplc="24C066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4384897"/>
    <w:multiLevelType w:val="hybridMultilevel"/>
    <w:tmpl w:val="30C8F83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47035B3"/>
    <w:multiLevelType w:val="hybridMultilevel"/>
    <w:tmpl w:val="8476178E"/>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766E2911"/>
    <w:multiLevelType w:val="hybridMultilevel"/>
    <w:tmpl w:val="5636E0E2"/>
    <w:lvl w:ilvl="0" w:tplc="240A0001">
      <w:start w:val="1"/>
      <w:numFmt w:val="bullet"/>
      <w:lvlText w:val=""/>
      <w:lvlJc w:val="left"/>
      <w:pPr>
        <w:ind w:left="720" w:hanging="720"/>
      </w:pPr>
      <w:rPr>
        <w:rFonts w:ascii="Symbol" w:hAnsi="Symbol"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7B7038FA"/>
    <w:multiLevelType w:val="hybridMultilevel"/>
    <w:tmpl w:val="1FBE3674"/>
    <w:lvl w:ilvl="0" w:tplc="24C06654">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29"/>
  </w:num>
  <w:num w:numId="3">
    <w:abstractNumId w:val="10"/>
  </w:num>
  <w:num w:numId="4">
    <w:abstractNumId w:val="25"/>
  </w:num>
  <w:num w:numId="5">
    <w:abstractNumId w:val="2"/>
  </w:num>
  <w:num w:numId="6">
    <w:abstractNumId w:val="26"/>
  </w:num>
  <w:num w:numId="7">
    <w:abstractNumId w:val="17"/>
  </w:num>
  <w:num w:numId="8">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8"/>
  </w:num>
  <w:num w:numId="14">
    <w:abstractNumId w:val="27"/>
  </w:num>
  <w:num w:numId="15">
    <w:abstractNumId w:val="5"/>
  </w:num>
  <w:num w:numId="16">
    <w:abstractNumId w:val="1"/>
  </w:num>
  <w:num w:numId="17">
    <w:abstractNumId w:val="0"/>
  </w:num>
  <w:num w:numId="18">
    <w:abstractNumId w:val="23"/>
  </w:num>
  <w:num w:numId="19">
    <w:abstractNumId w:val="16"/>
  </w:num>
  <w:num w:numId="20">
    <w:abstractNumId w:val="22"/>
  </w:num>
  <w:num w:numId="21">
    <w:abstractNumId w:val="20"/>
  </w:num>
  <w:num w:numId="22">
    <w:abstractNumId w:val="3"/>
  </w:num>
  <w:num w:numId="23">
    <w:abstractNumId w:val="15"/>
  </w:num>
  <w:num w:numId="24">
    <w:abstractNumId w:val="21"/>
  </w:num>
  <w:num w:numId="25">
    <w:abstractNumId w:val="19"/>
  </w:num>
  <w:num w:numId="26">
    <w:abstractNumId w:val="4"/>
  </w:num>
  <w:num w:numId="27">
    <w:abstractNumId w:val="8"/>
  </w:num>
  <w:num w:numId="28">
    <w:abstractNumId w:val="28"/>
  </w:num>
  <w:num w:numId="29">
    <w:abstractNumId w:val="9"/>
  </w:num>
  <w:num w:numId="30">
    <w:abstractNumId w:val="24"/>
  </w:num>
  <w:num w:numId="31">
    <w:abstractNumId w:val="6"/>
  </w:num>
  <w:num w:numId="32">
    <w:abstractNumId w:val="11"/>
  </w:num>
  <w:num w:numId="33">
    <w:abstractNumId w:val="12"/>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99"/>
    <w:rsid w:val="00073A1F"/>
    <w:rsid w:val="000805F1"/>
    <w:rsid w:val="000877D1"/>
    <w:rsid w:val="000A5BEA"/>
    <w:rsid w:val="000C2C73"/>
    <w:rsid w:val="000E7552"/>
    <w:rsid w:val="0011263A"/>
    <w:rsid w:val="001339E2"/>
    <w:rsid w:val="0013472A"/>
    <w:rsid w:val="00153C65"/>
    <w:rsid w:val="001864C8"/>
    <w:rsid w:val="001976D2"/>
    <w:rsid w:val="001A00F6"/>
    <w:rsid w:val="001B507A"/>
    <w:rsid w:val="001C3A83"/>
    <w:rsid w:val="001F7009"/>
    <w:rsid w:val="0022264A"/>
    <w:rsid w:val="0024487B"/>
    <w:rsid w:val="00277B62"/>
    <w:rsid w:val="002A6351"/>
    <w:rsid w:val="002A79FE"/>
    <w:rsid w:val="002B2E03"/>
    <w:rsid w:val="002C4777"/>
    <w:rsid w:val="002D72A6"/>
    <w:rsid w:val="002E0861"/>
    <w:rsid w:val="002E5FA2"/>
    <w:rsid w:val="00303F33"/>
    <w:rsid w:val="0033289D"/>
    <w:rsid w:val="0034312A"/>
    <w:rsid w:val="00345AEE"/>
    <w:rsid w:val="0035303A"/>
    <w:rsid w:val="00364B0A"/>
    <w:rsid w:val="003B4DD5"/>
    <w:rsid w:val="003C2A5D"/>
    <w:rsid w:val="003C4B01"/>
    <w:rsid w:val="003C6D25"/>
    <w:rsid w:val="003D798F"/>
    <w:rsid w:val="003E632D"/>
    <w:rsid w:val="003F1C3D"/>
    <w:rsid w:val="0040070E"/>
    <w:rsid w:val="00403BF6"/>
    <w:rsid w:val="00410C94"/>
    <w:rsid w:val="00414845"/>
    <w:rsid w:val="0044344C"/>
    <w:rsid w:val="004519AC"/>
    <w:rsid w:val="00452CAE"/>
    <w:rsid w:val="004662E4"/>
    <w:rsid w:val="00472DB8"/>
    <w:rsid w:val="00473B82"/>
    <w:rsid w:val="0047539A"/>
    <w:rsid w:val="004A2D09"/>
    <w:rsid w:val="004A4330"/>
    <w:rsid w:val="004B16C1"/>
    <w:rsid w:val="004E432F"/>
    <w:rsid w:val="004E7B18"/>
    <w:rsid w:val="00504C0C"/>
    <w:rsid w:val="0055013B"/>
    <w:rsid w:val="00561999"/>
    <w:rsid w:val="0056792B"/>
    <w:rsid w:val="005B2D9A"/>
    <w:rsid w:val="005B2E99"/>
    <w:rsid w:val="005C2ADD"/>
    <w:rsid w:val="005C6301"/>
    <w:rsid w:val="005D5DA0"/>
    <w:rsid w:val="005E1133"/>
    <w:rsid w:val="005F2D21"/>
    <w:rsid w:val="006204C3"/>
    <w:rsid w:val="00620EDB"/>
    <w:rsid w:val="006252FE"/>
    <w:rsid w:val="00625FC7"/>
    <w:rsid w:val="0063188F"/>
    <w:rsid w:val="00687E5C"/>
    <w:rsid w:val="006A29E0"/>
    <w:rsid w:val="006C09E2"/>
    <w:rsid w:val="006C2B4A"/>
    <w:rsid w:val="006E18DB"/>
    <w:rsid w:val="006E4963"/>
    <w:rsid w:val="00700DAA"/>
    <w:rsid w:val="00702037"/>
    <w:rsid w:val="00703D3D"/>
    <w:rsid w:val="00736096"/>
    <w:rsid w:val="00753D6E"/>
    <w:rsid w:val="007652F6"/>
    <w:rsid w:val="00774DC9"/>
    <w:rsid w:val="007760F2"/>
    <w:rsid w:val="00785277"/>
    <w:rsid w:val="007912FF"/>
    <w:rsid w:val="007D7427"/>
    <w:rsid w:val="008040A0"/>
    <w:rsid w:val="00804184"/>
    <w:rsid w:val="008049C7"/>
    <w:rsid w:val="008170BE"/>
    <w:rsid w:val="008540DC"/>
    <w:rsid w:val="00862A45"/>
    <w:rsid w:val="00863747"/>
    <w:rsid w:val="00870E09"/>
    <w:rsid w:val="00872145"/>
    <w:rsid w:val="00874628"/>
    <w:rsid w:val="008A2D0E"/>
    <w:rsid w:val="008B29F2"/>
    <w:rsid w:val="008C705B"/>
    <w:rsid w:val="008E5F31"/>
    <w:rsid w:val="00931D87"/>
    <w:rsid w:val="0098560F"/>
    <w:rsid w:val="00996E4F"/>
    <w:rsid w:val="009A14D9"/>
    <w:rsid w:val="009B58D4"/>
    <w:rsid w:val="009B66EF"/>
    <w:rsid w:val="009C57BA"/>
    <w:rsid w:val="009F102C"/>
    <w:rsid w:val="009F1853"/>
    <w:rsid w:val="00A33BAE"/>
    <w:rsid w:val="00A45C91"/>
    <w:rsid w:val="00A5766A"/>
    <w:rsid w:val="00A63E00"/>
    <w:rsid w:val="00A82889"/>
    <w:rsid w:val="00A97D17"/>
    <w:rsid w:val="00AB6A00"/>
    <w:rsid w:val="00AD0830"/>
    <w:rsid w:val="00B038F3"/>
    <w:rsid w:val="00B12358"/>
    <w:rsid w:val="00B22F0D"/>
    <w:rsid w:val="00B36D01"/>
    <w:rsid w:val="00B44184"/>
    <w:rsid w:val="00B51957"/>
    <w:rsid w:val="00B51F51"/>
    <w:rsid w:val="00B55E28"/>
    <w:rsid w:val="00B74688"/>
    <w:rsid w:val="00BA1928"/>
    <w:rsid w:val="00BA2152"/>
    <w:rsid w:val="00BB0768"/>
    <w:rsid w:val="00BB5205"/>
    <w:rsid w:val="00BC1762"/>
    <w:rsid w:val="00BD357D"/>
    <w:rsid w:val="00BE440E"/>
    <w:rsid w:val="00BF557D"/>
    <w:rsid w:val="00C14B45"/>
    <w:rsid w:val="00C30590"/>
    <w:rsid w:val="00C407FD"/>
    <w:rsid w:val="00C447A9"/>
    <w:rsid w:val="00C668DD"/>
    <w:rsid w:val="00CA5028"/>
    <w:rsid w:val="00CB5270"/>
    <w:rsid w:val="00D071CA"/>
    <w:rsid w:val="00D10AFC"/>
    <w:rsid w:val="00D2162C"/>
    <w:rsid w:val="00D43675"/>
    <w:rsid w:val="00D4546B"/>
    <w:rsid w:val="00D45F04"/>
    <w:rsid w:val="00D75691"/>
    <w:rsid w:val="00DA25AB"/>
    <w:rsid w:val="00DB540A"/>
    <w:rsid w:val="00DC25D3"/>
    <w:rsid w:val="00DD3C5C"/>
    <w:rsid w:val="00DD4C14"/>
    <w:rsid w:val="00DF13EB"/>
    <w:rsid w:val="00E215B5"/>
    <w:rsid w:val="00E528AA"/>
    <w:rsid w:val="00E543C2"/>
    <w:rsid w:val="00E61E67"/>
    <w:rsid w:val="00E81E8B"/>
    <w:rsid w:val="00E84BA1"/>
    <w:rsid w:val="00E962A5"/>
    <w:rsid w:val="00E97BFD"/>
    <w:rsid w:val="00EB5584"/>
    <w:rsid w:val="00EE231F"/>
    <w:rsid w:val="00EF523B"/>
    <w:rsid w:val="00F018CE"/>
    <w:rsid w:val="00F01F75"/>
    <w:rsid w:val="00F04D0A"/>
    <w:rsid w:val="00F12AC7"/>
    <w:rsid w:val="00F12AF4"/>
    <w:rsid w:val="00F17232"/>
    <w:rsid w:val="00F229AE"/>
    <w:rsid w:val="00F65748"/>
    <w:rsid w:val="00F71345"/>
    <w:rsid w:val="00F8472A"/>
    <w:rsid w:val="00F970D0"/>
    <w:rsid w:val="00FB58C7"/>
    <w:rsid w:val="00FC4A3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87F77F-7E09-4E4A-818D-68DF951A7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830"/>
    <w:rPr>
      <w:rFonts w:ascii="Times New Roman" w:eastAsia="MS Mincho"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5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basedOn w:val="Normal"/>
    <w:uiPriority w:val="34"/>
    <w:qFormat/>
    <w:rsid w:val="003D798F"/>
    <w:pPr>
      <w:ind w:left="720"/>
      <w:contextualSpacing/>
    </w:pPr>
  </w:style>
  <w:style w:type="paragraph" w:styleId="Subttulo">
    <w:name w:val="Subtitle"/>
    <w:aliases w:val="Tablas"/>
    <w:basedOn w:val="Normal"/>
    <w:next w:val="Normal"/>
    <w:link w:val="SubttuloCar"/>
    <w:uiPriority w:val="11"/>
    <w:qFormat/>
    <w:rsid w:val="002C4777"/>
    <w:pPr>
      <w:numPr>
        <w:ilvl w:val="1"/>
      </w:numPr>
      <w:jc w:val="both"/>
    </w:pPr>
    <w:rPr>
      <w:rFonts w:ascii="Arial" w:eastAsiaTheme="majorEastAsia" w:hAnsi="Arial" w:cstheme="majorBidi"/>
      <w:iCs/>
      <w:spacing w:val="15"/>
      <w:sz w:val="16"/>
    </w:rPr>
  </w:style>
  <w:style w:type="character" w:customStyle="1" w:styleId="SubttuloCar">
    <w:name w:val="Subtítulo Car"/>
    <w:aliases w:val="Tablas Car"/>
    <w:basedOn w:val="Fuentedeprrafopredeter"/>
    <w:link w:val="Subttulo"/>
    <w:uiPriority w:val="11"/>
    <w:rsid w:val="002C4777"/>
    <w:rPr>
      <w:rFonts w:ascii="Arial" w:eastAsiaTheme="majorEastAsia" w:hAnsi="Arial" w:cstheme="majorBidi"/>
      <w:iCs/>
      <w:spacing w:val="15"/>
      <w:sz w:val="16"/>
      <w:szCs w:val="24"/>
      <w:lang w:val="es-ES" w:eastAsia="es-ES"/>
    </w:rPr>
  </w:style>
  <w:style w:type="character" w:styleId="nfasissutil">
    <w:name w:val="Subtle Emphasis"/>
    <w:aliases w:val="Notas al pie"/>
    <w:basedOn w:val="Fuentedeprrafopredeter"/>
    <w:uiPriority w:val="19"/>
    <w:qFormat/>
    <w:rsid w:val="002C4777"/>
    <w:rPr>
      <w:rFonts w:ascii="Arial" w:hAnsi="Arial"/>
      <w:i w:val="0"/>
      <w:iCs/>
      <w:color w:val="auto"/>
      <w:sz w:val="16"/>
    </w:rPr>
  </w:style>
  <w:style w:type="paragraph" w:styleId="NormalWeb">
    <w:name w:val="Normal (Web)"/>
    <w:basedOn w:val="Normal"/>
    <w:uiPriority w:val="99"/>
    <w:semiHidden/>
    <w:unhideWhenUsed/>
    <w:rsid w:val="004662E4"/>
    <w:pPr>
      <w:spacing w:before="100" w:beforeAutospacing="1" w:after="100" w:afterAutospacing="1"/>
    </w:pPr>
    <w:rPr>
      <w:rFonts w:eastAsia="Times New Roman"/>
      <w:lang w:val="es-CO" w:eastAsia="es-CO"/>
    </w:rPr>
  </w:style>
  <w:style w:type="paragraph" w:styleId="Textonotapie">
    <w:name w:val="footnote text"/>
    <w:basedOn w:val="Normal"/>
    <w:link w:val="TextonotapieCar"/>
    <w:uiPriority w:val="99"/>
    <w:semiHidden/>
    <w:unhideWhenUsed/>
    <w:rsid w:val="004662E4"/>
    <w:rPr>
      <w:sz w:val="20"/>
      <w:szCs w:val="20"/>
    </w:rPr>
  </w:style>
  <w:style w:type="character" w:customStyle="1" w:styleId="TextonotapieCar">
    <w:name w:val="Texto nota pie Car"/>
    <w:basedOn w:val="Fuentedeprrafopredeter"/>
    <w:link w:val="Textonotapie"/>
    <w:uiPriority w:val="99"/>
    <w:semiHidden/>
    <w:rsid w:val="004662E4"/>
    <w:rPr>
      <w:rFonts w:ascii="Times New Roman" w:eastAsia="MS Mincho" w:hAnsi="Times New Roman" w:cs="Times New Roman"/>
      <w:sz w:val="20"/>
      <w:szCs w:val="20"/>
      <w:lang w:val="es-ES" w:eastAsia="es-ES"/>
    </w:rPr>
  </w:style>
  <w:style w:type="character" w:styleId="Refdenotaalpie">
    <w:name w:val="footnote reference"/>
    <w:basedOn w:val="Fuentedeprrafopredeter"/>
    <w:uiPriority w:val="99"/>
    <w:semiHidden/>
    <w:unhideWhenUsed/>
    <w:rsid w:val="004662E4"/>
    <w:rPr>
      <w:vertAlign w:val="superscript"/>
    </w:rPr>
  </w:style>
  <w:style w:type="character" w:styleId="Refdecomentario">
    <w:name w:val="annotation reference"/>
    <w:basedOn w:val="Fuentedeprrafopredeter"/>
    <w:uiPriority w:val="99"/>
    <w:semiHidden/>
    <w:unhideWhenUsed/>
    <w:rsid w:val="004662E4"/>
    <w:rPr>
      <w:sz w:val="16"/>
      <w:szCs w:val="16"/>
    </w:rPr>
  </w:style>
  <w:style w:type="paragraph" w:styleId="Sinespaciado">
    <w:name w:val="No Spacing"/>
    <w:basedOn w:val="Normal"/>
    <w:uiPriority w:val="1"/>
    <w:qFormat/>
    <w:rsid w:val="00753D6E"/>
    <w:rPr>
      <w:rFonts w:asciiTheme="minorHAnsi" w:eastAsiaTheme="minorHAnsi" w:hAnsiTheme="minorHAnsi" w:cstheme="minorBidi"/>
      <w:sz w:val="22"/>
      <w:szCs w:val="22"/>
      <w:lang w:val="es-CO" w:eastAsia="en-US"/>
    </w:rPr>
  </w:style>
  <w:style w:type="paragraph" w:styleId="Textocomentario">
    <w:name w:val="annotation text"/>
    <w:basedOn w:val="Normal"/>
    <w:link w:val="TextocomentarioCar"/>
    <w:uiPriority w:val="99"/>
    <w:unhideWhenUsed/>
    <w:rsid w:val="00303F33"/>
    <w:rPr>
      <w:sz w:val="20"/>
      <w:szCs w:val="20"/>
    </w:rPr>
  </w:style>
  <w:style w:type="character" w:customStyle="1" w:styleId="TextocomentarioCar">
    <w:name w:val="Texto comentario Car"/>
    <w:basedOn w:val="Fuentedeprrafopredeter"/>
    <w:link w:val="Textocomentario"/>
    <w:uiPriority w:val="99"/>
    <w:rsid w:val="00303F33"/>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03F33"/>
    <w:rPr>
      <w:b/>
      <w:bCs/>
    </w:rPr>
  </w:style>
  <w:style w:type="character" w:customStyle="1" w:styleId="AsuntodelcomentarioCar">
    <w:name w:val="Asunto del comentario Car"/>
    <w:basedOn w:val="TextocomentarioCar"/>
    <w:link w:val="Asuntodelcomentario"/>
    <w:uiPriority w:val="99"/>
    <w:semiHidden/>
    <w:rsid w:val="00303F33"/>
    <w:rPr>
      <w:rFonts w:ascii="Times New Roman" w:eastAsia="MS Mincho"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806957">
      <w:bodyDiv w:val="1"/>
      <w:marLeft w:val="0"/>
      <w:marRight w:val="0"/>
      <w:marTop w:val="0"/>
      <w:marBottom w:val="0"/>
      <w:divBdr>
        <w:top w:val="none" w:sz="0" w:space="0" w:color="auto"/>
        <w:left w:val="none" w:sz="0" w:space="0" w:color="auto"/>
        <w:bottom w:val="none" w:sz="0" w:space="0" w:color="auto"/>
        <w:right w:val="none" w:sz="0" w:space="0" w:color="auto"/>
      </w:divBdr>
    </w:div>
    <w:div w:id="1548296895">
      <w:bodyDiv w:val="1"/>
      <w:marLeft w:val="0"/>
      <w:marRight w:val="0"/>
      <w:marTop w:val="0"/>
      <w:marBottom w:val="0"/>
      <w:divBdr>
        <w:top w:val="none" w:sz="0" w:space="0" w:color="auto"/>
        <w:left w:val="none" w:sz="0" w:space="0" w:color="auto"/>
        <w:bottom w:val="none" w:sz="0" w:space="0" w:color="auto"/>
        <w:right w:val="none" w:sz="0" w:space="0" w:color="auto"/>
      </w:divBdr>
    </w:div>
    <w:div w:id="1592741276">
      <w:bodyDiv w:val="1"/>
      <w:marLeft w:val="0"/>
      <w:marRight w:val="0"/>
      <w:marTop w:val="0"/>
      <w:marBottom w:val="0"/>
      <w:divBdr>
        <w:top w:val="none" w:sz="0" w:space="0" w:color="auto"/>
        <w:left w:val="none" w:sz="0" w:space="0" w:color="auto"/>
        <w:bottom w:val="none" w:sz="0" w:space="0" w:color="auto"/>
        <w:right w:val="none" w:sz="0" w:space="0" w:color="auto"/>
      </w:divBdr>
    </w:div>
    <w:div w:id="214462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footer" Target="footer2.xml"/><Relationship Id="rId24" Type="http://schemas.openxmlformats.org/officeDocument/2006/relationships/image" Target="media/image13.emf"/><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8.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6.wmf"/></Relationships>
</file>

<file path=word/_rels/footer2.xml.rels><?xml version="1.0" encoding="UTF-8" standalone="yes"?>
<Relationships xmlns="http://schemas.openxmlformats.org/package/2006/relationships"><Relationship Id="rId1" Type="http://schemas.openxmlformats.org/officeDocument/2006/relationships/image" Target="media/image16.wmf"/></Relationships>
</file>

<file path=word/_rels/footnotes.xml.rels><?xml version="1.0" encoding="UTF-8" standalone="yes"?>
<Relationships xmlns="http://schemas.openxmlformats.org/package/2006/relationships"><Relationship Id="rId1" Type="http://schemas.openxmlformats.org/officeDocument/2006/relationships/hyperlink" Target="https://www.mineducacion.gov.co/1759/articles-363148_recurs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Fecha xmlns="2b710913-f553-4708-ac69-012d148fa8aa" xsi:nil="true"/>
    <Fecha1 xmlns="2b710913-f553-4708-ac69-012d148fa8aa" xsi:nil="true"/>
    <Cargado xmlns="2b710913-f553-4708-ac69-012d148fa8aa">false</Cargado>
    <lcf76f155ced4ddcb4097134ff3c332f xmlns="2b710913-f553-4708-ac69-012d148fa8aa">
      <Terms xmlns="http://schemas.microsoft.com/office/infopath/2007/PartnerControls"/>
    </lcf76f155ced4ddcb4097134ff3c332f>
    <SEMANA xmlns="2b710913-f553-4708-ac69-012d148fa8aa"/>
    <TaxCatchAll xmlns="fb81f478-06d5-40fe-9ac3-32aa24d1e62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Props1.xml><?xml version="1.0" encoding="utf-8"?>
<ds:datastoreItem xmlns:ds="http://schemas.openxmlformats.org/officeDocument/2006/customXml" ds:itemID="{193EFF50-D46A-43E1-97BB-C7CA6A9B77F7}">
  <ds:schemaRefs>
    <ds:schemaRef ds:uri="http://schemas.microsoft.com/sharepoint/events"/>
  </ds:schemaRefs>
</ds:datastoreItem>
</file>

<file path=customXml/itemProps2.xml><?xml version="1.0" encoding="utf-8"?>
<ds:datastoreItem xmlns:ds="http://schemas.openxmlformats.org/officeDocument/2006/customXml" ds:itemID="{D9FBB71E-3C12-49C1-B1B0-C1E010236EAE}"/>
</file>

<file path=customXml/itemProps3.xml><?xml version="1.0" encoding="utf-8"?>
<ds:datastoreItem xmlns:ds="http://schemas.openxmlformats.org/officeDocument/2006/customXml" ds:itemID="{63763FBD-BED9-489B-BD4F-ED4D9529883F}">
  <ds:schemaRefs>
    <ds:schemaRef ds:uri="http://schemas.microsoft.com/office/2006/metadata/properties"/>
    <ds:schemaRef ds:uri="http://schemas.microsoft.com/office/infopath/2007/PartnerControls"/>
    <ds:schemaRef ds:uri="68aa4d9b-49e9-4141-85be-49b88062f9db"/>
    <ds:schemaRef ds:uri="9b439fa8-e993-4352-b14e-36bd4af4dd6d"/>
  </ds:schemaRefs>
</ds:datastoreItem>
</file>

<file path=customXml/itemProps4.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5.xml><?xml version="1.0" encoding="utf-8"?>
<ds:datastoreItem xmlns:ds="http://schemas.openxmlformats.org/officeDocument/2006/customXml" ds:itemID="{713FA9F2-5003-40AA-ACB4-3AA5A328C5E0}">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Plantilla_Oficio_Comunicación_Oficial_Enviada</Template>
  <TotalTime>0</TotalTime>
  <Pages>36</Pages>
  <Words>13619</Words>
  <Characters>74906</Characters>
  <Application>Microsoft Office Word</Application>
  <DocSecurity>0</DocSecurity>
  <Lines>624</Lines>
  <Paragraphs>176</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88349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dc:description>Octubre de 2014</dc:description>
  <cp:lastModifiedBy>Pablo Andres Parra Cubides</cp:lastModifiedBy>
  <cp:revision>2</cp:revision>
  <cp:lastPrinted>2015-01-16T15:21:00Z</cp:lastPrinted>
  <dcterms:created xsi:type="dcterms:W3CDTF">2022-06-17T21:49:00Z</dcterms:created>
  <dcterms:modified xsi:type="dcterms:W3CDTF">2022-06-17T21:49:00Z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