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7A8A" w14:textId="77777777" w:rsidR="00DA7276" w:rsidRDefault="00DA7276" w:rsidP="008F6530">
      <w:pPr>
        <w:pStyle w:val="Ttulo1"/>
        <w:ind w:left="97" w:right="117"/>
        <w:jc w:val="center"/>
        <w:rPr>
          <w:lang w:val="es-CO"/>
        </w:rPr>
      </w:pPr>
      <w:r>
        <w:rPr>
          <w:lang w:val="es-CO"/>
        </w:rPr>
        <w:t>INFORME EJECUTIVO DE SEGUIMIENTO A LA MEDIDA PREVENTIVA DE PLAN DE DESEMPEÑO EN EL SECTOR EDUCATIVO, ADOPTADA EN EL DEPARTAMENTO DE QUINDÍO, EN APLICACIÓN DEL DECRETO 028 DE 2008</w:t>
      </w:r>
    </w:p>
    <w:p w14:paraId="76F2D5B3" w14:textId="77777777" w:rsidR="00DA7276" w:rsidRDefault="00DA7276" w:rsidP="008F6530">
      <w:pPr>
        <w:rPr>
          <w:rFonts w:ascii="Arial" w:hAnsi="Arial" w:cs="Arial"/>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3374"/>
        <w:gridCol w:w="5454"/>
      </w:tblGrid>
      <w:tr w:rsidR="00DA7276" w:rsidRPr="00291346" w14:paraId="7B7609C6" w14:textId="77777777" w:rsidTr="00DA7276">
        <w:tc>
          <w:tcPr>
            <w:tcW w:w="191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5CFD1E80" w14:textId="77777777" w:rsidR="00DA7276" w:rsidRPr="00291346" w:rsidRDefault="00DA7276" w:rsidP="008F6530">
            <w:pPr>
              <w:pStyle w:val="NormalWeb"/>
              <w:spacing w:before="0" w:beforeAutospacing="0" w:after="0" w:afterAutospacing="0"/>
              <w:jc w:val="both"/>
              <w:rPr>
                <w:rFonts w:ascii="Arial" w:hAnsi="Arial" w:cs="Arial"/>
                <w:i/>
                <w:iCs/>
                <w:sz w:val="18"/>
                <w:szCs w:val="18"/>
                <w:lang w:val="es-CO"/>
              </w:rPr>
            </w:pPr>
            <w:r w:rsidRPr="00291346">
              <w:rPr>
                <w:rFonts w:ascii="Arial" w:hAnsi="Arial" w:cs="Arial"/>
                <w:i/>
                <w:iCs/>
                <w:sz w:val="18"/>
                <w:szCs w:val="18"/>
                <w:lang w:val="es-CO"/>
              </w:rPr>
              <w:t>Número de Expediente</w:t>
            </w:r>
          </w:p>
        </w:tc>
        <w:tc>
          <w:tcPr>
            <w:tcW w:w="308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7587F2AF" w14:textId="77777777" w:rsidR="00DA7276" w:rsidRPr="00291346" w:rsidRDefault="00DA7276" w:rsidP="008F6530">
            <w:pPr>
              <w:pStyle w:val="NormalWeb"/>
              <w:spacing w:before="0" w:beforeAutospacing="0" w:after="0" w:afterAutospacing="0"/>
              <w:rPr>
                <w:rFonts w:ascii="Arial" w:hAnsi="Arial" w:cs="Arial"/>
                <w:i/>
                <w:iCs/>
                <w:sz w:val="18"/>
                <w:szCs w:val="18"/>
                <w:lang w:val="es-CO"/>
              </w:rPr>
            </w:pPr>
            <w:proofErr w:type="spellStart"/>
            <w:r w:rsidRPr="00291346">
              <w:rPr>
                <w:rFonts w:ascii="Arial" w:hAnsi="Arial" w:cs="Arial"/>
                <w:i/>
                <w:iCs/>
                <w:sz w:val="18"/>
                <w:szCs w:val="18"/>
                <w:lang w:val="es-CO"/>
              </w:rPr>
              <w:t>Nº</w:t>
            </w:r>
            <w:proofErr w:type="spellEnd"/>
            <w:r w:rsidRPr="00291346">
              <w:rPr>
                <w:rFonts w:ascii="Arial" w:hAnsi="Arial" w:cs="Arial"/>
                <w:i/>
                <w:iCs/>
                <w:sz w:val="18"/>
                <w:szCs w:val="18"/>
                <w:lang w:val="es-CO"/>
              </w:rPr>
              <w:t>: 148/2017/D028-PREDI</w:t>
            </w:r>
          </w:p>
        </w:tc>
      </w:tr>
      <w:tr w:rsidR="00DA7276" w:rsidRPr="00291346" w14:paraId="64069012" w14:textId="77777777" w:rsidTr="00DA7276">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7A61E7D6" w14:textId="77777777" w:rsidR="00DA7276" w:rsidRPr="00291346" w:rsidRDefault="00DA7276" w:rsidP="008F6530">
            <w:pPr>
              <w:pStyle w:val="NormalWeb"/>
              <w:spacing w:before="0" w:beforeAutospacing="0" w:after="0" w:afterAutospacing="0"/>
              <w:jc w:val="both"/>
              <w:rPr>
                <w:rFonts w:ascii="Arial" w:hAnsi="Arial" w:cs="Arial"/>
                <w:i/>
                <w:iCs/>
                <w:sz w:val="18"/>
                <w:szCs w:val="18"/>
                <w:lang w:val="es-CO"/>
              </w:rPr>
            </w:pPr>
            <w:r w:rsidRPr="00291346">
              <w:rPr>
                <w:rFonts w:ascii="Arial" w:hAnsi="Arial" w:cs="Arial"/>
                <w:i/>
                <w:iCs/>
                <w:sz w:val="18"/>
                <w:szCs w:val="18"/>
                <w:lang w:val="es-CO"/>
              </w:rPr>
              <w:t>Sector</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9080723" w14:textId="77777777" w:rsidR="00DA7276" w:rsidRPr="00291346" w:rsidRDefault="00DA7276" w:rsidP="008F6530">
            <w:pPr>
              <w:pStyle w:val="NormalWeb"/>
              <w:spacing w:before="0" w:beforeAutospacing="0" w:after="0" w:afterAutospacing="0"/>
              <w:rPr>
                <w:rFonts w:ascii="Arial" w:hAnsi="Arial" w:cs="Arial"/>
                <w:i/>
                <w:iCs/>
                <w:sz w:val="18"/>
                <w:szCs w:val="18"/>
                <w:lang w:val="es-CO"/>
              </w:rPr>
            </w:pPr>
            <w:r w:rsidRPr="00291346">
              <w:rPr>
                <w:rFonts w:ascii="Arial" w:hAnsi="Arial" w:cs="Arial"/>
                <w:i/>
                <w:iCs/>
                <w:sz w:val="18"/>
                <w:szCs w:val="18"/>
                <w:lang w:val="es-CO"/>
              </w:rPr>
              <w:t>Educación</w:t>
            </w:r>
          </w:p>
        </w:tc>
      </w:tr>
      <w:tr w:rsidR="00DA7276" w:rsidRPr="00291346" w14:paraId="169DE8BB" w14:textId="77777777" w:rsidTr="00DA7276">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6AD1F1E1" w14:textId="77777777" w:rsidR="00DA7276" w:rsidRPr="00291346" w:rsidRDefault="00DA7276" w:rsidP="008F6530">
            <w:pPr>
              <w:pStyle w:val="NormalWeb"/>
              <w:spacing w:before="0" w:beforeAutospacing="0" w:after="0" w:afterAutospacing="0"/>
              <w:jc w:val="both"/>
              <w:rPr>
                <w:rFonts w:ascii="Arial" w:hAnsi="Arial" w:cs="Arial"/>
                <w:i/>
                <w:iCs/>
                <w:sz w:val="18"/>
                <w:szCs w:val="18"/>
                <w:lang w:val="es-CO"/>
              </w:rPr>
            </w:pPr>
            <w:r w:rsidRPr="00291346">
              <w:rPr>
                <w:rFonts w:ascii="Arial" w:hAnsi="Arial" w:cs="Arial"/>
                <w:i/>
                <w:iCs/>
                <w:sz w:val="18"/>
                <w:szCs w:val="18"/>
                <w:lang w:val="es-CO"/>
              </w:rPr>
              <w:t>Tipo de Entidad</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33941CC" w14:textId="77777777" w:rsidR="00DA7276" w:rsidRPr="00291346" w:rsidRDefault="00DA7276" w:rsidP="008F6530">
            <w:pPr>
              <w:pStyle w:val="NormalWeb"/>
              <w:spacing w:before="0" w:beforeAutospacing="0" w:after="0" w:afterAutospacing="0"/>
              <w:rPr>
                <w:rFonts w:ascii="Arial" w:hAnsi="Arial" w:cs="Arial"/>
                <w:i/>
                <w:iCs/>
                <w:sz w:val="18"/>
                <w:szCs w:val="18"/>
                <w:lang w:val="es-CO"/>
              </w:rPr>
            </w:pPr>
            <w:bookmarkStart w:id="0" w:name="cmbtipoentidad"/>
            <w:bookmarkEnd w:id="0"/>
            <w:r w:rsidRPr="00291346">
              <w:rPr>
                <w:rFonts w:ascii="Arial" w:hAnsi="Arial" w:cs="Arial"/>
                <w:i/>
                <w:iCs/>
                <w:sz w:val="18"/>
                <w:szCs w:val="18"/>
                <w:lang w:val="es-CO"/>
              </w:rPr>
              <w:t>Departamento</w:t>
            </w:r>
          </w:p>
        </w:tc>
      </w:tr>
      <w:tr w:rsidR="00DA7276" w:rsidRPr="00291346" w14:paraId="785B8927" w14:textId="77777777" w:rsidTr="00DA7276">
        <w:tc>
          <w:tcPr>
            <w:tcW w:w="191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42F61B8F" w14:textId="77777777" w:rsidR="00DA7276" w:rsidRPr="00291346" w:rsidRDefault="00DA7276" w:rsidP="008F6530">
            <w:pPr>
              <w:pStyle w:val="NormalWeb"/>
              <w:spacing w:before="0" w:beforeAutospacing="0" w:after="0" w:afterAutospacing="0"/>
              <w:jc w:val="both"/>
              <w:rPr>
                <w:rFonts w:ascii="Arial" w:hAnsi="Arial" w:cs="Arial"/>
                <w:i/>
                <w:iCs/>
                <w:sz w:val="18"/>
                <w:szCs w:val="18"/>
                <w:lang w:val="es-CO"/>
              </w:rPr>
            </w:pPr>
            <w:r w:rsidRPr="00291346">
              <w:rPr>
                <w:rFonts w:ascii="Arial" w:hAnsi="Arial" w:cs="Arial"/>
                <w:i/>
                <w:iCs/>
                <w:sz w:val="18"/>
                <w:szCs w:val="18"/>
                <w:lang w:val="es-CO"/>
              </w:rPr>
              <w:t>Entidad</w:t>
            </w:r>
          </w:p>
        </w:tc>
        <w:tc>
          <w:tcPr>
            <w:tcW w:w="308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768C1DAE" w14:textId="77777777" w:rsidR="00DA7276" w:rsidRPr="00291346" w:rsidRDefault="00DA7276" w:rsidP="008F6530">
            <w:pPr>
              <w:pStyle w:val="NormalWeb"/>
              <w:spacing w:before="0" w:beforeAutospacing="0" w:after="0" w:afterAutospacing="0"/>
              <w:rPr>
                <w:rFonts w:ascii="Arial" w:hAnsi="Arial" w:cs="Arial"/>
                <w:i/>
                <w:iCs/>
                <w:sz w:val="18"/>
                <w:szCs w:val="18"/>
                <w:lang w:val="es-CO"/>
              </w:rPr>
            </w:pPr>
            <w:r w:rsidRPr="00291346">
              <w:rPr>
                <w:rFonts w:ascii="Arial" w:hAnsi="Arial" w:cs="Arial"/>
                <w:i/>
                <w:iCs/>
                <w:sz w:val="18"/>
                <w:szCs w:val="18"/>
                <w:lang w:val="es-CO"/>
              </w:rPr>
              <w:t>Quindío</w:t>
            </w:r>
          </w:p>
        </w:tc>
      </w:tr>
    </w:tbl>
    <w:p w14:paraId="6AA9A190" w14:textId="77777777" w:rsidR="00DA7276" w:rsidRDefault="00DA7276" w:rsidP="008F6530">
      <w:pPr>
        <w:rPr>
          <w:rFonts w:ascii="Arial" w:hAnsi="Arial" w:cs="Arial"/>
          <w:sz w:val="22"/>
          <w:szCs w:val="22"/>
          <w:lang w:val="es-CO"/>
        </w:rPr>
      </w:pPr>
    </w:p>
    <w:p w14:paraId="08A81005" w14:textId="77777777" w:rsidR="00DA7276" w:rsidRDefault="00DA7276" w:rsidP="008F6530">
      <w:pPr>
        <w:jc w:val="both"/>
        <w:rPr>
          <w:rFonts w:ascii="Arial" w:hAnsi="Arial" w:cs="Arial"/>
          <w:sz w:val="22"/>
          <w:szCs w:val="22"/>
          <w:lang w:val="es-CO"/>
        </w:rPr>
      </w:pPr>
      <w:r>
        <w:rPr>
          <w:rFonts w:ascii="Arial" w:hAnsi="Arial" w:cs="Arial"/>
          <w:b/>
          <w:sz w:val="22"/>
          <w:szCs w:val="22"/>
          <w:lang w:val="es-CO"/>
        </w:rPr>
        <w:t xml:space="preserve">Periodo Evaluado: </w:t>
      </w:r>
      <w:r>
        <w:rPr>
          <w:rFonts w:ascii="Arial" w:hAnsi="Arial" w:cs="Arial"/>
          <w:sz w:val="22"/>
          <w:szCs w:val="22"/>
          <w:lang w:val="es-CO"/>
        </w:rPr>
        <w:t xml:space="preserve">Del 31 de marzo del 2022 al 31 de marzo de 2023. </w:t>
      </w:r>
    </w:p>
    <w:p w14:paraId="327B4936" w14:textId="77777777" w:rsidR="00DA7276" w:rsidRDefault="00DA7276" w:rsidP="008F6530">
      <w:pPr>
        <w:pStyle w:val="Textoindependiente"/>
        <w:rPr>
          <w:lang w:val="es-CO"/>
        </w:rPr>
      </w:pPr>
    </w:p>
    <w:p w14:paraId="3EB47BB4" w14:textId="77777777" w:rsidR="00DA7276" w:rsidRDefault="00DA7276" w:rsidP="008F6530">
      <w:pPr>
        <w:pStyle w:val="Ttulo1"/>
        <w:numPr>
          <w:ilvl w:val="0"/>
          <w:numId w:val="8"/>
        </w:numPr>
        <w:jc w:val="both"/>
        <w:rPr>
          <w:lang w:val="es-CO"/>
        </w:rPr>
      </w:pPr>
      <w:r>
        <w:rPr>
          <w:lang w:val="es-CO"/>
        </w:rPr>
        <w:t>Antecedentes</w:t>
      </w:r>
    </w:p>
    <w:p w14:paraId="2CFA6F20" w14:textId="77777777" w:rsidR="00DA7276" w:rsidRDefault="00DA7276" w:rsidP="008F6530">
      <w:pPr>
        <w:pStyle w:val="Textoindependiente"/>
        <w:rPr>
          <w:rFonts w:eastAsia="MS Mincho"/>
          <w:lang w:val="es-CO" w:eastAsia="es-ES"/>
        </w:rPr>
      </w:pPr>
    </w:p>
    <w:p w14:paraId="1E85E416" w14:textId="77777777" w:rsidR="00DA7276" w:rsidRDefault="00DA7276" w:rsidP="008F6530">
      <w:pPr>
        <w:jc w:val="both"/>
        <w:rPr>
          <w:rFonts w:ascii="Arial" w:hAnsi="Arial" w:cs="Arial"/>
          <w:sz w:val="22"/>
          <w:szCs w:val="22"/>
          <w:lang w:val="es-CO"/>
        </w:rPr>
      </w:pPr>
      <w:r>
        <w:rPr>
          <w:rFonts w:ascii="Arial" w:hAnsi="Arial" w:cs="Arial"/>
          <w:sz w:val="22"/>
          <w:szCs w:val="22"/>
          <w:lang w:val="es-CO"/>
        </w:rPr>
        <w:t xml:space="preserve">La Dirección General de Apoyo Fiscal en el marco de las funciones asignadas por el Decreto 791 de 2009 y la Resolución 794 de 2009 recibió del Ministerio de Educación Nacional mediante radicados No. 1-2014-048488 del 03 de julio de 2014 y </w:t>
      </w:r>
      <w:r w:rsidR="00E21211">
        <w:rPr>
          <w:rFonts w:ascii="Arial" w:hAnsi="Arial" w:cs="Arial"/>
          <w:sz w:val="22"/>
          <w:szCs w:val="22"/>
          <w:lang w:val="es-CO"/>
        </w:rPr>
        <w:t>1</w:t>
      </w:r>
      <w:r>
        <w:rPr>
          <w:rFonts w:ascii="Arial" w:hAnsi="Arial" w:cs="Arial"/>
          <w:sz w:val="22"/>
          <w:szCs w:val="22"/>
          <w:lang w:val="es-CO"/>
        </w:rPr>
        <w:t>-201</w:t>
      </w:r>
      <w:r w:rsidR="00E21211">
        <w:rPr>
          <w:rFonts w:ascii="Arial" w:hAnsi="Arial" w:cs="Arial"/>
          <w:sz w:val="22"/>
          <w:szCs w:val="22"/>
          <w:lang w:val="es-CO"/>
        </w:rPr>
        <w:t>6</w:t>
      </w:r>
      <w:r>
        <w:rPr>
          <w:rFonts w:ascii="Arial" w:hAnsi="Arial" w:cs="Arial"/>
          <w:sz w:val="22"/>
          <w:szCs w:val="22"/>
          <w:lang w:val="es-CO"/>
        </w:rPr>
        <w:t>-0</w:t>
      </w:r>
      <w:r w:rsidR="00E21211">
        <w:rPr>
          <w:rFonts w:ascii="Arial" w:hAnsi="Arial" w:cs="Arial"/>
          <w:sz w:val="22"/>
          <w:szCs w:val="22"/>
          <w:lang w:val="es-CO"/>
        </w:rPr>
        <w:t>73339</w:t>
      </w:r>
      <w:r>
        <w:rPr>
          <w:rFonts w:ascii="Arial" w:hAnsi="Arial" w:cs="Arial"/>
          <w:sz w:val="22"/>
          <w:szCs w:val="22"/>
          <w:lang w:val="es-CO"/>
        </w:rPr>
        <w:t xml:space="preserve"> del 0</w:t>
      </w:r>
      <w:r w:rsidR="00E21211">
        <w:rPr>
          <w:rFonts w:ascii="Arial" w:hAnsi="Arial" w:cs="Arial"/>
          <w:sz w:val="22"/>
          <w:szCs w:val="22"/>
          <w:lang w:val="es-CO"/>
        </w:rPr>
        <w:t>1</w:t>
      </w:r>
      <w:r>
        <w:rPr>
          <w:rFonts w:ascii="Arial" w:hAnsi="Arial" w:cs="Arial"/>
          <w:sz w:val="22"/>
          <w:szCs w:val="22"/>
          <w:lang w:val="es-CO"/>
        </w:rPr>
        <w:t xml:space="preserve"> de </w:t>
      </w:r>
      <w:r w:rsidR="00E21211">
        <w:rPr>
          <w:rFonts w:ascii="Arial" w:hAnsi="Arial" w:cs="Arial"/>
          <w:sz w:val="22"/>
          <w:szCs w:val="22"/>
          <w:lang w:val="es-CO"/>
        </w:rPr>
        <w:t xml:space="preserve">septiembre de 2016 </w:t>
      </w:r>
      <w:r>
        <w:rPr>
          <w:rFonts w:ascii="Arial" w:hAnsi="Arial" w:cs="Arial"/>
          <w:sz w:val="22"/>
          <w:szCs w:val="22"/>
          <w:lang w:val="es-CO"/>
        </w:rPr>
        <w:t xml:space="preserve">el Informe de Monitoreo Anual en los cuales indicaba que el Departamento de Quindío presentó riesgo crítico alto en los componentes de la prestación del Servicio Educativo relacionados con cobertura, pertinencia, calidad, gestión, incorporación y ejecución de recursos y planta de personal, los cuales se encuentran asociados a la ejecución de los recursos del Sistema General de Participaciones en el Sector Educación. </w:t>
      </w:r>
    </w:p>
    <w:p w14:paraId="118BE215" w14:textId="77777777" w:rsidR="00DA7276" w:rsidRDefault="00DA7276" w:rsidP="008F6530">
      <w:pPr>
        <w:jc w:val="both"/>
        <w:rPr>
          <w:rFonts w:ascii="Arial" w:hAnsi="Arial" w:cs="Arial"/>
          <w:sz w:val="22"/>
          <w:szCs w:val="22"/>
          <w:lang w:val="es-CO"/>
        </w:rPr>
      </w:pPr>
    </w:p>
    <w:p w14:paraId="3E6CFB0C" w14:textId="77777777" w:rsidR="00DA7276" w:rsidRDefault="00DA7276" w:rsidP="008F6530">
      <w:pPr>
        <w:jc w:val="both"/>
        <w:rPr>
          <w:rFonts w:ascii="Arial" w:hAnsi="Arial" w:cs="Arial"/>
          <w:sz w:val="22"/>
          <w:szCs w:val="22"/>
          <w:lang w:val="es-CO"/>
        </w:rPr>
      </w:pPr>
      <w:r>
        <w:rPr>
          <w:rFonts w:ascii="Arial" w:hAnsi="Arial" w:cs="Arial"/>
          <w:sz w:val="22"/>
          <w:szCs w:val="22"/>
          <w:lang w:val="es-CO"/>
        </w:rPr>
        <w:t>Por lo anterior, mediante el oficio con radicado No. 2-2015-006078 del 23 de febrero de 2015 enviado al Departamento, la Dirección General de Apoyo Fiscal solicitó información financiera, contractual, jurídica y sectorial para determinar si persistían los inconvenientes identificados por el Ministerio de Educación Nacional en la etapa de Monitoreo. Por otra parte, se le solicitó al Ministerio de Educación Nacional mediante oficio con radicado No. 2-2015-016420 del 7 mayo 201</w:t>
      </w:r>
      <w:r w:rsidR="00F7067D">
        <w:rPr>
          <w:rFonts w:ascii="Arial" w:hAnsi="Arial" w:cs="Arial"/>
          <w:sz w:val="22"/>
          <w:szCs w:val="22"/>
          <w:lang w:val="es-CO"/>
        </w:rPr>
        <w:t>5</w:t>
      </w:r>
      <w:r>
        <w:rPr>
          <w:rFonts w:ascii="Arial" w:hAnsi="Arial" w:cs="Arial"/>
          <w:sz w:val="22"/>
          <w:szCs w:val="22"/>
          <w:lang w:val="es-CO"/>
        </w:rPr>
        <w:t xml:space="preserve"> el envío de: resúmenes, informes de seguimiento, informes de visitas o los documentos relacionados con la evaluación de la cobertura, pertinencia, gestión, incorporación y ejecución de recursos, calidad y demás temas que pudieran afectar la prestación del Servicio Educativo en la Entidad Territorial. </w:t>
      </w:r>
    </w:p>
    <w:p w14:paraId="75E7D6C5" w14:textId="77777777" w:rsidR="00DA7276" w:rsidRDefault="00DA7276" w:rsidP="008F6530">
      <w:pPr>
        <w:jc w:val="both"/>
        <w:rPr>
          <w:rFonts w:ascii="Arial" w:hAnsi="Arial" w:cs="Arial"/>
          <w:sz w:val="22"/>
          <w:szCs w:val="22"/>
          <w:lang w:val="es-CO"/>
        </w:rPr>
      </w:pPr>
    </w:p>
    <w:p w14:paraId="5A27347B" w14:textId="77777777" w:rsidR="00DA7276" w:rsidRDefault="00DA7276" w:rsidP="008F6530">
      <w:pPr>
        <w:jc w:val="both"/>
        <w:rPr>
          <w:rFonts w:ascii="Arial" w:hAnsi="Arial" w:cs="Arial"/>
          <w:sz w:val="22"/>
          <w:szCs w:val="22"/>
          <w:lang w:val="es-CO"/>
        </w:rPr>
      </w:pPr>
      <w:r>
        <w:rPr>
          <w:rFonts w:ascii="Arial" w:hAnsi="Arial" w:cs="Arial"/>
          <w:sz w:val="22"/>
          <w:szCs w:val="22"/>
          <w:lang w:val="es-CO"/>
        </w:rPr>
        <w:t>De acuerdo con lo anterior, con base en sus criterios de priorización, la Dirección General de Apoyo Fiscal realizó entre el 6 y el 8 de abril de 2016 una visita de reconocimiento institucional, previo análisis de la información enviada por parte de la Entidad Territorial mediante radicado No. 2-2015-019188 del 11 de marzo de 2015. Posteriormente, el 1 de junio de 2018 mediante radicado No. 1-2018-048847, el Ministerio de Educación remitió nueva información recopilada durante las visitas realizadas en noviembre de 2017 y abril de 2018.</w:t>
      </w:r>
    </w:p>
    <w:p w14:paraId="2D1548B2" w14:textId="77777777" w:rsidR="00DA7276" w:rsidRDefault="00DA7276" w:rsidP="008F6530">
      <w:pPr>
        <w:jc w:val="both"/>
        <w:rPr>
          <w:rFonts w:ascii="Arial" w:hAnsi="Arial" w:cs="Arial"/>
          <w:sz w:val="22"/>
          <w:szCs w:val="22"/>
          <w:lang w:val="es-CO"/>
        </w:rPr>
      </w:pPr>
    </w:p>
    <w:p w14:paraId="2492B1BA" w14:textId="77777777" w:rsidR="00DA7276" w:rsidRDefault="00DA7276" w:rsidP="00F7067D">
      <w:pPr>
        <w:jc w:val="both"/>
        <w:rPr>
          <w:rFonts w:ascii="Arial" w:hAnsi="Arial" w:cs="Arial"/>
          <w:sz w:val="22"/>
          <w:szCs w:val="22"/>
          <w:lang w:val="es-CO"/>
        </w:rPr>
      </w:pPr>
      <w:r>
        <w:rPr>
          <w:rFonts w:ascii="Arial" w:hAnsi="Arial" w:cs="Arial"/>
          <w:sz w:val="22"/>
          <w:szCs w:val="22"/>
          <w:lang w:val="es-CO"/>
        </w:rPr>
        <w:t xml:space="preserve">El análisis de la información mencionada anteriormente, permitió determinar inconsistencias en la prestación del servicio educativo en la Entidad Territorial según los criterios de cobertura, </w:t>
      </w:r>
      <w:r w:rsidRPr="00E21211">
        <w:rPr>
          <w:rFonts w:ascii="Arial" w:hAnsi="Arial" w:cs="Arial"/>
          <w:sz w:val="22"/>
          <w:szCs w:val="22"/>
          <w:lang w:val="es-CO"/>
        </w:rPr>
        <w:t>pert</w:t>
      </w:r>
      <w:r w:rsidR="00E21211" w:rsidRPr="00E21211">
        <w:rPr>
          <w:rFonts w:ascii="Arial" w:hAnsi="Arial" w:cs="Arial"/>
          <w:sz w:val="22"/>
          <w:szCs w:val="22"/>
          <w:lang w:val="es-CO"/>
        </w:rPr>
        <w:t>i</w:t>
      </w:r>
      <w:r w:rsidRPr="00E21211">
        <w:rPr>
          <w:rFonts w:ascii="Arial" w:hAnsi="Arial" w:cs="Arial"/>
          <w:sz w:val="22"/>
          <w:szCs w:val="22"/>
          <w:lang w:val="es-CO"/>
        </w:rPr>
        <w:t>nencia</w:t>
      </w:r>
      <w:r>
        <w:rPr>
          <w:rFonts w:ascii="Arial" w:hAnsi="Arial" w:cs="Arial"/>
          <w:sz w:val="22"/>
          <w:szCs w:val="22"/>
          <w:lang w:val="es-CO"/>
        </w:rPr>
        <w:t xml:space="preserve"> y calidad esperados, por lo cual se ordenó la adopción de la medida preventiva </w:t>
      </w:r>
      <w:r w:rsidR="000B3FBC">
        <w:rPr>
          <w:rFonts w:ascii="Arial" w:hAnsi="Arial" w:cs="Arial"/>
          <w:sz w:val="22"/>
          <w:szCs w:val="22"/>
          <w:lang w:val="es-CO"/>
        </w:rPr>
        <w:t xml:space="preserve">de </w:t>
      </w:r>
      <w:r>
        <w:rPr>
          <w:rFonts w:ascii="Arial" w:hAnsi="Arial" w:cs="Arial"/>
          <w:sz w:val="22"/>
          <w:szCs w:val="22"/>
          <w:lang w:val="es-CO"/>
        </w:rPr>
        <w:t xml:space="preserve">Plan de Desempeño en el Departamento mediante la Resolución No. 1344 del 7 de mayo de 2019, </w:t>
      </w:r>
      <w:r w:rsidR="00F7067D">
        <w:rPr>
          <w:rFonts w:ascii="Arial" w:hAnsi="Arial" w:cs="Arial"/>
          <w:sz w:val="22"/>
          <w:szCs w:val="22"/>
          <w:lang w:val="es-CO"/>
        </w:rPr>
        <w:t>adoptada por la Entidad Territorial</w:t>
      </w:r>
      <w:r>
        <w:rPr>
          <w:rFonts w:ascii="Arial" w:hAnsi="Arial" w:cs="Arial"/>
          <w:sz w:val="22"/>
          <w:szCs w:val="22"/>
          <w:lang w:val="es-CO"/>
        </w:rPr>
        <w:t xml:space="preserve"> mediante el Decreto No. 447 del 26 de julio </w:t>
      </w:r>
      <w:r w:rsidR="00F7067D">
        <w:rPr>
          <w:rFonts w:ascii="Arial" w:hAnsi="Arial" w:cs="Arial"/>
          <w:sz w:val="22"/>
          <w:szCs w:val="22"/>
          <w:lang w:val="es-CO"/>
        </w:rPr>
        <w:t xml:space="preserve">y </w:t>
      </w:r>
      <w:r>
        <w:rPr>
          <w:rFonts w:ascii="Arial" w:hAnsi="Arial" w:cs="Arial"/>
          <w:sz w:val="22"/>
          <w:szCs w:val="22"/>
          <w:lang w:val="es-CO"/>
        </w:rPr>
        <w:t>aprobad</w:t>
      </w:r>
      <w:r w:rsidR="00F7067D">
        <w:rPr>
          <w:rFonts w:ascii="Arial" w:hAnsi="Arial" w:cs="Arial"/>
          <w:sz w:val="22"/>
          <w:szCs w:val="22"/>
          <w:lang w:val="es-CO"/>
        </w:rPr>
        <w:t>a</w:t>
      </w:r>
      <w:r>
        <w:rPr>
          <w:rFonts w:ascii="Arial" w:hAnsi="Arial" w:cs="Arial"/>
          <w:sz w:val="22"/>
          <w:szCs w:val="22"/>
          <w:lang w:val="es-CO"/>
        </w:rPr>
        <w:t xml:space="preserve"> por esta Dirección a través de la Resolución No. 3183 del 12 de septiembre de</w:t>
      </w:r>
      <w:r w:rsidR="00F7067D">
        <w:rPr>
          <w:rFonts w:ascii="Arial" w:hAnsi="Arial" w:cs="Arial"/>
          <w:sz w:val="22"/>
          <w:szCs w:val="22"/>
          <w:lang w:val="es-CO"/>
        </w:rPr>
        <w:t>l mismo año</w:t>
      </w:r>
      <w:r>
        <w:rPr>
          <w:rFonts w:ascii="Arial" w:hAnsi="Arial" w:cs="Arial"/>
          <w:sz w:val="22"/>
          <w:szCs w:val="22"/>
          <w:lang w:val="es-CO"/>
        </w:rPr>
        <w:t xml:space="preserve">. </w:t>
      </w:r>
    </w:p>
    <w:p w14:paraId="2AB8F6FA" w14:textId="77777777" w:rsidR="00DA7276" w:rsidRDefault="00DA7276" w:rsidP="008F6530">
      <w:pPr>
        <w:pStyle w:val="Textoindependiente"/>
        <w:jc w:val="both"/>
        <w:rPr>
          <w:shd w:val="clear" w:color="auto" w:fill="F8F8F8"/>
          <w:lang w:val="es-CO"/>
        </w:rPr>
      </w:pPr>
    </w:p>
    <w:p w14:paraId="14E79676" w14:textId="77777777" w:rsidR="00DA7276" w:rsidRDefault="00DA7276" w:rsidP="008F6530">
      <w:pPr>
        <w:tabs>
          <w:tab w:val="left" w:pos="5985"/>
        </w:tabs>
        <w:jc w:val="both"/>
        <w:rPr>
          <w:rFonts w:ascii="Arial" w:hAnsi="Arial" w:cs="Arial"/>
          <w:sz w:val="22"/>
          <w:szCs w:val="22"/>
          <w:lang w:val="es-CO"/>
        </w:rPr>
      </w:pPr>
      <w:r>
        <w:rPr>
          <w:rFonts w:ascii="Arial" w:hAnsi="Arial" w:cs="Arial"/>
          <w:sz w:val="22"/>
          <w:szCs w:val="22"/>
          <w:lang w:val="es-CO"/>
        </w:rPr>
        <w:t xml:space="preserve">Ahora bien, producto de </w:t>
      </w:r>
      <w:r w:rsidR="000B3FBC">
        <w:rPr>
          <w:rFonts w:ascii="Arial" w:hAnsi="Arial" w:cs="Arial"/>
          <w:sz w:val="22"/>
          <w:szCs w:val="22"/>
          <w:lang w:val="es-CO"/>
        </w:rPr>
        <w:t xml:space="preserve">la </w:t>
      </w:r>
      <w:r>
        <w:rPr>
          <w:rFonts w:ascii="Arial" w:hAnsi="Arial" w:cs="Arial"/>
          <w:sz w:val="22"/>
          <w:szCs w:val="22"/>
          <w:lang w:val="es-CO"/>
        </w:rPr>
        <w:t>declaratoria pandemia por el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vigentes</w:t>
      </w:r>
      <w:r w:rsidR="00F7067D">
        <w:rPr>
          <w:rFonts w:ascii="Arial" w:hAnsi="Arial" w:cs="Arial"/>
          <w:sz w:val="22"/>
          <w:szCs w:val="22"/>
          <w:lang w:val="es-CO"/>
        </w:rPr>
        <w:t xml:space="preserve"> en ese momento</w:t>
      </w:r>
      <w:r>
        <w:rPr>
          <w:rFonts w:ascii="Arial" w:hAnsi="Arial" w:cs="Arial"/>
          <w:sz w:val="22"/>
          <w:szCs w:val="22"/>
          <w:lang w:val="es-CO"/>
        </w:rPr>
        <w:t>, por lo cual mediante Resolución No. 967 del 3 de abril de 2020 se suspendió el término de la vigencia de los planes de desempeño, incluida la del Departamento de Quindío, período durante el cual la Dirección General de Apoyo Fiscal no realizó evaluación y seguimiento a las medidas.</w:t>
      </w:r>
    </w:p>
    <w:p w14:paraId="1383E4D7" w14:textId="77777777" w:rsidR="00DA7276" w:rsidRDefault="00DA7276" w:rsidP="008F6530">
      <w:pPr>
        <w:pStyle w:val="Prrafodelista"/>
        <w:tabs>
          <w:tab w:val="num" w:pos="426"/>
        </w:tabs>
        <w:ind w:left="426" w:hanging="426"/>
        <w:rPr>
          <w:rFonts w:ascii="Arial" w:eastAsia="Arial" w:hAnsi="Arial" w:cs="Arial"/>
          <w:sz w:val="22"/>
          <w:szCs w:val="22"/>
          <w:lang w:val="es-CO"/>
        </w:rPr>
      </w:pPr>
    </w:p>
    <w:p w14:paraId="45EED9E2" w14:textId="77777777" w:rsidR="00DA7276" w:rsidRDefault="00DA7276" w:rsidP="008F6530">
      <w:pPr>
        <w:pStyle w:val="Textoindependiente"/>
        <w:jc w:val="both"/>
        <w:rPr>
          <w:rFonts w:eastAsiaTheme="minorHAnsi"/>
          <w:lang w:val="es-CO"/>
        </w:rPr>
      </w:pPr>
      <w:r>
        <w:rPr>
          <w:lang w:val="es-CO"/>
        </w:rPr>
        <w:t xml:space="preserve">Transcurridos diez (10) meses de la declaratoria de suspensión de los términos, mediante la Resolución 0301 del 9 de febrero de 2021 se reanudó el término de ejecución de los Planes de Desempeño vigentes, a partir del 23 de febrero de 2021, por lo cual mediante oficio con radicado No. </w:t>
      </w:r>
      <w:r>
        <w:rPr>
          <w:rFonts w:eastAsiaTheme="minorHAnsi"/>
          <w:lang w:val="es-CO"/>
        </w:rPr>
        <w:t>2-2021-044632 del 31 de agosto del mismo año, se solicitó a la Entidad Territorial enviar información necesaria para realizar seguimiento a la medida preventiva vigente, igualmente se le invitó a la participación de una asistencia técnica programada para el día 15 de septiembre de</w:t>
      </w:r>
      <w:r w:rsidR="00F7067D">
        <w:rPr>
          <w:rFonts w:eastAsiaTheme="minorHAnsi"/>
          <w:lang w:val="es-CO"/>
        </w:rPr>
        <w:t xml:space="preserve"> dicha vigencia</w:t>
      </w:r>
      <w:r>
        <w:rPr>
          <w:rFonts w:eastAsiaTheme="minorHAnsi"/>
          <w:lang w:val="es-CO"/>
        </w:rPr>
        <w:t xml:space="preserve">. </w:t>
      </w:r>
    </w:p>
    <w:p w14:paraId="77297B68" w14:textId="77777777" w:rsidR="00DA7276" w:rsidRDefault="00DA7276" w:rsidP="008F6530">
      <w:pPr>
        <w:pStyle w:val="Textoindependiente"/>
        <w:jc w:val="both"/>
        <w:rPr>
          <w:rFonts w:eastAsiaTheme="minorHAnsi"/>
          <w:lang w:val="es-CO"/>
        </w:rPr>
      </w:pPr>
    </w:p>
    <w:p w14:paraId="0D70297D" w14:textId="77777777" w:rsidR="00DA7276" w:rsidRDefault="00DA7276" w:rsidP="008F6530">
      <w:pPr>
        <w:adjustRightInd w:val="0"/>
        <w:jc w:val="both"/>
        <w:rPr>
          <w:rFonts w:ascii="Arial" w:eastAsia="Arial" w:hAnsi="Arial" w:cs="Arial"/>
          <w:sz w:val="22"/>
          <w:szCs w:val="22"/>
          <w:lang w:val="es-CO"/>
        </w:rPr>
      </w:pPr>
      <w:r>
        <w:rPr>
          <w:rFonts w:ascii="Arial" w:hAnsi="Arial" w:cs="Arial"/>
          <w:sz w:val="22"/>
          <w:szCs w:val="22"/>
          <w:lang w:val="es-CO"/>
        </w:rPr>
        <w:t xml:space="preserve">La información solicitada fue enviada por medio del radicado No. 1-2021-081547 del 16 de septiembre de 2021; sin embargo, se presentó la necesidad de reiterar la solicitud dada la falta de documentos frente a unos puntos requeridos, lo anterior mediante los oficios No. 2-2021-052640 del 8 de octubre y 1-2021-090692 del 13 de octubre de 2021. Así, con base a la documentación enviada, se elaboró el informe de seguimiento enviado a la Entidad Territorial mediante oficio con radicado No. 2-2021-065544 del 13 de diciembre del 2021. </w:t>
      </w:r>
    </w:p>
    <w:p w14:paraId="22F458AF" w14:textId="77777777" w:rsidR="00DA7276" w:rsidRDefault="00DA7276" w:rsidP="008F6530">
      <w:pPr>
        <w:pStyle w:val="Textoindependiente"/>
        <w:jc w:val="both"/>
        <w:rPr>
          <w:lang w:val="es-CO"/>
        </w:rPr>
      </w:pPr>
    </w:p>
    <w:p w14:paraId="12FAF4DD" w14:textId="77777777" w:rsidR="00DA7276" w:rsidRDefault="00DA7276" w:rsidP="008F6530">
      <w:pPr>
        <w:pStyle w:val="Textoindependiente"/>
        <w:ind w:right="134"/>
        <w:jc w:val="both"/>
        <w:rPr>
          <w:lang w:val="es-CO"/>
        </w:rPr>
      </w:pPr>
      <w:r>
        <w:rPr>
          <w:rFonts w:eastAsiaTheme="minorHAnsi"/>
          <w:lang w:val="es-CO"/>
        </w:rPr>
        <w:t xml:space="preserve">Posteriormente, la DAF mediante radicado 2-2022-005959 solicitó a la Entidad Territorial el envío de información con el fin de evaluar las acciones pendientes por cumplir por parte del Departamento para el levantamiento de la medida preventiva del Plan de Desempeño. Posteriormente, el departamento de Quindío mediante los radicados 1-2022-016167, 1-2022-016487, 1-2022-016175 y 1-2022-027178 hizo envío de la información solicitada, lo cual permitió concluir, previa revisión y estudio de la documentación allegada que, </w:t>
      </w:r>
      <w:r>
        <w:rPr>
          <w:lang w:val="es-CO"/>
        </w:rPr>
        <w:t xml:space="preserve">de las 14 actividades pendientes por cumplir, cinco (5) fueron superadas por parte del Departamento (3 adicionales al informe de seguimiento anterior), es decir un 36%. </w:t>
      </w:r>
    </w:p>
    <w:p w14:paraId="40907A1B" w14:textId="77777777" w:rsidR="00DA7276" w:rsidRDefault="00DA7276" w:rsidP="008F6530">
      <w:pPr>
        <w:pStyle w:val="Textoindependiente"/>
        <w:ind w:right="134"/>
        <w:jc w:val="both"/>
        <w:rPr>
          <w:lang w:val="es-CO"/>
        </w:rPr>
      </w:pPr>
    </w:p>
    <w:p w14:paraId="01A94404" w14:textId="77777777" w:rsidR="00DA7276" w:rsidRDefault="00DA7276" w:rsidP="008F6530">
      <w:pPr>
        <w:pStyle w:val="Textoindependiente"/>
        <w:ind w:right="134"/>
        <w:jc w:val="both"/>
        <w:rPr>
          <w:lang w:val="es-CO"/>
        </w:rPr>
      </w:pPr>
      <w:r>
        <w:rPr>
          <w:lang w:val="es-CO"/>
        </w:rPr>
        <w:t xml:space="preserve">No obstante, se detectó la persistencia de las debilidades relacionadas con el reporte de información, levantamiento de medidas cautelares, reinversión de recursos en el sector, adecuada distribución de la planta y entrega oportuna de la dotación al personal, entre otros. Por lo anterior, se recomendó extender la medida preventiva vigente en el Departamento, con acogimiento por parte del Ministerio de Educación Nacional mediante el oficio radicado No. 2022-EE-105612 del 16 de mayo de 2022. </w:t>
      </w:r>
    </w:p>
    <w:p w14:paraId="55A2F7A3" w14:textId="77777777" w:rsidR="00291346" w:rsidRDefault="00291346" w:rsidP="008F6530">
      <w:pPr>
        <w:pStyle w:val="Default"/>
        <w:jc w:val="both"/>
        <w:rPr>
          <w:rFonts w:ascii="Arial" w:eastAsia="Arial" w:hAnsi="Arial" w:cs="Arial"/>
          <w:color w:val="auto"/>
          <w:sz w:val="22"/>
          <w:szCs w:val="22"/>
          <w:lang w:val="es-CO"/>
        </w:rPr>
      </w:pPr>
    </w:p>
    <w:p w14:paraId="68030C2B" w14:textId="77777777" w:rsidR="00DA7276" w:rsidRDefault="00DA7276" w:rsidP="008F6530">
      <w:pPr>
        <w:pStyle w:val="Default"/>
        <w:jc w:val="both"/>
        <w:rPr>
          <w:rFonts w:ascii="Arial" w:eastAsia="Arial" w:hAnsi="Arial" w:cs="Arial"/>
          <w:color w:val="auto"/>
          <w:sz w:val="22"/>
          <w:szCs w:val="22"/>
          <w:lang w:val="es-CO"/>
        </w:rPr>
      </w:pPr>
      <w:r>
        <w:rPr>
          <w:rFonts w:ascii="Arial" w:eastAsia="Arial" w:hAnsi="Arial" w:cs="Arial"/>
          <w:color w:val="auto"/>
          <w:sz w:val="22"/>
          <w:szCs w:val="22"/>
          <w:lang w:val="es-CO"/>
        </w:rPr>
        <w:t xml:space="preserve">Así, el 20 de mayo de 2022 se expidió la Resolución No. 1287 </w:t>
      </w:r>
      <w:r>
        <w:rPr>
          <w:rFonts w:ascii="Arial" w:eastAsia="Arial" w:hAnsi="Arial" w:cs="Arial"/>
          <w:i/>
          <w:color w:val="auto"/>
          <w:sz w:val="22"/>
          <w:szCs w:val="22"/>
          <w:lang w:val="es-CO"/>
        </w:rPr>
        <w:t xml:space="preserve">“Por la cual se ordena la reformulación y la extensión de la vigencia de la Medida Preventiva de Plan de Desempeño adoptado en el Sector de Educación por el Departamento de Quindío mediante el Decreto No. 447 del 26 de julio de 2019 de acuerdo con lo previsto en el numeral 2 del artículo 2.6.3.4.1.4 del Decreto 1068 de 2015”. </w:t>
      </w:r>
      <w:r>
        <w:rPr>
          <w:rFonts w:ascii="Arial" w:eastAsia="Arial" w:hAnsi="Arial" w:cs="Arial"/>
          <w:color w:val="auto"/>
          <w:sz w:val="22"/>
          <w:szCs w:val="22"/>
          <w:lang w:val="es-CO"/>
        </w:rPr>
        <w:t xml:space="preserve">El plan de desempeño fue adoptado por el </w:t>
      </w:r>
      <w:r>
        <w:rPr>
          <w:rFonts w:ascii="Arial" w:eastAsia="Arial" w:hAnsi="Arial" w:cs="Arial"/>
          <w:color w:val="auto"/>
          <w:sz w:val="22"/>
          <w:szCs w:val="22"/>
          <w:lang w:val="es-CO"/>
        </w:rPr>
        <w:lastRenderedPageBreak/>
        <w:t xml:space="preserve">Departamento mediante el Decreto No. 434 del 11 de julio de 2022 y aprobado por esta Dirección mediante la Resolución No. 2302 del 01 de septiembre de 2022. </w:t>
      </w:r>
    </w:p>
    <w:p w14:paraId="57F6BEC3" w14:textId="77777777" w:rsidR="00DA7276" w:rsidRDefault="00DA7276" w:rsidP="008F6530">
      <w:pPr>
        <w:pStyle w:val="Default"/>
        <w:jc w:val="both"/>
        <w:rPr>
          <w:rFonts w:ascii="Arial" w:eastAsia="Arial" w:hAnsi="Arial" w:cs="Arial"/>
          <w:color w:val="auto"/>
          <w:sz w:val="22"/>
          <w:szCs w:val="22"/>
          <w:lang w:val="es-CO"/>
        </w:rPr>
      </w:pPr>
    </w:p>
    <w:p w14:paraId="30012352" w14:textId="77777777" w:rsidR="00DA7276" w:rsidRDefault="00DA7276" w:rsidP="008F6530">
      <w:pPr>
        <w:pStyle w:val="Default"/>
        <w:jc w:val="both"/>
        <w:rPr>
          <w:rFonts w:ascii="Arial" w:hAnsi="Arial" w:cs="Arial"/>
          <w:sz w:val="22"/>
          <w:szCs w:val="22"/>
          <w:lang w:val="es-CO"/>
        </w:rPr>
      </w:pPr>
      <w:r>
        <w:rPr>
          <w:rFonts w:ascii="Arial" w:eastAsia="Arial" w:hAnsi="Arial" w:cs="Arial"/>
          <w:color w:val="auto"/>
          <w:sz w:val="22"/>
          <w:szCs w:val="22"/>
          <w:lang w:val="es-CO"/>
        </w:rPr>
        <w:t xml:space="preserve">En función de lo anterior, y con el objetivo de hacer seguimiento a las actividades contempladas en el nuevo plan de desempeño, el 13 de marzo de 2023 se envió oficio a la administración departamental, con radicado No. </w:t>
      </w:r>
      <w:r>
        <w:rPr>
          <w:rFonts w:ascii="Helvetica" w:hAnsi="Helvetica"/>
          <w:sz w:val="22"/>
          <w:szCs w:val="22"/>
          <w:lang w:val="es-CO"/>
        </w:rPr>
        <w:t>2-2023-011954, enlistando los diferentes productos contenidos en la matriz del plan; en consecuencia, el Departamento alleg</w:t>
      </w:r>
      <w:r w:rsidR="00F7067D">
        <w:rPr>
          <w:rFonts w:ascii="Helvetica" w:hAnsi="Helvetica"/>
          <w:sz w:val="22"/>
          <w:szCs w:val="22"/>
          <w:lang w:val="es-CO"/>
        </w:rPr>
        <w:t>ó</w:t>
      </w:r>
      <w:r>
        <w:rPr>
          <w:rFonts w:ascii="Helvetica" w:hAnsi="Helvetica"/>
          <w:sz w:val="22"/>
          <w:szCs w:val="22"/>
          <w:lang w:val="es-CO"/>
        </w:rPr>
        <w:t xml:space="preserve"> la documentación requerida mediante radicados: 1-2023-024872, 1-2023-028503 y 1-2023-028525 del 24 de marzo, 8 y 10 de abril de 2023, respectivamente y como resultado del análisis y revisión de la misma, se elabora el presente informe de seguimiento. </w:t>
      </w:r>
    </w:p>
    <w:p w14:paraId="36B4CA85" w14:textId="77777777" w:rsidR="00DA7276" w:rsidRDefault="00DA7276" w:rsidP="008F6530">
      <w:pPr>
        <w:jc w:val="both"/>
        <w:rPr>
          <w:rFonts w:ascii="Arial" w:hAnsi="Arial" w:cs="Arial"/>
          <w:sz w:val="22"/>
          <w:szCs w:val="22"/>
          <w:lang w:val="es-CO"/>
        </w:rPr>
      </w:pPr>
      <w:bookmarkStart w:id="1" w:name="_Hlk97652932"/>
    </w:p>
    <w:bookmarkEnd w:id="1"/>
    <w:p w14:paraId="50CA1FF7" w14:textId="77777777" w:rsidR="00DA7276" w:rsidRDefault="00DA7276" w:rsidP="008F6530">
      <w:pPr>
        <w:pStyle w:val="Ttulo1"/>
        <w:numPr>
          <w:ilvl w:val="0"/>
          <w:numId w:val="8"/>
        </w:numPr>
        <w:jc w:val="both"/>
        <w:rPr>
          <w:lang w:val="es-CO"/>
        </w:rPr>
      </w:pPr>
      <w:r>
        <w:rPr>
          <w:lang w:val="es-CO"/>
        </w:rPr>
        <w:t>Caracterización</w:t>
      </w:r>
    </w:p>
    <w:p w14:paraId="753923CA" w14:textId="77777777" w:rsidR="00DA7276" w:rsidRDefault="00DA7276" w:rsidP="008F6530">
      <w:pPr>
        <w:pStyle w:val="Textoindependiente"/>
        <w:rPr>
          <w:noProof/>
          <w:lang w:val="es-CO"/>
        </w:rPr>
      </w:pPr>
    </w:p>
    <w:p w14:paraId="2C1EED27" w14:textId="77777777" w:rsidR="00DA7276" w:rsidRDefault="002530E1" w:rsidP="008F6530">
      <w:pPr>
        <w:pStyle w:val="Textoindependiente"/>
        <w:rPr>
          <w:noProof/>
          <w:lang w:val="es-CO"/>
        </w:rPr>
      </w:pPr>
      <w:r w:rsidRPr="002530E1">
        <w:rPr>
          <w:noProof/>
        </w:rPr>
        <w:drawing>
          <wp:inline distT="0" distB="0" distL="0" distR="0" wp14:anchorId="53A8E040" wp14:editId="10AFD7B0">
            <wp:extent cx="5612130" cy="5553075"/>
            <wp:effectExtent l="0" t="0" r="7620" b="9525"/>
            <wp:docPr id="19898645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5553075"/>
                    </a:xfrm>
                    <a:prstGeom prst="rect">
                      <a:avLst/>
                    </a:prstGeom>
                    <a:noFill/>
                    <a:ln>
                      <a:noFill/>
                    </a:ln>
                  </pic:spPr>
                </pic:pic>
              </a:graphicData>
            </a:graphic>
          </wp:inline>
        </w:drawing>
      </w:r>
    </w:p>
    <w:p w14:paraId="397CB2E1" w14:textId="77777777" w:rsidR="00DA7276" w:rsidRDefault="00DA7276" w:rsidP="008F6530">
      <w:pPr>
        <w:pStyle w:val="Textoindependiente"/>
        <w:rPr>
          <w:noProof/>
          <w:lang w:val="es-CO"/>
        </w:rPr>
      </w:pPr>
    </w:p>
    <w:p w14:paraId="7FE7470A" w14:textId="77777777" w:rsidR="00DA7276" w:rsidRDefault="00DA7276" w:rsidP="008F6530">
      <w:pPr>
        <w:pStyle w:val="Ttulo1"/>
        <w:numPr>
          <w:ilvl w:val="0"/>
          <w:numId w:val="8"/>
        </w:numPr>
        <w:jc w:val="both"/>
        <w:rPr>
          <w:lang w:val="es-CO"/>
        </w:rPr>
      </w:pPr>
      <w:r>
        <w:rPr>
          <w:lang w:val="es-CO"/>
        </w:rPr>
        <w:t>Análisis Financiero</w:t>
      </w:r>
    </w:p>
    <w:p w14:paraId="669D3AA6" w14:textId="77777777" w:rsidR="00DA7276" w:rsidRDefault="00DA7276" w:rsidP="008F6530">
      <w:pPr>
        <w:pStyle w:val="Textoindependiente"/>
        <w:rPr>
          <w:lang w:val="es-CO"/>
        </w:rPr>
      </w:pPr>
    </w:p>
    <w:p w14:paraId="38DFE16D" w14:textId="77777777" w:rsidR="00DA7276" w:rsidRDefault="00DA7276" w:rsidP="008F6530">
      <w:pPr>
        <w:pStyle w:val="Ttulo2"/>
        <w:numPr>
          <w:ilvl w:val="0"/>
          <w:numId w:val="9"/>
        </w:numPr>
        <w:spacing w:before="0"/>
        <w:ind w:left="426" w:hanging="426"/>
        <w:rPr>
          <w:rFonts w:cs="Arial"/>
          <w:szCs w:val="22"/>
          <w:lang w:val="es-CO"/>
        </w:rPr>
      </w:pPr>
      <w:r>
        <w:rPr>
          <w:rFonts w:cs="Arial"/>
          <w:szCs w:val="22"/>
          <w:lang w:val="es-CO"/>
        </w:rPr>
        <w:t>Ingresos</w:t>
      </w:r>
    </w:p>
    <w:p w14:paraId="7FD7D462" w14:textId="77777777" w:rsidR="00DA7276" w:rsidRDefault="00DA7276" w:rsidP="008F6530">
      <w:pPr>
        <w:pStyle w:val="Textoindependiente"/>
        <w:jc w:val="both"/>
        <w:rPr>
          <w:lang w:val="es-CO"/>
        </w:rPr>
      </w:pPr>
    </w:p>
    <w:p w14:paraId="15FB9FE0" w14:textId="77777777" w:rsidR="00DA7276" w:rsidRDefault="00DA7276" w:rsidP="008F6530">
      <w:pPr>
        <w:pStyle w:val="Textoindependiente"/>
        <w:jc w:val="both"/>
        <w:rPr>
          <w:spacing w:val="-7"/>
          <w:lang w:val="es-CO"/>
        </w:rPr>
      </w:pPr>
      <w:r>
        <w:rPr>
          <w:lang w:val="es-CO"/>
        </w:rPr>
        <w:t>Para la vigencia 2022</w:t>
      </w:r>
      <w:r>
        <w:rPr>
          <w:spacing w:val="-7"/>
          <w:lang w:val="es-CO"/>
        </w:rPr>
        <w:t xml:space="preserve"> se le asignaron $166.857 millones al Departamento de Quindío del SGP-Educación. A diciembre de la misma vigencia, la entidad registro en su ejecución el recaudo de $168.727 millones asociados al Sistema General de Participaciones, de los cuales el 98.89% correspondi</w:t>
      </w:r>
      <w:r w:rsidR="00655982">
        <w:rPr>
          <w:spacing w:val="-7"/>
          <w:lang w:val="es-CO"/>
        </w:rPr>
        <w:t>ó</w:t>
      </w:r>
      <w:r>
        <w:rPr>
          <w:spacing w:val="-7"/>
          <w:lang w:val="es-CO"/>
        </w:rPr>
        <w:t xml:space="preserve"> a ingresos corrientes ($166.857 millones) y 1,11% a ingresos de capital ($1.870 millones). </w:t>
      </w:r>
      <w:r>
        <w:rPr>
          <w:bCs/>
          <w:lang w:val="es-ES_tradnl"/>
        </w:rPr>
        <w:t>La información de recursos corrientes es consistente con el monto girado del SGP por la Nación al Departamento.</w:t>
      </w:r>
    </w:p>
    <w:p w14:paraId="713119FB" w14:textId="77777777" w:rsidR="00DA7276" w:rsidRDefault="00DA7276" w:rsidP="008F6530">
      <w:pPr>
        <w:pStyle w:val="Textoindependiente"/>
        <w:jc w:val="both"/>
        <w:rPr>
          <w:spacing w:val="-7"/>
          <w:lang w:val="es-CO"/>
        </w:rPr>
      </w:pPr>
    </w:p>
    <w:tbl>
      <w:tblPr>
        <w:tblW w:w="8699" w:type="dxa"/>
        <w:tblCellMar>
          <w:left w:w="70" w:type="dxa"/>
          <w:right w:w="70" w:type="dxa"/>
        </w:tblCellMar>
        <w:tblLook w:val="04A0" w:firstRow="1" w:lastRow="0" w:firstColumn="1" w:lastColumn="0" w:noHBand="0" w:noVBand="1"/>
      </w:tblPr>
      <w:tblGrid>
        <w:gridCol w:w="5046"/>
        <w:gridCol w:w="1951"/>
        <w:gridCol w:w="1702"/>
      </w:tblGrid>
      <w:tr w:rsidR="00DA7276" w:rsidRPr="00291346" w14:paraId="4455C294" w14:textId="77777777" w:rsidTr="00291346">
        <w:trPr>
          <w:trHeight w:val="20"/>
        </w:trPr>
        <w:tc>
          <w:tcPr>
            <w:tcW w:w="8699" w:type="dxa"/>
            <w:gridSpan w:val="3"/>
            <w:tcBorders>
              <w:top w:val="single" w:sz="8" w:space="0" w:color="auto"/>
              <w:left w:val="single" w:sz="8" w:space="0" w:color="auto"/>
              <w:bottom w:val="single" w:sz="8" w:space="0" w:color="auto"/>
              <w:right w:val="single" w:sz="8" w:space="0" w:color="000000"/>
            </w:tcBorders>
            <w:shd w:val="clear" w:color="auto" w:fill="244061"/>
            <w:vAlign w:val="center"/>
            <w:hideMark/>
          </w:tcPr>
          <w:p w14:paraId="03BEA893" w14:textId="77777777" w:rsidR="00DA7276" w:rsidRPr="00291346" w:rsidRDefault="00DA7276" w:rsidP="008F6530">
            <w:pPr>
              <w:jc w:val="center"/>
              <w:rPr>
                <w:rFonts w:ascii="Arial" w:eastAsia="Times New Roman" w:hAnsi="Arial" w:cs="Arial"/>
                <w:b/>
                <w:bCs/>
                <w:color w:val="FFFFFF"/>
                <w:sz w:val="18"/>
                <w:szCs w:val="18"/>
                <w:lang w:val="es-CO" w:eastAsia="es-CO"/>
              </w:rPr>
            </w:pPr>
            <w:r w:rsidRPr="00291346">
              <w:rPr>
                <w:rFonts w:ascii="Arial" w:eastAsia="Times New Roman" w:hAnsi="Arial" w:cs="Arial"/>
                <w:b/>
                <w:bCs/>
                <w:color w:val="FFFFFF"/>
                <w:sz w:val="18"/>
                <w:szCs w:val="18"/>
                <w:lang w:val="es-CO" w:eastAsia="es-CO"/>
              </w:rPr>
              <w:t>TABLA1. INGRESOS A DICIEMBRE DE 2022 y MARZO 2023</w:t>
            </w:r>
          </w:p>
        </w:tc>
      </w:tr>
      <w:tr w:rsidR="00DA7276" w:rsidRPr="00291346" w14:paraId="5FD004F8" w14:textId="77777777" w:rsidTr="00291346">
        <w:trPr>
          <w:trHeight w:val="20"/>
        </w:trPr>
        <w:tc>
          <w:tcPr>
            <w:tcW w:w="8699" w:type="dxa"/>
            <w:gridSpan w:val="3"/>
            <w:tcBorders>
              <w:top w:val="single" w:sz="8" w:space="0" w:color="auto"/>
              <w:left w:val="single" w:sz="8" w:space="0" w:color="auto"/>
              <w:bottom w:val="single" w:sz="8" w:space="0" w:color="auto"/>
              <w:right w:val="single" w:sz="8" w:space="0" w:color="000000"/>
            </w:tcBorders>
            <w:shd w:val="clear" w:color="auto" w:fill="244061"/>
            <w:vAlign w:val="center"/>
            <w:hideMark/>
          </w:tcPr>
          <w:p w14:paraId="291683EE" w14:textId="77777777" w:rsidR="00DA7276" w:rsidRPr="00291346" w:rsidRDefault="00DA7276" w:rsidP="008F6530">
            <w:pPr>
              <w:jc w:val="center"/>
              <w:rPr>
                <w:rFonts w:ascii="Arial" w:eastAsia="Times New Roman" w:hAnsi="Arial" w:cs="Arial"/>
                <w:b/>
                <w:bCs/>
                <w:color w:val="FFFFFF"/>
                <w:sz w:val="18"/>
                <w:szCs w:val="18"/>
                <w:lang w:val="es-CO" w:eastAsia="es-CO"/>
              </w:rPr>
            </w:pPr>
            <w:r w:rsidRPr="00291346">
              <w:rPr>
                <w:rFonts w:ascii="Arial" w:eastAsia="Times New Roman" w:hAnsi="Arial" w:cs="Arial"/>
                <w:b/>
                <w:bCs/>
                <w:color w:val="FFFFFF"/>
                <w:sz w:val="18"/>
                <w:szCs w:val="18"/>
                <w:lang w:val="es-CO" w:eastAsia="es-CO"/>
              </w:rPr>
              <w:t>(MILLONES DE $)</w:t>
            </w:r>
          </w:p>
        </w:tc>
      </w:tr>
      <w:tr w:rsidR="00DA7276" w:rsidRPr="00291346" w14:paraId="10338FAF" w14:textId="77777777" w:rsidTr="00291346">
        <w:trPr>
          <w:trHeight w:val="20"/>
        </w:trPr>
        <w:tc>
          <w:tcPr>
            <w:tcW w:w="5046" w:type="dxa"/>
            <w:vMerge w:val="restart"/>
            <w:tcBorders>
              <w:top w:val="nil"/>
              <w:left w:val="single" w:sz="8" w:space="0" w:color="auto"/>
              <w:bottom w:val="single" w:sz="8" w:space="0" w:color="000000"/>
              <w:right w:val="single" w:sz="8" w:space="0" w:color="auto"/>
            </w:tcBorders>
            <w:shd w:val="clear" w:color="auto" w:fill="95B3D7"/>
            <w:vAlign w:val="center"/>
            <w:hideMark/>
          </w:tcPr>
          <w:p w14:paraId="4A5B912F"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CONCEPTOS</w:t>
            </w:r>
          </w:p>
        </w:tc>
        <w:tc>
          <w:tcPr>
            <w:tcW w:w="3653" w:type="dxa"/>
            <w:gridSpan w:val="2"/>
            <w:tcBorders>
              <w:top w:val="single" w:sz="8" w:space="0" w:color="auto"/>
              <w:left w:val="nil"/>
              <w:bottom w:val="single" w:sz="8" w:space="0" w:color="auto"/>
              <w:right w:val="single" w:sz="8" w:space="0" w:color="000000"/>
            </w:tcBorders>
            <w:shd w:val="clear" w:color="auto" w:fill="95B3D7"/>
            <w:vAlign w:val="center"/>
            <w:hideMark/>
          </w:tcPr>
          <w:p w14:paraId="35DD91EA"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 xml:space="preserve"> Vigencias </w:t>
            </w:r>
          </w:p>
        </w:tc>
      </w:tr>
      <w:tr w:rsidR="00DA7276" w:rsidRPr="00291346" w14:paraId="09AFE2A4" w14:textId="77777777" w:rsidTr="00291346">
        <w:trPr>
          <w:trHeight w:val="20"/>
        </w:trPr>
        <w:tc>
          <w:tcPr>
            <w:tcW w:w="0" w:type="auto"/>
            <w:vMerge/>
            <w:tcBorders>
              <w:top w:val="nil"/>
              <w:left w:val="single" w:sz="8" w:space="0" w:color="auto"/>
              <w:bottom w:val="single" w:sz="8" w:space="0" w:color="000000"/>
              <w:right w:val="single" w:sz="8" w:space="0" w:color="auto"/>
            </w:tcBorders>
            <w:vAlign w:val="center"/>
            <w:hideMark/>
          </w:tcPr>
          <w:p w14:paraId="251BDF9A" w14:textId="77777777" w:rsidR="00DA7276" w:rsidRPr="00291346" w:rsidRDefault="00DA7276" w:rsidP="008F6530">
            <w:pPr>
              <w:rPr>
                <w:rFonts w:ascii="Arial" w:eastAsia="Times New Roman" w:hAnsi="Arial" w:cs="Arial"/>
                <w:b/>
                <w:bCs/>
                <w:color w:val="000000"/>
                <w:sz w:val="18"/>
                <w:szCs w:val="18"/>
                <w:lang w:val="es-CO" w:eastAsia="es-CO"/>
              </w:rPr>
            </w:pPr>
          </w:p>
        </w:tc>
        <w:tc>
          <w:tcPr>
            <w:tcW w:w="1951" w:type="dxa"/>
            <w:tcBorders>
              <w:top w:val="nil"/>
              <w:left w:val="nil"/>
              <w:bottom w:val="single" w:sz="8" w:space="0" w:color="auto"/>
              <w:right w:val="single" w:sz="8" w:space="0" w:color="auto"/>
            </w:tcBorders>
            <w:shd w:val="clear" w:color="auto" w:fill="95B3D7"/>
            <w:vAlign w:val="center"/>
            <w:hideMark/>
          </w:tcPr>
          <w:p w14:paraId="395DE52C"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2022</w:t>
            </w:r>
          </w:p>
        </w:tc>
        <w:tc>
          <w:tcPr>
            <w:tcW w:w="1702" w:type="dxa"/>
            <w:tcBorders>
              <w:top w:val="nil"/>
              <w:left w:val="nil"/>
              <w:bottom w:val="single" w:sz="8" w:space="0" w:color="auto"/>
              <w:right w:val="single" w:sz="8" w:space="0" w:color="auto"/>
            </w:tcBorders>
            <w:shd w:val="clear" w:color="auto" w:fill="95B3D7"/>
            <w:vAlign w:val="center"/>
            <w:hideMark/>
          </w:tcPr>
          <w:p w14:paraId="622D94BC"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2023</w:t>
            </w:r>
          </w:p>
        </w:tc>
      </w:tr>
      <w:tr w:rsidR="00DA7276" w:rsidRPr="00291346" w14:paraId="587F83EF"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3B966819"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Asignación SGP-educación</w:t>
            </w:r>
          </w:p>
        </w:tc>
        <w:tc>
          <w:tcPr>
            <w:tcW w:w="1951" w:type="dxa"/>
            <w:tcBorders>
              <w:top w:val="nil"/>
              <w:left w:val="nil"/>
              <w:bottom w:val="single" w:sz="8" w:space="0" w:color="auto"/>
              <w:right w:val="single" w:sz="8" w:space="0" w:color="auto"/>
            </w:tcBorders>
            <w:vAlign w:val="center"/>
            <w:hideMark/>
          </w:tcPr>
          <w:p w14:paraId="14245B9B" w14:textId="77777777" w:rsidR="00DA7276" w:rsidRPr="00291346" w:rsidRDefault="008F6530"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DA7276" w:rsidRPr="00291346">
              <w:rPr>
                <w:rFonts w:ascii="Arial" w:eastAsia="Times New Roman" w:hAnsi="Arial" w:cs="Arial"/>
                <w:b/>
                <w:bCs/>
                <w:color w:val="000000"/>
                <w:sz w:val="18"/>
                <w:szCs w:val="18"/>
                <w:lang w:val="es-CO" w:eastAsia="es-CO"/>
              </w:rPr>
              <w:t xml:space="preserve">166.857 </w:t>
            </w:r>
          </w:p>
        </w:tc>
        <w:tc>
          <w:tcPr>
            <w:tcW w:w="1702" w:type="dxa"/>
            <w:tcBorders>
              <w:top w:val="nil"/>
              <w:left w:val="nil"/>
              <w:bottom w:val="single" w:sz="8" w:space="0" w:color="auto"/>
              <w:right w:val="single" w:sz="8" w:space="0" w:color="auto"/>
            </w:tcBorders>
            <w:vAlign w:val="center"/>
            <w:hideMark/>
          </w:tcPr>
          <w:p w14:paraId="51DAF896" w14:textId="77777777" w:rsidR="00DA7276" w:rsidRPr="00291346" w:rsidRDefault="008F6530"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DA7276" w:rsidRPr="00291346">
              <w:rPr>
                <w:rFonts w:ascii="Arial" w:eastAsia="Times New Roman" w:hAnsi="Arial" w:cs="Arial"/>
                <w:b/>
                <w:bCs/>
                <w:color w:val="000000"/>
                <w:sz w:val="18"/>
                <w:szCs w:val="18"/>
                <w:lang w:val="es-CO" w:eastAsia="es-CO"/>
              </w:rPr>
              <w:t xml:space="preserve">120.594 </w:t>
            </w:r>
          </w:p>
        </w:tc>
      </w:tr>
      <w:tr w:rsidR="00DA7276" w:rsidRPr="00291346" w14:paraId="79FAF453"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2EF541D1"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Giro MEN-ET</w:t>
            </w:r>
          </w:p>
        </w:tc>
        <w:tc>
          <w:tcPr>
            <w:tcW w:w="1951" w:type="dxa"/>
            <w:tcBorders>
              <w:top w:val="nil"/>
              <w:left w:val="nil"/>
              <w:bottom w:val="single" w:sz="8" w:space="0" w:color="auto"/>
              <w:right w:val="single" w:sz="8" w:space="0" w:color="auto"/>
            </w:tcBorders>
            <w:vAlign w:val="center"/>
            <w:hideMark/>
          </w:tcPr>
          <w:p w14:paraId="11EAA82D" w14:textId="77777777" w:rsidR="00DA7276" w:rsidRPr="00291346" w:rsidRDefault="008F6530"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DA7276" w:rsidRPr="00291346">
              <w:rPr>
                <w:rFonts w:ascii="Arial" w:eastAsia="Times New Roman" w:hAnsi="Arial" w:cs="Arial"/>
                <w:b/>
                <w:bCs/>
                <w:color w:val="000000"/>
                <w:sz w:val="18"/>
                <w:szCs w:val="18"/>
                <w:lang w:val="es-CO" w:eastAsia="es-CO"/>
              </w:rPr>
              <w:t xml:space="preserve">166.857 </w:t>
            </w:r>
          </w:p>
        </w:tc>
        <w:tc>
          <w:tcPr>
            <w:tcW w:w="1702" w:type="dxa"/>
            <w:tcBorders>
              <w:top w:val="nil"/>
              <w:left w:val="nil"/>
              <w:bottom w:val="single" w:sz="8" w:space="0" w:color="auto"/>
              <w:right w:val="single" w:sz="8" w:space="0" w:color="auto"/>
            </w:tcBorders>
            <w:vAlign w:val="center"/>
            <w:hideMark/>
          </w:tcPr>
          <w:p w14:paraId="72427121" w14:textId="77777777" w:rsidR="00DA7276" w:rsidRPr="00291346" w:rsidRDefault="008F6530"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DA7276" w:rsidRPr="00291346">
              <w:rPr>
                <w:rFonts w:ascii="Arial" w:eastAsia="Times New Roman" w:hAnsi="Arial" w:cs="Arial"/>
                <w:b/>
                <w:bCs/>
                <w:color w:val="000000"/>
                <w:sz w:val="18"/>
                <w:szCs w:val="18"/>
                <w:lang w:val="es-CO" w:eastAsia="es-CO"/>
              </w:rPr>
              <w:t xml:space="preserve">46.276 </w:t>
            </w:r>
          </w:p>
        </w:tc>
      </w:tr>
      <w:tr w:rsidR="00DA7276" w:rsidRPr="00291346" w14:paraId="4F00DD04" w14:textId="77777777" w:rsidTr="00291346">
        <w:trPr>
          <w:trHeight w:val="20"/>
        </w:trPr>
        <w:tc>
          <w:tcPr>
            <w:tcW w:w="8699" w:type="dxa"/>
            <w:gridSpan w:val="3"/>
            <w:tcBorders>
              <w:top w:val="single" w:sz="8" w:space="0" w:color="auto"/>
              <w:left w:val="single" w:sz="8" w:space="0" w:color="auto"/>
              <w:bottom w:val="single" w:sz="8" w:space="0" w:color="auto"/>
              <w:right w:val="single" w:sz="8" w:space="0" w:color="000000"/>
            </w:tcBorders>
            <w:shd w:val="clear" w:color="auto" w:fill="95B3D7"/>
            <w:vAlign w:val="center"/>
            <w:hideMark/>
          </w:tcPr>
          <w:p w14:paraId="2B7BFF60" w14:textId="77777777" w:rsidR="00DA7276" w:rsidRPr="00291346" w:rsidRDefault="00DA7276" w:rsidP="008F6530">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REPORTE CUIPO</w:t>
            </w:r>
          </w:p>
        </w:tc>
      </w:tr>
      <w:tr w:rsidR="00DA7276" w:rsidRPr="00291346" w14:paraId="05D22AC4" w14:textId="77777777" w:rsidTr="00291346">
        <w:trPr>
          <w:trHeight w:val="20"/>
        </w:trPr>
        <w:tc>
          <w:tcPr>
            <w:tcW w:w="5046" w:type="dxa"/>
            <w:tcBorders>
              <w:top w:val="nil"/>
              <w:left w:val="single" w:sz="8" w:space="0" w:color="auto"/>
              <w:bottom w:val="single" w:sz="8" w:space="0" w:color="auto"/>
              <w:right w:val="single" w:sz="8" w:space="0" w:color="auto"/>
            </w:tcBorders>
            <w:shd w:val="clear" w:color="auto" w:fill="D9D9D9"/>
            <w:vAlign w:val="center"/>
            <w:hideMark/>
          </w:tcPr>
          <w:p w14:paraId="6F2BC5CE"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Ingresos Corrientes</w:t>
            </w:r>
          </w:p>
        </w:tc>
        <w:tc>
          <w:tcPr>
            <w:tcW w:w="1951" w:type="dxa"/>
            <w:tcBorders>
              <w:top w:val="nil"/>
              <w:left w:val="nil"/>
              <w:bottom w:val="single" w:sz="8" w:space="0" w:color="auto"/>
              <w:right w:val="single" w:sz="8" w:space="0" w:color="auto"/>
            </w:tcBorders>
            <w:shd w:val="clear" w:color="auto" w:fill="D9D9D9"/>
            <w:vAlign w:val="center"/>
            <w:hideMark/>
          </w:tcPr>
          <w:p w14:paraId="7D506A7D"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166.857</w:t>
            </w:r>
          </w:p>
        </w:tc>
        <w:tc>
          <w:tcPr>
            <w:tcW w:w="1702" w:type="dxa"/>
            <w:tcBorders>
              <w:top w:val="nil"/>
              <w:left w:val="nil"/>
              <w:bottom w:val="single" w:sz="8" w:space="0" w:color="auto"/>
              <w:right w:val="single" w:sz="8" w:space="0" w:color="auto"/>
            </w:tcBorders>
            <w:shd w:val="clear" w:color="auto" w:fill="D9D9D9"/>
            <w:vAlign w:val="center"/>
            <w:hideMark/>
          </w:tcPr>
          <w:p w14:paraId="11124AF4"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46.276</w:t>
            </w:r>
          </w:p>
        </w:tc>
      </w:tr>
      <w:tr w:rsidR="00DA7276" w:rsidRPr="00291346" w14:paraId="2BEFA812"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6ABF568D"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Sistema General de Participaciones –Educación</w:t>
            </w:r>
          </w:p>
        </w:tc>
        <w:tc>
          <w:tcPr>
            <w:tcW w:w="1951" w:type="dxa"/>
            <w:tcBorders>
              <w:top w:val="nil"/>
              <w:left w:val="nil"/>
              <w:bottom w:val="single" w:sz="8" w:space="0" w:color="auto"/>
              <w:right w:val="single" w:sz="8" w:space="0" w:color="auto"/>
            </w:tcBorders>
            <w:vAlign w:val="center"/>
            <w:hideMark/>
          </w:tcPr>
          <w:p w14:paraId="496845A6"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166.857</w:t>
            </w:r>
          </w:p>
        </w:tc>
        <w:tc>
          <w:tcPr>
            <w:tcW w:w="1702" w:type="dxa"/>
            <w:tcBorders>
              <w:top w:val="nil"/>
              <w:left w:val="nil"/>
              <w:bottom w:val="single" w:sz="8" w:space="0" w:color="auto"/>
              <w:right w:val="single" w:sz="8" w:space="0" w:color="auto"/>
            </w:tcBorders>
            <w:vAlign w:val="center"/>
            <w:hideMark/>
          </w:tcPr>
          <w:p w14:paraId="4044D6C2"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46.276</w:t>
            </w:r>
          </w:p>
        </w:tc>
      </w:tr>
      <w:tr w:rsidR="00DA7276" w:rsidRPr="00291346" w14:paraId="304BB4C2"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240F7AFB"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Prestación de servicios</w:t>
            </w:r>
          </w:p>
        </w:tc>
        <w:tc>
          <w:tcPr>
            <w:tcW w:w="1951" w:type="dxa"/>
            <w:tcBorders>
              <w:top w:val="nil"/>
              <w:left w:val="nil"/>
              <w:bottom w:val="single" w:sz="8" w:space="0" w:color="auto"/>
              <w:right w:val="single" w:sz="8" w:space="0" w:color="auto"/>
            </w:tcBorders>
            <w:vAlign w:val="center"/>
            <w:hideMark/>
          </w:tcPr>
          <w:p w14:paraId="00EDAAC1"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166.857</w:t>
            </w:r>
          </w:p>
        </w:tc>
        <w:tc>
          <w:tcPr>
            <w:tcW w:w="1702" w:type="dxa"/>
            <w:tcBorders>
              <w:top w:val="nil"/>
              <w:left w:val="nil"/>
              <w:bottom w:val="single" w:sz="8" w:space="0" w:color="auto"/>
              <w:right w:val="single" w:sz="8" w:space="0" w:color="auto"/>
            </w:tcBorders>
            <w:vAlign w:val="center"/>
            <w:hideMark/>
          </w:tcPr>
          <w:p w14:paraId="38BC711A" w14:textId="77777777" w:rsidR="00DA7276" w:rsidRPr="00291346" w:rsidRDefault="00DA7276" w:rsidP="008F6530">
            <w:pPr>
              <w:ind w:firstLineChars="200" w:firstLine="361"/>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35.992</w:t>
            </w:r>
          </w:p>
        </w:tc>
      </w:tr>
      <w:tr w:rsidR="00DA7276" w:rsidRPr="00291346" w14:paraId="6A5B3A74"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63625243"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Con Situación de Fondos</w:t>
            </w:r>
          </w:p>
        </w:tc>
        <w:tc>
          <w:tcPr>
            <w:tcW w:w="1951" w:type="dxa"/>
            <w:tcBorders>
              <w:top w:val="nil"/>
              <w:left w:val="nil"/>
              <w:bottom w:val="single" w:sz="8" w:space="0" w:color="auto"/>
              <w:right w:val="single" w:sz="8" w:space="0" w:color="auto"/>
            </w:tcBorders>
            <w:vAlign w:val="center"/>
            <w:hideMark/>
          </w:tcPr>
          <w:p w14:paraId="4DFAC1BC"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 xml:space="preserve">146.126 </w:t>
            </w:r>
          </w:p>
        </w:tc>
        <w:tc>
          <w:tcPr>
            <w:tcW w:w="1702" w:type="dxa"/>
            <w:tcBorders>
              <w:top w:val="nil"/>
              <w:left w:val="nil"/>
              <w:bottom w:val="single" w:sz="8" w:space="0" w:color="auto"/>
              <w:right w:val="single" w:sz="8" w:space="0" w:color="auto"/>
            </w:tcBorders>
            <w:vAlign w:val="center"/>
            <w:hideMark/>
          </w:tcPr>
          <w:p w14:paraId="27E72AA1"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 xml:space="preserve">35.992 </w:t>
            </w:r>
          </w:p>
        </w:tc>
      </w:tr>
      <w:tr w:rsidR="00DA7276" w:rsidRPr="00291346" w14:paraId="18E1530E"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48DE576C"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Sin Situación de Fondos</w:t>
            </w:r>
          </w:p>
        </w:tc>
        <w:tc>
          <w:tcPr>
            <w:tcW w:w="1951" w:type="dxa"/>
            <w:tcBorders>
              <w:top w:val="nil"/>
              <w:left w:val="nil"/>
              <w:bottom w:val="single" w:sz="8" w:space="0" w:color="auto"/>
              <w:right w:val="single" w:sz="8" w:space="0" w:color="auto"/>
            </w:tcBorders>
            <w:vAlign w:val="center"/>
            <w:hideMark/>
          </w:tcPr>
          <w:p w14:paraId="14CC9790"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 xml:space="preserve">20.731 </w:t>
            </w:r>
          </w:p>
        </w:tc>
        <w:tc>
          <w:tcPr>
            <w:tcW w:w="1702" w:type="dxa"/>
            <w:tcBorders>
              <w:top w:val="nil"/>
              <w:left w:val="nil"/>
              <w:bottom w:val="single" w:sz="8" w:space="0" w:color="auto"/>
              <w:right w:val="single" w:sz="8" w:space="0" w:color="auto"/>
            </w:tcBorders>
            <w:vAlign w:val="center"/>
            <w:hideMark/>
          </w:tcPr>
          <w:p w14:paraId="07DF342D"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p>
        </w:tc>
      </w:tr>
      <w:tr w:rsidR="00DA7276" w:rsidRPr="00291346" w14:paraId="10742463"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173BF61D"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Cancelaciones</w:t>
            </w:r>
          </w:p>
        </w:tc>
        <w:tc>
          <w:tcPr>
            <w:tcW w:w="1951" w:type="dxa"/>
            <w:tcBorders>
              <w:top w:val="nil"/>
              <w:left w:val="nil"/>
              <w:bottom w:val="single" w:sz="8" w:space="0" w:color="auto"/>
              <w:right w:val="single" w:sz="8" w:space="0" w:color="auto"/>
            </w:tcBorders>
            <w:vAlign w:val="center"/>
            <w:hideMark/>
          </w:tcPr>
          <w:p w14:paraId="725D6896"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w:t>
            </w:r>
          </w:p>
        </w:tc>
        <w:tc>
          <w:tcPr>
            <w:tcW w:w="1702" w:type="dxa"/>
            <w:tcBorders>
              <w:top w:val="nil"/>
              <w:left w:val="nil"/>
              <w:bottom w:val="single" w:sz="8" w:space="0" w:color="auto"/>
              <w:right w:val="single" w:sz="8" w:space="0" w:color="auto"/>
            </w:tcBorders>
            <w:vAlign w:val="center"/>
            <w:hideMark/>
          </w:tcPr>
          <w:p w14:paraId="04822939"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10.284</w:t>
            </w:r>
          </w:p>
        </w:tc>
      </w:tr>
      <w:tr w:rsidR="00DA7276" w:rsidRPr="00291346" w14:paraId="18BA66FA" w14:textId="77777777" w:rsidTr="00291346">
        <w:trPr>
          <w:trHeight w:val="20"/>
        </w:trPr>
        <w:tc>
          <w:tcPr>
            <w:tcW w:w="5046" w:type="dxa"/>
            <w:tcBorders>
              <w:top w:val="nil"/>
              <w:left w:val="single" w:sz="8" w:space="0" w:color="auto"/>
              <w:bottom w:val="single" w:sz="8" w:space="0" w:color="auto"/>
              <w:right w:val="single" w:sz="8" w:space="0" w:color="auto"/>
            </w:tcBorders>
            <w:shd w:val="clear" w:color="auto" w:fill="D9D9D9"/>
            <w:vAlign w:val="center"/>
            <w:hideMark/>
          </w:tcPr>
          <w:p w14:paraId="52A491AD"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INGRESOS DE CAPITAL</w:t>
            </w:r>
          </w:p>
        </w:tc>
        <w:tc>
          <w:tcPr>
            <w:tcW w:w="1951" w:type="dxa"/>
            <w:tcBorders>
              <w:top w:val="nil"/>
              <w:left w:val="nil"/>
              <w:bottom w:val="single" w:sz="8" w:space="0" w:color="auto"/>
              <w:right w:val="single" w:sz="8" w:space="0" w:color="auto"/>
            </w:tcBorders>
            <w:shd w:val="clear" w:color="auto" w:fill="D9D9D9"/>
            <w:vAlign w:val="center"/>
            <w:hideMark/>
          </w:tcPr>
          <w:p w14:paraId="0E757E08"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1.870</w:t>
            </w:r>
          </w:p>
        </w:tc>
        <w:tc>
          <w:tcPr>
            <w:tcW w:w="1702" w:type="dxa"/>
            <w:tcBorders>
              <w:top w:val="nil"/>
              <w:left w:val="nil"/>
              <w:bottom w:val="single" w:sz="8" w:space="0" w:color="auto"/>
              <w:right w:val="single" w:sz="8" w:space="0" w:color="auto"/>
            </w:tcBorders>
            <w:shd w:val="clear" w:color="auto" w:fill="D9D9D9"/>
            <w:vAlign w:val="center"/>
            <w:hideMark/>
          </w:tcPr>
          <w:p w14:paraId="4C70A6C3"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545</w:t>
            </w:r>
          </w:p>
        </w:tc>
      </w:tr>
      <w:tr w:rsidR="00DA7276" w:rsidRPr="00291346" w14:paraId="36E9E9C0"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420D3A05"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Rendimientos Financieros</w:t>
            </w:r>
          </w:p>
        </w:tc>
        <w:tc>
          <w:tcPr>
            <w:tcW w:w="1951" w:type="dxa"/>
            <w:tcBorders>
              <w:top w:val="nil"/>
              <w:left w:val="nil"/>
              <w:bottom w:val="single" w:sz="8" w:space="0" w:color="auto"/>
              <w:right w:val="single" w:sz="8" w:space="0" w:color="auto"/>
            </w:tcBorders>
            <w:vAlign w:val="center"/>
            <w:hideMark/>
          </w:tcPr>
          <w:p w14:paraId="1077AA4F"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234</w:t>
            </w:r>
          </w:p>
        </w:tc>
        <w:tc>
          <w:tcPr>
            <w:tcW w:w="1702" w:type="dxa"/>
            <w:tcBorders>
              <w:top w:val="nil"/>
              <w:left w:val="nil"/>
              <w:bottom w:val="single" w:sz="8" w:space="0" w:color="auto"/>
              <w:right w:val="single" w:sz="8" w:space="0" w:color="auto"/>
            </w:tcBorders>
            <w:vAlign w:val="center"/>
            <w:hideMark/>
          </w:tcPr>
          <w:p w14:paraId="59CD6008"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74</w:t>
            </w:r>
          </w:p>
        </w:tc>
      </w:tr>
      <w:tr w:rsidR="00DA7276" w:rsidRPr="00291346" w14:paraId="69CDC8DF"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46B9323B"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Rendimiento Prestación</w:t>
            </w:r>
          </w:p>
        </w:tc>
        <w:tc>
          <w:tcPr>
            <w:tcW w:w="1951" w:type="dxa"/>
            <w:tcBorders>
              <w:top w:val="nil"/>
              <w:left w:val="nil"/>
              <w:bottom w:val="single" w:sz="8" w:space="0" w:color="auto"/>
              <w:right w:val="single" w:sz="8" w:space="0" w:color="auto"/>
            </w:tcBorders>
            <w:vAlign w:val="center"/>
            <w:hideMark/>
          </w:tcPr>
          <w:p w14:paraId="49C8E636"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 xml:space="preserve">234 </w:t>
            </w:r>
          </w:p>
        </w:tc>
        <w:tc>
          <w:tcPr>
            <w:tcW w:w="1702" w:type="dxa"/>
            <w:tcBorders>
              <w:top w:val="nil"/>
              <w:left w:val="nil"/>
              <w:bottom w:val="single" w:sz="8" w:space="0" w:color="auto"/>
              <w:right w:val="single" w:sz="8" w:space="0" w:color="auto"/>
            </w:tcBorders>
            <w:vAlign w:val="center"/>
            <w:hideMark/>
          </w:tcPr>
          <w:p w14:paraId="3B348B38" w14:textId="77777777" w:rsidR="00DA7276" w:rsidRPr="00291346" w:rsidRDefault="008F6530" w:rsidP="008F653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DA7276" w:rsidRPr="00291346">
              <w:rPr>
                <w:rFonts w:ascii="Arial" w:eastAsia="Times New Roman" w:hAnsi="Arial" w:cs="Arial"/>
                <w:color w:val="000000"/>
                <w:sz w:val="18"/>
                <w:szCs w:val="18"/>
                <w:lang w:val="es-CO" w:eastAsia="es-CO"/>
              </w:rPr>
              <w:t xml:space="preserve">74 </w:t>
            </w:r>
          </w:p>
        </w:tc>
      </w:tr>
      <w:tr w:rsidR="00DA7276" w:rsidRPr="00291346" w14:paraId="77CCE8A1"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169FF193"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Recursos del Balance</w:t>
            </w:r>
          </w:p>
        </w:tc>
        <w:tc>
          <w:tcPr>
            <w:tcW w:w="1951" w:type="dxa"/>
            <w:tcBorders>
              <w:top w:val="nil"/>
              <w:left w:val="nil"/>
              <w:bottom w:val="single" w:sz="8" w:space="0" w:color="auto"/>
              <w:right w:val="single" w:sz="8" w:space="0" w:color="auto"/>
            </w:tcBorders>
            <w:vAlign w:val="center"/>
            <w:hideMark/>
          </w:tcPr>
          <w:p w14:paraId="110350B9"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1.636</w:t>
            </w:r>
          </w:p>
        </w:tc>
        <w:tc>
          <w:tcPr>
            <w:tcW w:w="1702" w:type="dxa"/>
            <w:tcBorders>
              <w:top w:val="nil"/>
              <w:left w:val="nil"/>
              <w:bottom w:val="single" w:sz="8" w:space="0" w:color="auto"/>
              <w:right w:val="single" w:sz="8" w:space="0" w:color="auto"/>
            </w:tcBorders>
            <w:vAlign w:val="center"/>
            <w:hideMark/>
          </w:tcPr>
          <w:p w14:paraId="473C8526"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354</w:t>
            </w:r>
          </w:p>
        </w:tc>
      </w:tr>
      <w:tr w:rsidR="00DA7276" w:rsidRPr="00291346" w14:paraId="3B8E433A"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0B0562ED"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Superávit fiscal Prestación</w:t>
            </w:r>
          </w:p>
        </w:tc>
        <w:tc>
          <w:tcPr>
            <w:tcW w:w="1951" w:type="dxa"/>
            <w:tcBorders>
              <w:top w:val="nil"/>
              <w:left w:val="nil"/>
              <w:bottom w:val="single" w:sz="8" w:space="0" w:color="auto"/>
              <w:right w:val="single" w:sz="8" w:space="0" w:color="auto"/>
            </w:tcBorders>
            <w:vAlign w:val="center"/>
            <w:hideMark/>
          </w:tcPr>
          <w:p w14:paraId="68B0CA14"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3</w:t>
            </w:r>
          </w:p>
        </w:tc>
        <w:tc>
          <w:tcPr>
            <w:tcW w:w="1702" w:type="dxa"/>
            <w:tcBorders>
              <w:top w:val="nil"/>
              <w:left w:val="nil"/>
              <w:bottom w:val="single" w:sz="8" w:space="0" w:color="auto"/>
              <w:right w:val="single" w:sz="8" w:space="0" w:color="auto"/>
            </w:tcBorders>
            <w:vAlign w:val="center"/>
            <w:hideMark/>
          </w:tcPr>
          <w:p w14:paraId="61455301"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237</w:t>
            </w:r>
          </w:p>
        </w:tc>
      </w:tr>
      <w:tr w:rsidR="00DA7276" w:rsidRPr="00291346" w14:paraId="00A2E029"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5BB5D731"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Cancelaciones</w:t>
            </w:r>
          </w:p>
        </w:tc>
        <w:tc>
          <w:tcPr>
            <w:tcW w:w="1951" w:type="dxa"/>
            <w:tcBorders>
              <w:top w:val="nil"/>
              <w:left w:val="nil"/>
              <w:bottom w:val="single" w:sz="8" w:space="0" w:color="auto"/>
              <w:right w:val="single" w:sz="8" w:space="0" w:color="auto"/>
            </w:tcBorders>
            <w:vAlign w:val="center"/>
            <w:hideMark/>
          </w:tcPr>
          <w:p w14:paraId="6A0D6BCF"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1.632</w:t>
            </w:r>
          </w:p>
        </w:tc>
        <w:tc>
          <w:tcPr>
            <w:tcW w:w="1702" w:type="dxa"/>
            <w:tcBorders>
              <w:top w:val="nil"/>
              <w:left w:val="nil"/>
              <w:bottom w:val="single" w:sz="8" w:space="0" w:color="auto"/>
              <w:right w:val="single" w:sz="8" w:space="0" w:color="auto"/>
            </w:tcBorders>
            <w:vAlign w:val="center"/>
            <w:hideMark/>
          </w:tcPr>
          <w:p w14:paraId="1FEDCB74"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116</w:t>
            </w:r>
          </w:p>
        </w:tc>
      </w:tr>
      <w:tr w:rsidR="00DA7276" w:rsidRPr="00291346" w14:paraId="5A0A12A8"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037E2F28"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Reintegros</w:t>
            </w:r>
          </w:p>
        </w:tc>
        <w:tc>
          <w:tcPr>
            <w:tcW w:w="1951" w:type="dxa"/>
            <w:tcBorders>
              <w:top w:val="nil"/>
              <w:left w:val="nil"/>
              <w:bottom w:val="single" w:sz="8" w:space="0" w:color="auto"/>
              <w:right w:val="single" w:sz="8" w:space="0" w:color="auto"/>
            </w:tcBorders>
            <w:vAlign w:val="center"/>
            <w:hideMark/>
          </w:tcPr>
          <w:p w14:paraId="1AE3D618"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w:t>
            </w:r>
          </w:p>
        </w:tc>
        <w:tc>
          <w:tcPr>
            <w:tcW w:w="1702" w:type="dxa"/>
            <w:tcBorders>
              <w:top w:val="nil"/>
              <w:left w:val="nil"/>
              <w:bottom w:val="single" w:sz="8" w:space="0" w:color="auto"/>
              <w:right w:val="single" w:sz="8" w:space="0" w:color="auto"/>
            </w:tcBorders>
            <w:vAlign w:val="center"/>
            <w:hideMark/>
          </w:tcPr>
          <w:p w14:paraId="31991D69" w14:textId="77777777" w:rsidR="00DA7276" w:rsidRPr="00291346" w:rsidRDefault="00DA7276" w:rsidP="008F6530">
            <w:pPr>
              <w:jc w:val="right"/>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117</w:t>
            </w:r>
          </w:p>
        </w:tc>
      </w:tr>
      <w:tr w:rsidR="00DA7276" w:rsidRPr="00291346" w14:paraId="3911654A" w14:textId="77777777" w:rsidTr="00291346">
        <w:trPr>
          <w:trHeight w:val="20"/>
        </w:trPr>
        <w:tc>
          <w:tcPr>
            <w:tcW w:w="5046" w:type="dxa"/>
            <w:tcBorders>
              <w:top w:val="nil"/>
              <w:left w:val="single" w:sz="8" w:space="0" w:color="auto"/>
              <w:bottom w:val="single" w:sz="8" w:space="0" w:color="auto"/>
              <w:right w:val="single" w:sz="8" w:space="0" w:color="auto"/>
            </w:tcBorders>
            <w:vAlign w:val="center"/>
            <w:hideMark/>
          </w:tcPr>
          <w:p w14:paraId="4F7AA07E" w14:textId="77777777" w:rsidR="00DA7276" w:rsidRPr="00291346" w:rsidRDefault="00DA7276" w:rsidP="008F6530">
            <w:pP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Reintegros Prestación</w:t>
            </w:r>
          </w:p>
        </w:tc>
        <w:tc>
          <w:tcPr>
            <w:tcW w:w="1951" w:type="dxa"/>
            <w:tcBorders>
              <w:top w:val="nil"/>
              <w:left w:val="nil"/>
              <w:bottom w:val="single" w:sz="8" w:space="0" w:color="auto"/>
              <w:right w:val="single" w:sz="8" w:space="0" w:color="auto"/>
            </w:tcBorders>
            <w:vAlign w:val="center"/>
            <w:hideMark/>
          </w:tcPr>
          <w:p w14:paraId="2E6BE1AF"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w:t>
            </w:r>
          </w:p>
        </w:tc>
        <w:tc>
          <w:tcPr>
            <w:tcW w:w="1702" w:type="dxa"/>
            <w:tcBorders>
              <w:top w:val="nil"/>
              <w:left w:val="nil"/>
              <w:bottom w:val="single" w:sz="8" w:space="0" w:color="auto"/>
              <w:right w:val="single" w:sz="8" w:space="0" w:color="auto"/>
            </w:tcBorders>
            <w:vAlign w:val="center"/>
            <w:hideMark/>
          </w:tcPr>
          <w:p w14:paraId="7BBDBD3A" w14:textId="77777777" w:rsidR="00DA7276" w:rsidRPr="00291346" w:rsidRDefault="00DA7276" w:rsidP="008F6530">
            <w:pPr>
              <w:jc w:val="right"/>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117</w:t>
            </w:r>
          </w:p>
        </w:tc>
      </w:tr>
      <w:tr w:rsidR="00DA7276" w:rsidRPr="00291346" w14:paraId="038B3750" w14:textId="77777777" w:rsidTr="00291346">
        <w:trPr>
          <w:trHeight w:val="20"/>
        </w:trPr>
        <w:tc>
          <w:tcPr>
            <w:tcW w:w="5046" w:type="dxa"/>
            <w:tcBorders>
              <w:top w:val="nil"/>
              <w:left w:val="single" w:sz="8" w:space="0" w:color="auto"/>
              <w:bottom w:val="single" w:sz="8" w:space="0" w:color="auto"/>
              <w:right w:val="single" w:sz="8" w:space="0" w:color="auto"/>
            </w:tcBorders>
            <w:shd w:val="clear" w:color="auto" w:fill="244061"/>
            <w:vAlign w:val="center"/>
            <w:hideMark/>
          </w:tcPr>
          <w:p w14:paraId="6B678E3D" w14:textId="77777777" w:rsidR="00DA7276" w:rsidRPr="00291346" w:rsidRDefault="00DA7276" w:rsidP="008F6530">
            <w:pPr>
              <w:rPr>
                <w:rFonts w:ascii="Arial" w:eastAsia="Times New Roman" w:hAnsi="Arial" w:cs="Arial"/>
                <w:b/>
                <w:bCs/>
                <w:color w:val="FFFFFF"/>
                <w:sz w:val="18"/>
                <w:szCs w:val="18"/>
                <w:lang w:val="es-CO" w:eastAsia="es-CO"/>
              </w:rPr>
            </w:pPr>
            <w:r w:rsidRPr="00291346">
              <w:rPr>
                <w:rFonts w:ascii="Arial" w:eastAsia="Times New Roman" w:hAnsi="Arial" w:cs="Arial"/>
                <w:b/>
                <w:bCs/>
                <w:color w:val="FFFFFF"/>
                <w:sz w:val="18"/>
                <w:szCs w:val="18"/>
                <w:lang w:val="es-CO" w:eastAsia="es-CO"/>
              </w:rPr>
              <w:t>INGRESOS TOTALES</w:t>
            </w:r>
          </w:p>
        </w:tc>
        <w:tc>
          <w:tcPr>
            <w:tcW w:w="1951" w:type="dxa"/>
            <w:tcBorders>
              <w:top w:val="nil"/>
              <w:left w:val="nil"/>
              <w:bottom w:val="single" w:sz="8" w:space="0" w:color="auto"/>
              <w:right w:val="single" w:sz="8" w:space="0" w:color="auto"/>
            </w:tcBorders>
            <w:shd w:val="clear" w:color="auto" w:fill="244061"/>
            <w:vAlign w:val="center"/>
            <w:hideMark/>
          </w:tcPr>
          <w:p w14:paraId="7EC8A980" w14:textId="77777777" w:rsidR="00DA7276" w:rsidRPr="00291346" w:rsidRDefault="008F6530" w:rsidP="008F6530">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w:t>
            </w:r>
            <w:r w:rsidR="00DA7276" w:rsidRPr="00291346">
              <w:rPr>
                <w:rFonts w:ascii="Arial" w:eastAsia="Times New Roman" w:hAnsi="Arial" w:cs="Arial"/>
                <w:b/>
                <w:bCs/>
                <w:color w:val="FFFFFF"/>
                <w:sz w:val="18"/>
                <w:szCs w:val="18"/>
                <w:lang w:val="es-CO" w:eastAsia="es-CO"/>
              </w:rPr>
              <w:t xml:space="preserve">168.727 </w:t>
            </w:r>
          </w:p>
        </w:tc>
        <w:tc>
          <w:tcPr>
            <w:tcW w:w="1702" w:type="dxa"/>
            <w:tcBorders>
              <w:top w:val="nil"/>
              <w:left w:val="nil"/>
              <w:bottom w:val="single" w:sz="8" w:space="0" w:color="auto"/>
              <w:right w:val="single" w:sz="8" w:space="0" w:color="auto"/>
            </w:tcBorders>
            <w:shd w:val="clear" w:color="auto" w:fill="244061"/>
            <w:vAlign w:val="center"/>
            <w:hideMark/>
          </w:tcPr>
          <w:p w14:paraId="731B90B4" w14:textId="77777777" w:rsidR="00DA7276" w:rsidRPr="00291346" w:rsidRDefault="008F6530" w:rsidP="008F6530">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w:t>
            </w:r>
            <w:r w:rsidR="00DA7276" w:rsidRPr="00291346">
              <w:rPr>
                <w:rFonts w:ascii="Arial" w:eastAsia="Times New Roman" w:hAnsi="Arial" w:cs="Arial"/>
                <w:b/>
                <w:bCs/>
                <w:color w:val="FFFFFF"/>
                <w:sz w:val="18"/>
                <w:szCs w:val="18"/>
                <w:lang w:val="es-CO" w:eastAsia="es-CO"/>
              </w:rPr>
              <w:t xml:space="preserve">46.821 </w:t>
            </w:r>
          </w:p>
        </w:tc>
      </w:tr>
    </w:tbl>
    <w:p w14:paraId="0ED5BD86" w14:textId="77777777" w:rsidR="00DA7276" w:rsidRDefault="00DA7276" w:rsidP="008F6530">
      <w:pPr>
        <w:adjustRightInd w:val="0"/>
        <w:jc w:val="center"/>
        <w:rPr>
          <w:rFonts w:ascii="Arial" w:eastAsia="Arial" w:hAnsi="Arial" w:cs="Arial"/>
          <w:iCs/>
          <w:sz w:val="16"/>
          <w:szCs w:val="16"/>
          <w:lang w:val="es-CO" w:eastAsia="en-US"/>
        </w:rPr>
      </w:pPr>
      <w:r>
        <w:rPr>
          <w:rStyle w:val="nfasissutil"/>
          <w:szCs w:val="16"/>
          <w:lang w:val="es-CO"/>
        </w:rPr>
        <w:t>Fuente: Reporte realizado por el Departamento de Quindío en CUIPO al cierre de la vigencia 2022 y marzo de 2023.</w:t>
      </w:r>
    </w:p>
    <w:p w14:paraId="38D47FC4" w14:textId="77777777" w:rsidR="00DA7276" w:rsidRDefault="00DA7276" w:rsidP="008F6530">
      <w:pPr>
        <w:pStyle w:val="Textoindependiente"/>
        <w:jc w:val="both"/>
        <w:rPr>
          <w:color w:val="FF0000"/>
          <w:lang w:val="es-CO"/>
        </w:rPr>
      </w:pPr>
    </w:p>
    <w:p w14:paraId="4B3663FC" w14:textId="77777777" w:rsidR="00DA7276" w:rsidRDefault="00DA7276" w:rsidP="008F6530">
      <w:pPr>
        <w:pStyle w:val="Ttulo2"/>
        <w:numPr>
          <w:ilvl w:val="0"/>
          <w:numId w:val="9"/>
        </w:numPr>
        <w:spacing w:before="0"/>
        <w:ind w:left="426" w:hanging="426"/>
        <w:rPr>
          <w:rFonts w:cs="Arial"/>
          <w:szCs w:val="22"/>
          <w:lang w:val="es-CO"/>
        </w:rPr>
      </w:pPr>
      <w:r>
        <w:rPr>
          <w:rFonts w:cs="Arial"/>
          <w:szCs w:val="22"/>
          <w:lang w:val="es-CO"/>
        </w:rPr>
        <w:t>Gastos</w:t>
      </w:r>
    </w:p>
    <w:p w14:paraId="00A695F7" w14:textId="77777777" w:rsidR="00DA7276" w:rsidRDefault="00DA7276" w:rsidP="008F6530">
      <w:pPr>
        <w:jc w:val="both"/>
        <w:rPr>
          <w:rFonts w:ascii="Arial" w:hAnsi="Arial" w:cs="Arial"/>
          <w:sz w:val="22"/>
          <w:szCs w:val="22"/>
          <w:lang w:val="es-CO"/>
        </w:rPr>
      </w:pPr>
    </w:p>
    <w:p w14:paraId="11D3C8ED" w14:textId="77777777" w:rsidR="00DA7276" w:rsidRDefault="00DA7276" w:rsidP="008F6530">
      <w:pPr>
        <w:jc w:val="both"/>
        <w:rPr>
          <w:rFonts w:ascii="Arial" w:hAnsi="Arial" w:cs="Arial"/>
          <w:bCs/>
          <w:sz w:val="22"/>
          <w:szCs w:val="22"/>
          <w:lang w:val="es-CO"/>
        </w:rPr>
      </w:pPr>
      <w:r>
        <w:rPr>
          <w:rFonts w:ascii="Arial" w:hAnsi="Arial" w:cs="Arial"/>
          <w:bCs/>
          <w:sz w:val="22"/>
          <w:szCs w:val="22"/>
          <w:lang w:val="es-CO"/>
        </w:rPr>
        <w:t>Para la vigencia 2022, el Departamento de Quindío comprometió $1</w:t>
      </w:r>
      <w:r w:rsidR="005D5A29">
        <w:rPr>
          <w:rFonts w:ascii="Arial" w:hAnsi="Arial" w:cs="Arial"/>
          <w:bCs/>
          <w:sz w:val="22"/>
          <w:szCs w:val="22"/>
          <w:lang w:val="es-CO"/>
        </w:rPr>
        <w:t>68</w:t>
      </w:r>
      <w:r>
        <w:rPr>
          <w:rFonts w:ascii="Arial" w:hAnsi="Arial" w:cs="Arial"/>
          <w:bCs/>
          <w:sz w:val="22"/>
          <w:szCs w:val="22"/>
          <w:lang w:val="es-CO"/>
        </w:rPr>
        <w:t>.</w:t>
      </w:r>
      <w:r w:rsidR="005D5A29">
        <w:rPr>
          <w:rFonts w:ascii="Arial" w:hAnsi="Arial" w:cs="Arial"/>
          <w:bCs/>
          <w:sz w:val="22"/>
          <w:szCs w:val="22"/>
          <w:lang w:val="es-CO"/>
        </w:rPr>
        <w:t>485</w:t>
      </w:r>
      <w:r>
        <w:rPr>
          <w:rFonts w:ascii="Arial" w:hAnsi="Arial" w:cs="Arial"/>
          <w:bCs/>
          <w:sz w:val="22"/>
          <w:szCs w:val="22"/>
          <w:lang w:val="es-CO"/>
        </w:rPr>
        <w:t xml:space="preserve"> millones con cargo a los recursos del SGP del sector, de los cuales se obligaron $1</w:t>
      </w:r>
      <w:r w:rsidR="005D5A29">
        <w:rPr>
          <w:rFonts w:ascii="Arial" w:hAnsi="Arial" w:cs="Arial"/>
          <w:bCs/>
          <w:sz w:val="22"/>
          <w:szCs w:val="22"/>
          <w:lang w:val="es-CO"/>
        </w:rPr>
        <w:t>68.384</w:t>
      </w:r>
      <w:r>
        <w:rPr>
          <w:rFonts w:ascii="Arial" w:hAnsi="Arial" w:cs="Arial"/>
          <w:bCs/>
          <w:sz w:val="22"/>
          <w:szCs w:val="22"/>
          <w:lang w:val="es-CO"/>
        </w:rPr>
        <w:t xml:space="preserve"> millones y se pagaron $1</w:t>
      </w:r>
      <w:r w:rsidR="005D5A29">
        <w:rPr>
          <w:rFonts w:ascii="Arial" w:hAnsi="Arial" w:cs="Arial"/>
          <w:bCs/>
          <w:sz w:val="22"/>
          <w:szCs w:val="22"/>
          <w:lang w:val="es-CO"/>
        </w:rPr>
        <w:t>68.384</w:t>
      </w:r>
      <w:r>
        <w:rPr>
          <w:rFonts w:ascii="Arial" w:eastAsia="Times New Roman" w:hAnsi="Arial" w:cs="Arial"/>
          <w:sz w:val="22"/>
          <w:szCs w:val="22"/>
          <w:lang w:val="es-CO" w:eastAsia="es-CO"/>
        </w:rPr>
        <w:t xml:space="preserve"> </w:t>
      </w:r>
      <w:r>
        <w:rPr>
          <w:rFonts w:ascii="Arial" w:hAnsi="Arial" w:cs="Arial"/>
          <w:bCs/>
          <w:sz w:val="22"/>
          <w:szCs w:val="22"/>
          <w:lang w:val="es-CO"/>
        </w:rPr>
        <w:t>millones. Los gastos financiados con recursos del SGP de la vigencia y las anteriores, se comprometieron de la siguiente manera: 98,</w:t>
      </w:r>
      <w:r w:rsidR="005D5A29">
        <w:rPr>
          <w:rFonts w:ascii="Arial" w:hAnsi="Arial" w:cs="Arial"/>
          <w:bCs/>
          <w:sz w:val="22"/>
          <w:szCs w:val="22"/>
          <w:lang w:val="es-CO"/>
        </w:rPr>
        <w:t>46</w:t>
      </w:r>
      <w:r>
        <w:rPr>
          <w:rFonts w:ascii="Arial" w:hAnsi="Arial" w:cs="Arial"/>
          <w:bCs/>
          <w:sz w:val="22"/>
          <w:szCs w:val="22"/>
          <w:lang w:val="es-CO"/>
        </w:rPr>
        <w:t>% en cobertura, 0,</w:t>
      </w:r>
      <w:r w:rsidR="005D5A29">
        <w:rPr>
          <w:rFonts w:ascii="Arial" w:hAnsi="Arial" w:cs="Arial"/>
          <w:bCs/>
          <w:sz w:val="22"/>
          <w:szCs w:val="22"/>
          <w:lang w:val="es-CO"/>
        </w:rPr>
        <w:t>44</w:t>
      </w:r>
      <w:r>
        <w:rPr>
          <w:rFonts w:ascii="Arial" w:hAnsi="Arial" w:cs="Arial"/>
          <w:bCs/>
          <w:sz w:val="22"/>
          <w:szCs w:val="22"/>
          <w:lang w:val="es-CO"/>
        </w:rPr>
        <w:t>% en calidad y 1,</w:t>
      </w:r>
      <w:r w:rsidR="005D5A29">
        <w:rPr>
          <w:rFonts w:ascii="Arial" w:hAnsi="Arial" w:cs="Arial"/>
          <w:bCs/>
          <w:sz w:val="22"/>
          <w:szCs w:val="22"/>
          <w:lang w:val="es-CO"/>
        </w:rPr>
        <w:t>1</w:t>
      </w:r>
      <w:r>
        <w:rPr>
          <w:rFonts w:ascii="Arial" w:hAnsi="Arial" w:cs="Arial"/>
          <w:bCs/>
          <w:sz w:val="22"/>
          <w:szCs w:val="22"/>
          <w:lang w:val="es-CO"/>
        </w:rPr>
        <w:t>% en conectividad, NEE y SRPA.</w:t>
      </w:r>
    </w:p>
    <w:p w14:paraId="04CFD550" w14:textId="77777777" w:rsidR="00DA7276" w:rsidRDefault="00DA7276" w:rsidP="008F6530">
      <w:pPr>
        <w:jc w:val="both"/>
        <w:rPr>
          <w:rFonts w:ascii="Arial" w:hAnsi="Arial" w:cs="Arial"/>
          <w:bCs/>
          <w:sz w:val="22"/>
          <w:szCs w:val="22"/>
          <w:lang w:val="es-CO"/>
        </w:rPr>
      </w:pPr>
    </w:p>
    <w:tbl>
      <w:tblPr>
        <w:tblW w:w="8809" w:type="dxa"/>
        <w:tblCellMar>
          <w:left w:w="70" w:type="dxa"/>
          <w:right w:w="70" w:type="dxa"/>
        </w:tblCellMar>
        <w:tblLook w:val="04A0" w:firstRow="1" w:lastRow="0" w:firstColumn="1" w:lastColumn="0" w:noHBand="0" w:noVBand="1"/>
      </w:tblPr>
      <w:tblGrid>
        <w:gridCol w:w="6086"/>
        <w:gridCol w:w="1417"/>
        <w:gridCol w:w="1306"/>
      </w:tblGrid>
      <w:tr w:rsidR="00DA7276" w:rsidRPr="00291346" w14:paraId="5A7203E8" w14:textId="77777777" w:rsidTr="00291346">
        <w:trPr>
          <w:trHeight w:val="20"/>
          <w:tblHeader/>
        </w:trPr>
        <w:tc>
          <w:tcPr>
            <w:tcW w:w="8809" w:type="dxa"/>
            <w:gridSpan w:val="3"/>
            <w:tcBorders>
              <w:top w:val="single" w:sz="8" w:space="0" w:color="auto"/>
              <w:left w:val="single" w:sz="8" w:space="0" w:color="auto"/>
              <w:bottom w:val="single" w:sz="8" w:space="0" w:color="auto"/>
              <w:right w:val="single" w:sz="8" w:space="0" w:color="000000"/>
            </w:tcBorders>
            <w:shd w:val="clear" w:color="auto" w:fill="244061"/>
            <w:hideMark/>
          </w:tcPr>
          <w:p w14:paraId="3437194B" w14:textId="77777777" w:rsidR="00DA7276" w:rsidRPr="00291346" w:rsidRDefault="00DA7276" w:rsidP="008F6530">
            <w:pPr>
              <w:jc w:val="center"/>
              <w:rPr>
                <w:rFonts w:ascii="Arial" w:eastAsia="Times New Roman" w:hAnsi="Arial" w:cs="Arial"/>
                <w:b/>
                <w:bCs/>
                <w:color w:val="FFFFFF"/>
                <w:sz w:val="18"/>
                <w:szCs w:val="18"/>
                <w:lang w:val="es-CO" w:eastAsia="es-CO"/>
              </w:rPr>
            </w:pPr>
            <w:r w:rsidRPr="00291346">
              <w:rPr>
                <w:rFonts w:ascii="Arial" w:eastAsia="Times New Roman" w:hAnsi="Arial" w:cs="Arial"/>
                <w:b/>
                <w:bCs/>
                <w:color w:val="FFFFFF"/>
                <w:sz w:val="18"/>
                <w:szCs w:val="18"/>
                <w:lang w:val="es-CO" w:eastAsia="es-CO"/>
              </w:rPr>
              <w:t>TABLA 2. GASTOS DE LA ENTIDAD TERRITORIAL REPORTADOS EN CUIPO</w:t>
            </w:r>
          </w:p>
          <w:p w14:paraId="40D22F6B" w14:textId="77777777" w:rsidR="00DA7276" w:rsidRPr="00291346" w:rsidRDefault="00DA7276" w:rsidP="008F6530">
            <w:pPr>
              <w:jc w:val="center"/>
              <w:rPr>
                <w:rFonts w:ascii="Arial" w:eastAsia="Times New Roman" w:hAnsi="Arial" w:cs="Arial"/>
                <w:b/>
                <w:bCs/>
                <w:color w:val="FFFFFF"/>
                <w:sz w:val="18"/>
                <w:szCs w:val="18"/>
                <w:lang w:val="es-CO" w:eastAsia="es-CO"/>
              </w:rPr>
            </w:pPr>
            <w:r w:rsidRPr="00291346">
              <w:rPr>
                <w:rFonts w:ascii="Arial" w:eastAsia="Times New Roman" w:hAnsi="Arial" w:cs="Arial"/>
                <w:b/>
                <w:bCs/>
                <w:color w:val="FFFFFF"/>
                <w:sz w:val="18"/>
                <w:szCs w:val="18"/>
                <w:lang w:val="es-CO" w:eastAsia="es-CO"/>
              </w:rPr>
              <w:t xml:space="preserve"> (MILLONES DE $)</w:t>
            </w:r>
          </w:p>
        </w:tc>
      </w:tr>
      <w:tr w:rsidR="00DA7276" w:rsidRPr="00291346" w14:paraId="1CAFB6D0" w14:textId="77777777" w:rsidTr="00291346">
        <w:trPr>
          <w:trHeight w:val="20"/>
          <w:tblHeader/>
        </w:trPr>
        <w:tc>
          <w:tcPr>
            <w:tcW w:w="6086" w:type="dxa"/>
            <w:tcBorders>
              <w:top w:val="nil"/>
              <w:left w:val="single" w:sz="8" w:space="0" w:color="auto"/>
              <w:bottom w:val="single" w:sz="8" w:space="0" w:color="auto"/>
              <w:right w:val="single" w:sz="8" w:space="0" w:color="000000"/>
            </w:tcBorders>
            <w:shd w:val="clear" w:color="auto" w:fill="95B3D7"/>
            <w:hideMark/>
          </w:tcPr>
          <w:p w14:paraId="630CD051"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RUBRO</w:t>
            </w:r>
          </w:p>
        </w:tc>
        <w:tc>
          <w:tcPr>
            <w:tcW w:w="1417" w:type="dxa"/>
            <w:tcBorders>
              <w:top w:val="nil"/>
              <w:left w:val="nil"/>
              <w:bottom w:val="single" w:sz="8" w:space="0" w:color="auto"/>
              <w:right w:val="single" w:sz="8" w:space="0" w:color="000000"/>
            </w:tcBorders>
            <w:shd w:val="clear" w:color="auto" w:fill="95B3D7"/>
            <w:hideMark/>
          </w:tcPr>
          <w:p w14:paraId="7DA0A8FC" w14:textId="77777777" w:rsidR="00DA7276" w:rsidRPr="00291346" w:rsidRDefault="00DA7276" w:rsidP="00416E2A">
            <w:pPr>
              <w:ind w:right="69"/>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2022</w:t>
            </w:r>
          </w:p>
        </w:tc>
        <w:tc>
          <w:tcPr>
            <w:tcW w:w="1306" w:type="dxa"/>
            <w:tcBorders>
              <w:top w:val="nil"/>
              <w:left w:val="nil"/>
              <w:bottom w:val="single" w:sz="8" w:space="0" w:color="auto"/>
              <w:right w:val="single" w:sz="8" w:space="0" w:color="auto"/>
            </w:tcBorders>
            <w:shd w:val="clear" w:color="auto" w:fill="95B3D7"/>
            <w:hideMark/>
          </w:tcPr>
          <w:p w14:paraId="177FCB87"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2023</w:t>
            </w:r>
          </w:p>
        </w:tc>
      </w:tr>
      <w:tr w:rsidR="00DA7276" w:rsidRPr="00291346" w14:paraId="5B99CD09"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D9D9D9"/>
            <w:hideMark/>
          </w:tcPr>
          <w:p w14:paraId="1C0508F4"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COBERTURA</w:t>
            </w:r>
          </w:p>
        </w:tc>
        <w:tc>
          <w:tcPr>
            <w:tcW w:w="1417" w:type="dxa"/>
            <w:tcBorders>
              <w:top w:val="nil"/>
              <w:left w:val="nil"/>
              <w:bottom w:val="single" w:sz="8" w:space="0" w:color="auto"/>
              <w:right w:val="single" w:sz="8" w:space="0" w:color="auto"/>
            </w:tcBorders>
            <w:shd w:val="clear" w:color="auto" w:fill="D9D9D9"/>
            <w:hideMark/>
          </w:tcPr>
          <w:p w14:paraId="083545BF" w14:textId="77777777" w:rsidR="00DA7276" w:rsidRPr="00291346" w:rsidRDefault="00DA7276" w:rsidP="00416E2A">
            <w:pPr>
              <w:ind w:right="69"/>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w:t>
            </w:r>
            <w:r w:rsidR="00416E2A">
              <w:rPr>
                <w:rFonts w:ascii="Arial" w:eastAsia="Times New Roman" w:hAnsi="Arial" w:cs="Arial"/>
                <w:b/>
                <w:bCs/>
                <w:color w:val="000000"/>
                <w:sz w:val="18"/>
                <w:szCs w:val="18"/>
                <w:lang w:val="es-CO" w:eastAsia="es-CO"/>
              </w:rPr>
              <w:t>65.8</w:t>
            </w:r>
            <w:r w:rsidR="008D27A6">
              <w:rPr>
                <w:rFonts w:ascii="Arial" w:eastAsia="Times New Roman" w:hAnsi="Arial" w:cs="Arial"/>
                <w:b/>
                <w:bCs/>
                <w:color w:val="000000"/>
                <w:sz w:val="18"/>
                <w:szCs w:val="18"/>
                <w:lang w:val="es-CO" w:eastAsia="es-CO"/>
              </w:rPr>
              <w:t>91</w:t>
            </w:r>
          </w:p>
        </w:tc>
        <w:tc>
          <w:tcPr>
            <w:tcW w:w="1306" w:type="dxa"/>
            <w:tcBorders>
              <w:top w:val="nil"/>
              <w:left w:val="nil"/>
              <w:bottom w:val="single" w:sz="8" w:space="0" w:color="auto"/>
              <w:right w:val="single" w:sz="8" w:space="0" w:color="auto"/>
            </w:tcBorders>
            <w:shd w:val="clear" w:color="auto" w:fill="D9D9D9"/>
            <w:hideMark/>
          </w:tcPr>
          <w:p w14:paraId="7EC16056"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37.508</w:t>
            </w:r>
          </w:p>
        </w:tc>
      </w:tr>
      <w:tr w:rsidR="00DA7276" w:rsidRPr="00291346" w14:paraId="7177BC4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365BAD9C"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Gastos de Personal</w:t>
            </w:r>
          </w:p>
        </w:tc>
        <w:tc>
          <w:tcPr>
            <w:tcW w:w="1417" w:type="dxa"/>
            <w:tcBorders>
              <w:top w:val="nil"/>
              <w:left w:val="nil"/>
              <w:bottom w:val="single" w:sz="8" w:space="0" w:color="auto"/>
              <w:right w:val="single" w:sz="8" w:space="0" w:color="auto"/>
            </w:tcBorders>
            <w:hideMark/>
          </w:tcPr>
          <w:p w14:paraId="761FFD41" w14:textId="77777777" w:rsidR="00416E2A" w:rsidRPr="00291346" w:rsidRDefault="00416E2A" w:rsidP="00416E2A">
            <w:pPr>
              <w:ind w:right="69"/>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137.775</w:t>
            </w:r>
          </w:p>
        </w:tc>
        <w:tc>
          <w:tcPr>
            <w:tcW w:w="1306" w:type="dxa"/>
            <w:tcBorders>
              <w:top w:val="nil"/>
              <w:left w:val="nil"/>
              <w:bottom w:val="single" w:sz="8" w:space="0" w:color="auto"/>
              <w:right w:val="single" w:sz="8" w:space="0" w:color="auto"/>
            </w:tcBorders>
            <w:hideMark/>
          </w:tcPr>
          <w:p w14:paraId="4443A0AC"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color w:val="FF0000"/>
                <w:sz w:val="18"/>
                <w:szCs w:val="18"/>
                <w:lang w:val="es-CO" w:eastAsia="es-CO"/>
              </w:rPr>
              <w:t>(5)</w:t>
            </w:r>
            <w:r w:rsidRPr="00291346">
              <w:rPr>
                <w:rFonts w:ascii="Arial" w:eastAsia="Times New Roman" w:hAnsi="Arial" w:cs="Arial"/>
                <w:b/>
                <w:bCs/>
                <w:color w:val="000000"/>
                <w:sz w:val="18"/>
                <w:szCs w:val="18"/>
                <w:lang w:val="es-CO" w:eastAsia="es-CO"/>
              </w:rPr>
              <w:t>26.676</w:t>
            </w:r>
          </w:p>
        </w:tc>
      </w:tr>
      <w:tr w:rsidR="00DA7276" w:rsidRPr="00291346" w14:paraId="076C498A"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197EC8CF"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Sueldo Básico</w:t>
            </w:r>
          </w:p>
        </w:tc>
        <w:tc>
          <w:tcPr>
            <w:tcW w:w="1417" w:type="dxa"/>
            <w:tcBorders>
              <w:top w:val="nil"/>
              <w:left w:val="nil"/>
              <w:bottom w:val="single" w:sz="8" w:space="0" w:color="auto"/>
              <w:right w:val="single" w:sz="8" w:space="0" w:color="auto"/>
            </w:tcBorders>
            <w:hideMark/>
          </w:tcPr>
          <w:p w14:paraId="2FEA7EF3"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b/>
                <w:color w:val="FF0000"/>
                <w:sz w:val="18"/>
                <w:szCs w:val="18"/>
                <w:lang w:val="es-CO" w:eastAsia="es-CO"/>
              </w:rPr>
              <w:t>(1)</w:t>
            </w:r>
            <w:r w:rsidR="00416E2A">
              <w:rPr>
                <w:rFonts w:ascii="Arial" w:eastAsia="Times New Roman" w:hAnsi="Arial" w:cs="Arial"/>
                <w:sz w:val="18"/>
                <w:szCs w:val="18"/>
                <w:lang w:val="es-CO" w:eastAsia="es-CO"/>
              </w:rPr>
              <w:t>110.280</w:t>
            </w:r>
          </w:p>
        </w:tc>
        <w:tc>
          <w:tcPr>
            <w:tcW w:w="1306" w:type="dxa"/>
            <w:tcBorders>
              <w:top w:val="nil"/>
              <w:left w:val="nil"/>
              <w:bottom w:val="single" w:sz="8" w:space="0" w:color="auto"/>
              <w:right w:val="single" w:sz="8" w:space="0" w:color="auto"/>
            </w:tcBorders>
            <w:hideMark/>
          </w:tcPr>
          <w:p w14:paraId="5214EA45" w14:textId="77777777" w:rsidR="00DA7276" w:rsidRPr="00291346" w:rsidRDefault="00DA7276" w:rsidP="00416E2A">
            <w:pPr>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24.384</w:t>
            </w:r>
          </w:p>
        </w:tc>
      </w:tr>
      <w:tr w:rsidR="00DA7276" w:rsidRPr="00291346" w14:paraId="1AE3478B"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04DD8E5"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lastRenderedPageBreak/>
              <w:t>Sobresueldo</w:t>
            </w:r>
          </w:p>
        </w:tc>
        <w:tc>
          <w:tcPr>
            <w:tcW w:w="1417" w:type="dxa"/>
            <w:tcBorders>
              <w:top w:val="nil"/>
              <w:left w:val="nil"/>
              <w:bottom w:val="single" w:sz="8" w:space="0" w:color="auto"/>
              <w:right w:val="single" w:sz="8" w:space="0" w:color="auto"/>
            </w:tcBorders>
            <w:hideMark/>
          </w:tcPr>
          <w:p w14:paraId="2586B803" w14:textId="77777777" w:rsidR="00DA7276" w:rsidRPr="00291346" w:rsidRDefault="00416E2A" w:rsidP="008D27A6">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2.670</w:t>
            </w:r>
          </w:p>
        </w:tc>
        <w:tc>
          <w:tcPr>
            <w:tcW w:w="1306" w:type="dxa"/>
            <w:tcBorders>
              <w:top w:val="nil"/>
              <w:left w:val="nil"/>
              <w:bottom w:val="single" w:sz="8" w:space="0" w:color="auto"/>
              <w:right w:val="single" w:sz="8" w:space="0" w:color="auto"/>
            </w:tcBorders>
            <w:hideMark/>
          </w:tcPr>
          <w:p w14:paraId="3C4E175E"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651</w:t>
            </w:r>
          </w:p>
        </w:tc>
      </w:tr>
      <w:tr w:rsidR="00DA7276" w:rsidRPr="00291346" w14:paraId="6C499F4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1C3C6389"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Horas Extra</w:t>
            </w:r>
          </w:p>
        </w:tc>
        <w:tc>
          <w:tcPr>
            <w:tcW w:w="1417" w:type="dxa"/>
            <w:tcBorders>
              <w:top w:val="nil"/>
              <w:left w:val="nil"/>
              <w:bottom w:val="single" w:sz="8" w:space="0" w:color="auto"/>
              <w:right w:val="single" w:sz="8" w:space="0" w:color="auto"/>
            </w:tcBorders>
            <w:hideMark/>
          </w:tcPr>
          <w:p w14:paraId="53C32F8C"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1.</w:t>
            </w:r>
            <w:r w:rsidR="00416E2A">
              <w:rPr>
                <w:rFonts w:ascii="Arial" w:eastAsia="Times New Roman" w:hAnsi="Arial" w:cs="Arial"/>
                <w:sz w:val="18"/>
                <w:szCs w:val="18"/>
                <w:lang w:val="es-CO" w:eastAsia="es-CO"/>
              </w:rPr>
              <w:t>707</w:t>
            </w:r>
          </w:p>
        </w:tc>
        <w:tc>
          <w:tcPr>
            <w:tcW w:w="1306" w:type="dxa"/>
            <w:tcBorders>
              <w:top w:val="nil"/>
              <w:left w:val="nil"/>
              <w:bottom w:val="single" w:sz="8" w:space="0" w:color="auto"/>
              <w:right w:val="single" w:sz="8" w:space="0" w:color="auto"/>
            </w:tcBorders>
            <w:hideMark/>
          </w:tcPr>
          <w:p w14:paraId="0203F138"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160</w:t>
            </w:r>
          </w:p>
        </w:tc>
      </w:tr>
      <w:tr w:rsidR="00DA7276" w:rsidRPr="00291346" w14:paraId="1F3D8150"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5F702788"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Dotación</w:t>
            </w:r>
          </w:p>
        </w:tc>
        <w:tc>
          <w:tcPr>
            <w:tcW w:w="1417" w:type="dxa"/>
            <w:tcBorders>
              <w:top w:val="nil"/>
              <w:left w:val="nil"/>
              <w:bottom w:val="single" w:sz="8" w:space="0" w:color="auto"/>
              <w:right w:val="single" w:sz="8" w:space="0" w:color="auto"/>
            </w:tcBorders>
            <w:hideMark/>
          </w:tcPr>
          <w:p w14:paraId="6CA97AEC"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8</w:t>
            </w:r>
          </w:p>
        </w:tc>
        <w:tc>
          <w:tcPr>
            <w:tcW w:w="1306" w:type="dxa"/>
            <w:tcBorders>
              <w:top w:val="nil"/>
              <w:left w:val="nil"/>
              <w:bottom w:val="single" w:sz="8" w:space="0" w:color="auto"/>
              <w:right w:val="single" w:sz="8" w:space="0" w:color="auto"/>
            </w:tcBorders>
            <w:hideMark/>
          </w:tcPr>
          <w:p w14:paraId="3CDDACDD"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0</w:t>
            </w:r>
          </w:p>
        </w:tc>
      </w:tr>
      <w:tr w:rsidR="00DA7276" w:rsidRPr="00291346" w14:paraId="7DCD0DC3"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1596AA8A"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Subsidio de Alimentación</w:t>
            </w:r>
          </w:p>
        </w:tc>
        <w:tc>
          <w:tcPr>
            <w:tcW w:w="1417" w:type="dxa"/>
            <w:tcBorders>
              <w:top w:val="nil"/>
              <w:left w:val="nil"/>
              <w:bottom w:val="single" w:sz="8" w:space="0" w:color="auto"/>
              <w:right w:val="single" w:sz="8" w:space="0" w:color="auto"/>
            </w:tcBorders>
            <w:hideMark/>
          </w:tcPr>
          <w:p w14:paraId="501926C1"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28</w:t>
            </w:r>
          </w:p>
        </w:tc>
        <w:tc>
          <w:tcPr>
            <w:tcW w:w="1306" w:type="dxa"/>
            <w:tcBorders>
              <w:top w:val="nil"/>
              <w:left w:val="nil"/>
              <w:bottom w:val="single" w:sz="8" w:space="0" w:color="auto"/>
              <w:right w:val="single" w:sz="8" w:space="0" w:color="auto"/>
            </w:tcBorders>
            <w:hideMark/>
          </w:tcPr>
          <w:p w14:paraId="6FF0A3E9"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7</w:t>
            </w:r>
          </w:p>
        </w:tc>
      </w:tr>
      <w:tr w:rsidR="00DA7276" w:rsidRPr="00291346" w14:paraId="5E3C830F"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3E95F63D"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Auxilio de transporte</w:t>
            </w:r>
          </w:p>
        </w:tc>
        <w:tc>
          <w:tcPr>
            <w:tcW w:w="1417" w:type="dxa"/>
            <w:tcBorders>
              <w:top w:val="nil"/>
              <w:left w:val="nil"/>
              <w:bottom w:val="single" w:sz="8" w:space="0" w:color="auto"/>
              <w:right w:val="single" w:sz="8" w:space="0" w:color="auto"/>
            </w:tcBorders>
            <w:hideMark/>
          </w:tcPr>
          <w:p w14:paraId="1A145A81"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44</w:t>
            </w:r>
          </w:p>
        </w:tc>
        <w:tc>
          <w:tcPr>
            <w:tcW w:w="1306" w:type="dxa"/>
            <w:tcBorders>
              <w:top w:val="nil"/>
              <w:left w:val="nil"/>
              <w:bottom w:val="single" w:sz="8" w:space="0" w:color="auto"/>
              <w:right w:val="single" w:sz="8" w:space="0" w:color="auto"/>
            </w:tcBorders>
            <w:hideMark/>
          </w:tcPr>
          <w:p w14:paraId="19E0C043"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16</w:t>
            </w:r>
          </w:p>
        </w:tc>
      </w:tr>
      <w:tr w:rsidR="00DA7276" w:rsidRPr="00291346" w14:paraId="70F10127"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527CC38B"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Prima de servicios</w:t>
            </w:r>
          </w:p>
        </w:tc>
        <w:tc>
          <w:tcPr>
            <w:tcW w:w="1417" w:type="dxa"/>
            <w:tcBorders>
              <w:top w:val="nil"/>
              <w:left w:val="nil"/>
              <w:bottom w:val="single" w:sz="8" w:space="0" w:color="auto"/>
              <w:right w:val="single" w:sz="8" w:space="0" w:color="auto"/>
            </w:tcBorders>
            <w:hideMark/>
          </w:tcPr>
          <w:p w14:paraId="17669752" w14:textId="77777777" w:rsidR="00DA7276"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4.732</w:t>
            </w:r>
          </w:p>
        </w:tc>
        <w:tc>
          <w:tcPr>
            <w:tcW w:w="1306" w:type="dxa"/>
            <w:tcBorders>
              <w:top w:val="nil"/>
              <w:left w:val="nil"/>
              <w:bottom w:val="single" w:sz="8" w:space="0" w:color="auto"/>
              <w:right w:val="single" w:sz="8" w:space="0" w:color="auto"/>
            </w:tcBorders>
            <w:hideMark/>
          </w:tcPr>
          <w:p w14:paraId="55C7E6E0"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50</w:t>
            </w:r>
          </w:p>
        </w:tc>
      </w:tr>
      <w:tr w:rsidR="00DA7276" w:rsidRPr="00291346" w14:paraId="724E12B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8C636F1"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Bonificación de servicios prestados</w:t>
            </w:r>
          </w:p>
        </w:tc>
        <w:tc>
          <w:tcPr>
            <w:tcW w:w="1417" w:type="dxa"/>
            <w:tcBorders>
              <w:top w:val="nil"/>
              <w:left w:val="nil"/>
              <w:bottom w:val="single" w:sz="8" w:space="0" w:color="auto"/>
              <w:right w:val="single" w:sz="8" w:space="0" w:color="auto"/>
            </w:tcBorders>
            <w:hideMark/>
          </w:tcPr>
          <w:p w14:paraId="1736AC78"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b/>
                <w:color w:val="FF0000"/>
                <w:sz w:val="18"/>
                <w:szCs w:val="18"/>
                <w:lang w:val="es-CO" w:eastAsia="es-CO"/>
              </w:rPr>
              <w:t>(1)</w:t>
            </w:r>
            <w:r w:rsidRPr="00291346">
              <w:rPr>
                <w:rFonts w:ascii="Arial" w:eastAsia="Times New Roman" w:hAnsi="Arial" w:cs="Arial"/>
                <w:sz w:val="18"/>
                <w:szCs w:val="18"/>
                <w:lang w:val="es-CO" w:eastAsia="es-CO"/>
              </w:rPr>
              <w:t>298</w:t>
            </w:r>
          </w:p>
        </w:tc>
        <w:tc>
          <w:tcPr>
            <w:tcW w:w="1306" w:type="dxa"/>
            <w:tcBorders>
              <w:top w:val="nil"/>
              <w:left w:val="nil"/>
              <w:bottom w:val="single" w:sz="8" w:space="0" w:color="auto"/>
              <w:right w:val="single" w:sz="8" w:space="0" w:color="auto"/>
            </w:tcBorders>
            <w:hideMark/>
          </w:tcPr>
          <w:p w14:paraId="2783472B"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84</w:t>
            </w:r>
          </w:p>
        </w:tc>
      </w:tr>
      <w:tr w:rsidR="00DA7276" w:rsidRPr="00291346" w14:paraId="2B740E9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3830C502"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Prima de Navidad</w:t>
            </w:r>
          </w:p>
        </w:tc>
        <w:tc>
          <w:tcPr>
            <w:tcW w:w="1417" w:type="dxa"/>
            <w:tcBorders>
              <w:top w:val="nil"/>
              <w:left w:val="nil"/>
              <w:bottom w:val="single" w:sz="8" w:space="0" w:color="auto"/>
              <w:right w:val="single" w:sz="8" w:space="0" w:color="auto"/>
            </w:tcBorders>
            <w:hideMark/>
          </w:tcPr>
          <w:p w14:paraId="42029EFD" w14:textId="77777777" w:rsidR="00DA7276"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9.953</w:t>
            </w:r>
          </w:p>
        </w:tc>
        <w:tc>
          <w:tcPr>
            <w:tcW w:w="1306" w:type="dxa"/>
            <w:tcBorders>
              <w:top w:val="nil"/>
              <w:left w:val="nil"/>
              <w:bottom w:val="single" w:sz="8" w:space="0" w:color="auto"/>
              <w:right w:val="single" w:sz="8" w:space="0" w:color="auto"/>
            </w:tcBorders>
            <w:hideMark/>
          </w:tcPr>
          <w:p w14:paraId="799A31C3"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17</w:t>
            </w:r>
          </w:p>
        </w:tc>
      </w:tr>
      <w:tr w:rsidR="00DA7276" w:rsidRPr="00291346" w14:paraId="0E47E30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1E605701"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Prima de Vacaciones</w:t>
            </w:r>
          </w:p>
        </w:tc>
        <w:tc>
          <w:tcPr>
            <w:tcW w:w="1417" w:type="dxa"/>
            <w:tcBorders>
              <w:top w:val="nil"/>
              <w:left w:val="nil"/>
              <w:bottom w:val="single" w:sz="8" w:space="0" w:color="auto"/>
              <w:right w:val="single" w:sz="8" w:space="0" w:color="auto"/>
            </w:tcBorders>
            <w:hideMark/>
          </w:tcPr>
          <w:p w14:paraId="70F671EA" w14:textId="77777777" w:rsidR="00DA7276"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4.962</w:t>
            </w:r>
          </w:p>
        </w:tc>
        <w:tc>
          <w:tcPr>
            <w:tcW w:w="1306" w:type="dxa"/>
            <w:tcBorders>
              <w:top w:val="nil"/>
              <w:left w:val="nil"/>
              <w:bottom w:val="single" w:sz="8" w:space="0" w:color="auto"/>
              <w:right w:val="single" w:sz="8" w:space="0" w:color="auto"/>
            </w:tcBorders>
            <w:hideMark/>
          </w:tcPr>
          <w:p w14:paraId="397D12D2"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58</w:t>
            </w:r>
          </w:p>
        </w:tc>
      </w:tr>
      <w:tr w:rsidR="00DA7276" w:rsidRPr="00291346" w14:paraId="41009275"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76DD23C2"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Viáticos</w:t>
            </w:r>
          </w:p>
        </w:tc>
        <w:tc>
          <w:tcPr>
            <w:tcW w:w="1417" w:type="dxa"/>
            <w:tcBorders>
              <w:top w:val="nil"/>
              <w:left w:val="nil"/>
              <w:bottom w:val="single" w:sz="8" w:space="0" w:color="auto"/>
              <w:right w:val="single" w:sz="8" w:space="0" w:color="auto"/>
            </w:tcBorders>
            <w:hideMark/>
          </w:tcPr>
          <w:p w14:paraId="1CB1CDBA" w14:textId="77777777" w:rsidR="00DA7276"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27</w:t>
            </w:r>
          </w:p>
        </w:tc>
        <w:tc>
          <w:tcPr>
            <w:tcW w:w="1306" w:type="dxa"/>
            <w:tcBorders>
              <w:top w:val="nil"/>
              <w:left w:val="nil"/>
              <w:bottom w:val="single" w:sz="8" w:space="0" w:color="auto"/>
              <w:right w:val="single" w:sz="8" w:space="0" w:color="auto"/>
            </w:tcBorders>
            <w:hideMark/>
          </w:tcPr>
          <w:p w14:paraId="6C2E22F9"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0</w:t>
            </w:r>
          </w:p>
        </w:tc>
      </w:tr>
      <w:tr w:rsidR="00DA7276" w:rsidRPr="00291346" w14:paraId="1B39E57D"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4DFF70D7"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Bonificación Pedagógica</w:t>
            </w:r>
          </w:p>
        </w:tc>
        <w:tc>
          <w:tcPr>
            <w:tcW w:w="1417" w:type="dxa"/>
            <w:tcBorders>
              <w:top w:val="nil"/>
              <w:left w:val="nil"/>
              <w:bottom w:val="single" w:sz="8" w:space="0" w:color="auto"/>
              <w:right w:val="single" w:sz="8" w:space="0" w:color="auto"/>
            </w:tcBorders>
            <w:hideMark/>
          </w:tcPr>
          <w:p w14:paraId="5B98B5E1"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b/>
                <w:color w:val="FF0000"/>
                <w:sz w:val="18"/>
                <w:szCs w:val="18"/>
                <w:lang w:val="es-CO" w:eastAsia="es-CO"/>
              </w:rPr>
              <w:t>(1)</w:t>
            </w:r>
            <w:r w:rsidR="00416E2A">
              <w:rPr>
                <w:rFonts w:ascii="Arial" w:eastAsia="Times New Roman" w:hAnsi="Arial" w:cs="Arial"/>
                <w:sz w:val="18"/>
                <w:szCs w:val="18"/>
                <w:lang w:val="es-CO" w:eastAsia="es-CO"/>
              </w:rPr>
              <w:t>1.353</w:t>
            </w:r>
          </w:p>
        </w:tc>
        <w:tc>
          <w:tcPr>
            <w:tcW w:w="1306" w:type="dxa"/>
            <w:tcBorders>
              <w:top w:val="nil"/>
              <w:left w:val="nil"/>
              <w:bottom w:val="single" w:sz="8" w:space="0" w:color="auto"/>
              <w:right w:val="single" w:sz="8" w:space="0" w:color="auto"/>
            </w:tcBorders>
            <w:hideMark/>
          </w:tcPr>
          <w:p w14:paraId="0C866769"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449</w:t>
            </w:r>
          </w:p>
        </w:tc>
      </w:tr>
      <w:tr w:rsidR="00DA7276" w:rsidRPr="00291346" w14:paraId="6DFFC002"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1725A4AF"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Indemnización por vacaciones</w:t>
            </w:r>
          </w:p>
        </w:tc>
        <w:tc>
          <w:tcPr>
            <w:tcW w:w="1417" w:type="dxa"/>
            <w:tcBorders>
              <w:top w:val="nil"/>
              <w:left w:val="nil"/>
              <w:bottom w:val="single" w:sz="8" w:space="0" w:color="auto"/>
              <w:right w:val="single" w:sz="8" w:space="0" w:color="auto"/>
            </w:tcBorders>
            <w:hideMark/>
          </w:tcPr>
          <w:p w14:paraId="1A2B90DD"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4</w:t>
            </w:r>
          </w:p>
        </w:tc>
        <w:tc>
          <w:tcPr>
            <w:tcW w:w="1306" w:type="dxa"/>
            <w:tcBorders>
              <w:top w:val="nil"/>
              <w:left w:val="nil"/>
              <w:bottom w:val="single" w:sz="8" w:space="0" w:color="auto"/>
              <w:right w:val="single" w:sz="8" w:space="0" w:color="auto"/>
            </w:tcBorders>
            <w:hideMark/>
          </w:tcPr>
          <w:p w14:paraId="1461261C"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0</w:t>
            </w:r>
          </w:p>
        </w:tc>
      </w:tr>
      <w:tr w:rsidR="00DA7276" w:rsidRPr="00291346" w14:paraId="5B0EFCFF"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077603A4"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Bonificación de recreación</w:t>
            </w:r>
          </w:p>
        </w:tc>
        <w:tc>
          <w:tcPr>
            <w:tcW w:w="1417" w:type="dxa"/>
            <w:tcBorders>
              <w:top w:val="nil"/>
              <w:left w:val="nil"/>
              <w:bottom w:val="single" w:sz="8" w:space="0" w:color="auto"/>
              <w:right w:val="single" w:sz="8" w:space="0" w:color="auto"/>
            </w:tcBorders>
            <w:hideMark/>
          </w:tcPr>
          <w:p w14:paraId="5576683E"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57</w:t>
            </w:r>
          </w:p>
        </w:tc>
        <w:tc>
          <w:tcPr>
            <w:tcW w:w="1306" w:type="dxa"/>
            <w:tcBorders>
              <w:top w:val="nil"/>
              <w:left w:val="nil"/>
              <w:bottom w:val="single" w:sz="8" w:space="0" w:color="auto"/>
              <w:right w:val="single" w:sz="8" w:space="0" w:color="auto"/>
            </w:tcBorders>
            <w:hideMark/>
          </w:tcPr>
          <w:p w14:paraId="3A89FF2C"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7</w:t>
            </w:r>
          </w:p>
        </w:tc>
      </w:tr>
      <w:tr w:rsidR="00DA7276" w:rsidRPr="00291346" w14:paraId="1919AC9F"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90C9D73"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Prima Técnica</w:t>
            </w:r>
          </w:p>
        </w:tc>
        <w:tc>
          <w:tcPr>
            <w:tcW w:w="1417" w:type="dxa"/>
            <w:tcBorders>
              <w:top w:val="nil"/>
              <w:left w:val="nil"/>
              <w:bottom w:val="single" w:sz="8" w:space="0" w:color="auto"/>
              <w:right w:val="single" w:sz="8" w:space="0" w:color="auto"/>
            </w:tcBorders>
            <w:hideMark/>
          </w:tcPr>
          <w:p w14:paraId="24012450"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b/>
                <w:color w:val="FF0000"/>
                <w:sz w:val="18"/>
                <w:szCs w:val="18"/>
                <w:lang w:val="es-CO" w:eastAsia="es-CO"/>
              </w:rPr>
              <w:t>(2)</w:t>
            </w:r>
            <w:r w:rsidRPr="00291346">
              <w:rPr>
                <w:rFonts w:ascii="Arial" w:eastAsia="Times New Roman" w:hAnsi="Arial" w:cs="Arial"/>
                <w:sz w:val="18"/>
                <w:szCs w:val="18"/>
                <w:lang w:val="es-CO" w:eastAsia="es-CO"/>
              </w:rPr>
              <w:t>235</w:t>
            </w:r>
          </w:p>
        </w:tc>
        <w:tc>
          <w:tcPr>
            <w:tcW w:w="1306" w:type="dxa"/>
            <w:tcBorders>
              <w:top w:val="nil"/>
              <w:left w:val="nil"/>
              <w:bottom w:val="single" w:sz="8" w:space="0" w:color="auto"/>
              <w:right w:val="single" w:sz="8" w:space="0" w:color="auto"/>
            </w:tcBorders>
            <w:hideMark/>
          </w:tcPr>
          <w:p w14:paraId="5ADADB3D" w14:textId="77777777" w:rsidR="00DA7276" w:rsidRPr="00291346" w:rsidRDefault="00DA7276" w:rsidP="00416E2A">
            <w:pPr>
              <w:jc w:val="center"/>
              <w:rPr>
                <w:rFonts w:ascii="Arial" w:eastAsia="Times New Roman" w:hAnsi="Arial" w:cs="Arial"/>
                <w:sz w:val="18"/>
                <w:szCs w:val="18"/>
                <w:lang w:val="es-CO" w:eastAsia="es-CO"/>
              </w:rPr>
            </w:pPr>
            <w:r w:rsidRPr="00291346">
              <w:rPr>
                <w:rFonts w:ascii="Arial" w:eastAsia="Times New Roman" w:hAnsi="Arial" w:cs="Arial"/>
                <w:b/>
                <w:color w:val="FF0000"/>
                <w:sz w:val="18"/>
                <w:szCs w:val="18"/>
                <w:lang w:val="es-CO" w:eastAsia="es-CO"/>
              </w:rPr>
              <w:t>(2)</w:t>
            </w:r>
            <w:r w:rsidRPr="00291346">
              <w:rPr>
                <w:rFonts w:ascii="Arial" w:eastAsia="Times New Roman" w:hAnsi="Arial" w:cs="Arial"/>
                <w:sz w:val="18"/>
                <w:szCs w:val="18"/>
                <w:lang w:val="es-CO" w:eastAsia="es-CO"/>
              </w:rPr>
              <w:t>59</w:t>
            </w:r>
          </w:p>
        </w:tc>
      </w:tr>
      <w:tr w:rsidR="00DA7276" w:rsidRPr="00291346" w14:paraId="730E7169"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0900141A"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Bonificación ZDA</w:t>
            </w:r>
          </w:p>
        </w:tc>
        <w:tc>
          <w:tcPr>
            <w:tcW w:w="1417" w:type="dxa"/>
            <w:tcBorders>
              <w:top w:val="nil"/>
              <w:left w:val="nil"/>
              <w:bottom w:val="single" w:sz="8" w:space="0" w:color="auto"/>
              <w:right w:val="single" w:sz="8" w:space="0" w:color="auto"/>
            </w:tcBorders>
            <w:hideMark/>
          </w:tcPr>
          <w:p w14:paraId="630FCFBB" w14:textId="77777777" w:rsidR="00DA7276" w:rsidRPr="00291346" w:rsidRDefault="00DA7276" w:rsidP="00416E2A">
            <w:pPr>
              <w:ind w:right="69"/>
              <w:jc w:val="center"/>
              <w:rPr>
                <w:rFonts w:ascii="Arial" w:eastAsia="Times New Roman" w:hAnsi="Arial" w:cs="Arial"/>
                <w:sz w:val="18"/>
                <w:szCs w:val="18"/>
                <w:lang w:val="es-CO" w:eastAsia="es-CO"/>
              </w:rPr>
            </w:pPr>
            <w:r w:rsidRPr="00291346">
              <w:rPr>
                <w:rFonts w:ascii="Arial" w:eastAsia="Times New Roman" w:hAnsi="Arial" w:cs="Arial"/>
                <w:sz w:val="18"/>
                <w:szCs w:val="18"/>
                <w:lang w:val="es-CO" w:eastAsia="es-CO"/>
              </w:rPr>
              <w:t>1</w:t>
            </w:r>
          </w:p>
        </w:tc>
        <w:tc>
          <w:tcPr>
            <w:tcW w:w="1306" w:type="dxa"/>
            <w:tcBorders>
              <w:top w:val="nil"/>
              <w:left w:val="nil"/>
              <w:bottom w:val="single" w:sz="8" w:space="0" w:color="auto"/>
              <w:right w:val="single" w:sz="8" w:space="0" w:color="auto"/>
            </w:tcBorders>
            <w:hideMark/>
          </w:tcPr>
          <w:p w14:paraId="70A1322A"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151</w:t>
            </w:r>
          </w:p>
        </w:tc>
      </w:tr>
      <w:tr w:rsidR="00416E2A" w:rsidRPr="00291346" w14:paraId="65C9FA33"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0C21C89A" w14:textId="77777777" w:rsidR="00416E2A" w:rsidRPr="00291346" w:rsidRDefault="00416E2A" w:rsidP="00416E2A">
            <w:pPr>
              <w:ind w:firstLineChars="116" w:firstLine="209"/>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Bonificación Zona de Difícil Acceso docentes Prescolar, Básica y Media</w:t>
            </w:r>
          </w:p>
        </w:tc>
        <w:tc>
          <w:tcPr>
            <w:tcW w:w="1417" w:type="dxa"/>
            <w:tcBorders>
              <w:top w:val="nil"/>
              <w:left w:val="nil"/>
              <w:bottom w:val="single" w:sz="8" w:space="0" w:color="auto"/>
              <w:right w:val="single" w:sz="8" w:space="0" w:color="auto"/>
            </w:tcBorders>
            <w:hideMark/>
          </w:tcPr>
          <w:p w14:paraId="07196E60" w14:textId="77777777" w:rsidR="00416E2A" w:rsidRPr="00416E2A" w:rsidRDefault="00416E2A" w:rsidP="00416E2A">
            <w:pPr>
              <w:ind w:right="69"/>
              <w:jc w:val="center"/>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586</w:t>
            </w:r>
          </w:p>
        </w:tc>
        <w:tc>
          <w:tcPr>
            <w:tcW w:w="1306" w:type="dxa"/>
            <w:tcBorders>
              <w:top w:val="nil"/>
              <w:left w:val="nil"/>
              <w:bottom w:val="single" w:sz="8" w:space="0" w:color="auto"/>
              <w:right w:val="single" w:sz="8" w:space="0" w:color="auto"/>
            </w:tcBorders>
            <w:hideMark/>
          </w:tcPr>
          <w:p w14:paraId="75AC15B7" w14:textId="77777777" w:rsidR="00416E2A" w:rsidRPr="00291346" w:rsidRDefault="00416E2A" w:rsidP="00416E2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r>
      <w:tr w:rsidR="00416E2A" w:rsidRPr="00291346" w14:paraId="431C77D5" w14:textId="77777777" w:rsidTr="00291346">
        <w:trPr>
          <w:trHeight w:val="20"/>
        </w:trPr>
        <w:tc>
          <w:tcPr>
            <w:tcW w:w="6086" w:type="dxa"/>
            <w:tcBorders>
              <w:top w:val="nil"/>
              <w:left w:val="single" w:sz="8" w:space="0" w:color="auto"/>
              <w:bottom w:val="single" w:sz="8" w:space="0" w:color="auto"/>
              <w:right w:val="single" w:sz="8" w:space="0" w:color="auto"/>
            </w:tcBorders>
          </w:tcPr>
          <w:p w14:paraId="109065F3" w14:textId="77777777" w:rsidR="00416E2A" w:rsidRPr="00291346" w:rsidRDefault="00416E2A" w:rsidP="00416E2A">
            <w:pPr>
              <w:ind w:firstLineChars="116" w:firstLine="209"/>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Bonificación Grado 14 docentes Prescolar, Básica y Media</w:t>
            </w:r>
          </w:p>
        </w:tc>
        <w:tc>
          <w:tcPr>
            <w:tcW w:w="1417" w:type="dxa"/>
            <w:tcBorders>
              <w:top w:val="nil"/>
              <w:left w:val="nil"/>
              <w:bottom w:val="single" w:sz="8" w:space="0" w:color="auto"/>
              <w:right w:val="single" w:sz="8" w:space="0" w:color="auto"/>
            </w:tcBorders>
          </w:tcPr>
          <w:p w14:paraId="0EA3D294" w14:textId="77777777" w:rsidR="00416E2A" w:rsidRPr="00416E2A" w:rsidRDefault="00416E2A" w:rsidP="00416E2A">
            <w:pPr>
              <w:ind w:right="69"/>
              <w:jc w:val="center"/>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814</w:t>
            </w:r>
          </w:p>
        </w:tc>
        <w:tc>
          <w:tcPr>
            <w:tcW w:w="1306" w:type="dxa"/>
            <w:tcBorders>
              <w:top w:val="nil"/>
              <w:left w:val="nil"/>
              <w:bottom w:val="single" w:sz="8" w:space="0" w:color="auto"/>
              <w:right w:val="single" w:sz="8" w:space="0" w:color="auto"/>
            </w:tcBorders>
          </w:tcPr>
          <w:p w14:paraId="3DD22D31"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583</w:t>
            </w:r>
          </w:p>
        </w:tc>
      </w:tr>
      <w:tr w:rsidR="00416E2A" w:rsidRPr="00291346" w14:paraId="6D3650F8" w14:textId="77777777" w:rsidTr="00291346">
        <w:trPr>
          <w:trHeight w:val="20"/>
        </w:trPr>
        <w:tc>
          <w:tcPr>
            <w:tcW w:w="6086" w:type="dxa"/>
            <w:tcBorders>
              <w:top w:val="nil"/>
              <w:left w:val="single" w:sz="8" w:space="0" w:color="auto"/>
              <w:bottom w:val="single" w:sz="8" w:space="0" w:color="auto"/>
              <w:right w:val="single" w:sz="8" w:space="0" w:color="auto"/>
            </w:tcBorders>
          </w:tcPr>
          <w:p w14:paraId="362E07B6" w14:textId="77777777" w:rsidR="00416E2A" w:rsidRPr="00291346" w:rsidRDefault="00416E2A" w:rsidP="00416E2A">
            <w:pPr>
              <w:ind w:firstLineChars="116" w:firstLine="209"/>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Reconocimiento Adicional por gestión directivos docentes Prescolar, Básica y Media</w:t>
            </w:r>
          </w:p>
        </w:tc>
        <w:tc>
          <w:tcPr>
            <w:tcW w:w="1417" w:type="dxa"/>
            <w:tcBorders>
              <w:top w:val="nil"/>
              <w:left w:val="nil"/>
              <w:bottom w:val="single" w:sz="8" w:space="0" w:color="auto"/>
              <w:right w:val="single" w:sz="8" w:space="0" w:color="auto"/>
            </w:tcBorders>
          </w:tcPr>
          <w:p w14:paraId="1EEAA916" w14:textId="77777777" w:rsidR="00416E2A" w:rsidRPr="00416E2A" w:rsidRDefault="00416E2A" w:rsidP="00416E2A">
            <w:pPr>
              <w:ind w:right="69"/>
              <w:jc w:val="center"/>
              <w:rPr>
                <w:rFonts w:ascii="Arial" w:eastAsia="Times New Roman" w:hAnsi="Arial" w:cs="Arial"/>
                <w:color w:val="000000"/>
                <w:sz w:val="18"/>
                <w:szCs w:val="18"/>
                <w:lang w:val="es-CO" w:eastAsia="es-CO"/>
              </w:rPr>
            </w:pPr>
            <w:r w:rsidRPr="00416E2A">
              <w:rPr>
                <w:rFonts w:ascii="Arial" w:eastAsia="Times New Roman" w:hAnsi="Arial" w:cs="Arial"/>
                <w:color w:val="000000"/>
                <w:sz w:val="18"/>
                <w:szCs w:val="18"/>
                <w:lang w:val="es-CO" w:eastAsia="es-CO"/>
              </w:rPr>
              <w:t>18</w:t>
            </w:r>
          </w:p>
        </w:tc>
        <w:tc>
          <w:tcPr>
            <w:tcW w:w="1306" w:type="dxa"/>
            <w:tcBorders>
              <w:top w:val="nil"/>
              <w:left w:val="nil"/>
              <w:bottom w:val="single" w:sz="8" w:space="0" w:color="auto"/>
              <w:right w:val="single" w:sz="8" w:space="0" w:color="auto"/>
            </w:tcBorders>
          </w:tcPr>
          <w:p w14:paraId="2B656DE9" w14:textId="77777777" w:rsidR="00416E2A" w:rsidRPr="00291346" w:rsidRDefault="00416E2A" w:rsidP="00416E2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r>
      <w:tr w:rsidR="00DA7276" w:rsidRPr="00291346" w14:paraId="522D705A"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57CD2551"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Aportes Patronales</w:t>
            </w:r>
          </w:p>
        </w:tc>
        <w:tc>
          <w:tcPr>
            <w:tcW w:w="1417" w:type="dxa"/>
            <w:tcBorders>
              <w:top w:val="nil"/>
              <w:left w:val="nil"/>
              <w:bottom w:val="single" w:sz="8" w:space="0" w:color="auto"/>
              <w:right w:val="single" w:sz="8" w:space="0" w:color="auto"/>
            </w:tcBorders>
            <w:hideMark/>
          </w:tcPr>
          <w:p w14:paraId="741D6B91" w14:textId="77777777" w:rsidR="00DA7276" w:rsidRPr="00291346" w:rsidRDefault="00416E2A" w:rsidP="008D27A6">
            <w:pPr>
              <w:ind w:right="69"/>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28.077</w:t>
            </w:r>
          </w:p>
        </w:tc>
        <w:tc>
          <w:tcPr>
            <w:tcW w:w="1306" w:type="dxa"/>
            <w:tcBorders>
              <w:top w:val="nil"/>
              <w:left w:val="nil"/>
              <w:bottom w:val="single" w:sz="8" w:space="0" w:color="auto"/>
              <w:right w:val="single" w:sz="8" w:space="0" w:color="auto"/>
            </w:tcBorders>
            <w:hideMark/>
          </w:tcPr>
          <w:p w14:paraId="27B47D08"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10.795</w:t>
            </w:r>
          </w:p>
        </w:tc>
      </w:tr>
      <w:tr w:rsidR="00DA7276" w:rsidRPr="00291346" w14:paraId="23F4B611"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343BFB5F"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Pensión</w:t>
            </w:r>
          </w:p>
        </w:tc>
        <w:tc>
          <w:tcPr>
            <w:tcW w:w="1417" w:type="dxa"/>
            <w:tcBorders>
              <w:top w:val="nil"/>
              <w:left w:val="nil"/>
              <w:bottom w:val="single" w:sz="8" w:space="0" w:color="auto"/>
              <w:right w:val="single" w:sz="8" w:space="0" w:color="auto"/>
            </w:tcBorders>
            <w:hideMark/>
          </w:tcPr>
          <w:p w14:paraId="7C273AB5" w14:textId="77777777" w:rsidR="00DA7276" w:rsidRPr="00291346" w:rsidRDefault="00DA7276" w:rsidP="00416E2A">
            <w:pPr>
              <w:ind w:right="69"/>
              <w:jc w:val="center"/>
              <w:rPr>
                <w:rFonts w:ascii="Arial" w:eastAsia="Times New Roman" w:hAnsi="Arial" w:cs="Arial"/>
                <w:color w:val="000000"/>
                <w:sz w:val="18"/>
                <w:szCs w:val="18"/>
                <w:lang w:val="es-CO" w:eastAsia="es-CO"/>
              </w:rPr>
            </w:pPr>
            <w:r w:rsidRPr="00291346">
              <w:rPr>
                <w:rFonts w:ascii="Arial" w:eastAsia="Times New Roman" w:hAnsi="Arial" w:cs="Arial"/>
                <w:b/>
                <w:color w:val="FF0000"/>
                <w:sz w:val="18"/>
                <w:szCs w:val="18"/>
                <w:lang w:val="es-CO" w:eastAsia="es-CO"/>
              </w:rPr>
              <w:t>(1)(3)</w:t>
            </w:r>
            <w:r w:rsidR="00416E2A">
              <w:rPr>
                <w:rFonts w:ascii="Arial" w:eastAsia="Times New Roman" w:hAnsi="Arial" w:cs="Arial"/>
                <w:color w:val="000000"/>
                <w:sz w:val="18"/>
                <w:szCs w:val="18"/>
                <w:lang w:val="es-CO" w:eastAsia="es-CO"/>
              </w:rPr>
              <w:t>4.430</w:t>
            </w:r>
          </w:p>
        </w:tc>
        <w:tc>
          <w:tcPr>
            <w:tcW w:w="1306" w:type="dxa"/>
            <w:tcBorders>
              <w:top w:val="nil"/>
              <w:left w:val="nil"/>
              <w:bottom w:val="single" w:sz="8" w:space="0" w:color="auto"/>
              <w:right w:val="single" w:sz="8" w:space="0" w:color="auto"/>
            </w:tcBorders>
            <w:hideMark/>
          </w:tcPr>
          <w:p w14:paraId="080431BC"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1968</w:t>
            </w:r>
          </w:p>
        </w:tc>
      </w:tr>
      <w:tr w:rsidR="00DA7276" w:rsidRPr="00291346" w14:paraId="2E4437F9"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7DF96990"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Salud</w:t>
            </w:r>
          </w:p>
        </w:tc>
        <w:tc>
          <w:tcPr>
            <w:tcW w:w="1417" w:type="dxa"/>
            <w:tcBorders>
              <w:top w:val="nil"/>
              <w:left w:val="nil"/>
              <w:bottom w:val="single" w:sz="8" w:space="0" w:color="auto"/>
              <w:right w:val="single" w:sz="8" w:space="0" w:color="auto"/>
            </w:tcBorders>
            <w:hideMark/>
          </w:tcPr>
          <w:p w14:paraId="6453ACC6" w14:textId="77777777" w:rsidR="00DA7276" w:rsidRPr="00291346" w:rsidRDefault="00DA7276" w:rsidP="00416E2A">
            <w:pPr>
              <w:ind w:right="69"/>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3</w:t>
            </w:r>
            <w:r w:rsidR="00416E2A">
              <w:rPr>
                <w:rFonts w:ascii="Arial" w:eastAsia="Times New Roman" w:hAnsi="Arial" w:cs="Arial"/>
                <w:color w:val="000000"/>
                <w:sz w:val="18"/>
                <w:szCs w:val="18"/>
                <w:lang w:val="es-CO" w:eastAsia="es-CO"/>
              </w:rPr>
              <w:t>880</w:t>
            </w:r>
          </w:p>
        </w:tc>
        <w:tc>
          <w:tcPr>
            <w:tcW w:w="1306" w:type="dxa"/>
            <w:tcBorders>
              <w:top w:val="nil"/>
              <w:left w:val="nil"/>
              <w:bottom w:val="single" w:sz="8" w:space="0" w:color="auto"/>
              <w:right w:val="single" w:sz="8" w:space="0" w:color="auto"/>
            </w:tcBorders>
            <w:hideMark/>
          </w:tcPr>
          <w:p w14:paraId="791824AF"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2086</w:t>
            </w:r>
          </w:p>
        </w:tc>
      </w:tr>
      <w:tr w:rsidR="00DA7276" w:rsidRPr="00291346" w14:paraId="1CEE0ECA"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0A24229A"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Cesantías</w:t>
            </w:r>
          </w:p>
        </w:tc>
        <w:tc>
          <w:tcPr>
            <w:tcW w:w="1417" w:type="dxa"/>
            <w:tcBorders>
              <w:top w:val="nil"/>
              <w:left w:val="nil"/>
              <w:bottom w:val="single" w:sz="8" w:space="0" w:color="auto"/>
              <w:right w:val="single" w:sz="8" w:space="0" w:color="auto"/>
            </w:tcBorders>
            <w:hideMark/>
          </w:tcPr>
          <w:p w14:paraId="27502AF0" w14:textId="77777777" w:rsidR="00DA7276" w:rsidRPr="00291346" w:rsidRDefault="00DA7276" w:rsidP="00416E2A">
            <w:pPr>
              <w:ind w:right="69"/>
              <w:jc w:val="center"/>
              <w:rPr>
                <w:rFonts w:ascii="Arial" w:eastAsia="Times New Roman" w:hAnsi="Arial" w:cs="Arial"/>
                <w:color w:val="000000"/>
                <w:sz w:val="18"/>
                <w:szCs w:val="18"/>
                <w:lang w:val="es-CO" w:eastAsia="es-CO"/>
              </w:rPr>
            </w:pPr>
            <w:r w:rsidRPr="00291346">
              <w:rPr>
                <w:rFonts w:ascii="Arial" w:eastAsia="Times New Roman" w:hAnsi="Arial" w:cs="Arial"/>
                <w:b/>
                <w:color w:val="FF0000"/>
                <w:sz w:val="18"/>
                <w:szCs w:val="18"/>
                <w:lang w:val="es-CO" w:eastAsia="es-CO"/>
              </w:rPr>
              <w:t>(1)</w:t>
            </w:r>
            <w:r w:rsidR="00416E2A">
              <w:rPr>
                <w:rFonts w:ascii="Arial" w:eastAsia="Times New Roman" w:hAnsi="Arial" w:cs="Arial"/>
                <w:color w:val="000000"/>
                <w:sz w:val="18"/>
                <w:szCs w:val="18"/>
                <w:lang w:val="es-CO" w:eastAsia="es-CO"/>
              </w:rPr>
              <w:t>8.459</w:t>
            </w:r>
          </w:p>
        </w:tc>
        <w:tc>
          <w:tcPr>
            <w:tcW w:w="1306" w:type="dxa"/>
            <w:tcBorders>
              <w:top w:val="nil"/>
              <w:left w:val="nil"/>
              <w:bottom w:val="single" w:sz="8" w:space="0" w:color="auto"/>
              <w:right w:val="single" w:sz="8" w:space="0" w:color="auto"/>
            </w:tcBorders>
            <w:hideMark/>
          </w:tcPr>
          <w:p w14:paraId="498C0D7B"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4234</w:t>
            </w:r>
          </w:p>
        </w:tc>
      </w:tr>
      <w:tr w:rsidR="00DA7276" w:rsidRPr="00291346" w14:paraId="1A3B1F27"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73BA0C75"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Caja de compensación familiar</w:t>
            </w:r>
          </w:p>
        </w:tc>
        <w:tc>
          <w:tcPr>
            <w:tcW w:w="1417" w:type="dxa"/>
            <w:tcBorders>
              <w:top w:val="nil"/>
              <w:left w:val="nil"/>
              <w:bottom w:val="single" w:sz="8" w:space="0" w:color="auto"/>
              <w:right w:val="single" w:sz="8" w:space="0" w:color="auto"/>
            </w:tcBorders>
            <w:hideMark/>
          </w:tcPr>
          <w:p w14:paraId="437CE3BB" w14:textId="77777777" w:rsidR="00DA7276"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4.999</w:t>
            </w:r>
          </w:p>
        </w:tc>
        <w:tc>
          <w:tcPr>
            <w:tcW w:w="1306" w:type="dxa"/>
            <w:tcBorders>
              <w:top w:val="nil"/>
              <w:left w:val="nil"/>
              <w:bottom w:val="single" w:sz="8" w:space="0" w:color="auto"/>
              <w:right w:val="single" w:sz="8" w:space="0" w:color="auto"/>
            </w:tcBorders>
            <w:hideMark/>
          </w:tcPr>
          <w:p w14:paraId="29396742"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1108</w:t>
            </w:r>
          </w:p>
        </w:tc>
      </w:tr>
      <w:tr w:rsidR="00DA7276" w:rsidRPr="00291346" w14:paraId="1BA031BB"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926DC47"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A.</w:t>
            </w:r>
            <w:proofErr w:type="gramStart"/>
            <w:r w:rsidRPr="00291346">
              <w:rPr>
                <w:rFonts w:ascii="Arial" w:eastAsia="Times New Roman" w:hAnsi="Arial" w:cs="Arial"/>
                <w:color w:val="000000"/>
                <w:sz w:val="18"/>
                <w:szCs w:val="18"/>
                <w:lang w:val="es-CO" w:eastAsia="es-CO"/>
              </w:rPr>
              <w:t>R.L</w:t>
            </w:r>
            <w:proofErr w:type="gramEnd"/>
          </w:p>
        </w:tc>
        <w:tc>
          <w:tcPr>
            <w:tcW w:w="1417" w:type="dxa"/>
            <w:tcBorders>
              <w:top w:val="nil"/>
              <w:left w:val="nil"/>
              <w:bottom w:val="single" w:sz="8" w:space="0" w:color="auto"/>
              <w:right w:val="single" w:sz="8" w:space="0" w:color="auto"/>
            </w:tcBorders>
            <w:hideMark/>
          </w:tcPr>
          <w:p w14:paraId="12DD8A14" w14:textId="77777777" w:rsidR="00DA7276" w:rsidRPr="00291346" w:rsidRDefault="00DA7276" w:rsidP="00416E2A">
            <w:pPr>
              <w:ind w:right="69"/>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54</w:t>
            </w:r>
          </w:p>
        </w:tc>
        <w:tc>
          <w:tcPr>
            <w:tcW w:w="1306" w:type="dxa"/>
            <w:tcBorders>
              <w:top w:val="nil"/>
              <w:left w:val="nil"/>
              <w:bottom w:val="single" w:sz="8" w:space="0" w:color="auto"/>
              <w:right w:val="single" w:sz="8" w:space="0" w:color="auto"/>
            </w:tcBorders>
            <w:hideMark/>
          </w:tcPr>
          <w:p w14:paraId="5806E586"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14</w:t>
            </w:r>
          </w:p>
        </w:tc>
      </w:tr>
      <w:tr w:rsidR="00DA7276" w:rsidRPr="00291346" w14:paraId="1088FBF3"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BA0838F"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ICBF</w:t>
            </w:r>
          </w:p>
        </w:tc>
        <w:tc>
          <w:tcPr>
            <w:tcW w:w="1417" w:type="dxa"/>
            <w:tcBorders>
              <w:top w:val="nil"/>
              <w:left w:val="nil"/>
              <w:bottom w:val="single" w:sz="8" w:space="0" w:color="auto"/>
              <w:right w:val="single" w:sz="8" w:space="0" w:color="auto"/>
            </w:tcBorders>
            <w:hideMark/>
          </w:tcPr>
          <w:p w14:paraId="07E400BC" w14:textId="77777777" w:rsidR="00DA7276"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3.750</w:t>
            </w:r>
          </w:p>
        </w:tc>
        <w:tc>
          <w:tcPr>
            <w:tcW w:w="1306" w:type="dxa"/>
            <w:tcBorders>
              <w:top w:val="nil"/>
              <w:left w:val="nil"/>
              <w:bottom w:val="single" w:sz="8" w:space="0" w:color="auto"/>
              <w:right w:val="single" w:sz="8" w:space="0" w:color="auto"/>
            </w:tcBorders>
            <w:hideMark/>
          </w:tcPr>
          <w:p w14:paraId="50FCE278"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831</w:t>
            </w:r>
          </w:p>
        </w:tc>
      </w:tr>
      <w:tr w:rsidR="00DA7276" w:rsidRPr="00291346" w14:paraId="18C1EFF2"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72365165"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SENA</w:t>
            </w:r>
          </w:p>
        </w:tc>
        <w:tc>
          <w:tcPr>
            <w:tcW w:w="1417" w:type="dxa"/>
            <w:tcBorders>
              <w:top w:val="nil"/>
              <w:left w:val="nil"/>
              <w:bottom w:val="single" w:sz="8" w:space="0" w:color="auto"/>
              <w:right w:val="single" w:sz="8" w:space="0" w:color="auto"/>
            </w:tcBorders>
            <w:hideMark/>
          </w:tcPr>
          <w:p w14:paraId="28DD91C5" w14:textId="77777777" w:rsidR="00DA7276"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626</w:t>
            </w:r>
          </w:p>
        </w:tc>
        <w:tc>
          <w:tcPr>
            <w:tcW w:w="1306" w:type="dxa"/>
            <w:tcBorders>
              <w:top w:val="nil"/>
              <w:left w:val="nil"/>
              <w:bottom w:val="single" w:sz="8" w:space="0" w:color="auto"/>
              <w:right w:val="single" w:sz="8" w:space="0" w:color="auto"/>
            </w:tcBorders>
            <w:hideMark/>
          </w:tcPr>
          <w:p w14:paraId="572DF2A1"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139</w:t>
            </w:r>
          </w:p>
        </w:tc>
      </w:tr>
      <w:tr w:rsidR="00DA7276" w:rsidRPr="00291346" w14:paraId="715FE978"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31EC824"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ESAP</w:t>
            </w:r>
          </w:p>
        </w:tc>
        <w:tc>
          <w:tcPr>
            <w:tcW w:w="1417" w:type="dxa"/>
            <w:tcBorders>
              <w:top w:val="nil"/>
              <w:left w:val="nil"/>
              <w:bottom w:val="single" w:sz="8" w:space="0" w:color="auto"/>
              <w:right w:val="single" w:sz="8" w:space="0" w:color="auto"/>
            </w:tcBorders>
            <w:hideMark/>
          </w:tcPr>
          <w:p w14:paraId="2EF0F3E2" w14:textId="77777777" w:rsidR="00DA7276"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626</w:t>
            </w:r>
          </w:p>
        </w:tc>
        <w:tc>
          <w:tcPr>
            <w:tcW w:w="1306" w:type="dxa"/>
            <w:tcBorders>
              <w:top w:val="nil"/>
              <w:left w:val="nil"/>
              <w:bottom w:val="single" w:sz="8" w:space="0" w:color="auto"/>
              <w:right w:val="single" w:sz="8" w:space="0" w:color="auto"/>
            </w:tcBorders>
            <w:hideMark/>
          </w:tcPr>
          <w:p w14:paraId="6CC8E0AB"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139</w:t>
            </w:r>
          </w:p>
        </w:tc>
      </w:tr>
      <w:tr w:rsidR="00DA7276" w:rsidRPr="00291346" w14:paraId="5AF46A36"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078C896C" w14:textId="77777777" w:rsidR="00DA7276" w:rsidRPr="00291346" w:rsidRDefault="00DA7276" w:rsidP="008F6530">
            <w:pPr>
              <w:ind w:firstLineChars="116" w:firstLine="209"/>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Escuelas industriales</w:t>
            </w:r>
          </w:p>
        </w:tc>
        <w:tc>
          <w:tcPr>
            <w:tcW w:w="1417" w:type="dxa"/>
            <w:tcBorders>
              <w:top w:val="nil"/>
              <w:left w:val="nil"/>
              <w:bottom w:val="single" w:sz="8" w:space="0" w:color="auto"/>
              <w:right w:val="single" w:sz="8" w:space="0" w:color="auto"/>
            </w:tcBorders>
            <w:hideMark/>
          </w:tcPr>
          <w:p w14:paraId="3580AC35" w14:textId="77777777" w:rsidR="00DA7276"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1.251</w:t>
            </w:r>
          </w:p>
        </w:tc>
        <w:tc>
          <w:tcPr>
            <w:tcW w:w="1306" w:type="dxa"/>
            <w:tcBorders>
              <w:top w:val="nil"/>
              <w:left w:val="nil"/>
              <w:bottom w:val="single" w:sz="8" w:space="0" w:color="auto"/>
              <w:right w:val="single" w:sz="8" w:space="0" w:color="auto"/>
            </w:tcBorders>
            <w:hideMark/>
          </w:tcPr>
          <w:p w14:paraId="245B3B08" w14:textId="77777777" w:rsidR="00DA7276" w:rsidRPr="00291346" w:rsidRDefault="00DA7276"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277</w:t>
            </w:r>
          </w:p>
        </w:tc>
      </w:tr>
      <w:tr w:rsidR="00DA7276" w:rsidRPr="00291346" w14:paraId="70153228" w14:textId="77777777" w:rsidTr="00291346">
        <w:trPr>
          <w:trHeight w:val="20"/>
        </w:trPr>
        <w:tc>
          <w:tcPr>
            <w:tcW w:w="6086" w:type="dxa"/>
            <w:tcBorders>
              <w:top w:val="nil"/>
              <w:left w:val="single" w:sz="8" w:space="0" w:color="auto"/>
              <w:bottom w:val="single" w:sz="8" w:space="0" w:color="auto"/>
              <w:right w:val="single" w:sz="8" w:space="0" w:color="auto"/>
            </w:tcBorders>
            <w:hideMark/>
          </w:tcPr>
          <w:p w14:paraId="6D9B7E51"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Gastos Generales</w:t>
            </w:r>
          </w:p>
        </w:tc>
        <w:tc>
          <w:tcPr>
            <w:tcW w:w="1417" w:type="dxa"/>
            <w:tcBorders>
              <w:top w:val="nil"/>
              <w:left w:val="nil"/>
              <w:bottom w:val="single" w:sz="8" w:space="0" w:color="auto"/>
              <w:right w:val="single" w:sz="8" w:space="0" w:color="auto"/>
            </w:tcBorders>
            <w:hideMark/>
          </w:tcPr>
          <w:p w14:paraId="0149EE6D" w14:textId="77777777" w:rsidR="00DA7276" w:rsidRPr="00291346" w:rsidRDefault="00416E2A" w:rsidP="00416E2A">
            <w:pPr>
              <w:ind w:right="69"/>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39</w:t>
            </w:r>
          </w:p>
        </w:tc>
        <w:tc>
          <w:tcPr>
            <w:tcW w:w="1306" w:type="dxa"/>
            <w:tcBorders>
              <w:top w:val="nil"/>
              <w:left w:val="nil"/>
              <w:bottom w:val="single" w:sz="8" w:space="0" w:color="auto"/>
              <w:right w:val="single" w:sz="8" w:space="0" w:color="auto"/>
            </w:tcBorders>
            <w:hideMark/>
          </w:tcPr>
          <w:p w14:paraId="0C4C8EF6"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36</w:t>
            </w:r>
          </w:p>
        </w:tc>
      </w:tr>
      <w:tr w:rsidR="00DA7276" w:rsidRPr="00291346" w14:paraId="73C78B97"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D9D9D9"/>
            <w:hideMark/>
          </w:tcPr>
          <w:p w14:paraId="7832161C" w14:textId="77777777" w:rsidR="00DA7276" w:rsidRPr="00291346" w:rsidRDefault="00DA7276"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CALIDAD</w:t>
            </w:r>
          </w:p>
        </w:tc>
        <w:tc>
          <w:tcPr>
            <w:tcW w:w="1417" w:type="dxa"/>
            <w:tcBorders>
              <w:top w:val="nil"/>
              <w:left w:val="nil"/>
              <w:bottom w:val="single" w:sz="8" w:space="0" w:color="auto"/>
              <w:right w:val="single" w:sz="8" w:space="0" w:color="auto"/>
            </w:tcBorders>
            <w:shd w:val="clear" w:color="auto" w:fill="D9D9D9"/>
            <w:hideMark/>
          </w:tcPr>
          <w:p w14:paraId="34873638" w14:textId="77777777" w:rsidR="00DA7276" w:rsidRPr="00291346" w:rsidRDefault="00416E2A" w:rsidP="00416E2A">
            <w:pPr>
              <w:ind w:right="69"/>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739</w:t>
            </w:r>
          </w:p>
        </w:tc>
        <w:tc>
          <w:tcPr>
            <w:tcW w:w="1306" w:type="dxa"/>
            <w:tcBorders>
              <w:top w:val="nil"/>
              <w:left w:val="nil"/>
              <w:bottom w:val="single" w:sz="8" w:space="0" w:color="auto"/>
              <w:right w:val="single" w:sz="8" w:space="0" w:color="auto"/>
            </w:tcBorders>
            <w:shd w:val="clear" w:color="auto" w:fill="D9D9D9"/>
            <w:hideMark/>
          </w:tcPr>
          <w:p w14:paraId="4237DA89" w14:textId="77777777" w:rsidR="00DA7276" w:rsidRPr="00291346" w:rsidRDefault="00DA7276"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423</w:t>
            </w:r>
          </w:p>
        </w:tc>
      </w:tr>
      <w:tr w:rsidR="00416E2A" w:rsidRPr="00291346" w14:paraId="7D33FA76"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FFFFFF"/>
            <w:hideMark/>
          </w:tcPr>
          <w:p w14:paraId="4943072E" w14:textId="77777777" w:rsidR="00416E2A" w:rsidRPr="00291346" w:rsidRDefault="00416E2A" w:rsidP="008F6530">
            <w:pPr>
              <w:ind w:firstLineChars="200" w:firstLine="360"/>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Funcionamiento Básico de los Establecimientos Educativos</w:t>
            </w:r>
          </w:p>
        </w:tc>
        <w:tc>
          <w:tcPr>
            <w:tcW w:w="1417" w:type="dxa"/>
            <w:tcBorders>
              <w:top w:val="nil"/>
              <w:left w:val="nil"/>
              <w:bottom w:val="single" w:sz="8" w:space="0" w:color="auto"/>
              <w:right w:val="single" w:sz="8" w:space="0" w:color="auto"/>
            </w:tcBorders>
            <w:hideMark/>
          </w:tcPr>
          <w:p w14:paraId="2B775C22" w14:textId="77777777" w:rsidR="00416E2A"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85</w:t>
            </w:r>
          </w:p>
        </w:tc>
        <w:tc>
          <w:tcPr>
            <w:tcW w:w="1306" w:type="dxa"/>
            <w:tcBorders>
              <w:top w:val="nil"/>
              <w:left w:val="nil"/>
              <w:bottom w:val="single" w:sz="8" w:space="0" w:color="auto"/>
              <w:right w:val="single" w:sz="8" w:space="0" w:color="auto"/>
            </w:tcBorders>
            <w:hideMark/>
          </w:tcPr>
          <w:p w14:paraId="1D1657D3"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w:t>
            </w:r>
          </w:p>
        </w:tc>
      </w:tr>
      <w:tr w:rsidR="00416E2A" w:rsidRPr="00291346" w14:paraId="2496ED53" w14:textId="77777777" w:rsidTr="007E6284">
        <w:trPr>
          <w:trHeight w:val="20"/>
        </w:trPr>
        <w:tc>
          <w:tcPr>
            <w:tcW w:w="6086" w:type="dxa"/>
            <w:tcBorders>
              <w:top w:val="nil"/>
              <w:left w:val="single" w:sz="8" w:space="0" w:color="auto"/>
              <w:bottom w:val="single" w:sz="8" w:space="0" w:color="auto"/>
              <w:right w:val="single" w:sz="8" w:space="0" w:color="auto"/>
            </w:tcBorders>
            <w:shd w:val="clear" w:color="auto" w:fill="FFFFFF"/>
            <w:hideMark/>
          </w:tcPr>
          <w:p w14:paraId="4E1C85A4" w14:textId="77777777" w:rsidR="00416E2A" w:rsidRPr="00291346" w:rsidRDefault="00416E2A" w:rsidP="008F6530">
            <w:pPr>
              <w:ind w:firstLineChars="200" w:firstLine="360"/>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Alimentación Escolar</w:t>
            </w:r>
          </w:p>
        </w:tc>
        <w:tc>
          <w:tcPr>
            <w:tcW w:w="1417" w:type="dxa"/>
            <w:tcBorders>
              <w:top w:val="nil"/>
              <w:left w:val="nil"/>
              <w:bottom w:val="single" w:sz="8" w:space="0" w:color="auto"/>
              <w:right w:val="single" w:sz="8" w:space="0" w:color="auto"/>
            </w:tcBorders>
            <w:shd w:val="clear" w:color="auto" w:fill="FFFFFF"/>
            <w:hideMark/>
          </w:tcPr>
          <w:p w14:paraId="373FB953" w14:textId="77777777" w:rsidR="00416E2A" w:rsidRPr="00291346" w:rsidRDefault="00416E2A" w:rsidP="00416E2A">
            <w:pPr>
              <w:ind w:right="69"/>
              <w:jc w:val="center"/>
              <w:rPr>
                <w:rFonts w:ascii="Arial" w:eastAsia="Times New Roman" w:hAnsi="Arial" w:cs="Arial"/>
                <w:sz w:val="18"/>
                <w:szCs w:val="18"/>
                <w:lang w:val="es-CO" w:eastAsia="es-CO"/>
              </w:rPr>
            </w:pPr>
            <w:r>
              <w:rPr>
                <w:rFonts w:ascii="Arial" w:eastAsia="Times New Roman" w:hAnsi="Arial" w:cs="Arial"/>
                <w:color w:val="000000"/>
                <w:sz w:val="18"/>
                <w:szCs w:val="18"/>
                <w:lang w:val="es-CO" w:eastAsia="es-CO"/>
              </w:rPr>
              <w:t>5</w:t>
            </w:r>
          </w:p>
        </w:tc>
        <w:tc>
          <w:tcPr>
            <w:tcW w:w="1306" w:type="dxa"/>
            <w:tcBorders>
              <w:top w:val="nil"/>
              <w:left w:val="nil"/>
              <w:bottom w:val="single" w:sz="8" w:space="0" w:color="auto"/>
              <w:right w:val="single" w:sz="8" w:space="0" w:color="auto"/>
            </w:tcBorders>
            <w:hideMark/>
          </w:tcPr>
          <w:p w14:paraId="22B56957"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w:t>
            </w:r>
          </w:p>
        </w:tc>
      </w:tr>
      <w:tr w:rsidR="00416E2A" w:rsidRPr="00291346" w14:paraId="5BD78631"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FFFFFF"/>
            <w:hideMark/>
          </w:tcPr>
          <w:p w14:paraId="4D1B3DE7" w14:textId="77777777" w:rsidR="00416E2A" w:rsidRPr="00291346" w:rsidRDefault="00416E2A" w:rsidP="008F6530">
            <w:pPr>
              <w:ind w:firstLineChars="200" w:firstLine="360"/>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Servicios de la administración pública relacionados con la educación</w:t>
            </w:r>
          </w:p>
        </w:tc>
        <w:tc>
          <w:tcPr>
            <w:tcW w:w="1417" w:type="dxa"/>
            <w:tcBorders>
              <w:top w:val="nil"/>
              <w:left w:val="nil"/>
              <w:bottom w:val="single" w:sz="8" w:space="0" w:color="auto"/>
              <w:right w:val="single" w:sz="8" w:space="0" w:color="auto"/>
            </w:tcBorders>
            <w:shd w:val="clear" w:color="auto" w:fill="FFFFFF"/>
            <w:hideMark/>
          </w:tcPr>
          <w:p w14:paraId="29229BF7" w14:textId="77777777" w:rsidR="00416E2A"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225</w:t>
            </w:r>
          </w:p>
        </w:tc>
        <w:tc>
          <w:tcPr>
            <w:tcW w:w="1306" w:type="dxa"/>
            <w:tcBorders>
              <w:top w:val="nil"/>
              <w:left w:val="nil"/>
              <w:bottom w:val="single" w:sz="8" w:space="0" w:color="auto"/>
              <w:right w:val="single" w:sz="8" w:space="0" w:color="auto"/>
            </w:tcBorders>
            <w:hideMark/>
          </w:tcPr>
          <w:p w14:paraId="2FC60C6D"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w:t>
            </w:r>
          </w:p>
        </w:tc>
      </w:tr>
      <w:tr w:rsidR="00416E2A" w:rsidRPr="00291346" w14:paraId="2A6F312E"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FFFFFF"/>
            <w:hideMark/>
          </w:tcPr>
          <w:p w14:paraId="7643E269" w14:textId="77777777" w:rsidR="00416E2A" w:rsidRPr="00291346" w:rsidRDefault="00416E2A" w:rsidP="008F6530">
            <w:pPr>
              <w:ind w:firstLineChars="200" w:firstLine="360"/>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Arrendamientos Establecimientos Educativos</w:t>
            </w:r>
          </w:p>
        </w:tc>
        <w:tc>
          <w:tcPr>
            <w:tcW w:w="1417" w:type="dxa"/>
            <w:tcBorders>
              <w:top w:val="nil"/>
              <w:left w:val="nil"/>
              <w:bottom w:val="single" w:sz="8" w:space="0" w:color="auto"/>
              <w:right w:val="single" w:sz="8" w:space="0" w:color="auto"/>
            </w:tcBorders>
            <w:shd w:val="clear" w:color="auto" w:fill="FFFFFF"/>
            <w:hideMark/>
          </w:tcPr>
          <w:p w14:paraId="2551C378" w14:textId="77777777" w:rsidR="00416E2A" w:rsidRPr="00291346" w:rsidRDefault="00416E2A" w:rsidP="00416E2A">
            <w:pPr>
              <w:ind w:right="69"/>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424</w:t>
            </w:r>
          </w:p>
        </w:tc>
        <w:tc>
          <w:tcPr>
            <w:tcW w:w="1306" w:type="dxa"/>
            <w:tcBorders>
              <w:top w:val="nil"/>
              <w:left w:val="nil"/>
              <w:bottom w:val="single" w:sz="8" w:space="0" w:color="auto"/>
              <w:right w:val="single" w:sz="8" w:space="0" w:color="auto"/>
            </w:tcBorders>
            <w:hideMark/>
          </w:tcPr>
          <w:p w14:paraId="4CC486AB"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color w:val="000000"/>
                <w:sz w:val="18"/>
                <w:szCs w:val="18"/>
                <w:lang w:val="es-CO" w:eastAsia="es-CO"/>
              </w:rPr>
              <w:t>423</w:t>
            </w:r>
          </w:p>
        </w:tc>
      </w:tr>
      <w:tr w:rsidR="00416E2A" w:rsidRPr="00291346" w14:paraId="372F62EC" w14:textId="77777777" w:rsidTr="007E6284">
        <w:trPr>
          <w:trHeight w:val="20"/>
        </w:trPr>
        <w:tc>
          <w:tcPr>
            <w:tcW w:w="6086" w:type="dxa"/>
            <w:tcBorders>
              <w:top w:val="nil"/>
              <w:left w:val="single" w:sz="8" w:space="0" w:color="auto"/>
              <w:bottom w:val="single" w:sz="8" w:space="0" w:color="auto"/>
              <w:right w:val="single" w:sz="8" w:space="0" w:color="auto"/>
            </w:tcBorders>
            <w:shd w:val="clear" w:color="auto" w:fill="D9D9D9"/>
            <w:hideMark/>
          </w:tcPr>
          <w:p w14:paraId="06BE6A23" w14:textId="77777777" w:rsidR="00416E2A" w:rsidRPr="00291346" w:rsidRDefault="00416E2A" w:rsidP="008F6530">
            <w:pPr>
              <w:ind w:firstLineChars="200" w:firstLine="361"/>
              <w:rPr>
                <w:rFonts w:ascii="Arial" w:eastAsia="Times New Roman" w:hAnsi="Arial" w:cs="Arial"/>
                <w:color w:val="000000"/>
                <w:sz w:val="18"/>
                <w:szCs w:val="18"/>
                <w:lang w:val="es-CO" w:eastAsia="es-CO"/>
              </w:rPr>
            </w:pPr>
            <w:r w:rsidRPr="00291346">
              <w:rPr>
                <w:rFonts w:ascii="Arial" w:eastAsia="Times New Roman" w:hAnsi="Arial" w:cs="Arial"/>
                <w:b/>
                <w:bCs/>
                <w:color w:val="000000"/>
                <w:sz w:val="18"/>
                <w:szCs w:val="18"/>
                <w:lang w:val="es-CO" w:eastAsia="es-CO"/>
              </w:rPr>
              <w:t>CONECTIVIDAD</w:t>
            </w:r>
          </w:p>
        </w:tc>
        <w:tc>
          <w:tcPr>
            <w:tcW w:w="1417" w:type="dxa"/>
            <w:tcBorders>
              <w:top w:val="nil"/>
              <w:left w:val="nil"/>
              <w:bottom w:val="single" w:sz="8" w:space="0" w:color="auto"/>
              <w:right w:val="single" w:sz="8" w:space="0" w:color="auto"/>
            </w:tcBorders>
            <w:shd w:val="clear" w:color="auto" w:fill="D9D9D9"/>
            <w:hideMark/>
          </w:tcPr>
          <w:p w14:paraId="51FA6B93" w14:textId="77777777" w:rsidR="00416E2A" w:rsidRPr="00291346" w:rsidRDefault="00416E2A" w:rsidP="00416E2A">
            <w:pPr>
              <w:ind w:right="69"/>
              <w:jc w:val="center"/>
              <w:rPr>
                <w:rFonts w:ascii="Arial" w:eastAsia="Times New Roman" w:hAnsi="Arial" w:cs="Arial"/>
                <w:color w:val="000000"/>
                <w:sz w:val="18"/>
                <w:szCs w:val="18"/>
                <w:lang w:val="es-CO" w:eastAsia="es-CO"/>
              </w:rPr>
            </w:pPr>
            <w:r w:rsidRPr="00291346">
              <w:rPr>
                <w:rFonts w:ascii="Arial" w:eastAsia="Times New Roman" w:hAnsi="Arial" w:cs="Arial"/>
                <w:b/>
                <w:bCs/>
                <w:color w:val="000000"/>
                <w:sz w:val="18"/>
                <w:szCs w:val="18"/>
                <w:lang w:val="es-CO" w:eastAsia="es-CO"/>
              </w:rPr>
              <w:t>58</w:t>
            </w:r>
            <w:r>
              <w:rPr>
                <w:rFonts w:ascii="Arial" w:eastAsia="Times New Roman" w:hAnsi="Arial" w:cs="Arial"/>
                <w:b/>
                <w:bCs/>
                <w:color w:val="000000"/>
                <w:sz w:val="18"/>
                <w:szCs w:val="18"/>
                <w:lang w:val="es-CO" w:eastAsia="es-CO"/>
              </w:rPr>
              <w:t>2</w:t>
            </w:r>
          </w:p>
        </w:tc>
        <w:tc>
          <w:tcPr>
            <w:tcW w:w="1306" w:type="dxa"/>
            <w:tcBorders>
              <w:top w:val="nil"/>
              <w:left w:val="nil"/>
              <w:bottom w:val="single" w:sz="8" w:space="0" w:color="auto"/>
              <w:right w:val="single" w:sz="8" w:space="0" w:color="auto"/>
            </w:tcBorders>
            <w:shd w:val="clear" w:color="auto" w:fill="D9D9D9"/>
            <w:hideMark/>
          </w:tcPr>
          <w:p w14:paraId="0EFDBC59" w14:textId="77777777" w:rsidR="00416E2A" w:rsidRPr="00291346" w:rsidRDefault="00416E2A" w:rsidP="00416E2A">
            <w:pPr>
              <w:jc w:val="center"/>
              <w:rPr>
                <w:rFonts w:ascii="Arial" w:eastAsia="Times New Roman" w:hAnsi="Arial" w:cs="Arial"/>
                <w:color w:val="000000"/>
                <w:sz w:val="18"/>
                <w:szCs w:val="18"/>
                <w:lang w:val="es-CO" w:eastAsia="es-CO"/>
              </w:rPr>
            </w:pPr>
            <w:r w:rsidRPr="00291346">
              <w:rPr>
                <w:rFonts w:ascii="Arial" w:eastAsia="Times New Roman" w:hAnsi="Arial" w:cs="Arial"/>
                <w:b/>
                <w:bCs/>
                <w:color w:val="000000"/>
                <w:sz w:val="18"/>
                <w:szCs w:val="18"/>
                <w:lang w:val="es-CO" w:eastAsia="es-CO"/>
              </w:rPr>
              <w:t>445</w:t>
            </w:r>
          </w:p>
        </w:tc>
      </w:tr>
      <w:tr w:rsidR="00416E2A" w:rsidRPr="00291346" w14:paraId="4AD2DF45"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D9D9D9"/>
            <w:hideMark/>
          </w:tcPr>
          <w:p w14:paraId="2FF2C13E" w14:textId="77777777" w:rsidR="00416E2A" w:rsidRPr="00291346" w:rsidRDefault="00416E2A"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NECESIDADES EDUCATIVAS ESPECIALES</w:t>
            </w:r>
          </w:p>
        </w:tc>
        <w:tc>
          <w:tcPr>
            <w:tcW w:w="1417" w:type="dxa"/>
            <w:tcBorders>
              <w:top w:val="nil"/>
              <w:left w:val="nil"/>
              <w:bottom w:val="single" w:sz="8" w:space="0" w:color="auto"/>
              <w:right w:val="single" w:sz="8" w:space="0" w:color="auto"/>
            </w:tcBorders>
            <w:shd w:val="clear" w:color="auto" w:fill="D9D9D9"/>
            <w:hideMark/>
          </w:tcPr>
          <w:p w14:paraId="0EEC2245" w14:textId="77777777" w:rsidR="00416E2A" w:rsidRPr="00291346" w:rsidRDefault="00416E2A" w:rsidP="00416E2A">
            <w:pPr>
              <w:ind w:right="69"/>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1.</w:t>
            </w:r>
            <w:r>
              <w:rPr>
                <w:rFonts w:ascii="Arial" w:eastAsia="Times New Roman" w:hAnsi="Arial" w:cs="Arial"/>
                <w:b/>
                <w:bCs/>
                <w:color w:val="000000"/>
                <w:sz w:val="18"/>
                <w:szCs w:val="18"/>
                <w:lang w:val="es-CO" w:eastAsia="es-CO"/>
              </w:rPr>
              <w:t>229</w:t>
            </w:r>
          </w:p>
        </w:tc>
        <w:tc>
          <w:tcPr>
            <w:tcW w:w="1306" w:type="dxa"/>
            <w:tcBorders>
              <w:top w:val="nil"/>
              <w:left w:val="nil"/>
              <w:bottom w:val="single" w:sz="8" w:space="0" w:color="auto"/>
              <w:right w:val="single" w:sz="8" w:space="0" w:color="auto"/>
            </w:tcBorders>
            <w:shd w:val="clear" w:color="auto" w:fill="D9D9D9"/>
            <w:hideMark/>
          </w:tcPr>
          <w:p w14:paraId="13EB7421" w14:textId="77777777" w:rsidR="00416E2A" w:rsidRPr="00291346" w:rsidRDefault="00416E2A"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598</w:t>
            </w:r>
          </w:p>
        </w:tc>
      </w:tr>
      <w:tr w:rsidR="00416E2A" w:rsidRPr="00291346" w14:paraId="20AE7A3B" w14:textId="77777777" w:rsidTr="00291346">
        <w:trPr>
          <w:trHeight w:val="20"/>
        </w:trPr>
        <w:tc>
          <w:tcPr>
            <w:tcW w:w="6086" w:type="dxa"/>
            <w:tcBorders>
              <w:top w:val="nil"/>
              <w:left w:val="single" w:sz="8" w:space="0" w:color="auto"/>
              <w:bottom w:val="single" w:sz="8" w:space="0" w:color="auto"/>
              <w:right w:val="single" w:sz="8" w:space="0" w:color="auto"/>
            </w:tcBorders>
            <w:shd w:val="clear" w:color="auto" w:fill="D9D9D9"/>
            <w:hideMark/>
          </w:tcPr>
          <w:p w14:paraId="16CC2645" w14:textId="77777777" w:rsidR="00416E2A" w:rsidRPr="00291346" w:rsidRDefault="00416E2A" w:rsidP="008F6530">
            <w:pP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SRP ADOLECENTE</w:t>
            </w:r>
          </w:p>
        </w:tc>
        <w:tc>
          <w:tcPr>
            <w:tcW w:w="1417" w:type="dxa"/>
            <w:tcBorders>
              <w:top w:val="nil"/>
              <w:left w:val="nil"/>
              <w:bottom w:val="single" w:sz="8" w:space="0" w:color="auto"/>
              <w:right w:val="single" w:sz="8" w:space="0" w:color="auto"/>
            </w:tcBorders>
            <w:shd w:val="clear" w:color="auto" w:fill="D9D9D9"/>
            <w:hideMark/>
          </w:tcPr>
          <w:p w14:paraId="30E4F47E" w14:textId="77777777" w:rsidR="00416E2A" w:rsidRPr="00291346" w:rsidRDefault="00416E2A" w:rsidP="00416E2A">
            <w:pPr>
              <w:ind w:right="69"/>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w:t>
            </w:r>
            <w:r w:rsidRPr="00291346">
              <w:rPr>
                <w:rFonts w:ascii="Arial" w:eastAsia="Times New Roman" w:hAnsi="Arial" w:cs="Arial"/>
                <w:b/>
                <w:bCs/>
                <w:color w:val="000000"/>
                <w:sz w:val="18"/>
                <w:szCs w:val="18"/>
                <w:lang w:val="es-CO" w:eastAsia="es-CO"/>
              </w:rPr>
              <w:t>5</w:t>
            </w:r>
          </w:p>
        </w:tc>
        <w:tc>
          <w:tcPr>
            <w:tcW w:w="1306" w:type="dxa"/>
            <w:tcBorders>
              <w:top w:val="nil"/>
              <w:left w:val="nil"/>
              <w:bottom w:val="single" w:sz="8" w:space="0" w:color="auto"/>
              <w:right w:val="single" w:sz="8" w:space="0" w:color="auto"/>
            </w:tcBorders>
            <w:shd w:val="clear" w:color="auto" w:fill="D9D9D9"/>
            <w:hideMark/>
          </w:tcPr>
          <w:p w14:paraId="5A844DEE" w14:textId="77777777" w:rsidR="00416E2A" w:rsidRPr="00291346" w:rsidRDefault="00416E2A"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bCs/>
                <w:color w:val="000000"/>
                <w:sz w:val="18"/>
                <w:szCs w:val="18"/>
                <w:lang w:val="es-CO" w:eastAsia="es-CO"/>
              </w:rPr>
              <w:t>-</w:t>
            </w:r>
          </w:p>
        </w:tc>
      </w:tr>
      <w:tr w:rsidR="00416E2A" w:rsidRPr="00291346" w14:paraId="7B90176E" w14:textId="77777777" w:rsidTr="007E6284">
        <w:trPr>
          <w:trHeight w:val="20"/>
        </w:trPr>
        <w:tc>
          <w:tcPr>
            <w:tcW w:w="6086" w:type="dxa"/>
            <w:tcBorders>
              <w:top w:val="nil"/>
              <w:left w:val="single" w:sz="8" w:space="0" w:color="auto"/>
              <w:bottom w:val="single" w:sz="8" w:space="0" w:color="auto"/>
              <w:right w:val="single" w:sz="8" w:space="0" w:color="auto"/>
            </w:tcBorders>
            <w:shd w:val="clear" w:color="auto" w:fill="203764"/>
            <w:hideMark/>
          </w:tcPr>
          <w:p w14:paraId="6093E9F2" w14:textId="77777777" w:rsidR="00416E2A" w:rsidRPr="00291346" w:rsidRDefault="00416E2A" w:rsidP="008F6530">
            <w:pPr>
              <w:rPr>
                <w:rFonts w:ascii="Arial" w:eastAsia="Times New Roman" w:hAnsi="Arial" w:cs="Arial"/>
                <w:b/>
                <w:bCs/>
                <w:color w:val="000000"/>
                <w:sz w:val="18"/>
                <w:szCs w:val="18"/>
                <w:lang w:val="es-CO" w:eastAsia="es-CO"/>
              </w:rPr>
            </w:pPr>
            <w:proofErr w:type="gramStart"/>
            <w:r w:rsidRPr="00291346">
              <w:rPr>
                <w:rFonts w:ascii="Arial" w:eastAsia="Times New Roman" w:hAnsi="Arial" w:cs="Arial"/>
                <w:b/>
                <w:bCs/>
                <w:color w:val="FFFFFF"/>
                <w:sz w:val="18"/>
                <w:szCs w:val="18"/>
                <w:lang w:val="es-CO" w:eastAsia="es-CO"/>
              </w:rPr>
              <w:t>TOTAL</w:t>
            </w:r>
            <w:proofErr w:type="gramEnd"/>
            <w:r w:rsidRPr="00291346">
              <w:rPr>
                <w:rFonts w:ascii="Arial" w:eastAsia="Times New Roman" w:hAnsi="Arial" w:cs="Arial"/>
                <w:b/>
                <w:bCs/>
                <w:color w:val="FFFFFF"/>
                <w:sz w:val="18"/>
                <w:szCs w:val="18"/>
                <w:lang w:val="es-CO" w:eastAsia="es-CO"/>
              </w:rPr>
              <w:t xml:space="preserve"> COMPROMISOS SGP – Educación</w:t>
            </w:r>
          </w:p>
        </w:tc>
        <w:tc>
          <w:tcPr>
            <w:tcW w:w="1417" w:type="dxa"/>
            <w:tcBorders>
              <w:top w:val="nil"/>
              <w:left w:val="nil"/>
              <w:bottom w:val="single" w:sz="8" w:space="0" w:color="auto"/>
              <w:right w:val="single" w:sz="8" w:space="0" w:color="auto"/>
            </w:tcBorders>
            <w:shd w:val="clear" w:color="auto" w:fill="203764"/>
            <w:hideMark/>
          </w:tcPr>
          <w:p w14:paraId="2582D1D1" w14:textId="77777777" w:rsidR="00416E2A" w:rsidRPr="00291346" w:rsidRDefault="00416E2A" w:rsidP="00416E2A">
            <w:pPr>
              <w:ind w:right="69"/>
              <w:jc w:val="center"/>
              <w:rPr>
                <w:rFonts w:ascii="Arial" w:eastAsia="Times New Roman" w:hAnsi="Arial" w:cs="Arial"/>
                <w:b/>
                <w:bCs/>
                <w:color w:val="000000"/>
                <w:sz w:val="18"/>
                <w:szCs w:val="18"/>
                <w:lang w:val="es-CO" w:eastAsia="es-CO"/>
              </w:rPr>
            </w:pPr>
            <w:r w:rsidRPr="00291346">
              <w:rPr>
                <w:rFonts w:ascii="Arial" w:eastAsia="Times New Roman" w:hAnsi="Arial" w:cs="Arial"/>
                <w:b/>
                <w:color w:val="FF0000"/>
                <w:sz w:val="18"/>
                <w:szCs w:val="18"/>
                <w:lang w:val="es-CO" w:eastAsia="es-CO"/>
              </w:rPr>
              <w:t>(4)</w:t>
            </w:r>
            <w:r w:rsidRPr="00291346">
              <w:rPr>
                <w:rFonts w:ascii="Arial" w:eastAsia="Times New Roman" w:hAnsi="Arial" w:cs="Arial"/>
                <w:b/>
                <w:bCs/>
                <w:color w:val="FFFFFF"/>
                <w:sz w:val="18"/>
                <w:szCs w:val="18"/>
                <w:lang w:val="es-CO" w:eastAsia="es-CO"/>
              </w:rPr>
              <w:t>1</w:t>
            </w:r>
            <w:r>
              <w:rPr>
                <w:rFonts w:ascii="Arial" w:eastAsia="Times New Roman" w:hAnsi="Arial" w:cs="Arial"/>
                <w:b/>
                <w:bCs/>
                <w:color w:val="FFFFFF"/>
                <w:sz w:val="18"/>
                <w:szCs w:val="18"/>
                <w:lang w:val="es-CO" w:eastAsia="es-CO"/>
              </w:rPr>
              <w:t>68.4</w:t>
            </w:r>
            <w:r w:rsidR="008D27A6">
              <w:rPr>
                <w:rFonts w:ascii="Arial" w:eastAsia="Times New Roman" w:hAnsi="Arial" w:cs="Arial"/>
                <w:b/>
                <w:bCs/>
                <w:color w:val="FFFFFF"/>
                <w:sz w:val="18"/>
                <w:szCs w:val="18"/>
                <w:lang w:val="es-CO" w:eastAsia="es-CO"/>
              </w:rPr>
              <w:t>85</w:t>
            </w:r>
          </w:p>
        </w:tc>
        <w:tc>
          <w:tcPr>
            <w:tcW w:w="1306" w:type="dxa"/>
            <w:tcBorders>
              <w:top w:val="nil"/>
              <w:left w:val="nil"/>
              <w:bottom w:val="single" w:sz="8" w:space="0" w:color="auto"/>
              <w:right w:val="single" w:sz="8" w:space="0" w:color="auto"/>
            </w:tcBorders>
            <w:shd w:val="clear" w:color="auto" w:fill="203764"/>
            <w:hideMark/>
          </w:tcPr>
          <w:p w14:paraId="26B7FDCB" w14:textId="77777777" w:rsidR="00416E2A" w:rsidRPr="00291346" w:rsidRDefault="00416E2A" w:rsidP="00416E2A">
            <w:pPr>
              <w:jc w:val="center"/>
              <w:rPr>
                <w:rFonts w:ascii="Arial" w:eastAsia="Times New Roman" w:hAnsi="Arial" w:cs="Arial"/>
                <w:b/>
                <w:bCs/>
                <w:color w:val="000000"/>
                <w:sz w:val="18"/>
                <w:szCs w:val="18"/>
                <w:lang w:val="es-CO" w:eastAsia="es-CO"/>
              </w:rPr>
            </w:pPr>
            <w:r w:rsidRPr="00291346">
              <w:rPr>
                <w:rFonts w:ascii="Arial" w:eastAsia="Times New Roman" w:hAnsi="Arial" w:cs="Arial"/>
                <w:b/>
                <w:color w:val="FF0000"/>
                <w:sz w:val="18"/>
                <w:szCs w:val="18"/>
                <w:lang w:val="es-CO" w:eastAsia="es-CO"/>
              </w:rPr>
              <w:t>(6)</w:t>
            </w:r>
            <w:r w:rsidRPr="00291346">
              <w:rPr>
                <w:rFonts w:ascii="Arial" w:eastAsia="Times New Roman" w:hAnsi="Arial" w:cs="Arial"/>
                <w:b/>
                <w:bCs/>
                <w:color w:val="FFFFFF"/>
                <w:sz w:val="18"/>
                <w:szCs w:val="18"/>
                <w:lang w:val="es-CO" w:eastAsia="es-CO"/>
              </w:rPr>
              <w:t>38.974</w:t>
            </w:r>
          </w:p>
        </w:tc>
      </w:tr>
    </w:tbl>
    <w:p w14:paraId="61DFCA20" w14:textId="77777777" w:rsidR="00DA7276" w:rsidRDefault="00DA7276" w:rsidP="008F6530">
      <w:pPr>
        <w:adjustRightInd w:val="0"/>
        <w:jc w:val="center"/>
        <w:rPr>
          <w:rStyle w:val="nfasissutil"/>
          <w:rFonts w:eastAsia="Arial"/>
          <w:szCs w:val="16"/>
          <w:lang w:eastAsia="en-US"/>
        </w:rPr>
      </w:pPr>
      <w:r>
        <w:rPr>
          <w:rStyle w:val="nfasissutil"/>
          <w:szCs w:val="16"/>
          <w:lang w:val="es-CO"/>
        </w:rPr>
        <w:t xml:space="preserve">Fuente: </w:t>
      </w:r>
      <w:r w:rsidR="005D5A29">
        <w:rPr>
          <w:rStyle w:val="nfasissutil"/>
          <w:szCs w:val="16"/>
          <w:lang w:val="es-CO"/>
        </w:rPr>
        <w:t xml:space="preserve">Ejecución presupuestal de gastos suministrada por la Entidad Territorial </w:t>
      </w:r>
      <w:r>
        <w:rPr>
          <w:rStyle w:val="nfasissutil"/>
          <w:szCs w:val="16"/>
          <w:lang w:val="es-CO"/>
        </w:rPr>
        <w:t xml:space="preserve">al cierre de la vigencia 2022 y </w:t>
      </w:r>
      <w:r w:rsidR="005D5A29">
        <w:rPr>
          <w:rStyle w:val="nfasissutil"/>
          <w:szCs w:val="16"/>
          <w:lang w:val="es-CO"/>
        </w:rPr>
        <w:t xml:space="preserve">Reporte realizado por el Departamento de Quindío en CUIPO </w:t>
      </w:r>
      <w:r>
        <w:rPr>
          <w:rStyle w:val="nfasissutil"/>
          <w:szCs w:val="16"/>
          <w:lang w:val="es-CO"/>
        </w:rPr>
        <w:t>marzo de 2023.</w:t>
      </w:r>
    </w:p>
    <w:p w14:paraId="615A0E81" w14:textId="77777777" w:rsidR="00DA7276" w:rsidRDefault="00DA7276" w:rsidP="008F6530">
      <w:pPr>
        <w:pStyle w:val="Textoindependiente"/>
        <w:ind w:left="426"/>
        <w:jc w:val="both"/>
      </w:pPr>
      <w:r>
        <w:rPr>
          <w:lang w:val="es-CO"/>
        </w:rPr>
        <w:t xml:space="preserve"> </w:t>
      </w:r>
    </w:p>
    <w:p w14:paraId="56EB65BF" w14:textId="77777777" w:rsidR="00DA7276" w:rsidRDefault="00DA7276" w:rsidP="008F6530">
      <w:pPr>
        <w:pStyle w:val="Textoindependiente"/>
        <w:numPr>
          <w:ilvl w:val="0"/>
          <w:numId w:val="10"/>
        </w:numPr>
        <w:ind w:left="426" w:hanging="426"/>
        <w:jc w:val="both"/>
        <w:rPr>
          <w:lang w:val="es-CO"/>
        </w:rPr>
      </w:pPr>
      <w:r>
        <w:rPr>
          <w:lang w:val="es-CO"/>
        </w:rPr>
        <w:t>Se reportaron objetos de gasto financiados con recursos de balance: prestación de servicios y cancelaciones, con un total de $1.605 millones.</w:t>
      </w:r>
    </w:p>
    <w:p w14:paraId="1FAB2608" w14:textId="77777777" w:rsidR="00DA7276" w:rsidRDefault="00DA7276" w:rsidP="008F6530">
      <w:pPr>
        <w:pStyle w:val="Textoindependiente"/>
        <w:numPr>
          <w:ilvl w:val="0"/>
          <w:numId w:val="10"/>
        </w:numPr>
        <w:ind w:left="426" w:hanging="426"/>
        <w:jc w:val="both"/>
        <w:rPr>
          <w:lang w:val="es-CO"/>
        </w:rPr>
      </w:pPr>
      <w:r>
        <w:rPr>
          <w:lang w:val="es-CO"/>
        </w:rPr>
        <w:t xml:space="preserve">La Entidad Territorial debe soportar legalmente el total pagado por concepto de prima técnica. </w:t>
      </w:r>
    </w:p>
    <w:p w14:paraId="03DECBFD" w14:textId="77777777" w:rsidR="00DA7276" w:rsidRDefault="00DA7276" w:rsidP="008F6530">
      <w:pPr>
        <w:pStyle w:val="Textoindependiente"/>
        <w:numPr>
          <w:ilvl w:val="0"/>
          <w:numId w:val="10"/>
        </w:numPr>
        <w:ind w:left="426" w:hanging="426"/>
        <w:jc w:val="both"/>
        <w:rPr>
          <w:lang w:val="es-CO"/>
        </w:rPr>
      </w:pPr>
      <w:r>
        <w:rPr>
          <w:lang w:val="es-CO"/>
        </w:rPr>
        <w:t>Se reportó un total de $23 millones financiados con reintegros.</w:t>
      </w:r>
    </w:p>
    <w:p w14:paraId="15445C8A" w14:textId="77777777" w:rsidR="00DA7276" w:rsidRDefault="00DA7276" w:rsidP="008F6530">
      <w:pPr>
        <w:pStyle w:val="Textoindependiente"/>
        <w:numPr>
          <w:ilvl w:val="0"/>
          <w:numId w:val="10"/>
        </w:numPr>
        <w:ind w:left="426" w:hanging="426"/>
        <w:jc w:val="both"/>
        <w:rPr>
          <w:lang w:val="es-CO"/>
        </w:rPr>
      </w:pPr>
      <w:r>
        <w:rPr>
          <w:lang w:val="es-CO"/>
        </w:rPr>
        <w:t>De los 59 registros en objetos de gasto financiados con recursos del SGP-Educación, 51 fueron diligenciados con N/A en la columna de detalle sectorial.</w:t>
      </w:r>
    </w:p>
    <w:p w14:paraId="7A9ED360" w14:textId="77777777" w:rsidR="00DA7276" w:rsidRDefault="00DA7276" w:rsidP="008F6530">
      <w:pPr>
        <w:pStyle w:val="Textoindependiente"/>
        <w:numPr>
          <w:ilvl w:val="0"/>
          <w:numId w:val="10"/>
        </w:numPr>
        <w:ind w:left="426" w:hanging="426"/>
        <w:jc w:val="both"/>
        <w:rPr>
          <w:lang w:val="es-CO"/>
        </w:rPr>
      </w:pPr>
      <w:r>
        <w:rPr>
          <w:lang w:val="es-CO"/>
        </w:rPr>
        <w:lastRenderedPageBreak/>
        <w:t xml:space="preserve">La entidad no reportó objetos de gasto en funcionamiento. </w:t>
      </w:r>
    </w:p>
    <w:p w14:paraId="3A200163" w14:textId="77777777" w:rsidR="00DA7276" w:rsidRDefault="00DA7276" w:rsidP="008F6530">
      <w:pPr>
        <w:pStyle w:val="Textoindependiente"/>
        <w:numPr>
          <w:ilvl w:val="0"/>
          <w:numId w:val="10"/>
        </w:numPr>
        <w:ind w:left="426" w:hanging="426"/>
        <w:jc w:val="both"/>
        <w:rPr>
          <w:lang w:val="es-CO"/>
        </w:rPr>
      </w:pPr>
      <w:r>
        <w:rPr>
          <w:lang w:val="es-CO"/>
        </w:rPr>
        <w:t xml:space="preserve">De los 65 objetos de gasto reportados </w:t>
      </w:r>
      <w:r w:rsidR="00FA21F2">
        <w:rPr>
          <w:lang w:val="es-CO"/>
        </w:rPr>
        <w:t xml:space="preserve">y </w:t>
      </w:r>
      <w:r>
        <w:rPr>
          <w:lang w:val="es-CO"/>
        </w:rPr>
        <w:t>financiados con SGP-Educación, la entidad territorial diligenció 2 registros con N/A en la columna de detalle sectorial. Lo anterior, representa una mejor</w:t>
      </w:r>
      <w:r w:rsidR="00FA21F2">
        <w:rPr>
          <w:lang w:val="es-CO"/>
        </w:rPr>
        <w:t>a</w:t>
      </w:r>
      <w:r>
        <w:rPr>
          <w:lang w:val="es-CO"/>
        </w:rPr>
        <w:t xml:space="preserve"> significativa frente a la vigencia anterior, no obstante, se le recuerda al Departamento que </w:t>
      </w:r>
      <w:r w:rsidR="00FA21F2">
        <w:rPr>
          <w:lang w:val="es-CO"/>
        </w:rPr>
        <w:t xml:space="preserve">el diligenciamiento del detalle sectorial es obligatorio </w:t>
      </w:r>
      <w:r>
        <w:rPr>
          <w:lang w:val="es-CO"/>
        </w:rPr>
        <w:t xml:space="preserve">para el </w:t>
      </w:r>
      <w:r w:rsidR="00FA21F2">
        <w:rPr>
          <w:lang w:val="es-CO"/>
        </w:rPr>
        <w:t xml:space="preserve">reporte de la información presupuestal del </w:t>
      </w:r>
      <w:r>
        <w:rPr>
          <w:lang w:val="es-CO"/>
        </w:rPr>
        <w:t xml:space="preserve">sector educación. </w:t>
      </w:r>
    </w:p>
    <w:p w14:paraId="78E20203" w14:textId="77777777" w:rsidR="00DA7276" w:rsidRDefault="00DA7276" w:rsidP="008F6530">
      <w:pPr>
        <w:pStyle w:val="Textoindependiente"/>
        <w:ind w:left="786"/>
        <w:jc w:val="both"/>
        <w:rPr>
          <w:lang w:val="es-CO"/>
        </w:rPr>
      </w:pPr>
    </w:p>
    <w:p w14:paraId="11741F22" w14:textId="77777777" w:rsidR="00DA7276" w:rsidRDefault="00DA7276" w:rsidP="008F6530">
      <w:pPr>
        <w:pStyle w:val="Ttulo2"/>
        <w:numPr>
          <w:ilvl w:val="0"/>
          <w:numId w:val="9"/>
        </w:numPr>
        <w:spacing w:before="0"/>
        <w:ind w:left="426" w:hanging="426"/>
        <w:rPr>
          <w:rFonts w:cs="Arial"/>
          <w:szCs w:val="22"/>
          <w:lang w:val="es-CO"/>
        </w:rPr>
      </w:pPr>
      <w:r>
        <w:rPr>
          <w:rFonts w:cs="Arial"/>
          <w:szCs w:val="22"/>
          <w:lang w:val="es-CO"/>
        </w:rPr>
        <w:t>Cierre de tesorería</w:t>
      </w:r>
    </w:p>
    <w:p w14:paraId="2EDB2083" w14:textId="77777777" w:rsidR="00DA7276" w:rsidRDefault="00DA7276" w:rsidP="008F6530">
      <w:pPr>
        <w:pStyle w:val="Textoindependiente"/>
        <w:rPr>
          <w:lang w:val="es-CO"/>
        </w:rPr>
      </w:pPr>
    </w:p>
    <w:p w14:paraId="277B0E2B" w14:textId="77777777" w:rsidR="00DA7276" w:rsidRDefault="00DA7276" w:rsidP="008F6530">
      <w:pPr>
        <w:jc w:val="both"/>
        <w:rPr>
          <w:rFonts w:ascii="Arial" w:hAnsi="Arial" w:cs="Arial"/>
          <w:sz w:val="22"/>
          <w:szCs w:val="22"/>
          <w:lang w:val="es-CO"/>
        </w:rPr>
      </w:pPr>
      <w:r>
        <w:rPr>
          <w:rFonts w:ascii="Arial" w:hAnsi="Arial" w:cs="Arial"/>
          <w:sz w:val="22"/>
          <w:szCs w:val="22"/>
          <w:lang w:val="es-CO"/>
        </w:rPr>
        <w:t xml:space="preserve">Sobre el cierre de la vigencia 2022, el reporte realizado en CUIPO de ingresos y gastos arroja un resultado presupuestal superavitario para el sector educativo de $64.934 millones. Al comparar la información de tesorería y la reportada, se encontró que ésta es inconsistente entre sí, como se muestra a continuación: </w:t>
      </w:r>
    </w:p>
    <w:p w14:paraId="36DB5386" w14:textId="77777777" w:rsidR="00DA7276" w:rsidRDefault="00DA7276" w:rsidP="008F6530">
      <w:pPr>
        <w:jc w:val="both"/>
        <w:rPr>
          <w:rFonts w:ascii="Arial" w:hAnsi="Arial" w:cs="Arial"/>
          <w:sz w:val="22"/>
          <w:szCs w:val="22"/>
          <w:lang w:val="es-CO"/>
        </w:rPr>
      </w:pPr>
    </w:p>
    <w:tbl>
      <w:tblPr>
        <w:tblW w:w="5000" w:type="pct"/>
        <w:tblCellMar>
          <w:left w:w="70" w:type="dxa"/>
          <w:right w:w="70" w:type="dxa"/>
        </w:tblCellMar>
        <w:tblLook w:val="04A0" w:firstRow="1" w:lastRow="0" w:firstColumn="1" w:lastColumn="0" w:noHBand="0" w:noVBand="1"/>
      </w:tblPr>
      <w:tblGrid>
        <w:gridCol w:w="4369"/>
        <w:gridCol w:w="1540"/>
        <w:gridCol w:w="1369"/>
        <w:gridCol w:w="1540"/>
      </w:tblGrid>
      <w:tr w:rsidR="00DA7276" w:rsidRPr="005A3FE8" w14:paraId="44E940DC" w14:textId="77777777" w:rsidTr="00FA21F2">
        <w:trPr>
          <w:trHeight w:val="20"/>
        </w:trPr>
        <w:tc>
          <w:tcPr>
            <w:tcW w:w="5000" w:type="pct"/>
            <w:gridSpan w:val="4"/>
            <w:tcBorders>
              <w:top w:val="single" w:sz="8" w:space="0" w:color="auto"/>
              <w:left w:val="single" w:sz="8" w:space="0" w:color="auto"/>
              <w:bottom w:val="single" w:sz="8" w:space="0" w:color="auto"/>
              <w:right w:val="single" w:sz="8" w:space="0" w:color="000000"/>
            </w:tcBorders>
            <w:shd w:val="clear" w:color="auto" w:fill="244061"/>
            <w:noWrap/>
            <w:vAlign w:val="center"/>
            <w:hideMark/>
          </w:tcPr>
          <w:p w14:paraId="17201599"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TABLA 3. ANÁLISIS DEL CIERRE FISCAL</w:t>
            </w:r>
          </w:p>
        </w:tc>
      </w:tr>
      <w:tr w:rsidR="00DA7276" w:rsidRPr="005A3FE8" w14:paraId="5BEF3AA6" w14:textId="77777777" w:rsidTr="00FA21F2">
        <w:trPr>
          <w:trHeight w:val="20"/>
        </w:trPr>
        <w:tc>
          <w:tcPr>
            <w:tcW w:w="2478" w:type="pct"/>
            <w:vMerge w:val="restart"/>
            <w:tcBorders>
              <w:top w:val="nil"/>
              <w:left w:val="single" w:sz="8" w:space="0" w:color="auto"/>
              <w:bottom w:val="single" w:sz="8" w:space="0" w:color="000000"/>
              <w:right w:val="single" w:sz="8" w:space="0" w:color="auto"/>
            </w:tcBorders>
            <w:shd w:val="clear" w:color="auto" w:fill="244061"/>
            <w:noWrap/>
            <w:vAlign w:val="center"/>
            <w:hideMark/>
          </w:tcPr>
          <w:p w14:paraId="436A0D31"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CONCEPTO</w:t>
            </w:r>
          </w:p>
        </w:tc>
        <w:tc>
          <w:tcPr>
            <w:tcW w:w="2522" w:type="pct"/>
            <w:gridSpan w:val="3"/>
            <w:tcBorders>
              <w:top w:val="single" w:sz="8" w:space="0" w:color="auto"/>
              <w:left w:val="nil"/>
              <w:bottom w:val="single" w:sz="8" w:space="0" w:color="auto"/>
              <w:right w:val="single" w:sz="8" w:space="0" w:color="000000"/>
            </w:tcBorders>
            <w:shd w:val="clear" w:color="auto" w:fill="244061"/>
            <w:noWrap/>
            <w:vAlign w:val="center"/>
            <w:hideMark/>
          </w:tcPr>
          <w:p w14:paraId="5688DF66"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REPORTE VIGENCIA 2022</w:t>
            </w:r>
          </w:p>
        </w:tc>
      </w:tr>
      <w:tr w:rsidR="00DA7276" w:rsidRPr="005A3FE8" w14:paraId="56E29B18" w14:textId="77777777" w:rsidTr="00FA21F2">
        <w:trPr>
          <w:trHeight w:val="20"/>
        </w:trPr>
        <w:tc>
          <w:tcPr>
            <w:tcW w:w="2478" w:type="pct"/>
            <w:vMerge/>
            <w:tcBorders>
              <w:top w:val="nil"/>
              <w:left w:val="single" w:sz="8" w:space="0" w:color="auto"/>
              <w:bottom w:val="single" w:sz="8" w:space="0" w:color="000000"/>
              <w:right w:val="single" w:sz="8" w:space="0" w:color="auto"/>
            </w:tcBorders>
            <w:vAlign w:val="center"/>
            <w:hideMark/>
          </w:tcPr>
          <w:p w14:paraId="03A9D00B" w14:textId="77777777" w:rsidR="00DA7276" w:rsidRPr="005A3FE8" w:rsidRDefault="00DA7276" w:rsidP="008F6530">
            <w:pPr>
              <w:rPr>
                <w:rFonts w:ascii="Arial" w:eastAsia="Times New Roman" w:hAnsi="Arial" w:cs="Arial"/>
                <w:b/>
                <w:bCs/>
                <w:color w:val="FFFFFF"/>
                <w:sz w:val="18"/>
                <w:szCs w:val="18"/>
                <w:lang w:val="es-CO" w:eastAsia="es-CO"/>
              </w:rPr>
            </w:pPr>
          </w:p>
        </w:tc>
        <w:tc>
          <w:tcPr>
            <w:tcW w:w="873" w:type="pct"/>
            <w:tcBorders>
              <w:top w:val="nil"/>
              <w:left w:val="nil"/>
              <w:bottom w:val="single" w:sz="8" w:space="0" w:color="auto"/>
              <w:right w:val="single" w:sz="8" w:space="0" w:color="auto"/>
            </w:tcBorders>
            <w:shd w:val="clear" w:color="auto" w:fill="244061"/>
            <w:noWrap/>
            <w:vAlign w:val="center"/>
            <w:hideMark/>
          </w:tcPr>
          <w:p w14:paraId="249EF264"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INGRESOS</w:t>
            </w:r>
          </w:p>
        </w:tc>
        <w:tc>
          <w:tcPr>
            <w:tcW w:w="776" w:type="pct"/>
            <w:tcBorders>
              <w:top w:val="nil"/>
              <w:left w:val="nil"/>
              <w:bottom w:val="single" w:sz="8" w:space="0" w:color="auto"/>
              <w:right w:val="single" w:sz="8" w:space="0" w:color="auto"/>
            </w:tcBorders>
            <w:shd w:val="clear" w:color="auto" w:fill="244061"/>
            <w:noWrap/>
            <w:vAlign w:val="center"/>
            <w:hideMark/>
          </w:tcPr>
          <w:p w14:paraId="00C5A93E"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GASTOS</w:t>
            </w:r>
          </w:p>
        </w:tc>
        <w:tc>
          <w:tcPr>
            <w:tcW w:w="873" w:type="pct"/>
            <w:tcBorders>
              <w:top w:val="nil"/>
              <w:left w:val="nil"/>
              <w:bottom w:val="single" w:sz="8" w:space="0" w:color="auto"/>
              <w:right w:val="single" w:sz="8" w:space="0" w:color="auto"/>
            </w:tcBorders>
            <w:shd w:val="clear" w:color="auto" w:fill="244061"/>
            <w:vAlign w:val="center"/>
            <w:hideMark/>
          </w:tcPr>
          <w:p w14:paraId="39FA6ADE" w14:textId="77777777" w:rsidR="00DA7276" w:rsidRPr="005A3FE8" w:rsidRDefault="00DA7276" w:rsidP="008F6530">
            <w:pPr>
              <w:jc w:val="center"/>
              <w:rPr>
                <w:rFonts w:ascii="Arial" w:eastAsia="Times New Roman" w:hAnsi="Arial" w:cs="Arial"/>
                <w:b/>
                <w:bCs/>
                <w:color w:val="FFFFFF"/>
                <w:sz w:val="18"/>
                <w:szCs w:val="18"/>
                <w:lang w:val="es-CO" w:eastAsia="es-CO"/>
              </w:rPr>
            </w:pPr>
            <w:r w:rsidRPr="005A3FE8">
              <w:rPr>
                <w:rFonts w:ascii="Arial" w:eastAsia="Times New Roman" w:hAnsi="Arial" w:cs="Arial"/>
                <w:b/>
                <w:bCs/>
                <w:color w:val="FFFFFF"/>
                <w:sz w:val="18"/>
                <w:szCs w:val="18"/>
                <w:lang w:val="es-CO" w:eastAsia="es-CO"/>
              </w:rPr>
              <w:t>SUPERÁVIT</w:t>
            </w:r>
          </w:p>
        </w:tc>
      </w:tr>
      <w:tr w:rsidR="00DA7276" w:rsidRPr="005A3FE8" w14:paraId="265A3AEC"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hideMark/>
          </w:tcPr>
          <w:p w14:paraId="4E64C1DB" w14:textId="77777777" w:rsidR="00DA7276" w:rsidRPr="005A3FE8" w:rsidRDefault="00DA7276"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Prestación de servicio CSF</w:t>
            </w:r>
          </w:p>
        </w:tc>
        <w:tc>
          <w:tcPr>
            <w:tcW w:w="873" w:type="pct"/>
            <w:tcBorders>
              <w:top w:val="nil"/>
              <w:left w:val="nil"/>
              <w:bottom w:val="single" w:sz="8" w:space="0" w:color="auto"/>
              <w:right w:val="single" w:sz="8" w:space="0" w:color="auto"/>
            </w:tcBorders>
            <w:vAlign w:val="center"/>
            <w:hideMark/>
          </w:tcPr>
          <w:p w14:paraId="0A6DDC1B"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146.126</w:t>
            </w:r>
          </w:p>
        </w:tc>
        <w:tc>
          <w:tcPr>
            <w:tcW w:w="776" w:type="pct"/>
            <w:tcBorders>
              <w:top w:val="nil"/>
              <w:left w:val="nil"/>
              <w:bottom w:val="single" w:sz="8" w:space="0" w:color="auto"/>
              <w:right w:val="single" w:sz="8" w:space="0" w:color="auto"/>
            </w:tcBorders>
            <w:vAlign w:val="center"/>
            <w:hideMark/>
          </w:tcPr>
          <w:p w14:paraId="33A1C0B7" w14:textId="77777777" w:rsidR="00DA7276" w:rsidRPr="005A3FE8" w:rsidRDefault="008D27A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146.126</w:t>
            </w:r>
          </w:p>
        </w:tc>
        <w:tc>
          <w:tcPr>
            <w:tcW w:w="873" w:type="pct"/>
            <w:tcBorders>
              <w:top w:val="nil"/>
              <w:left w:val="nil"/>
              <w:bottom w:val="single" w:sz="8" w:space="0" w:color="auto"/>
              <w:right w:val="single" w:sz="8" w:space="0" w:color="auto"/>
            </w:tcBorders>
            <w:vAlign w:val="center"/>
            <w:hideMark/>
          </w:tcPr>
          <w:p w14:paraId="5F6AFC34" w14:textId="77777777" w:rsidR="00DA7276" w:rsidRPr="005A3FE8" w:rsidRDefault="008D27A6" w:rsidP="008F6530">
            <w:pPr>
              <w:jc w:val="right"/>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0</w:t>
            </w:r>
          </w:p>
        </w:tc>
      </w:tr>
      <w:tr w:rsidR="00DA7276" w:rsidRPr="005A3FE8" w14:paraId="19585B4C"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hideMark/>
          </w:tcPr>
          <w:p w14:paraId="6E933604" w14:textId="77777777" w:rsidR="00DA7276" w:rsidRPr="005A3FE8" w:rsidRDefault="00DA7276"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Prestación de servicio SSF</w:t>
            </w:r>
          </w:p>
        </w:tc>
        <w:tc>
          <w:tcPr>
            <w:tcW w:w="873" w:type="pct"/>
            <w:tcBorders>
              <w:top w:val="nil"/>
              <w:left w:val="nil"/>
              <w:bottom w:val="single" w:sz="8" w:space="0" w:color="auto"/>
              <w:right w:val="single" w:sz="8" w:space="0" w:color="auto"/>
            </w:tcBorders>
            <w:vAlign w:val="center"/>
            <w:hideMark/>
          </w:tcPr>
          <w:p w14:paraId="208C1FD5"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20.731</w:t>
            </w:r>
          </w:p>
        </w:tc>
        <w:tc>
          <w:tcPr>
            <w:tcW w:w="776" w:type="pct"/>
            <w:tcBorders>
              <w:top w:val="nil"/>
              <w:left w:val="nil"/>
              <w:bottom w:val="single" w:sz="8" w:space="0" w:color="auto"/>
              <w:right w:val="single" w:sz="8" w:space="0" w:color="auto"/>
            </w:tcBorders>
            <w:vAlign w:val="center"/>
            <w:hideMark/>
          </w:tcPr>
          <w:p w14:paraId="3AADE2E7" w14:textId="77777777" w:rsidR="00DA7276" w:rsidRPr="005A3FE8" w:rsidRDefault="008D27A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20.731</w:t>
            </w:r>
          </w:p>
        </w:tc>
        <w:tc>
          <w:tcPr>
            <w:tcW w:w="873" w:type="pct"/>
            <w:tcBorders>
              <w:top w:val="nil"/>
              <w:left w:val="nil"/>
              <w:bottom w:val="single" w:sz="8" w:space="0" w:color="auto"/>
              <w:right w:val="single" w:sz="8" w:space="0" w:color="auto"/>
            </w:tcBorders>
            <w:vAlign w:val="center"/>
            <w:hideMark/>
          </w:tcPr>
          <w:p w14:paraId="3BE69E6C" w14:textId="77777777" w:rsidR="00DA7276" w:rsidRPr="005A3FE8" w:rsidRDefault="008D27A6" w:rsidP="008F6530">
            <w:pPr>
              <w:jc w:val="right"/>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0</w:t>
            </w:r>
          </w:p>
        </w:tc>
      </w:tr>
      <w:tr w:rsidR="00DA7276" w:rsidRPr="005A3FE8" w14:paraId="5C88282F"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hideMark/>
          </w:tcPr>
          <w:p w14:paraId="6DB31FB7" w14:textId="77777777" w:rsidR="00DA7276" w:rsidRPr="005A3FE8" w:rsidRDefault="00DA7276"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Superávit fiscal Prestación</w:t>
            </w:r>
          </w:p>
        </w:tc>
        <w:tc>
          <w:tcPr>
            <w:tcW w:w="873" w:type="pct"/>
            <w:tcBorders>
              <w:top w:val="nil"/>
              <w:left w:val="nil"/>
              <w:bottom w:val="single" w:sz="8" w:space="0" w:color="auto"/>
              <w:right w:val="single" w:sz="8" w:space="0" w:color="auto"/>
            </w:tcBorders>
            <w:vAlign w:val="center"/>
            <w:hideMark/>
          </w:tcPr>
          <w:p w14:paraId="0BD496A9"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3</w:t>
            </w:r>
          </w:p>
        </w:tc>
        <w:tc>
          <w:tcPr>
            <w:tcW w:w="776" w:type="pct"/>
            <w:tcBorders>
              <w:top w:val="nil"/>
              <w:left w:val="nil"/>
              <w:bottom w:val="single" w:sz="8" w:space="0" w:color="auto"/>
              <w:right w:val="single" w:sz="8" w:space="0" w:color="auto"/>
            </w:tcBorders>
            <w:vAlign w:val="center"/>
            <w:hideMark/>
          </w:tcPr>
          <w:p w14:paraId="75A48983" w14:textId="77777777" w:rsidR="00DA7276"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0</w:t>
            </w:r>
          </w:p>
        </w:tc>
        <w:tc>
          <w:tcPr>
            <w:tcW w:w="873" w:type="pct"/>
            <w:tcBorders>
              <w:top w:val="nil"/>
              <w:left w:val="nil"/>
              <w:bottom w:val="single" w:sz="8" w:space="0" w:color="auto"/>
              <w:right w:val="single" w:sz="8" w:space="0" w:color="auto"/>
            </w:tcBorders>
            <w:vAlign w:val="center"/>
            <w:hideMark/>
          </w:tcPr>
          <w:p w14:paraId="443C68AA" w14:textId="77777777" w:rsidR="00DA7276"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3</w:t>
            </w:r>
          </w:p>
        </w:tc>
      </w:tr>
      <w:tr w:rsidR="00DA7276" w:rsidRPr="005A3FE8" w14:paraId="08050FB2"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hideMark/>
          </w:tcPr>
          <w:p w14:paraId="6E7A7886" w14:textId="77777777" w:rsidR="00DA7276" w:rsidRPr="005A3FE8" w:rsidRDefault="00DA7276"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Superávit fiscal Cancelaciones</w:t>
            </w:r>
          </w:p>
        </w:tc>
        <w:tc>
          <w:tcPr>
            <w:tcW w:w="873" w:type="pct"/>
            <w:tcBorders>
              <w:top w:val="nil"/>
              <w:left w:val="nil"/>
              <w:bottom w:val="single" w:sz="8" w:space="0" w:color="auto"/>
              <w:right w:val="single" w:sz="8" w:space="0" w:color="auto"/>
            </w:tcBorders>
            <w:vAlign w:val="center"/>
            <w:hideMark/>
          </w:tcPr>
          <w:p w14:paraId="6B6EAAA2"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1.632</w:t>
            </w:r>
          </w:p>
        </w:tc>
        <w:tc>
          <w:tcPr>
            <w:tcW w:w="776" w:type="pct"/>
            <w:tcBorders>
              <w:top w:val="nil"/>
              <w:left w:val="nil"/>
              <w:bottom w:val="single" w:sz="8" w:space="0" w:color="auto"/>
              <w:right w:val="single" w:sz="8" w:space="0" w:color="auto"/>
            </w:tcBorders>
            <w:vAlign w:val="center"/>
            <w:hideMark/>
          </w:tcPr>
          <w:p w14:paraId="0F94EFBB" w14:textId="77777777" w:rsidR="00DA7276"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1.605</w:t>
            </w:r>
          </w:p>
        </w:tc>
        <w:tc>
          <w:tcPr>
            <w:tcW w:w="873" w:type="pct"/>
            <w:tcBorders>
              <w:top w:val="nil"/>
              <w:left w:val="nil"/>
              <w:bottom w:val="single" w:sz="8" w:space="0" w:color="auto"/>
              <w:right w:val="single" w:sz="8" w:space="0" w:color="auto"/>
            </w:tcBorders>
            <w:vAlign w:val="center"/>
            <w:hideMark/>
          </w:tcPr>
          <w:p w14:paraId="5FBD9B8B" w14:textId="77777777" w:rsidR="00DA7276"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w:t>
            </w:r>
            <w:r w:rsidRPr="005A3FE8">
              <w:rPr>
                <w:rFonts w:ascii="Arial" w:eastAsia="Times New Roman" w:hAnsi="Arial" w:cs="Arial"/>
                <w:color w:val="000000"/>
                <w:sz w:val="18"/>
                <w:szCs w:val="18"/>
                <w:lang w:eastAsia="es-CO"/>
              </w:rPr>
              <w:t>8</w:t>
            </w:r>
          </w:p>
        </w:tc>
      </w:tr>
      <w:tr w:rsidR="00DA7276" w:rsidRPr="005A3FE8" w14:paraId="4457ADB3"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hideMark/>
          </w:tcPr>
          <w:p w14:paraId="4537DE3B" w14:textId="77777777" w:rsidR="00DA7276" w:rsidRPr="005A3FE8" w:rsidRDefault="00DA7276"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Rendimientos financieros prestación</w:t>
            </w:r>
          </w:p>
        </w:tc>
        <w:tc>
          <w:tcPr>
            <w:tcW w:w="873" w:type="pct"/>
            <w:tcBorders>
              <w:top w:val="nil"/>
              <w:left w:val="nil"/>
              <w:bottom w:val="single" w:sz="8" w:space="0" w:color="auto"/>
              <w:right w:val="single" w:sz="8" w:space="0" w:color="auto"/>
            </w:tcBorders>
            <w:vAlign w:val="center"/>
            <w:hideMark/>
          </w:tcPr>
          <w:p w14:paraId="0B554A9D"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234</w:t>
            </w:r>
          </w:p>
        </w:tc>
        <w:tc>
          <w:tcPr>
            <w:tcW w:w="776" w:type="pct"/>
            <w:tcBorders>
              <w:top w:val="nil"/>
              <w:left w:val="nil"/>
              <w:bottom w:val="single" w:sz="8" w:space="0" w:color="auto"/>
              <w:right w:val="single" w:sz="8" w:space="0" w:color="auto"/>
            </w:tcBorders>
            <w:vAlign w:val="center"/>
            <w:hideMark/>
          </w:tcPr>
          <w:p w14:paraId="621C1FF5"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0</w:t>
            </w:r>
          </w:p>
        </w:tc>
        <w:tc>
          <w:tcPr>
            <w:tcW w:w="873" w:type="pct"/>
            <w:tcBorders>
              <w:top w:val="nil"/>
              <w:left w:val="nil"/>
              <w:bottom w:val="single" w:sz="8" w:space="0" w:color="auto"/>
              <w:right w:val="single" w:sz="8" w:space="0" w:color="auto"/>
            </w:tcBorders>
            <w:vAlign w:val="center"/>
            <w:hideMark/>
          </w:tcPr>
          <w:p w14:paraId="6C02D94F" w14:textId="77777777" w:rsidR="00DA7276" w:rsidRPr="005A3FE8" w:rsidRDefault="00DA7276"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234</w:t>
            </w:r>
          </w:p>
        </w:tc>
      </w:tr>
      <w:tr w:rsidR="005A3FE8" w:rsidRPr="005A3FE8" w14:paraId="2F89AEEB" w14:textId="77777777" w:rsidTr="00FA21F2">
        <w:trPr>
          <w:trHeight w:val="20"/>
        </w:trPr>
        <w:tc>
          <w:tcPr>
            <w:tcW w:w="2478" w:type="pct"/>
            <w:tcBorders>
              <w:top w:val="nil"/>
              <w:left w:val="single" w:sz="8" w:space="0" w:color="auto"/>
              <w:bottom w:val="single" w:sz="8" w:space="0" w:color="auto"/>
              <w:right w:val="single" w:sz="8" w:space="0" w:color="auto"/>
            </w:tcBorders>
            <w:noWrap/>
            <w:vAlign w:val="center"/>
          </w:tcPr>
          <w:p w14:paraId="72AF8B8F" w14:textId="77777777" w:rsidR="005A3FE8" w:rsidRPr="005A3FE8" w:rsidRDefault="005A3FE8" w:rsidP="008F6530">
            <w:pPr>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R</w:t>
            </w:r>
            <w:proofErr w:type="spellStart"/>
            <w:r w:rsidRPr="005A3FE8">
              <w:rPr>
                <w:rFonts w:ascii="Arial" w:eastAsia="Times New Roman" w:hAnsi="Arial" w:cs="Arial"/>
                <w:color w:val="000000"/>
                <w:sz w:val="18"/>
                <w:szCs w:val="18"/>
                <w:lang w:eastAsia="es-CO"/>
              </w:rPr>
              <w:t>eintegros</w:t>
            </w:r>
            <w:proofErr w:type="spellEnd"/>
          </w:p>
        </w:tc>
        <w:tc>
          <w:tcPr>
            <w:tcW w:w="873" w:type="pct"/>
            <w:tcBorders>
              <w:top w:val="nil"/>
              <w:left w:val="nil"/>
              <w:bottom w:val="single" w:sz="8" w:space="0" w:color="auto"/>
              <w:right w:val="single" w:sz="8" w:space="0" w:color="auto"/>
            </w:tcBorders>
            <w:vAlign w:val="center"/>
          </w:tcPr>
          <w:p w14:paraId="5389DD7E" w14:textId="77777777" w:rsidR="005A3FE8"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0</w:t>
            </w:r>
          </w:p>
        </w:tc>
        <w:tc>
          <w:tcPr>
            <w:tcW w:w="776" w:type="pct"/>
            <w:tcBorders>
              <w:top w:val="nil"/>
              <w:left w:val="nil"/>
              <w:bottom w:val="single" w:sz="8" w:space="0" w:color="auto"/>
              <w:right w:val="single" w:sz="8" w:space="0" w:color="auto"/>
            </w:tcBorders>
            <w:vAlign w:val="center"/>
          </w:tcPr>
          <w:p w14:paraId="6B02FE04" w14:textId="77777777" w:rsidR="005A3FE8"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2</w:t>
            </w:r>
            <w:r w:rsidRPr="005A3FE8">
              <w:rPr>
                <w:rFonts w:ascii="Arial" w:eastAsia="Times New Roman" w:hAnsi="Arial" w:cs="Arial"/>
                <w:color w:val="000000"/>
                <w:sz w:val="18"/>
                <w:szCs w:val="18"/>
                <w:lang w:eastAsia="es-CO"/>
              </w:rPr>
              <w:t>3</w:t>
            </w:r>
          </w:p>
        </w:tc>
        <w:tc>
          <w:tcPr>
            <w:tcW w:w="873" w:type="pct"/>
            <w:tcBorders>
              <w:top w:val="nil"/>
              <w:left w:val="nil"/>
              <w:bottom w:val="single" w:sz="8" w:space="0" w:color="auto"/>
              <w:right w:val="single" w:sz="8" w:space="0" w:color="auto"/>
            </w:tcBorders>
            <w:vAlign w:val="center"/>
          </w:tcPr>
          <w:p w14:paraId="6CD7D816" w14:textId="77777777" w:rsidR="005A3FE8" w:rsidRPr="005A3FE8" w:rsidRDefault="005A3FE8" w:rsidP="008F6530">
            <w:pPr>
              <w:jc w:val="right"/>
              <w:rPr>
                <w:rFonts w:ascii="Arial" w:eastAsia="Times New Roman" w:hAnsi="Arial" w:cs="Arial"/>
                <w:color w:val="000000"/>
                <w:sz w:val="18"/>
                <w:szCs w:val="18"/>
                <w:lang w:val="es-CO" w:eastAsia="es-CO"/>
              </w:rPr>
            </w:pPr>
            <w:r w:rsidRPr="005A3FE8">
              <w:rPr>
                <w:rFonts w:ascii="Arial" w:eastAsia="Times New Roman" w:hAnsi="Arial" w:cs="Arial"/>
                <w:color w:val="000000"/>
                <w:sz w:val="18"/>
                <w:szCs w:val="18"/>
                <w:lang w:val="es-CO" w:eastAsia="es-CO"/>
              </w:rPr>
              <w:t>-</w:t>
            </w:r>
            <w:r w:rsidRPr="005A3FE8">
              <w:rPr>
                <w:rFonts w:ascii="Arial" w:eastAsia="Times New Roman" w:hAnsi="Arial" w:cs="Arial"/>
                <w:color w:val="000000"/>
                <w:sz w:val="18"/>
                <w:szCs w:val="18"/>
                <w:lang w:eastAsia="es-CO"/>
              </w:rPr>
              <w:t>23</w:t>
            </w:r>
          </w:p>
        </w:tc>
      </w:tr>
      <w:tr w:rsidR="00DA7276" w:rsidRPr="005A3FE8" w14:paraId="4D25ED3C" w14:textId="77777777" w:rsidTr="00FA21F2">
        <w:trPr>
          <w:trHeight w:val="20"/>
        </w:trPr>
        <w:tc>
          <w:tcPr>
            <w:tcW w:w="2478" w:type="pct"/>
            <w:tcBorders>
              <w:top w:val="nil"/>
              <w:left w:val="single" w:sz="8" w:space="0" w:color="auto"/>
              <w:bottom w:val="single" w:sz="8" w:space="0" w:color="auto"/>
              <w:right w:val="single" w:sz="8" w:space="0" w:color="auto"/>
            </w:tcBorders>
            <w:shd w:val="clear" w:color="auto" w:fill="95B3D7"/>
            <w:noWrap/>
            <w:vAlign w:val="center"/>
            <w:hideMark/>
          </w:tcPr>
          <w:p w14:paraId="500828A4" w14:textId="77777777" w:rsidR="00DA7276" w:rsidRPr="005A3FE8" w:rsidRDefault="00DA7276" w:rsidP="008F6530">
            <w:pPr>
              <w:jc w:val="center"/>
              <w:rPr>
                <w:rFonts w:ascii="Arial" w:eastAsia="Times New Roman" w:hAnsi="Arial" w:cs="Arial"/>
                <w:b/>
                <w:bCs/>
                <w:color w:val="000000"/>
                <w:sz w:val="18"/>
                <w:szCs w:val="18"/>
                <w:lang w:val="es-CO" w:eastAsia="es-CO"/>
              </w:rPr>
            </w:pPr>
            <w:proofErr w:type="gramStart"/>
            <w:r w:rsidRPr="005A3FE8">
              <w:rPr>
                <w:rFonts w:ascii="Arial" w:eastAsia="Times New Roman" w:hAnsi="Arial" w:cs="Arial"/>
                <w:b/>
                <w:bCs/>
                <w:color w:val="000000"/>
                <w:sz w:val="18"/>
                <w:szCs w:val="18"/>
                <w:lang w:val="es-CO" w:eastAsia="es-CO"/>
              </w:rPr>
              <w:t>TOTAL</w:t>
            </w:r>
            <w:proofErr w:type="gramEnd"/>
            <w:r w:rsidRPr="005A3FE8">
              <w:rPr>
                <w:rFonts w:ascii="Arial" w:eastAsia="Times New Roman" w:hAnsi="Arial" w:cs="Arial"/>
                <w:b/>
                <w:bCs/>
                <w:color w:val="000000"/>
                <w:sz w:val="18"/>
                <w:szCs w:val="18"/>
                <w:lang w:val="es-CO" w:eastAsia="es-CO"/>
              </w:rPr>
              <w:t xml:space="preserve"> PRESTACION DEL SERVICIO (1)</w:t>
            </w:r>
          </w:p>
        </w:tc>
        <w:tc>
          <w:tcPr>
            <w:tcW w:w="873" w:type="pct"/>
            <w:tcBorders>
              <w:top w:val="nil"/>
              <w:left w:val="nil"/>
              <w:bottom w:val="single" w:sz="8" w:space="0" w:color="auto"/>
              <w:right w:val="single" w:sz="8" w:space="0" w:color="auto"/>
            </w:tcBorders>
            <w:shd w:val="clear" w:color="auto" w:fill="95B3D7"/>
            <w:noWrap/>
            <w:vAlign w:val="center"/>
            <w:hideMark/>
          </w:tcPr>
          <w:p w14:paraId="640BE90D" w14:textId="77777777" w:rsidR="00DA7276" w:rsidRPr="005A3FE8" w:rsidRDefault="00DA7276" w:rsidP="008F6530">
            <w:pPr>
              <w:jc w:val="right"/>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168.727</w:t>
            </w:r>
          </w:p>
        </w:tc>
        <w:tc>
          <w:tcPr>
            <w:tcW w:w="776" w:type="pct"/>
            <w:tcBorders>
              <w:top w:val="nil"/>
              <w:left w:val="nil"/>
              <w:bottom w:val="single" w:sz="8" w:space="0" w:color="auto"/>
              <w:right w:val="single" w:sz="8" w:space="0" w:color="auto"/>
            </w:tcBorders>
            <w:shd w:val="clear" w:color="auto" w:fill="95B3D7"/>
            <w:noWrap/>
            <w:vAlign w:val="center"/>
            <w:hideMark/>
          </w:tcPr>
          <w:p w14:paraId="37F890E2" w14:textId="77777777" w:rsidR="00DA7276" w:rsidRPr="005A3FE8" w:rsidRDefault="005A3FE8" w:rsidP="008F6530">
            <w:pPr>
              <w:jc w:val="right"/>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1</w:t>
            </w:r>
            <w:r w:rsidRPr="005A3FE8">
              <w:rPr>
                <w:rFonts w:ascii="Arial" w:eastAsia="Times New Roman" w:hAnsi="Arial" w:cs="Arial"/>
                <w:b/>
                <w:bCs/>
                <w:color w:val="000000"/>
                <w:sz w:val="18"/>
                <w:szCs w:val="18"/>
                <w:lang w:eastAsia="es-CO"/>
              </w:rPr>
              <w:t>68.485</w:t>
            </w:r>
          </w:p>
        </w:tc>
        <w:tc>
          <w:tcPr>
            <w:tcW w:w="873" w:type="pct"/>
            <w:tcBorders>
              <w:top w:val="nil"/>
              <w:left w:val="nil"/>
              <w:bottom w:val="single" w:sz="8" w:space="0" w:color="auto"/>
              <w:right w:val="single" w:sz="8" w:space="0" w:color="auto"/>
            </w:tcBorders>
            <w:shd w:val="clear" w:color="auto" w:fill="95B3D7"/>
            <w:noWrap/>
            <w:vAlign w:val="center"/>
            <w:hideMark/>
          </w:tcPr>
          <w:p w14:paraId="55DAFCED" w14:textId="77777777" w:rsidR="00DA7276" w:rsidRPr="005A3FE8" w:rsidRDefault="005A3FE8" w:rsidP="008F6530">
            <w:pPr>
              <w:jc w:val="right"/>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2</w:t>
            </w:r>
            <w:r w:rsidRPr="005A3FE8">
              <w:rPr>
                <w:rFonts w:ascii="Arial" w:eastAsia="Times New Roman" w:hAnsi="Arial" w:cs="Arial"/>
                <w:b/>
                <w:bCs/>
                <w:color w:val="000000"/>
                <w:sz w:val="18"/>
                <w:szCs w:val="18"/>
                <w:lang w:eastAsia="es-CO"/>
              </w:rPr>
              <w:t>42</w:t>
            </w:r>
          </w:p>
        </w:tc>
      </w:tr>
      <w:tr w:rsidR="00DA7276" w:rsidRPr="005A3FE8" w14:paraId="189C1636" w14:textId="77777777" w:rsidTr="00FA21F2">
        <w:trPr>
          <w:trHeight w:val="20"/>
        </w:trPr>
        <w:tc>
          <w:tcPr>
            <w:tcW w:w="4127" w:type="pct"/>
            <w:gridSpan w:val="3"/>
            <w:tcBorders>
              <w:top w:val="single" w:sz="8" w:space="0" w:color="auto"/>
              <w:left w:val="single" w:sz="8" w:space="0" w:color="auto"/>
              <w:bottom w:val="single" w:sz="8" w:space="0" w:color="auto"/>
              <w:right w:val="single" w:sz="8" w:space="0" w:color="000000"/>
            </w:tcBorders>
            <w:shd w:val="clear" w:color="auto" w:fill="95B3D7"/>
            <w:noWrap/>
            <w:vAlign w:val="center"/>
            <w:hideMark/>
          </w:tcPr>
          <w:p w14:paraId="430AE82B" w14:textId="77777777" w:rsidR="00DA7276" w:rsidRPr="005A3FE8" w:rsidRDefault="00DA7276" w:rsidP="008F6530">
            <w:pPr>
              <w:jc w:val="center"/>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SUPERAVIT TESORERÍA PRESTACIÓN DEL SERVICIO (2)</w:t>
            </w:r>
          </w:p>
        </w:tc>
        <w:tc>
          <w:tcPr>
            <w:tcW w:w="873" w:type="pct"/>
            <w:tcBorders>
              <w:top w:val="nil"/>
              <w:left w:val="nil"/>
              <w:bottom w:val="single" w:sz="8" w:space="0" w:color="auto"/>
              <w:right w:val="single" w:sz="8" w:space="0" w:color="auto"/>
            </w:tcBorders>
            <w:shd w:val="clear" w:color="auto" w:fill="95B3D7"/>
            <w:noWrap/>
            <w:vAlign w:val="center"/>
            <w:hideMark/>
          </w:tcPr>
          <w:p w14:paraId="14799D81" w14:textId="77777777" w:rsidR="00DA7276" w:rsidRPr="005A3FE8" w:rsidRDefault="00DA7276" w:rsidP="008F6530">
            <w:pPr>
              <w:jc w:val="right"/>
              <w:rPr>
                <w:rFonts w:ascii="Arial" w:eastAsia="Times New Roman" w:hAnsi="Arial" w:cs="Arial"/>
                <w:b/>
                <w:bCs/>
                <w:sz w:val="18"/>
                <w:szCs w:val="18"/>
                <w:lang w:val="es-CO" w:eastAsia="es-CO"/>
              </w:rPr>
            </w:pPr>
            <w:r w:rsidRPr="005A3FE8">
              <w:rPr>
                <w:rFonts w:ascii="Arial" w:eastAsia="Times New Roman" w:hAnsi="Arial" w:cs="Arial"/>
                <w:b/>
                <w:bCs/>
                <w:sz w:val="18"/>
                <w:szCs w:val="18"/>
                <w:lang w:val="es-CO" w:eastAsia="es-CO"/>
              </w:rPr>
              <w:t>354</w:t>
            </w:r>
          </w:p>
        </w:tc>
      </w:tr>
      <w:tr w:rsidR="00DA7276" w:rsidRPr="005A3FE8" w14:paraId="73DAE77A" w14:textId="77777777" w:rsidTr="005A3FE8">
        <w:trPr>
          <w:trHeight w:val="20"/>
        </w:trPr>
        <w:tc>
          <w:tcPr>
            <w:tcW w:w="4127" w:type="pct"/>
            <w:gridSpan w:val="3"/>
            <w:tcBorders>
              <w:top w:val="single" w:sz="8" w:space="0" w:color="auto"/>
              <w:left w:val="single" w:sz="8" w:space="0" w:color="auto"/>
              <w:bottom w:val="single" w:sz="8" w:space="0" w:color="auto"/>
              <w:right w:val="single" w:sz="8" w:space="0" w:color="000000"/>
            </w:tcBorders>
            <w:shd w:val="clear" w:color="auto" w:fill="95B3D7"/>
            <w:noWrap/>
            <w:vAlign w:val="center"/>
            <w:hideMark/>
          </w:tcPr>
          <w:p w14:paraId="370CDFDF" w14:textId="77777777" w:rsidR="00DA7276" w:rsidRPr="005A3FE8" w:rsidRDefault="00DA7276" w:rsidP="008F6530">
            <w:pPr>
              <w:jc w:val="center"/>
              <w:rPr>
                <w:rFonts w:ascii="Arial" w:eastAsia="Times New Roman" w:hAnsi="Arial" w:cs="Arial"/>
                <w:b/>
                <w:bCs/>
                <w:color w:val="000000"/>
                <w:sz w:val="18"/>
                <w:szCs w:val="18"/>
                <w:lang w:val="es-CO" w:eastAsia="es-CO"/>
              </w:rPr>
            </w:pPr>
            <w:r w:rsidRPr="005A3FE8">
              <w:rPr>
                <w:rFonts w:ascii="Arial" w:eastAsia="Times New Roman" w:hAnsi="Arial" w:cs="Arial"/>
                <w:b/>
                <w:bCs/>
                <w:color w:val="000000"/>
                <w:sz w:val="18"/>
                <w:szCs w:val="18"/>
                <w:lang w:val="es-CO" w:eastAsia="es-CO"/>
              </w:rPr>
              <w:t>DIFERENCIA (1-2)</w:t>
            </w:r>
          </w:p>
        </w:tc>
        <w:tc>
          <w:tcPr>
            <w:tcW w:w="873" w:type="pct"/>
            <w:tcBorders>
              <w:top w:val="nil"/>
              <w:left w:val="nil"/>
              <w:bottom w:val="single" w:sz="8" w:space="0" w:color="auto"/>
              <w:right w:val="single" w:sz="8" w:space="0" w:color="auto"/>
            </w:tcBorders>
            <w:shd w:val="clear" w:color="auto" w:fill="95B3D7"/>
            <w:noWrap/>
            <w:vAlign w:val="center"/>
          </w:tcPr>
          <w:p w14:paraId="03F54814" w14:textId="77777777" w:rsidR="00DA7276" w:rsidRPr="005A3FE8" w:rsidRDefault="005A3FE8" w:rsidP="008F6530">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112</w:t>
            </w:r>
          </w:p>
        </w:tc>
      </w:tr>
    </w:tbl>
    <w:p w14:paraId="2FEF26B6" w14:textId="77777777" w:rsidR="00DA7276" w:rsidRDefault="00DA7276" w:rsidP="008F6530">
      <w:pPr>
        <w:ind w:right="117"/>
        <w:jc w:val="center"/>
        <w:rPr>
          <w:rFonts w:ascii="Arial" w:eastAsia="Arial" w:hAnsi="Arial" w:cs="Arial"/>
          <w:sz w:val="16"/>
          <w:szCs w:val="22"/>
          <w:lang w:val="es-CO" w:eastAsia="en-US"/>
        </w:rPr>
      </w:pPr>
      <w:r>
        <w:rPr>
          <w:rFonts w:ascii="Arial" w:hAnsi="Arial" w:cs="Arial"/>
          <w:sz w:val="16"/>
          <w:lang w:val="es-CO"/>
        </w:rPr>
        <w:t>Fuente: Cálculos DAF reporte de Ingresos y Gastos de la Entidad en CUIPO y Cierre de tesorería enviado por la Entidad Territorial vigencia 2022.</w:t>
      </w:r>
    </w:p>
    <w:p w14:paraId="04ACE378" w14:textId="77777777" w:rsidR="00DA7276" w:rsidRDefault="00DA7276" w:rsidP="008F6530">
      <w:pPr>
        <w:pStyle w:val="Textoindependiente"/>
        <w:jc w:val="both"/>
        <w:rPr>
          <w:lang w:val="es-CO"/>
        </w:rPr>
      </w:pPr>
    </w:p>
    <w:p w14:paraId="779F33C7" w14:textId="77777777" w:rsidR="00DA7276" w:rsidRDefault="00DA7276" w:rsidP="008F6530">
      <w:pPr>
        <w:pStyle w:val="Textoindependiente"/>
        <w:jc w:val="both"/>
        <w:rPr>
          <w:lang w:val="es-CO"/>
        </w:rPr>
      </w:pPr>
      <w:r>
        <w:rPr>
          <w:lang w:val="es-CO"/>
        </w:rPr>
        <w:t>Lo anterior, se presenta debido a que el Departamento no diligenció completamente la columna de fuentes de financiación para todos los objetos de gasto</w:t>
      </w:r>
      <w:r w:rsidR="009B5813">
        <w:rPr>
          <w:lang w:val="es-CO"/>
        </w:rPr>
        <w:t xml:space="preserve"> en el reporte CUIPO</w:t>
      </w:r>
      <w:r>
        <w:rPr>
          <w:lang w:val="es-CO"/>
        </w:rPr>
        <w:t xml:space="preserve">, esto se puede evidenciar tanto para la fuente CSF como SSF, las cuales arrojaron altos valores de superávit. </w:t>
      </w:r>
    </w:p>
    <w:p w14:paraId="31925A8C" w14:textId="77777777" w:rsidR="00DA7276" w:rsidRDefault="00DA7276" w:rsidP="008F6530">
      <w:pPr>
        <w:pStyle w:val="Textoindependiente"/>
        <w:jc w:val="both"/>
        <w:rPr>
          <w:lang w:val="es-CO"/>
        </w:rPr>
      </w:pPr>
    </w:p>
    <w:p w14:paraId="56A86D12" w14:textId="77777777" w:rsidR="00DA7276" w:rsidRDefault="00DA7276" w:rsidP="008F6530">
      <w:pPr>
        <w:pStyle w:val="Textoindependiente"/>
        <w:jc w:val="both"/>
        <w:rPr>
          <w:lang w:val="es-CO"/>
        </w:rPr>
      </w:pPr>
      <w:r>
        <w:rPr>
          <w:lang w:val="es-CO"/>
        </w:rPr>
        <w:t xml:space="preserve">Adicionalmente, se observan inconsistencias en las subcuentas de superávit de vigencias anteriores, lo cual refleja errores en el reporte de la información. </w:t>
      </w:r>
      <w:r w:rsidR="009B5813">
        <w:rPr>
          <w:lang w:val="es-CO"/>
        </w:rPr>
        <w:t>Por ejemplo, no se registró en CU</w:t>
      </w:r>
      <w:r w:rsidR="005E0FD6">
        <w:rPr>
          <w:lang w:val="es-CO"/>
        </w:rPr>
        <w:t>I</w:t>
      </w:r>
      <w:r w:rsidR="009B5813">
        <w:rPr>
          <w:lang w:val="es-CO"/>
        </w:rPr>
        <w:t xml:space="preserve">PO el recaudo de $88 millones de “reintegros SGP CXP” ni $23 millones por concepto de reintegros, lo que explica la diferencia de $112 millones entre el ejercicio presupuestal y el cierre de tesorería. </w:t>
      </w:r>
      <w:r>
        <w:rPr>
          <w:lang w:val="es-CO"/>
        </w:rPr>
        <w:t xml:space="preserve">Es de resaltar que los $354 millones de superávit reportados en el cierre fiscal de tesorería, fueron recaudados en su totalidad en la vigencia 2023. </w:t>
      </w:r>
    </w:p>
    <w:p w14:paraId="166D3EEE" w14:textId="77777777" w:rsidR="00DA7276" w:rsidRDefault="00DA7276" w:rsidP="008F6530">
      <w:pPr>
        <w:pStyle w:val="Textoindependiente"/>
        <w:jc w:val="both"/>
        <w:rPr>
          <w:lang w:val="es-CO"/>
        </w:rPr>
      </w:pPr>
    </w:p>
    <w:p w14:paraId="7813FFCF" w14:textId="77777777" w:rsidR="00DA7276" w:rsidRDefault="00DA7276" w:rsidP="008F6530">
      <w:pPr>
        <w:pStyle w:val="Textoindependiente"/>
        <w:jc w:val="both"/>
        <w:rPr>
          <w:lang w:val="es-CO"/>
        </w:rPr>
      </w:pPr>
      <w:r>
        <w:rPr>
          <w:lang w:val="es-CO"/>
        </w:rPr>
        <w:t xml:space="preserve">Finalmente, el valor reportado en el FUT $238 millones, coincide con el cierre de tesorería allegado, la diferencia frente a los $354 millones (del cuadro) y los $238 millones: $116 millones corresponde al valor de los embargos vigentes en el Departamento, así: </w:t>
      </w:r>
    </w:p>
    <w:p w14:paraId="32498FC0" w14:textId="77777777" w:rsidR="00DA7276" w:rsidRDefault="00DA7276" w:rsidP="008F6530">
      <w:pPr>
        <w:pStyle w:val="Textoindependiente"/>
        <w:jc w:val="center"/>
        <w:rPr>
          <w:sz w:val="18"/>
          <w:lang w:val="es-CO"/>
        </w:rPr>
      </w:pPr>
      <w:r>
        <w:rPr>
          <w:noProof/>
          <w:lang w:val="es-CO" w:eastAsia="es-CO"/>
        </w:rPr>
        <w:lastRenderedPageBreak/>
        <w:drawing>
          <wp:inline distT="0" distB="0" distL="0" distR="0" wp14:anchorId="44F225A6" wp14:editId="189B1950">
            <wp:extent cx="5610225" cy="58483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5848350"/>
                    </a:xfrm>
                    <a:prstGeom prst="rect">
                      <a:avLst/>
                    </a:prstGeom>
                    <a:noFill/>
                    <a:ln>
                      <a:noFill/>
                    </a:ln>
                  </pic:spPr>
                </pic:pic>
              </a:graphicData>
            </a:graphic>
          </wp:inline>
        </w:drawing>
      </w:r>
    </w:p>
    <w:p w14:paraId="4B1C93CA" w14:textId="77777777" w:rsidR="00DA7276" w:rsidRDefault="00DA7276" w:rsidP="008F6530">
      <w:pPr>
        <w:pStyle w:val="Textoindependiente"/>
        <w:jc w:val="center"/>
        <w:rPr>
          <w:sz w:val="18"/>
          <w:lang w:val="es-CO"/>
        </w:rPr>
      </w:pPr>
      <w:r>
        <w:rPr>
          <w:sz w:val="18"/>
          <w:lang w:val="es-CO"/>
        </w:rPr>
        <w:t xml:space="preserve">Fuente: cierre de tesorería vigencia 2022 enviado por la Entidad Territorial. </w:t>
      </w:r>
    </w:p>
    <w:p w14:paraId="225E7A76" w14:textId="77777777" w:rsidR="00DA7276" w:rsidRDefault="00DA7276" w:rsidP="008F6530">
      <w:pPr>
        <w:pStyle w:val="Textoindependiente"/>
        <w:jc w:val="center"/>
        <w:rPr>
          <w:sz w:val="18"/>
          <w:lang w:val="es-CO"/>
        </w:rPr>
      </w:pPr>
    </w:p>
    <w:p w14:paraId="1D8CBEAF" w14:textId="77777777" w:rsidR="00DA7276" w:rsidRDefault="00DA7276" w:rsidP="008F6530">
      <w:pPr>
        <w:pStyle w:val="Ttulo1"/>
        <w:numPr>
          <w:ilvl w:val="0"/>
          <w:numId w:val="8"/>
        </w:numPr>
      </w:pPr>
      <w:r>
        <w:rPr>
          <w:lang w:val="es-CO"/>
        </w:rPr>
        <w:t>Resultados de evaluación de la medida</w:t>
      </w:r>
    </w:p>
    <w:p w14:paraId="3B7C13CB" w14:textId="77777777" w:rsidR="00DA7276" w:rsidRDefault="00DA7276" w:rsidP="008F6530">
      <w:pPr>
        <w:pStyle w:val="Textoindependiente"/>
        <w:jc w:val="both"/>
      </w:pPr>
    </w:p>
    <w:p w14:paraId="221032E2" w14:textId="77777777" w:rsidR="00DA7276" w:rsidRDefault="00DA7276" w:rsidP="008F6530">
      <w:pPr>
        <w:pStyle w:val="Textoindependiente"/>
        <w:ind w:right="193"/>
        <w:jc w:val="both"/>
        <w:rPr>
          <w:strike/>
        </w:rPr>
      </w:pPr>
      <w:r>
        <w:t>En ejercicio de las funciones de coordinación de la Estrategia de Monitoreo, Seguimiento y Control al uso de los recursos del Sistema General de Participaciones, la Dirección General de Apoyo Fiscal presenta un análisis del cumplimiento de las actividades pendientes por cumplir para el levantamiento de la medida preventiva, de acuerdo con los establecido en la Resolución No.</w:t>
      </w:r>
      <w:r>
        <w:rPr>
          <w:lang w:val="es-CO"/>
        </w:rPr>
        <w:t>1287 del 20 de mayo de 2022.</w:t>
      </w:r>
    </w:p>
    <w:p w14:paraId="627CBD4D" w14:textId="77777777" w:rsidR="00DA7276" w:rsidRDefault="00DA7276" w:rsidP="008F6530">
      <w:pPr>
        <w:pStyle w:val="Textoindependiente"/>
        <w:jc w:val="both"/>
      </w:pPr>
    </w:p>
    <w:p w14:paraId="66770B76"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szCs w:val="22"/>
        </w:rPr>
        <w:lastRenderedPageBreak/>
        <w:t>Categoría 1. Financiera y fiscal.</w:t>
      </w:r>
    </w:p>
    <w:p w14:paraId="7FFF9B8F" w14:textId="77777777" w:rsidR="00DA7276" w:rsidRDefault="00DA7276" w:rsidP="008F6530">
      <w:pPr>
        <w:jc w:val="both"/>
        <w:rPr>
          <w:rFonts w:ascii="Arial" w:eastAsia="Arial" w:hAnsi="Arial" w:cs="Arial"/>
          <w:sz w:val="22"/>
          <w:szCs w:val="22"/>
          <w:lang w:eastAsia="en-US"/>
        </w:rPr>
      </w:pPr>
    </w:p>
    <w:p w14:paraId="0BFFBA28"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szCs w:val="22"/>
        </w:rPr>
        <w:t xml:space="preserve">Objetivo 1.1. Garantizar la consistencia en la información financiera asociada al sector educación en la Entidad Territorial y mantener actualizados los reportes de información financiera del sector educación en el </w:t>
      </w:r>
      <w:bookmarkStart w:id="2" w:name="_Int_kbS3n3SY"/>
      <w:r>
        <w:rPr>
          <w:rFonts w:ascii="Arial" w:eastAsia="Arial" w:hAnsi="Arial" w:cs="Arial"/>
          <w:b/>
          <w:color w:val="auto"/>
          <w:sz w:val="22"/>
          <w:szCs w:val="22"/>
        </w:rPr>
        <w:t>FUT</w:t>
      </w:r>
      <w:bookmarkEnd w:id="2"/>
      <w:r>
        <w:rPr>
          <w:rFonts w:ascii="Arial" w:eastAsia="Arial" w:hAnsi="Arial" w:cs="Arial"/>
          <w:b/>
          <w:color w:val="auto"/>
          <w:sz w:val="22"/>
          <w:szCs w:val="22"/>
        </w:rPr>
        <w:t>.</w:t>
      </w:r>
    </w:p>
    <w:p w14:paraId="6C955816" w14:textId="77777777" w:rsidR="00DA7276" w:rsidRDefault="00DA7276" w:rsidP="008F6530">
      <w:pPr>
        <w:ind w:left="709"/>
        <w:jc w:val="both"/>
        <w:rPr>
          <w:rFonts w:ascii="Arial" w:eastAsia="Arial" w:hAnsi="Arial" w:cs="Arial"/>
          <w:sz w:val="22"/>
          <w:szCs w:val="22"/>
          <w:lang w:eastAsia="en-US"/>
        </w:rPr>
      </w:pPr>
    </w:p>
    <w:p w14:paraId="38612FBD" w14:textId="77777777" w:rsidR="00DA7276" w:rsidRPr="00D64160" w:rsidRDefault="00DA7276" w:rsidP="008F6530">
      <w:pPr>
        <w:pStyle w:val="Ttulo3"/>
        <w:spacing w:before="0"/>
        <w:jc w:val="both"/>
        <w:rPr>
          <w:rFonts w:ascii="Arial" w:eastAsia="Arial" w:hAnsi="Arial" w:cs="Arial"/>
          <w:b/>
          <w:bCs/>
          <w:i/>
          <w:color w:val="auto"/>
          <w:sz w:val="22"/>
          <w:szCs w:val="22"/>
        </w:rPr>
      </w:pPr>
      <w:r w:rsidRPr="00D64160">
        <w:rPr>
          <w:rFonts w:ascii="Arial" w:eastAsia="Arial" w:hAnsi="Arial" w:cs="Arial"/>
          <w:b/>
          <w:bCs/>
          <w:i/>
          <w:color w:val="auto"/>
          <w:sz w:val="22"/>
        </w:rPr>
        <w:t>Actividad 1.1.1. 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con criterios de consistencia, calidad, oportunidad, formalidad y suficiencia</w:t>
      </w:r>
      <w:r w:rsidRPr="00D64160">
        <w:rPr>
          <w:rFonts w:ascii="Arial" w:eastAsia="Arial" w:hAnsi="Arial" w:cs="Arial"/>
          <w:b/>
          <w:bCs/>
          <w:i/>
          <w:color w:val="auto"/>
          <w:sz w:val="22"/>
          <w:szCs w:val="22"/>
        </w:rPr>
        <w:t>.</w:t>
      </w:r>
    </w:p>
    <w:p w14:paraId="0371474C" w14:textId="77777777" w:rsidR="00DA7276" w:rsidRDefault="00DA7276" w:rsidP="008F6530">
      <w:pPr>
        <w:jc w:val="both"/>
        <w:rPr>
          <w:rFonts w:ascii="Arial" w:eastAsia="Arial" w:hAnsi="Arial" w:cs="Arial"/>
          <w:sz w:val="22"/>
          <w:szCs w:val="22"/>
          <w:lang w:eastAsia="en-US"/>
        </w:rPr>
      </w:pPr>
    </w:p>
    <w:p w14:paraId="2BC8D5B9" w14:textId="77777777" w:rsidR="00DA7276" w:rsidRDefault="00DA7276" w:rsidP="008F6530">
      <w:pPr>
        <w:pStyle w:val="Ttulo4"/>
        <w:spacing w:before="0"/>
        <w:jc w:val="both"/>
      </w:pPr>
      <w:r>
        <w:rPr>
          <w:rFonts w:ascii="Arial" w:eastAsia="Arial" w:hAnsi="Arial" w:cs="Arial"/>
          <w:i w:val="0"/>
          <w:iCs w:val="0"/>
          <w:color w:val="auto"/>
          <w:sz w:val="22"/>
          <w:szCs w:val="22"/>
          <w:u w:val="single"/>
          <w:lang w:eastAsia="en-US"/>
        </w:rPr>
        <w:t>Productos esperados</w:t>
      </w:r>
    </w:p>
    <w:p w14:paraId="52BBED01" w14:textId="77777777" w:rsidR="00DA7276" w:rsidRDefault="00DA7276" w:rsidP="008F6530">
      <w:pPr>
        <w:pStyle w:val="Textoindependiente"/>
        <w:numPr>
          <w:ilvl w:val="0"/>
          <w:numId w:val="11"/>
        </w:numPr>
        <w:ind w:left="426" w:hanging="426"/>
        <w:jc w:val="both"/>
      </w:pPr>
      <w:r>
        <w:t xml:space="preserve">Acto administrativo que crea el Comité de Seguimiento Financiero de la Entidad Territorial, con el procedimiento y reglamentario que operativice, articule y unifique los procesos financieros y de reporte de la Entidad, liderado por los dos secretarios de Despacho (Se entrega en la primera evaluación). </w:t>
      </w:r>
    </w:p>
    <w:p w14:paraId="0E800E31" w14:textId="77777777" w:rsidR="00DA7276" w:rsidRDefault="00DA7276" w:rsidP="008F6530">
      <w:pPr>
        <w:pStyle w:val="Textoindependiente"/>
        <w:numPr>
          <w:ilvl w:val="0"/>
          <w:numId w:val="11"/>
        </w:numPr>
        <w:ind w:left="426" w:hanging="426"/>
        <w:jc w:val="both"/>
      </w:pPr>
      <w:r>
        <w:t xml:space="preserve">Actas de las reuniones trimestrales. </w:t>
      </w:r>
    </w:p>
    <w:p w14:paraId="61AD2492" w14:textId="77777777" w:rsidR="00DA7276" w:rsidRDefault="00DA7276" w:rsidP="008F6530">
      <w:pPr>
        <w:pStyle w:val="Textoindependiente"/>
        <w:numPr>
          <w:ilvl w:val="0"/>
          <w:numId w:val="11"/>
        </w:numPr>
        <w:ind w:left="426" w:hanging="426"/>
        <w:jc w:val="both"/>
      </w:pPr>
      <w:r>
        <w:t>Información financiera del sector reportada en el Formato Único Territorial FUT con criterios de oportunidad, formalidad y suficiencia.</w:t>
      </w:r>
    </w:p>
    <w:p w14:paraId="4A60ECC6" w14:textId="77777777" w:rsidR="00DA7276" w:rsidRDefault="00DA7276" w:rsidP="008F6530">
      <w:pPr>
        <w:pStyle w:val="Textoindependiente"/>
        <w:numPr>
          <w:ilvl w:val="0"/>
          <w:numId w:val="11"/>
        </w:numPr>
        <w:ind w:left="426" w:hanging="426"/>
        <w:jc w:val="both"/>
      </w:pPr>
      <w:r>
        <w:t>Ejecuciones presupuestales de ingresos y gastos presupuestal desagregadas por concepto y fuente de financiación que guarden coherencia con el catálogo de cuentas establecido en el FUT.</w:t>
      </w:r>
    </w:p>
    <w:p w14:paraId="03684BD0" w14:textId="77777777" w:rsidR="00DA7276" w:rsidRDefault="00DA7276" w:rsidP="008F6530">
      <w:pPr>
        <w:pStyle w:val="Textoindependiente"/>
        <w:numPr>
          <w:ilvl w:val="0"/>
          <w:numId w:val="11"/>
        </w:numPr>
        <w:ind w:left="426" w:hanging="426"/>
        <w:jc w:val="both"/>
      </w:pPr>
      <w:r>
        <w:t>Actos administrativos de incorporación de recursos, constitución de reservas y cuentas por pagar.</w:t>
      </w:r>
    </w:p>
    <w:p w14:paraId="533122E8" w14:textId="77777777" w:rsidR="00DA7276" w:rsidRDefault="00DA7276" w:rsidP="008F6530">
      <w:pPr>
        <w:pStyle w:val="Textoindependiente"/>
        <w:numPr>
          <w:ilvl w:val="0"/>
          <w:numId w:val="11"/>
        </w:numPr>
        <w:ind w:left="426" w:hanging="426"/>
        <w:jc w:val="both"/>
      </w:pPr>
      <w:r>
        <w:t xml:space="preserve">Cierre de tesorería de cada vigencia y las conciliaciones bancarias que lo soporten, con copia de los extractos bancarios de las cuentas en las cuales se administran los recursos del </w:t>
      </w:r>
      <w:bookmarkStart w:id="3" w:name="_Int_IP5ntJ9g"/>
      <w:r>
        <w:t>SGP</w:t>
      </w:r>
      <w:bookmarkEnd w:id="3"/>
      <w:r>
        <w:t>.</w:t>
      </w:r>
    </w:p>
    <w:p w14:paraId="1F150EE7" w14:textId="77777777" w:rsidR="00DA7276" w:rsidRDefault="00DA7276" w:rsidP="008F6530">
      <w:pPr>
        <w:pStyle w:val="Textoindependiente"/>
        <w:numPr>
          <w:ilvl w:val="0"/>
          <w:numId w:val="11"/>
        </w:numPr>
        <w:ind w:left="426" w:hanging="426"/>
        <w:jc w:val="both"/>
      </w:pPr>
      <w:r>
        <w:t>Reporte comparativo de la ejecución presupuestal- FUT en cuanto a cada uno de sus rubros.</w:t>
      </w:r>
    </w:p>
    <w:p w14:paraId="05E9679F" w14:textId="77777777" w:rsidR="00DA7276" w:rsidRDefault="00DA7276" w:rsidP="008F6530">
      <w:pPr>
        <w:pStyle w:val="Textoindependiente"/>
        <w:jc w:val="both"/>
      </w:pPr>
    </w:p>
    <w:p w14:paraId="6638FEF9" w14:textId="77777777" w:rsidR="00DA7276" w:rsidRDefault="00DA7276" w:rsidP="008F6530">
      <w:pPr>
        <w:pStyle w:val="Ttulo4"/>
        <w:spacing w:before="0"/>
        <w:jc w:val="both"/>
        <w:rPr>
          <w:rFonts w:ascii="Arial" w:eastAsia="Arial" w:hAnsi="Arial" w:cs="Arial"/>
          <w:i w:val="0"/>
          <w:iCs w:val="0"/>
          <w:color w:val="auto"/>
          <w:sz w:val="22"/>
          <w:u w:val="single"/>
          <w:lang w:eastAsia="en-US"/>
        </w:rPr>
      </w:pPr>
      <w:r>
        <w:rPr>
          <w:rFonts w:ascii="Arial" w:eastAsia="Arial" w:hAnsi="Arial" w:cs="Arial"/>
          <w:i w:val="0"/>
          <w:iCs w:val="0"/>
          <w:color w:val="auto"/>
          <w:sz w:val="22"/>
          <w:u w:val="single"/>
          <w:lang w:eastAsia="en-US"/>
        </w:rPr>
        <w:t xml:space="preserve">Evaluación </w:t>
      </w:r>
    </w:p>
    <w:p w14:paraId="339A89D9" w14:textId="77777777" w:rsidR="00DA7276" w:rsidRDefault="00DA7276" w:rsidP="008F6530">
      <w:pPr>
        <w:jc w:val="both"/>
        <w:rPr>
          <w:rFonts w:ascii="Arial" w:eastAsia="Arial" w:hAnsi="Arial" w:cs="Arial"/>
          <w:color w:val="0070C0"/>
          <w:sz w:val="22"/>
          <w:szCs w:val="22"/>
          <w:lang w:eastAsia="en-US"/>
        </w:rPr>
      </w:pPr>
    </w:p>
    <w:p w14:paraId="4AA7192E"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 xml:space="preserve">Como se evidenció en el acápite de análisis financiero del presente documento, la Entidad Territorial presenta inconsistencias en el reporte de la información presupuestal en CUIPO, esto debido a que las columnas de detalle sectorial y fuentes de </w:t>
      </w:r>
      <w:r w:rsidR="00FA21F2">
        <w:rPr>
          <w:rFonts w:ascii="Arial" w:eastAsia="Arial" w:hAnsi="Arial" w:cs="Arial"/>
          <w:sz w:val="22"/>
          <w:szCs w:val="22"/>
          <w:lang w:eastAsia="en-US"/>
        </w:rPr>
        <w:t>financiación</w:t>
      </w:r>
      <w:r>
        <w:rPr>
          <w:rFonts w:ascii="Arial" w:eastAsia="Arial" w:hAnsi="Arial" w:cs="Arial"/>
          <w:sz w:val="22"/>
          <w:szCs w:val="22"/>
          <w:lang w:eastAsia="en-US"/>
        </w:rPr>
        <w:t xml:space="preserve"> aún no son diligenciadas en su totalidad, generando discrepancias frente a la ejecución. </w:t>
      </w:r>
    </w:p>
    <w:p w14:paraId="077DE144" w14:textId="77777777" w:rsidR="00DA7276" w:rsidRDefault="00DA7276" w:rsidP="008F6530">
      <w:pPr>
        <w:jc w:val="both"/>
        <w:rPr>
          <w:rFonts w:ascii="Arial" w:eastAsia="Arial" w:hAnsi="Arial" w:cs="Arial"/>
          <w:sz w:val="22"/>
          <w:szCs w:val="22"/>
          <w:lang w:eastAsia="en-US"/>
        </w:rPr>
      </w:pPr>
    </w:p>
    <w:p w14:paraId="0337A23B"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Pes</w:t>
      </w:r>
      <w:r w:rsidR="00FA21F2">
        <w:rPr>
          <w:rFonts w:ascii="Arial" w:eastAsia="Arial" w:hAnsi="Arial" w:cs="Arial"/>
          <w:sz w:val="22"/>
          <w:szCs w:val="22"/>
          <w:lang w:eastAsia="en-US"/>
        </w:rPr>
        <w:t>e</w:t>
      </w:r>
      <w:r>
        <w:rPr>
          <w:rFonts w:ascii="Arial" w:eastAsia="Arial" w:hAnsi="Arial" w:cs="Arial"/>
          <w:sz w:val="22"/>
          <w:szCs w:val="22"/>
          <w:lang w:eastAsia="en-US"/>
        </w:rPr>
        <w:t xml:space="preserve"> a que el reporte realizado a marzo del 2023 evidencia mejor detalle en su diligenciamiento, especialmente en la columna de detalle sectorial, la Entidad Territorial no clasifica los objetos de gasto relacionados con la secretar</w:t>
      </w:r>
      <w:r w:rsidR="00FA21F2">
        <w:rPr>
          <w:rFonts w:ascii="Arial" w:eastAsia="Arial" w:hAnsi="Arial" w:cs="Arial"/>
          <w:sz w:val="22"/>
          <w:szCs w:val="22"/>
          <w:lang w:eastAsia="en-US"/>
        </w:rPr>
        <w:t>í</w:t>
      </w:r>
      <w:r>
        <w:rPr>
          <w:rFonts w:ascii="Arial" w:eastAsia="Arial" w:hAnsi="Arial" w:cs="Arial"/>
          <w:sz w:val="22"/>
          <w:szCs w:val="22"/>
          <w:lang w:eastAsia="en-US"/>
        </w:rPr>
        <w:t xml:space="preserve">a de educación por lo cual no se observan registros en gastos de funcionamiento financiados con el SGP-educación y todo fue clasificado como inversión, hallazgo que debe ser corregido en el siguiente reporte. </w:t>
      </w:r>
    </w:p>
    <w:p w14:paraId="08577193" w14:textId="77777777" w:rsidR="00DA7276" w:rsidRDefault="00DA7276" w:rsidP="008F6530">
      <w:pPr>
        <w:jc w:val="both"/>
        <w:rPr>
          <w:rFonts w:ascii="Arial" w:eastAsia="Arial" w:hAnsi="Arial" w:cs="Arial"/>
          <w:sz w:val="22"/>
          <w:szCs w:val="22"/>
          <w:lang w:eastAsia="en-US"/>
        </w:rPr>
      </w:pPr>
    </w:p>
    <w:p w14:paraId="1DACDA77"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 xml:space="preserve">Es de vital importancia que el reporte represente fielmente lo registrado en la ejecución presupuestal, para esto la administración departamental debe guardar especial cuidado en el diligenciamiento de las columnas disponibles en CUIPO –detalle sectorial, CPC, fuentes </w:t>
      </w:r>
      <w:r>
        <w:rPr>
          <w:rFonts w:ascii="Arial" w:eastAsia="Arial" w:hAnsi="Arial" w:cs="Arial"/>
          <w:sz w:val="22"/>
          <w:szCs w:val="22"/>
          <w:lang w:eastAsia="en-US"/>
        </w:rPr>
        <w:lastRenderedPageBreak/>
        <w:t xml:space="preserve">de financiación, entre otros- de manera que se pueda llevar a cabo un cruce directo entre lo reportado y los datos presupuestales sin que existan diferencias en la información. </w:t>
      </w:r>
    </w:p>
    <w:p w14:paraId="0B45CB56" w14:textId="77777777" w:rsidR="00DA7276" w:rsidRDefault="00DA7276" w:rsidP="008F6530">
      <w:pPr>
        <w:jc w:val="both"/>
        <w:rPr>
          <w:rFonts w:ascii="Arial" w:eastAsia="Arial" w:hAnsi="Arial" w:cs="Arial"/>
          <w:sz w:val="22"/>
          <w:szCs w:val="22"/>
          <w:lang w:eastAsia="en-US"/>
        </w:rPr>
      </w:pPr>
    </w:p>
    <w:p w14:paraId="0F964ABF" w14:textId="77777777" w:rsidR="00DA7276" w:rsidRDefault="00DA7276" w:rsidP="008F6530">
      <w:pPr>
        <w:autoSpaceDE w:val="0"/>
        <w:autoSpaceDN w:val="0"/>
        <w:adjustRightInd w:val="0"/>
        <w:jc w:val="both"/>
        <w:rPr>
          <w:rFonts w:ascii="Arial" w:eastAsia="Arial" w:hAnsi="Arial" w:cs="Arial"/>
          <w:sz w:val="22"/>
          <w:szCs w:val="22"/>
          <w:lang w:eastAsia="en-US"/>
        </w:rPr>
      </w:pPr>
      <w:r>
        <w:rPr>
          <w:rFonts w:ascii="Arial" w:eastAsia="Arial" w:hAnsi="Arial" w:cs="Arial"/>
          <w:sz w:val="22"/>
          <w:szCs w:val="22"/>
          <w:lang w:eastAsia="en-US"/>
        </w:rPr>
        <w:t>La Dirección General de Apoyo Fiscal reconoce el proceso de aprendizaje y esfuerzo realizado por el Departamento en la implementación del CCPET y su reporte en CUIPO, es consciente del tiempo necesario para llevar a cabo una adecuada transición y capacitación del personal dentro de la administración y los errores que durante el camino se pueden presentar; e</w:t>
      </w:r>
      <w:r>
        <w:rPr>
          <w:rFonts w:ascii="Arial" w:eastAsiaTheme="minorHAnsi" w:hAnsi="Arial" w:cs="Arial"/>
          <w:sz w:val="22"/>
          <w:szCs w:val="22"/>
          <w:lang w:val="es-CO" w:eastAsia="en-US"/>
        </w:rPr>
        <w:t>n este sentido, pone a disposición su experiencia y la de los Responsables Sectoriales para cumplir con dicho objetivo</w:t>
      </w:r>
      <w:r>
        <w:rPr>
          <w:rFonts w:ascii="Arial" w:eastAsia="Arial" w:hAnsi="Arial" w:cs="Arial"/>
          <w:sz w:val="22"/>
          <w:szCs w:val="22"/>
          <w:lang w:eastAsia="en-US"/>
        </w:rPr>
        <w:t xml:space="preserve">. </w:t>
      </w:r>
    </w:p>
    <w:p w14:paraId="13BE2877" w14:textId="77777777" w:rsidR="00DA7276" w:rsidRDefault="00DA7276" w:rsidP="008F6530">
      <w:pPr>
        <w:autoSpaceDE w:val="0"/>
        <w:autoSpaceDN w:val="0"/>
        <w:adjustRightInd w:val="0"/>
        <w:jc w:val="both"/>
        <w:rPr>
          <w:rFonts w:ascii="Arial" w:eastAsia="Arial" w:hAnsi="Arial" w:cs="Arial"/>
          <w:sz w:val="22"/>
          <w:szCs w:val="22"/>
          <w:lang w:eastAsia="en-US"/>
        </w:rPr>
      </w:pPr>
    </w:p>
    <w:p w14:paraId="0123195D" w14:textId="77777777" w:rsidR="00DA7276" w:rsidRDefault="00DA7276" w:rsidP="008F6530">
      <w:pPr>
        <w:autoSpaceDE w:val="0"/>
        <w:autoSpaceDN w:val="0"/>
        <w:adjustRightInd w:val="0"/>
        <w:jc w:val="both"/>
        <w:rPr>
          <w:rFonts w:ascii="Arial" w:eastAsia="Arial" w:hAnsi="Arial" w:cs="Arial"/>
          <w:sz w:val="22"/>
          <w:szCs w:val="22"/>
          <w:lang w:eastAsia="en-US"/>
        </w:rPr>
      </w:pPr>
      <w:r>
        <w:rPr>
          <w:rFonts w:ascii="Arial" w:eastAsia="Arial" w:hAnsi="Arial" w:cs="Arial"/>
          <w:sz w:val="22"/>
          <w:szCs w:val="22"/>
          <w:lang w:eastAsia="en-US"/>
        </w:rPr>
        <w:t>No obstante, dentro de la matriz de plan de desempeño se estipuló la creación del Comité de Seguimiento Financiero de la Entidad Territorial, con el procedimiento reglamentario que operativice, articule y unifique los procesos financieros y de reporte de la Entidad, liderado por los dos secretarios de Despacho, así como las actas de las reuniones trimestrales del mismo; esto con el fin de disminuir la probabilidad de error en el reporte y garantizar una coordinación oportuna entre las secretar</w:t>
      </w:r>
      <w:r w:rsidR="00FA21F2">
        <w:rPr>
          <w:rFonts w:ascii="Arial" w:eastAsia="Arial" w:hAnsi="Arial" w:cs="Arial"/>
          <w:sz w:val="22"/>
          <w:szCs w:val="22"/>
          <w:lang w:eastAsia="en-US"/>
        </w:rPr>
        <w:t>í</w:t>
      </w:r>
      <w:r>
        <w:rPr>
          <w:rFonts w:ascii="Arial" w:eastAsia="Arial" w:hAnsi="Arial" w:cs="Arial"/>
          <w:sz w:val="22"/>
          <w:szCs w:val="22"/>
          <w:lang w:eastAsia="en-US"/>
        </w:rPr>
        <w:t xml:space="preserve">as. Las reuniones del comité eran indispensables en el proceso de transición mencionado anteriormente, garantizando una comunicación directa entre las partes involucradas, antes, durante y después del reporte. </w:t>
      </w:r>
    </w:p>
    <w:p w14:paraId="3A90C27D" w14:textId="77777777" w:rsidR="00DA7276" w:rsidRDefault="00DA7276" w:rsidP="008F6530">
      <w:pPr>
        <w:autoSpaceDE w:val="0"/>
        <w:autoSpaceDN w:val="0"/>
        <w:adjustRightInd w:val="0"/>
        <w:jc w:val="both"/>
        <w:rPr>
          <w:rFonts w:ascii="Arial" w:eastAsia="Arial" w:hAnsi="Arial" w:cs="Arial"/>
          <w:sz w:val="22"/>
          <w:szCs w:val="22"/>
          <w:lang w:eastAsia="en-US"/>
        </w:rPr>
      </w:pPr>
    </w:p>
    <w:p w14:paraId="5E82125C" w14:textId="77777777" w:rsidR="00DA7276" w:rsidRDefault="00DA7276" w:rsidP="008F6530">
      <w:pPr>
        <w:autoSpaceDE w:val="0"/>
        <w:autoSpaceDN w:val="0"/>
        <w:adjustRightInd w:val="0"/>
        <w:jc w:val="both"/>
        <w:rPr>
          <w:rFonts w:ascii="Arial" w:eastAsia="Arial" w:hAnsi="Arial" w:cs="Arial"/>
          <w:sz w:val="22"/>
          <w:szCs w:val="22"/>
          <w:lang w:eastAsia="en-US"/>
        </w:rPr>
      </w:pPr>
      <w:r>
        <w:rPr>
          <w:rFonts w:ascii="Arial" w:eastAsia="Arial" w:hAnsi="Arial" w:cs="Arial"/>
          <w:sz w:val="22"/>
          <w:szCs w:val="22"/>
          <w:lang w:eastAsia="en-US"/>
        </w:rPr>
        <w:t>Al respecto, el Departamento alleg</w:t>
      </w:r>
      <w:r w:rsidR="00FA21F2">
        <w:rPr>
          <w:rFonts w:ascii="Arial" w:eastAsia="Arial" w:hAnsi="Arial" w:cs="Arial"/>
          <w:sz w:val="22"/>
          <w:szCs w:val="22"/>
          <w:lang w:eastAsia="en-US"/>
        </w:rPr>
        <w:t>ó</w:t>
      </w:r>
      <w:r>
        <w:rPr>
          <w:rFonts w:ascii="Arial" w:eastAsia="Arial" w:hAnsi="Arial" w:cs="Arial"/>
          <w:sz w:val="22"/>
          <w:szCs w:val="22"/>
          <w:lang w:eastAsia="en-US"/>
        </w:rPr>
        <w:t xml:space="preserve"> una copia del Decreto 2591 del 14 de diciembre de 2016 “</w:t>
      </w:r>
      <w:r>
        <w:rPr>
          <w:rFonts w:ascii="Arial" w:eastAsia="Arial" w:hAnsi="Arial" w:cs="Arial"/>
          <w:i/>
          <w:sz w:val="22"/>
          <w:szCs w:val="22"/>
          <w:lang w:eastAsia="en-US"/>
        </w:rPr>
        <w:t xml:space="preserve">Por medio de la cual se crea el Comité de Aseguramiento de la información Contable en el Departamento del Quindío” </w:t>
      </w:r>
      <w:r>
        <w:rPr>
          <w:rFonts w:ascii="Arial" w:eastAsia="Arial" w:hAnsi="Arial" w:cs="Arial"/>
          <w:sz w:val="22"/>
          <w:szCs w:val="22"/>
          <w:lang w:eastAsia="en-US"/>
        </w:rPr>
        <w:t xml:space="preserve">en cuyo artículo </w:t>
      </w:r>
      <w:r w:rsidR="00FA21F2">
        <w:rPr>
          <w:rFonts w:ascii="Arial" w:eastAsia="Arial" w:hAnsi="Arial" w:cs="Arial"/>
          <w:sz w:val="22"/>
          <w:szCs w:val="22"/>
          <w:lang w:eastAsia="en-US"/>
        </w:rPr>
        <w:t>N</w:t>
      </w:r>
      <w:r>
        <w:rPr>
          <w:rFonts w:ascii="Arial" w:eastAsia="Arial" w:hAnsi="Arial" w:cs="Arial"/>
          <w:sz w:val="22"/>
          <w:szCs w:val="22"/>
          <w:lang w:eastAsia="en-US"/>
        </w:rPr>
        <w:t xml:space="preserve">o. 2 estipula las funciones del mismo; sin embargo, dentro de este listado no se observa alguna función relacionada con el aseguramiento del correcto reporte de la información en los diferentes sistemas (FUT y/o CUIPO), fin último de este producto dentro del plan de desempeño. </w:t>
      </w:r>
    </w:p>
    <w:p w14:paraId="3F07320F" w14:textId="77777777" w:rsidR="00DA7276" w:rsidRDefault="00DA7276" w:rsidP="008F6530">
      <w:pPr>
        <w:autoSpaceDE w:val="0"/>
        <w:autoSpaceDN w:val="0"/>
        <w:adjustRightInd w:val="0"/>
        <w:jc w:val="both"/>
        <w:rPr>
          <w:rFonts w:ascii="Arial" w:eastAsia="Arial" w:hAnsi="Arial" w:cs="Arial"/>
          <w:sz w:val="22"/>
          <w:szCs w:val="22"/>
          <w:lang w:eastAsia="en-US"/>
        </w:rPr>
      </w:pPr>
    </w:p>
    <w:p w14:paraId="12182CBD" w14:textId="77777777" w:rsidR="00DA7276" w:rsidRDefault="00DA7276" w:rsidP="008F6530">
      <w:pPr>
        <w:autoSpaceDE w:val="0"/>
        <w:autoSpaceDN w:val="0"/>
        <w:adjustRightInd w:val="0"/>
        <w:jc w:val="both"/>
        <w:rPr>
          <w:rFonts w:ascii="Arial" w:eastAsia="Arial" w:hAnsi="Arial" w:cs="Arial"/>
          <w:sz w:val="22"/>
          <w:szCs w:val="22"/>
          <w:lang w:val="es-CO" w:eastAsia="en-US"/>
        </w:rPr>
      </w:pPr>
      <w:r>
        <w:rPr>
          <w:rFonts w:ascii="Arial" w:eastAsia="Arial" w:hAnsi="Arial" w:cs="Arial"/>
          <w:sz w:val="22"/>
          <w:szCs w:val="22"/>
          <w:lang w:eastAsia="en-US"/>
        </w:rPr>
        <w:t>Adicionalmente, las actas del comité –también allegadas por el Departamento- no muestran dentro del orden del día ni su desarrollo, ninguna actividad y/o tarea al respecto, dado que como el mismo nombre del comité lo indica, tienen relación directa con la información contable, no la presupuestal. Por lo anterior, no se observa diligencia por parte de la administración gubernamental en el cumplimiento de la actividad, pes</w:t>
      </w:r>
      <w:r w:rsidR="00FA21F2">
        <w:rPr>
          <w:rFonts w:ascii="Arial" w:eastAsia="Arial" w:hAnsi="Arial" w:cs="Arial"/>
          <w:sz w:val="22"/>
          <w:szCs w:val="22"/>
          <w:lang w:eastAsia="en-US"/>
        </w:rPr>
        <w:t>e</w:t>
      </w:r>
      <w:r>
        <w:rPr>
          <w:rFonts w:ascii="Arial" w:eastAsia="Arial" w:hAnsi="Arial" w:cs="Arial"/>
          <w:sz w:val="22"/>
          <w:szCs w:val="22"/>
          <w:lang w:eastAsia="en-US"/>
        </w:rPr>
        <w:t xml:space="preserve"> a que el proceso de implementación y adaptación al CCPET y el debido reporte en FUT y CUIPO ameritan un di</w:t>
      </w:r>
      <w:r w:rsidR="00FA21F2">
        <w:rPr>
          <w:rFonts w:ascii="Arial" w:eastAsia="Arial" w:hAnsi="Arial" w:cs="Arial"/>
          <w:sz w:val="22"/>
          <w:szCs w:val="22"/>
          <w:lang w:eastAsia="en-US"/>
        </w:rPr>
        <w:t>á</w:t>
      </w:r>
      <w:r>
        <w:rPr>
          <w:rFonts w:ascii="Arial" w:eastAsia="Arial" w:hAnsi="Arial" w:cs="Arial"/>
          <w:sz w:val="22"/>
          <w:szCs w:val="22"/>
          <w:lang w:eastAsia="en-US"/>
        </w:rPr>
        <w:t xml:space="preserve">logo constante y acertado dentro del Departamento. </w:t>
      </w:r>
    </w:p>
    <w:p w14:paraId="4479067B" w14:textId="77777777" w:rsidR="00DA7276" w:rsidRDefault="00DA7276" w:rsidP="008F6530">
      <w:pPr>
        <w:jc w:val="both"/>
        <w:rPr>
          <w:rFonts w:ascii="Arial" w:eastAsia="Arial" w:hAnsi="Arial" w:cs="Arial"/>
          <w:sz w:val="22"/>
          <w:szCs w:val="22"/>
          <w:lang w:eastAsia="en-US"/>
        </w:rPr>
      </w:pPr>
    </w:p>
    <w:p w14:paraId="71FA82E2" w14:textId="77777777" w:rsidR="00DA7276" w:rsidRDefault="00DA7276" w:rsidP="008F6530">
      <w:pPr>
        <w:pStyle w:val="Textoindependiente"/>
        <w:ind w:right="194"/>
        <w:jc w:val="both"/>
      </w:pPr>
      <w:r>
        <w:rPr>
          <w:b/>
          <w:bCs/>
        </w:rPr>
        <w:t>Evaluación de la actividad:</w:t>
      </w:r>
      <w:r>
        <w:rPr>
          <w:b/>
        </w:rPr>
        <w:t xml:space="preserve"> </w:t>
      </w:r>
      <w:r>
        <w:t>No Cumple.</w:t>
      </w:r>
    </w:p>
    <w:p w14:paraId="327C0F04" w14:textId="77777777" w:rsidR="00DA7276" w:rsidRDefault="00DA7276" w:rsidP="008F6530">
      <w:pPr>
        <w:pStyle w:val="Textoindependiente"/>
        <w:ind w:left="102" w:right="194"/>
        <w:jc w:val="both"/>
      </w:pPr>
    </w:p>
    <w:p w14:paraId="5C58CA1E" w14:textId="77777777" w:rsidR="00DA7276" w:rsidRDefault="00DA7276" w:rsidP="008F6530">
      <w:pPr>
        <w:pStyle w:val="Ttulo4"/>
        <w:spacing w:before="0"/>
        <w:jc w:val="both"/>
        <w:rPr>
          <w:rFonts w:ascii="Arial" w:eastAsia="Arial" w:hAnsi="Arial" w:cs="Arial"/>
          <w:i w:val="0"/>
          <w:iCs w:val="0"/>
          <w:color w:val="auto"/>
          <w:sz w:val="22"/>
          <w:u w:val="single"/>
          <w:lang w:eastAsia="en-US"/>
        </w:rPr>
      </w:pPr>
      <w:r>
        <w:rPr>
          <w:rFonts w:ascii="Arial" w:eastAsia="Arial" w:hAnsi="Arial" w:cs="Arial"/>
          <w:i w:val="0"/>
          <w:iCs w:val="0"/>
          <w:color w:val="auto"/>
          <w:sz w:val="22"/>
          <w:u w:val="single"/>
          <w:lang w:eastAsia="en-US"/>
        </w:rPr>
        <w:t>Recomendación</w:t>
      </w:r>
    </w:p>
    <w:p w14:paraId="554ECD8B" w14:textId="77777777" w:rsidR="00DA7276" w:rsidRDefault="00DA7276" w:rsidP="008F6530">
      <w:pPr>
        <w:rPr>
          <w:lang w:eastAsia="en-US"/>
        </w:rPr>
      </w:pPr>
    </w:p>
    <w:p w14:paraId="4B3035DF"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Es indispensable la creación del comité de seguimiento financiero, velando por que sus integrantes se determinen mediante cargos existentes (o nuevos) en la administración gubernamental, no funcionarios específicos, de manera que se garantice el cumplimiento de esta responsabilidad indistintamente de la persona que ocupe el puesto, lo anterior puede requerir de la modificación del manual de funciones.</w:t>
      </w:r>
    </w:p>
    <w:p w14:paraId="138F86D4" w14:textId="77777777" w:rsidR="00DA7276" w:rsidRDefault="00DA7276" w:rsidP="008F6530">
      <w:pPr>
        <w:jc w:val="both"/>
        <w:rPr>
          <w:rFonts w:ascii="Arial" w:eastAsia="Arial" w:hAnsi="Arial" w:cs="Arial"/>
          <w:sz w:val="22"/>
          <w:szCs w:val="22"/>
          <w:lang w:eastAsia="en-US"/>
        </w:rPr>
      </w:pPr>
    </w:p>
    <w:p w14:paraId="04342C31"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Por lo anterior, el comité debe verificar que en el siguiente reporte los compromisos relacionados con la secretar</w:t>
      </w:r>
      <w:r w:rsidR="00D64160">
        <w:rPr>
          <w:rFonts w:ascii="Arial" w:eastAsia="Arial" w:hAnsi="Arial" w:cs="Arial"/>
          <w:sz w:val="22"/>
          <w:szCs w:val="22"/>
          <w:lang w:eastAsia="en-US"/>
        </w:rPr>
        <w:t>í</w:t>
      </w:r>
      <w:r>
        <w:rPr>
          <w:rFonts w:ascii="Arial" w:eastAsia="Arial" w:hAnsi="Arial" w:cs="Arial"/>
          <w:sz w:val="22"/>
          <w:szCs w:val="22"/>
          <w:lang w:eastAsia="en-US"/>
        </w:rPr>
        <w:t>a de educación departamental: personal, gastos generales, etc.</w:t>
      </w:r>
      <w:r w:rsidR="00D64160">
        <w:rPr>
          <w:rFonts w:ascii="Arial" w:eastAsia="Arial" w:hAnsi="Arial" w:cs="Arial"/>
          <w:sz w:val="22"/>
          <w:szCs w:val="22"/>
          <w:lang w:eastAsia="en-US"/>
        </w:rPr>
        <w:t>,</w:t>
      </w:r>
      <w:r>
        <w:rPr>
          <w:rFonts w:ascii="Arial" w:eastAsia="Arial" w:hAnsi="Arial" w:cs="Arial"/>
          <w:sz w:val="22"/>
          <w:szCs w:val="22"/>
          <w:lang w:eastAsia="en-US"/>
        </w:rPr>
        <w:t xml:space="preserve"> </w:t>
      </w:r>
      <w:r w:rsidR="00D64160">
        <w:rPr>
          <w:rFonts w:ascii="Arial" w:eastAsia="Arial" w:hAnsi="Arial" w:cs="Arial"/>
          <w:sz w:val="22"/>
          <w:szCs w:val="22"/>
          <w:lang w:eastAsia="en-US"/>
        </w:rPr>
        <w:t>s</w:t>
      </w:r>
      <w:r>
        <w:rPr>
          <w:rFonts w:ascii="Arial" w:eastAsia="Arial" w:hAnsi="Arial" w:cs="Arial"/>
          <w:sz w:val="22"/>
          <w:szCs w:val="22"/>
          <w:lang w:eastAsia="en-US"/>
        </w:rPr>
        <w:t xml:space="preserve">ean reportados en la sección de funcionamiento. Adicionalmente, se recomienda </w:t>
      </w:r>
      <w:r>
        <w:rPr>
          <w:rFonts w:ascii="Arial" w:eastAsia="Arial" w:hAnsi="Arial" w:cs="Arial"/>
          <w:sz w:val="22"/>
          <w:szCs w:val="22"/>
          <w:lang w:eastAsia="en-US"/>
        </w:rPr>
        <w:lastRenderedPageBreak/>
        <w:t xml:space="preserve">prestar especial atención en las columnas de detalle sectorial, fuentes de financiación y CPC, de manera que, a través del reporte sea posible conocer específicamente el destino final del recurso de acuerdo </w:t>
      </w:r>
      <w:r w:rsidR="00D64160">
        <w:rPr>
          <w:rFonts w:ascii="Arial" w:eastAsia="Arial" w:hAnsi="Arial" w:cs="Arial"/>
          <w:sz w:val="22"/>
          <w:szCs w:val="22"/>
          <w:lang w:eastAsia="en-US"/>
        </w:rPr>
        <w:t>con</w:t>
      </w:r>
      <w:r>
        <w:rPr>
          <w:rFonts w:ascii="Arial" w:eastAsia="Arial" w:hAnsi="Arial" w:cs="Arial"/>
          <w:sz w:val="22"/>
          <w:szCs w:val="22"/>
          <w:lang w:eastAsia="en-US"/>
        </w:rPr>
        <w:t xml:space="preserve"> las necesidades del sector; así como la fuente de financiación </w:t>
      </w:r>
      <w:r w:rsidR="00F621BA">
        <w:rPr>
          <w:rFonts w:ascii="Arial" w:eastAsia="Arial" w:hAnsi="Arial" w:cs="Arial"/>
          <w:sz w:val="22"/>
          <w:szCs w:val="22"/>
          <w:lang w:eastAsia="en-US"/>
        </w:rPr>
        <w:t>de este</w:t>
      </w:r>
      <w:r>
        <w:rPr>
          <w:rFonts w:ascii="Arial" w:eastAsia="Arial" w:hAnsi="Arial" w:cs="Arial"/>
          <w:sz w:val="22"/>
          <w:szCs w:val="22"/>
          <w:lang w:eastAsia="en-US"/>
        </w:rPr>
        <w:t xml:space="preserve"> y si fue con </w:t>
      </w:r>
      <w:r w:rsidR="00D64160">
        <w:rPr>
          <w:rFonts w:ascii="Arial" w:eastAsia="Arial" w:hAnsi="Arial" w:cs="Arial"/>
          <w:sz w:val="22"/>
          <w:szCs w:val="22"/>
          <w:lang w:eastAsia="en-US"/>
        </w:rPr>
        <w:t xml:space="preserve">o sin </w:t>
      </w:r>
      <w:r>
        <w:rPr>
          <w:rFonts w:ascii="Arial" w:eastAsia="Arial" w:hAnsi="Arial" w:cs="Arial"/>
          <w:sz w:val="22"/>
          <w:szCs w:val="22"/>
          <w:lang w:eastAsia="en-US"/>
        </w:rPr>
        <w:t xml:space="preserve">situación de fondos. </w:t>
      </w:r>
    </w:p>
    <w:p w14:paraId="608FF79D" w14:textId="77777777" w:rsidR="00DA7276" w:rsidRDefault="00DA7276" w:rsidP="008F6530">
      <w:pPr>
        <w:jc w:val="both"/>
        <w:rPr>
          <w:rFonts w:ascii="Arial" w:eastAsia="Arial" w:hAnsi="Arial" w:cs="Arial"/>
          <w:sz w:val="22"/>
          <w:szCs w:val="22"/>
          <w:lang w:eastAsia="en-US"/>
        </w:rPr>
      </w:pPr>
    </w:p>
    <w:p w14:paraId="0E1B3B7F"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 xml:space="preserve">El reporte debe corresponder fielmente a la fuente de la información: ejecución presupuestal y como tal, la completitud de </w:t>
      </w:r>
      <w:r w:rsidR="00D64160">
        <w:rPr>
          <w:rFonts w:ascii="Arial" w:eastAsia="Arial" w:hAnsi="Arial" w:cs="Arial"/>
          <w:sz w:val="22"/>
          <w:szCs w:val="22"/>
          <w:lang w:eastAsia="en-US"/>
        </w:rPr>
        <w:t>é</w:t>
      </w:r>
      <w:r>
        <w:rPr>
          <w:rFonts w:ascii="Arial" w:eastAsia="Arial" w:hAnsi="Arial" w:cs="Arial"/>
          <w:sz w:val="22"/>
          <w:szCs w:val="22"/>
          <w:lang w:eastAsia="en-US"/>
        </w:rPr>
        <w:t xml:space="preserve">ste garantiza alcanzar este objetivo, función primordial dentro de cada reunión del comité. </w:t>
      </w:r>
    </w:p>
    <w:p w14:paraId="45C63B79" w14:textId="77777777" w:rsidR="00DA7276" w:rsidRDefault="00DA7276" w:rsidP="008F6530">
      <w:pPr>
        <w:jc w:val="both"/>
        <w:rPr>
          <w:lang w:val="es-CO" w:eastAsia="en-US"/>
        </w:rPr>
      </w:pPr>
    </w:p>
    <w:p w14:paraId="60E45D9B" w14:textId="77777777" w:rsidR="00DA7276" w:rsidRPr="00D64160" w:rsidRDefault="00DA7276" w:rsidP="008F6530">
      <w:pPr>
        <w:pStyle w:val="Ttulo3"/>
        <w:spacing w:before="0"/>
        <w:jc w:val="both"/>
        <w:rPr>
          <w:rFonts w:ascii="Arial" w:eastAsia="Arial" w:hAnsi="Arial" w:cs="Arial"/>
          <w:b/>
          <w:bCs/>
          <w:i/>
          <w:color w:val="auto"/>
          <w:sz w:val="22"/>
        </w:rPr>
      </w:pPr>
      <w:r w:rsidRPr="00D64160">
        <w:rPr>
          <w:rFonts w:ascii="Arial" w:eastAsia="Arial" w:hAnsi="Arial" w:cs="Arial"/>
          <w:b/>
          <w:bCs/>
          <w:i/>
          <w:color w:val="auto"/>
          <w:sz w:val="22"/>
        </w:rPr>
        <w:t>Actividad 1.1.2. Revisar y aclarar las diferencias entre presupuesto y tesorería que evidencie la trazabilidad de los saldos de tesorería desde 2012 y su incorporación en las siguientes vigencias respectivas.</w:t>
      </w:r>
    </w:p>
    <w:p w14:paraId="33E7FC8B" w14:textId="77777777" w:rsidR="00DA7276" w:rsidRDefault="00DA7276" w:rsidP="008F6530">
      <w:pPr>
        <w:jc w:val="both"/>
        <w:rPr>
          <w:rFonts w:ascii="Arial" w:hAnsi="Arial" w:cs="Arial"/>
          <w:sz w:val="22"/>
          <w:szCs w:val="22"/>
        </w:rPr>
      </w:pPr>
    </w:p>
    <w:p w14:paraId="65D03649" w14:textId="77777777" w:rsidR="00DA7276" w:rsidRDefault="00DA7276" w:rsidP="008F6530">
      <w:pPr>
        <w:pStyle w:val="Ttulo4"/>
        <w:spacing w:before="0"/>
        <w:jc w:val="both"/>
        <w:rPr>
          <w:rFonts w:ascii="Arial" w:hAnsi="Arial" w:cs="Arial"/>
          <w:sz w:val="22"/>
          <w:szCs w:val="22"/>
        </w:rPr>
      </w:pPr>
      <w:r>
        <w:rPr>
          <w:rFonts w:ascii="Arial" w:eastAsia="Arial" w:hAnsi="Arial" w:cs="Arial"/>
          <w:i w:val="0"/>
          <w:iCs w:val="0"/>
          <w:color w:val="auto"/>
          <w:sz w:val="22"/>
          <w:szCs w:val="22"/>
          <w:u w:val="single"/>
          <w:lang w:eastAsia="en-US"/>
        </w:rPr>
        <w:t>Productos esperados</w:t>
      </w:r>
    </w:p>
    <w:p w14:paraId="7FBF8DE5" w14:textId="77777777" w:rsidR="00DA7276" w:rsidRDefault="00DA7276" w:rsidP="008F6530">
      <w:pPr>
        <w:pStyle w:val="Textoindependiente"/>
        <w:numPr>
          <w:ilvl w:val="0"/>
          <w:numId w:val="12"/>
        </w:numPr>
        <w:ind w:left="426" w:right="194" w:hanging="426"/>
        <w:jc w:val="both"/>
        <w:rPr>
          <w:bCs/>
        </w:rPr>
      </w:pPr>
      <w:r>
        <w:rPr>
          <w:bCs/>
        </w:rPr>
        <w:t>Documento que aclare las inconsistencias evidenciadas en materia presupuesto y de tesorería en el informe de reconocimiento.</w:t>
      </w:r>
    </w:p>
    <w:p w14:paraId="72B3824C" w14:textId="77777777" w:rsidR="00DA7276" w:rsidRDefault="00DA7276" w:rsidP="008F6530">
      <w:pPr>
        <w:pStyle w:val="Textoindependiente"/>
        <w:numPr>
          <w:ilvl w:val="0"/>
          <w:numId w:val="12"/>
        </w:numPr>
        <w:ind w:left="426" w:right="194" w:hanging="426"/>
        <w:jc w:val="both"/>
        <w:rPr>
          <w:bCs/>
        </w:rPr>
      </w:pPr>
      <w:r>
        <w:rPr>
          <w:bCs/>
        </w:rPr>
        <w:t>Cuadro comparativo de los cierres de tesorería desde la vigencia 2012 a la fecha, y su incorporación en los presupuestos de las siguientes vigencias.</w:t>
      </w:r>
    </w:p>
    <w:p w14:paraId="6B9AA467" w14:textId="77777777" w:rsidR="00DA7276" w:rsidRDefault="00DA7276" w:rsidP="008F6530">
      <w:pPr>
        <w:pStyle w:val="Textoindependiente"/>
        <w:ind w:left="426" w:right="194"/>
        <w:jc w:val="both"/>
        <w:rPr>
          <w:bCs/>
        </w:rPr>
      </w:pPr>
    </w:p>
    <w:p w14:paraId="26A1FAEE" w14:textId="77777777" w:rsidR="00DA7276" w:rsidRDefault="00DA7276" w:rsidP="008F6530">
      <w:pPr>
        <w:pStyle w:val="Ttulo4"/>
        <w:spacing w:before="0"/>
        <w:jc w:val="both"/>
        <w:rPr>
          <w:rFonts w:cs="Arial"/>
          <w:szCs w:val="22"/>
        </w:rPr>
      </w:pPr>
      <w:r>
        <w:rPr>
          <w:rFonts w:ascii="Arial" w:eastAsia="Arial" w:hAnsi="Arial" w:cs="Arial"/>
          <w:i w:val="0"/>
          <w:iCs w:val="0"/>
          <w:color w:val="auto"/>
          <w:sz w:val="22"/>
          <w:szCs w:val="22"/>
          <w:u w:val="single"/>
          <w:lang w:eastAsia="en-US"/>
        </w:rPr>
        <w:t>Evaluación</w:t>
      </w:r>
      <w:r>
        <w:rPr>
          <w:rFonts w:cs="Arial"/>
          <w:szCs w:val="22"/>
        </w:rPr>
        <w:t xml:space="preserve"> </w:t>
      </w:r>
    </w:p>
    <w:p w14:paraId="2F244B83" w14:textId="77777777" w:rsidR="00DA7276" w:rsidRDefault="00DA7276" w:rsidP="008F6530"/>
    <w:p w14:paraId="1E71AC45" w14:textId="77777777" w:rsidR="00DA7276" w:rsidRDefault="00DA7276" w:rsidP="008F6530">
      <w:pPr>
        <w:jc w:val="both"/>
        <w:rPr>
          <w:rFonts w:ascii="Arial" w:eastAsia="Arial" w:hAnsi="Arial" w:cs="Arial"/>
          <w:bCs/>
          <w:sz w:val="22"/>
          <w:szCs w:val="22"/>
          <w:lang w:eastAsia="en-US"/>
        </w:rPr>
      </w:pPr>
      <w:r>
        <w:rPr>
          <w:rFonts w:ascii="Arial" w:eastAsia="Arial" w:hAnsi="Arial" w:cs="Arial"/>
          <w:bCs/>
          <w:sz w:val="22"/>
          <w:szCs w:val="22"/>
          <w:lang w:eastAsia="en-US"/>
        </w:rPr>
        <w:t xml:space="preserve">Para la evaluación de la presente actividad el Departamento allegó un informe que da cuenta año a año de las diferencias presentadas, igualmente envió los cierres de tesorería llevados a cabo desde la vigencia 2012 al 2022. A continuación, se presenta un resumen de la información: </w:t>
      </w:r>
    </w:p>
    <w:p w14:paraId="09EA9814" w14:textId="77777777" w:rsidR="00DA7276" w:rsidRDefault="00DA7276" w:rsidP="008F6530">
      <w:pPr>
        <w:rPr>
          <w:rFonts w:ascii="Arial" w:eastAsia="Arial" w:hAnsi="Arial" w:cs="Arial"/>
          <w:bCs/>
          <w:sz w:val="22"/>
          <w:szCs w:val="22"/>
          <w:lang w:eastAsia="en-US"/>
        </w:rPr>
      </w:pPr>
    </w:p>
    <w:tbl>
      <w:tblPr>
        <w:tblW w:w="5091" w:type="pct"/>
        <w:tblCellMar>
          <w:left w:w="70" w:type="dxa"/>
          <w:right w:w="70" w:type="dxa"/>
        </w:tblCellMar>
        <w:tblLook w:val="04A0" w:firstRow="1" w:lastRow="0" w:firstColumn="1" w:lastColumn="0" w:noHBand="0" w:noVBand="1"/>
      </w:tblPr>
      <w:tblGrid>
        <w:gridCol w:w="949"/>
        <w:gridCol w:w="2011"/>
        <w:gridCol w:w="1167"/>
        <w:gridCol w:w="1305"/>
        <w:gridCol w:w="1169"/>
        <w:gridCol w:w="1201"/>
        <w:gridCol w:w="1187"/>
      </w:tblGrid>
      <w:tr w:rsidR="00DA7276" w14:paraId="5C39BFF6" w14:textId="77777777" w:rsidTr="00291346">
        <w:trPr>
          <w:trHeight w:val="20"/>
        </w:trPr>
        <w:tc>
          <w:tcPr>
            <w:tcW w:w="547" w:type="pct"/>
            <w:vMerge w:val="restart"/>
            <w:tcBorders>
              <w:top w:val="single" w:sz="8" w:space="0" w:color="auto"/>
              <w:left w:val="single" w:sz="8" w:space="0" w:color="auto"/>
              <w:bottom w:val="single" w:sz="8" w:space="0" w:color="000000"/>
              <w:right w:val="single" w:sz="8" w:space="0" w:color="auto"/>
            </w:tcBorders>
            <w:shd w:val="clear" w:color="auto" w:fill="244061"/>
            <w:vAlign w:val="center"/>
            <w:hideMark/>
          </w:tcPr>
          <w:p w14:paraId="07D8F5E9"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Vigencia</w:t>
            </w:r>
          </w:p>
        </w:tc>
        <w:tc>
          <w:tcPr>
            <w:tcW w:w="1036" w:type="pct"/>
            <w:tcBorders>
              <w:top w:val="single" w:sz="8" w:space="0" w:color="auto"/>
              <w:left w:val="nil"/>
              <w:bottom w:val="single" w:sz="8" w:space="0" w:color="auto"/>
              <w:right w:val="single" w:sz="8" w:space="0" w:color="auto"/>
            </w:tcBorders>
            <w:shd w:val="clear" w:color="auto" w:fill="244061"/>
            <w:noWrap/>
            <w:vAlign w:val="center"/>
            <w:hideMark/>
          </w:tcPr>
          <w:p w14:paraId="295E996D"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Ingresos Recaudados</w:t>
            </w:r>
          </w:p>
          <w:p w14:paraId="2D30C3C4"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(Decretos)</w:t>
            </w:r>
          </w:p>
        </w:tc>
        <w:tc>
          <w:tcPr>
            <w:tcW w:w="2749" w:type="pct"/>
            <w:gridSpan w:val="4"/>
            <w:tcBorders>
              <w:top w:val="single" w:sz="8" w:space="0" w:color="auto"/>
              <w:left w:val="nil"/>
              <w:bottom w:val="single" w:sz="8" w:space="0" w:color="auto"/>
              <w:right w:val="single" w:sz="8" w:space="0" w:color="000000"/>
            </w:tcBorders>
            <w:shd w:val="clear" w:color="auto" w:fill="244061"/>
            <w:noWrap/>
            <w:vAlign w:val="center"/>
            <w:hideMark/>
          </w:tcPr>
          <w:p w14:paraId="42D2EF86"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Cierre Fiscal - TESORERÍA</w:t>
            </w:r>
          </w:p>
        </w:tc>
        <w:tc>
          <w:tcPr>
            <w:tcW w:w="668" w:type="pct"/>
            <w:tcBorders>
              <w:top w:val="single" w:sz="8" w:space="0" w:color="auto"/>
              <w:left w:val="nil"/>
              <w:bottom w:val="single" w:sz="8" w:space="0" w:color="auto"/>
              <w:right w:val="nil"/>
            </w:tcBorders>
            <w:shd w:val="clear" w:color="auto" w:fill="244061"/>
            <w:noWrap/>
            <w:vAlign w:val="center"/>
            <w:hideMark/>
          </w:tcPr>
          <w:p w14:paraId="313BBFCC"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w:t>
            </w:r>
          </w:p>
        </w:tc>
      </w:tr>
      <w:tr w:rsidR="00DA7276" w14:paraId="0BED4B8F" w14:textId="77777777" w:rsidTr="00291346">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862BD1" w14:textId="77777777" w:rsidR="00DA7276" w:rsidRDefault="00DA7276" w:rsidP="008F6530">
            <w:pPr>
              <w:rPr>
                <w:rFonts w:ascii="Arial" w:eastAsia="Times New Roman" w:hAnsi="Arial" w:cs="Arial"/>
                <w:b/>
                <w:bCs/>
                <w:color w:val="FFFFFF"/>
                <w:sz w:val="18"/>
                <w:szCs w:val="18"/>
                <w:lang w:val="es-CO" w:eastAsia="es-CO"/>
              </w:rPr>
            </w:pPr>
          </w:p>
        </w:tc>
        <w:tc>
          <w:tcPr>
            <w:tcW w:w="1036" w:type="pct"/>
            <w:tcBorders>
              <w:top w:val="nil"/>
              <w:left w:val="nil"/>
              <w:bottom w:val="single" w:sz="8" w:space="0" w:color="auto"/>
              <w:right w:val="single" w:sz="8" w:space="0" w:color="auto"/>
            </w:tcBorders>
            <w:shd w:val="clear" w:color="auto" w:fill="95B3D7"/>
            <w:vAlign w:val="center"/>
            <w:hideMark/>
          </w:tcPr>
          <w:p w14:paraId="6C4BB688"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Recursos de balance</w:t>
            </w:r>
          </w:p>
        </w:tc>
        <w:tc>
          <w:tcPr>
            <w:tcW w:w="668" w:type="pct"/>
            <w:tcBorders>
              <w:top w:val="nil"/>
              <w:left w:val="nil"/>
              <w:bottom w:val="single" w:sz="8" w:space="0" w:color="auto"/>
              <w:right w:val="single" w:sz="8" w:space="0" w:color="auto"/>
            </w:tcBorders>
            <w:shd w:val="clear" w:color="auto" w:fill="95B3D7"/>
            <w:vAlign w:val="center"/>
            <w:hideMark/>
          </w:tcPr>
          <w:p w14:paraId="2FA675CB"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Superávit</w:t>
            </w:r>
          </w:p>
        </w:tc>
        <w:tc>
          <w:tcPr>
            <w:tcW w:w="745" w:type="pct"/>
            <w:tcBorders>
              <w:top w:val="nil"/>
              <w:left w:val="nil"/>
              <w:bottom w:val="single" w:sz="8" w:space="0" w:color="auto"/>
              <w:right w:val="single" w:sz="8" w:space="0" w:color="auto"/>
            </w:tcBorders>
            <w:shd w:val="clear" w:color="auto" w:fill="95B3D7"/>
            <w:vAlign w:val="center"/>
            <w:hideMark/>
          </w:tcPr>
          <w:p w14:paraId="2001C64A"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Saldo en </w:t>
            </w:r>
            <w:proofErr w:type="gramStart"/>
            <w:r>
              <w:rPr>
                <w:rFonts w:ascii="Arial" w:eastAsia="Times New Roman" w:hAnsi="Arial" w:cs="Arial"/>
                <w:b/>
                <w:bCs/>
                <w:color w:val="000000"/>
                <w:sz w:val="18"/>
                <w:szCs w:val="18"/>
                <w:lang w:val="es-CO" w:eastAsia="es-CO"/>
              </w:rPr>
              <w:t>caja</w:t>
            </w:r>
            <w:proofErr w:type="gramEnd"/>
            <w:r>
              <w:rPr>
                <w:rFonts w:ascii="Arial" w:eastAsia="Times New Roman" w:hAnsi="Arial" w:cs="Arial"/>
                <w:b/>
                <w:bCs/>
                <w:color w:val="000000"/>
                <w:sz w:val="18"/>
                <w:szCs w:val="18"/>
                <w:lang w:val="es-CO" w:eastAsia="es-CO"/>
              </w:rPr>
              <w:t xml:space="preserve"> y bancos (1+2)</w:t>
            </w:r>
          </w:p>
        </w:tc>
        <w:tc>
          <w:tcPr>
            <w:tcW w:w="668" w:type="pct"/>
            <w:tcBorders>
              <w:top w:val="nil"/>
              <w:left w:val="nil"/>
              <w:bottom w:val="single" w:sz="8" w:space="0" w:color="auto"/>
              <w:right w:val="single" w:sz="8" w:space="0" w:color="auto"/>
            </w:tcBorders>
            <w:shd w:val="clear" w:color="auto" w:fill="95B3D7"/>
            <w:vAlign w:val="center"/>
            <w:hideMark/>
          </w:tcPr>
          <w:p w14:paraId="7F20BAAE"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de cuentas Bancarias extractos (1)</w:t>
            </w:r>
          </w:p>
        </w:tc>
        <w:tc>
          <w:tcPr>
            <w:tcW w:w="668" w:type="pct"/>
            <w:tcBorders>
              <w:top w:val="nil"/>
              <w:left w:val="nil"/>
              <w:bottom w:val="single" w:sz="8" w:space="0" w:color="auto"/>
              <w:right w:val="single" w:sz="8" w:space="0" w:color="auto"/>
            </w:tcBorders>
            <w:shd w:val="clear" w:color="auto" w:fill="95B3D7"/>
            <w:vAlign w:val="center"/>
            <w:hideMark/>
          </w:tcPr>
          <w:p w14:paraId="25A68F16"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Cuentas embargadas (2)</w:t>
            </w:r>
          </w:p>
        </w:tc>
        <w:tc>
          <w:tcPr>
            <w:tcW w:w="668" w:type="pct"/>
            <w:tcBorders>
              <w:top w:val="nil"/>
              <w:left w:val="nil"/>
              <w:bottom w:val="single" w:sz="8" w:space="0" w:color="auto"/>
              <w:right w:val="single" w:sz="8" w:space="0" w:color="auto"/>
            </w:tcBorders>
            <w:shd w:val="clear" w:color="auto" w:fill="95B3D7"/>
            <w:vAlign w:val="center"/>
            <w:hideMark/>
          </w:tcPr>
          <w:p w14:paraId="01CC0BCC" w14:textId="77777777" w:rsidR="00DA7276" w:rsidRDefault="00F0677B" w:rsidP="008F6530">
            <w:pPr>
              <w:jc w:val="center"/>
              <w:rPr>
                <w:rFonts w:ascii="Arial" w:eastAsia="Times New Roman" w:hAnsi="Arial" w:cs="Arial"/>
                <w:b/>
                <w:bCs/>
                <w:color w:val="000000"/>
                <w:sz w:val="18"/>
                <w:szCs w:val="18"/>
                <w:lang w:val="es-CO" w:eastAsia="es-CO"/>
              </w:rPr>
            </w:pPr>
            <w:hyperlink r:id="rId14" w:anchor="RANGE!A15" w:history="1">
              <w:r w:rsidR="00DA7276">
                <w:rPr>
                  <w:rStyle w:val="Hipervnculo"/>
                  <w:rFonts w:ascii="Arial" w:eastAsia="Times New Roman" w:hAnsi="Arial" w:cs="Arial"/>
                  <w:b/>
                  <w:bCs/>
                  <w:color w:val="000000"/>
                  <w:sz w:val="18"/>
                  <w:szCs w:val="18"/>
                  <w:lang w:val="es-CO" w:eastAsia="es-CO"/>
                </w:rPr>
                <w:t>Superávit Acumulado</w:t>
              </w:r>
            </w:hyperlink>
            <w:r w:rsidR="00DA7276">
              <w:rPr>
                <w:rStyle w:val="Refdenotaalpie"/>
                <w:rFonts w:ascii="Arial" w:eastAsia="Times New Roman" w:hAnsi="Arial" w:cs="Arial"/>
                <w:b/>
                <w:bCs/>
                <w:color w:val="000000"/>
                <w:sz w:val="18"/>
                <w:szCs w:val="18"/>
                <w:lang w:val="es-CO" w:eastAsia="es-CO"/>
              </w:rPr>
              <w:footnoteReference w:id="1"/>
            </w:r>
          </w:p>
        </w:tc>
      </w:tr>
      <w:tr w:rsidR="00DA7276" w14:paraId="26B6C6AB"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29785424"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2012</w:t>
            </w:r>
          </w:p>
        </w:tc>
        <w:tc>
          <w:tcPr>
            <w:tcW w:w="1036" w:type="pct"/>
            <w:tcBorders>
              <w:top w:val="nil"/>
              <w:left w:val="nil"/>
              <w:bottom w:val="single" w:sz="8" w:space="0" w:color="auto"/>
              <w:right w:val="single" w:sz="8" w:space="0" w:color="auto"/>
            </w:tcBorders>
            <w:shd w:val="clear" w:color="auto" w:fill="DBDBDB"/>
            <w:noWrap/>
            <w:hideMark/>
          </w:tcPr>
          <w:p w14:paraId="0840B37A" w14:textId="77777777" w:rsidR="00DA7276" w:rsidRDefault="00DA7276" w:rsidP="008F6530">
            <w:pPr>
              <w:rPr>
                <w:rFonts w:ascii="Arial" w:eastAsia="Times New Roman" w:hAnsi="Arial" w:cs="Arial"/>
                <w:sz w:val="18"/>
                <w:szCs w:val="18"/>
                <w:lang w:val="es-CO" w:eastAsia="es-CO"/>
              </w:rPr>
            </w:pPr>
          </w:p>
        </w:tc>
        <w:tc>
          <w:tcPr>
            <w:tcW w:w="668" w:type="pct"/>
            <w:tcBorders>
              <w:top w:val="nil"/>
              <w:left w:val="nil"/>
              <w:bottom w:val="single" w:sz="8" w:space="0" w:color="auto"/>
              <w:right w:val="single" w:sz="8" w:space="0" w:color="auto"/>
            </w:tcBorders>
            <w:shd w:val="clear" w:color="auto" w:fill="FFFFFF"/>
            <w:noWrap/>
            <w:hideMark/>
          </w:tcPr>
          <w:p w14:paraId="353201B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3.381</w:t>
            </w:r>
          </w:p>
        </w:tc>
        <w:tc>
          <w:tcPr>
            <w:tcW w:w="745" w:type="pct"/>
            <w:tcBorders>
              <w:top w:val="nil"/>
              <w:left w:val="nil"/>
              <w:bottom w:val="single" w:sz="8" w:space="0" w:color="auto"/>
              <w:right w:val="single" w:sz="8" w:space="0" w:color="auto"/>
            </w:tcBorders>
            <w:noWrap/>
            <w:hideMark/>
          </w:tcPr>
          <w:p w14:paraId="5A786FA8"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3.480</w:t>
            </w:r>
          </w:p>
        </w:tc>
        <w:tc>
          <w:tcPr>
            <w:tcW w:w="668" w:type="pct"/>
            <w:tcBorders>
              <w:top w:val="nil"/>
              <w:left w:val="nil"/>
              <w:bottom w:val="single" w:sz="8" w:space="0" w:color="auto"/>
              <w:right w:val="single" w:sz="8" w:space="0" w:color="auto"/>
            </w:tcBorders>
            <w:noWrap/>
            <w:hideMark/>
          </w:tcPr>
          <w:p w14:paraId="59605BA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1.080</w:t>
            </w:r>
          </w:p>
        </w:tc>
        <w:tc>
          <w:tcPr>
            <w:tcW w:w="668" w:type="pct"/>
            <w:tcBorders>
              <w:top w:val="nil"/>
              <w:left w:val="nil"/>
              <w:bottom w:val="single" w:sz="8" w:space="0" w:color="auto"/>
              <w:right w:val="single" w:sz="8" w:space="0" w:color="auto"/>
            </w:tcBorders>
            <w:noWrap/>
            <w:hideMark/>
          </w:tcPr>
          <w:p w14:paraId="60A81EA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2.400</w:t>
            </w:r>
          </w:p>
        </w:tc>
        <w:tc>
          <w:tcPr>
            <w:tcW w:w="668" w:type="pct"/>
            <w:tcBorders>
              <w:top w:val="nil"/>
              <w:left w:val="nil"/>
              <w:bottom w:val="single" w:sz="8" w:space="0" w:color="auto"/>
              <w:right w:val="single" w:sz="8" w:space="0" w:color="auto"/>
            </w:tcBorders>
            <w:noWrap/>
            <w:hideMark/>
          </w:tcPr>
          <w:p w14:paraId="2CADE855"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3.381</w:t>
            </w:r>
          </w:p>
        </w:tc>
      </w:tr>
      <w:tr w:rsidR="00DA7276" w14:paraId="2ABA5AEF"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4CF0540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2013</w:t>
            </w:r>
          </w:p>
        </w:tc>
        <w:tc>
          <w:tcPr>
            <w:tcW w:w="1036" w:type="pct"/>
            <w:tcBorders>
              <w:top w:val="nil"/>
              <w:left w:val="nil"/>
              <w:bottom w:val="single" w:sz="8" w:space="0" w:color="auto"/>
              <w:right w:val="single" w:sz="8" w:space="0" w:color="auto"/>
            </w:tcBorders>
            <w:shd w:val="clear" w:color="auto" w:fill="FFFFFF"/>
            <w:hideMark/>
          </w:tcPr>
          <w:p w14:paraId="3AD47C7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3.381</w:t>
            </w:r>
          </w:p>
        </w:tc>
        <w:tc>
          <w:tcPr>
            <w:tcW w:w="668" w:type="pct"/>
            <w:tcBorders>
              <w:top w:val="nil"/>
              <w:left w:val="nil"/>
              <w:bottom w:val="single" w:sz="8" w:space="0" w:color="auto"/>
              <w:right w:val="single" w:sz="8" w:space="0" w:color="auto"/>
            </w:tcBorders>
            <w:shd w:val="clear" w:color="auto" w:fill="FFFFFF"/>
            <w:hideMark/>
          </w:tcPr>
          <w:p w14:paraId="04B6C41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3.694</w:t>
            </w:r>
          </w:p>
        </w:tc>
        <w:tc>
          <w:tcPr>
            <w:tcW w:w="745" w:type="pct"/>
            <w:tcBorders>
              <w:top w:val="nil"/>
              <w:left w:val="nil"/>
              <w:bottom w:val="single" w:sz="8" w:space="0" w:color="auto"/>
              <w:right w:val="single" w:sz="8" w:space="0" w:color="auto"/>
            </w:tcBorders>
            <w:hideMark/>
          </w:tcPr>
          <w:p w14:paraId="728E1D7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3.787</w:t>
            </w:r>
          </w:p>
        </w:tc>
        <w:tc>
          <w:tcPr>
            <w:tcW w:w="668" w:type="pct"/>
            <w:tcBorders>
              <w:top w:val="nil"/>
              <w:left w:val="nil"/>
              <w:bottom w:val="single" w:sz="8" w:space="0" w:color="auto"/>
              <w:right w:val="single" w:sz="8" w:space="0" w:color="auto"/>
            </w:tcBorders>
            <w:hideMark/>
          </w:tcPr>
          <w:p w14:paraId="510D606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3.787</w:t>
            </w:r>
          </w:p>
        </w:tc>
        <w:tc>
          <w:tcPr>
            <w:tcW w:w="668" w:type="pct"/>
            <w:tcBorders>
              <w:top w:val="nil"/>
              <w:left w:val="nil"/>
              <w:bottom w:val="single" w:sz="8" w:space="0" w:color="auto"/>
              <w:right w:val="single" w:sz="8" w:space="0" w:color="auto"/>
            </w:tcBorders>
            <w:hideMark/>
          </w:tcPr>
          <w:p w14:paraId="093756B6" w14:textId="77777777" w:rsidR="00DA7276" w:rsidRDefault="00DA7276" w:rsidP="008F6530">
            <w:pPr>
              <w:rPr>
                <w:rFonts w:ascii="Arial" w:eastAsia="Times New Roman" w:hAnsi="Arial" w:cs="Arial"/>
                <w:sz w:val="18"/>
                <w:szCs w:val="18"/>
                <w:lang w:val="es-CO" w:eastAsia="es-CO"/>
              </w:rPr>
            </w:pPr>
          </w:p>
        </w:tc>
        <w:tc>
          <w:tcPr>
            <w:tcW w:w="668" w:type="pct"/>
            <w:tcBorders>
              <w:top w:val="nil"/>
              <w:left w:val="nil"/>
              <w:bottom w:val="single" w:sz="8" w:space="0" w:color="auto"/>
              <w:right w:val="single" w:sz="8" w:space="0" w:color="auto"/>
            </w:tcBorders>
            <w:noWrap/>
            <w:hideMark/>
          </w:tcPr>
          <w:p w14:paraId="2B06460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3.694</w:t>
            </w:r>
          </w:p>
        </w:tc>
      </w:tr>
      <w:tr w:rsidR="00DA7276" w14:paraId="5766E1A6"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4A3F401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2014</w:t>
            </w:r>
          </w:p>
        </w:tc>
        <w:tc>
          <w:tcPr>
            <w:tcW w:w="1036" w:type="pct"/>
            <w:tcBorders>
              <w:top w:val="nil"/>
              <w:left w:val="nil"/>
              <w:bottom w:val="single" w:sz="8" w:space="0" w:color="auto"/>
              <w:right w:val="single" w:sz="8" w:space="0" w:color="auto"/>
            </w:tcBorders>
            <w:shd w:val="clear" w:color="auto" w:fill="FFFFFF"/>
            <w:hideMark/>
          </w:tcPr>
          <w:p w14:paraId="778B88B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3.694</w:t>
            </w:r>
          </w:p>
        </w:tc>
        <w:tc>
          <w:tcPr>
            <w:tcW w:w="668" w:type="pct"/>
            <w:tcBorders>
              <w:top w:val="nil"/>
              <w:left w:val="nil"/>
              <w:bottom w:val="single" w:sz="8" w:space="0" w:color="auto"/>
              <w:right w:val="single" w:sz="8" w:space="0" w:color="auto"/>
            </w:tcBorders>
            <w:shd w:val="clear" w:color="auto" w:fill="FFFFFF"/>
            <w:hideMark/>
          </w:tcPr>
          <w:p w14:paraId="3F083802"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2.128</w:t>
            </w:r>
          </w:p>
        </w:tc>
        <w:tc>
          <w:tcPr>
            <w:tcW w:w="745" w:type="pct"/>
            <w:tcBorders>
              <w:top w:val="nil"/>
              <w:left w:val="nil"/>
              <w:bottom w:val="single" w:sz="8" w:space="0" w:color="auto"/>
              <w:right w:val="single" w:sz="8" w:space="0" w:color="auto"/>
            </w:tcBorders>
            <w:hideMark/>
          </w:tcPr>
          <w:p w14:paraId="39597DA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2.229</w:t>
            </w:r>
          </w:p>
        </w:tc>
        <w:tc>
          <w:tcPr>
            <w:tcW w:w="668" w:type="pct"/>
            <w:tcBorders>
              <w:top w:val="nil"/>
              <w:left w:val="nil"/>
              <w:bottom w:val="single" w:sz="8" w:space="0" w:color="auto"/>
              <w:right w:val="single" w:sz="8" w:space="0" w:color="auto"/>
            </w:tcBorders>
            <w:hideMark/>
          </w:tcPr>
          <w:p w14:paraId="3936D3E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2.229</w:t>
            </w:r>
          </w:p>
        </w:tc>
        <w:tc>
          <w:tcPr>
            <w:tcW w:w="668" w:type="pct"/>
            <w:tcBorders>
              <w:top w:val="nil"/>
              <w:left w:val="nil"/>
              <w:bottom w:val="single" w:sz="8" w:space="0" w:color="auto"/>
              <w:right w:val="single" w:sz="8" w:space="0" w:color="auto"/>
            </w:tcBorders>
            <w:hideMark/>
          </w:tcPr>
          <w:p w14:paraId="076C030A" w14:textId="77777777" w:rsidR="00DA7276" w:rsidRDefault="00DA7276" w:rsidP="008F6530">
            <w:pPr>
              <w:rPr>
                <w:rFonts w:ascii="Arial" w:eastAsia="Times New Roman" w:hAnsi="Arial" w:cs="Arial"/>
                <w:sz w:val="18"/>
                <w:szCs w:val="18"/>
                <w:lang w:val="es-CO" w:eastAsia="es-CO"/>
              </w:rPr>
            </w:pPr>
          </w:p>
        </w:tc>
        <w:tc>
          <w:tcPr>
            <w:tcW w:w="668" w:type="pct"/>
            <w:tcBorders>
              <w:top w:val="nil"/>
              <w:left w:val="nil"/>
              <w:bottom w:val="single" w:sz="8" w:space="0" w:color="auto"/>
              <w:right w:val="single" w:sz="8" w:space="0" w:color="auto"/>
            </w:tcBorders>
            <w:noWrap/>
            <w:hideMark/>
          </w:tcPr>
          <w:p w14:paraId="55BD39FF"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2.128</w:t>
            </w:r>
          </w:p>
        </w:tc>
      </w:tr>
      <w:tr w:rsidR="00DA7276" w14:paraId="2EB43DEB"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20EB7A5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2015</w:t>
            </w:r>
          </w:p>
        </w:tc>
        <w:tc>
          <w:tcPr>
            <w:tcW w:w="1036" w:type="pct"/>
            <w:tcBorders>
              <w:top w:val="nil"/>
              <w:left w:val="nil"/>
              <w:bottom w:val="single" w:sz="8" w:space="0" w:color="auto"/>
              <w:right w:val="single" w:sz="8" w:space="0" w:color="auto"/>
            </w:tcBorders>
            <w:shd w:val="clear" w:color="auto" w:fill="FFFFFF"/>
            <w:hideMark/>
          </w:tcPr>
          <w:p w14:paraId="04C2328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2.128</w:t>
            </w:r>
          </w:p>
        </w:tc>
        <w:tc>
          <w:tcPr>
            <w:tcW w:w="668" w:type="pct"/>
            <w:tcBorders>
              <w:top w:val="nil"/>
              <w:left w:val="nil"/>
              <w:bottom w:val="single" w:sz="8" w:space="0" w:color="auto"/>
              <w:right w:val="single" w:sz="8" w:space="0" w:color="auto"/>
            </w:tcBorders>
            <w:shd w:val="clear" w:color="auto" w:fill="FFFFFF"/>
            <w:hideMark/>
          </w:tcPr>
          <w:p w14:paraId="291A333A"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1.291</w:t>
            </w:r>
          </w:p>
        </w:tc>
        <w:tc>
          <w:tcPr>
            <w:tcW w:w="745" w:type="pct"/>
            <w:tcBorders>
              <w:top w:val="nil"/>
              <w:left w:val="nil"/>
              <w:bottom w:val="single" w:sz="8" w:space="0" w:color="auto"/>
              <w:right w:val="single" w:sz="8" w:space="0" w:color="auto"/>
            </w:tcBorders>
            <w:hideMark/>
          </w:tcPr>
          <w:p w14:paraId="6D2BF00A"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1.398</w:t>
            </w:r>
          </w:p>
        </w:tc>
        <w:tc>
          <w:tcPr>
            <w:tcW w:w="668" w:type="pct"/>
            <w:tcBorders>
              <w:top w:val="nil"/>
              <w:left w:val="nil"/>
              <w:bottom w:val="single" w:sz="8" w:space="0" w:color="auto"/>
              <w:right w:val="single" w:sz="8" w:space="0" w:color="auto"/>
            </w:tcBorders>
            <w:hideMark/>
          </w:tcPr>
          <w:p w14:paraId="49A4A3C5"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1.398</w:t>
            </w:r>
          </w:p>
        </w:tc>
        <w:tc>
          <w:tcPr>
            <w:tcW w:w="668" w:type="pct"/>
            <w:tcBorders>
              <w:top w:val="nil"/>
              <w:left w:val="nil"/>
              <w:bottom w:val="single" w:sz="8" w:space="0" w:color="auto"/>
              <w:right w:val="single" w:sz="8" w:space="0" w:color="auto"/>
            </w:tcBorders>
            <w:hideMark/>
          </w:tcPr>
          <w:p w14:paraId="4C2BAB63" w14:textId="77777777" w:rsidR="00DA7276" w:rsidRDefault="00DA7276" w:rsidP="008F6530">
            <w:pPr>
              <w:rPr>
                <w:rFonts w:ascii="Arial" w:eastAsia="Times New Roman" w:hAnsi="Arial" w:cs="Arial"/>
                <w:sz w:val="18"/>
                <w:szCs w:val="18"/>
                <w:lang w:val="es-CO" w:eastAsia="es-CO"/>
              </w:rPr>
            </w:pPr>
          </w:p>
        </w:tc>
        <w:tc>
          <w:tcPr>
            <w:tcW w:w="668" w:type="pct"/>
            <w:tcBorders>
              <w:top w:val="nil"/>
              <w:left w:val="nil"/>
              <w:bottom w:val="single" w:sz="8" w:space="0" w:color="auto"/>
              <w:right w:val="single" w:sz="8" w:space="0" w:color="auto"/>
            </w:tcBorders>
            <w:noWrap/>
            <w:hideMark/>
          </w:tcPr>
          <w:p w14:paraId="425AC13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1.291</w:t>
            </w:r>
          </w:p>
        </w:tc>
      </w:tr>
      <w:tr w:rsidR="00DA7276" w14:paraId="00322438"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53B82468"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2016</w:t>
            </w:r>
          </w:p>
        </w:tc>
        <w:tc>
          <w:tcPr>
            <w:tcW w:w="1036" w:type="pct"/>
            <w:tcBorders>
              <w:top w:val="nil"/>
              <w:left w:val="nil"/>
              <w:bottom w:val="single" w:sz="8" w:space="0" w:color="auto"/>
              <w:right w:val="single" w:sz="8" w:space="0" w:color="auto"/>
            </w:tcBorders>
            <w:shd w:val="clear" w:color="auto" w:fill="FFFFFF"/>
            <w:hideMark/>
          </w:tcPr>
          <w:p w14:paraId="5A5980E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1.291</w:t>
            </w:r>
          </w:p>
        </w:tc>
        <w:tc>
          <w:tcPr>
            <w:tcW w:w="668" w:type="pct"/>
            <w:tcBorders>
              <w:top w:val="nil"/>
              <w:left w:val="nil"/>
              <w:bottom w:val="single" w:sz="8" w:space="0" w:color="auto"/>
              <w:right w:val="single" w:sz="8" w:space="0" w:color="auto"/>
            </w:tcBorders>
            <w:shd w:val="clear" w:color="auto" w:fill="FFFFFF"/>
            <w:hideMark/>
          </w:tcPr>
          <w:p w14:paraId="36B3C11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2.692</w:t>
            </w:r>
          </w:p>
        </w:tc>
        <w:tc>
          <w:tcPr>
            <w:tcW w:w="745" w:type="pct"/>
            <w:tcBorders>
              <w:top w:val="nil"/>
              <w:left w:val="nil"/>
              <w:bottom w:val="single" w:sz="8" w:space="0" w:color="auto"/>
              <w:right w:val="single" w:sz="8" w:space="0" w:color="auto"/>
            </w:tcBorders>
            <w:hideMark/>
          </w:tcPr>
          <w:p w14:paraId="290363A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3.091</w:t>
            </w:r>
          </w:p>
        </w:tc>
        <w:tc>
          <w:tcPr>
            <w:tcW w:w="668" w:type="pct"/>
            <w:tcBorders>
              <w:top w:val="nil"/>
              <w:left w:val="nil"/>
              <w:bottom w:val="single" w:sz="8" w:space="0" w:color="auto"/>
              <w:right w:val="single" w:sz="8" w:space="0" w:color="auto"/>
            </w:tcBorders>
            <w:hideMark/>
          </w:tcPr>
          <w:p w14:paraId="0212BE69"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2.909</w:t>
            </w:r>
          </w:p>
        </w:tc>
        <w:tc>
          <w:tcPr>
            <w:tcW w:w="668" w:type="pct"/>
            <w:tcBorders>
              <w:top w:val="nil"/>
              <w:left w:val="nil"/>
              <w:bottom w:val="single" w:sz="8" w:space="0" w:color="auto"/>
              <w:right w:val="single" w:sz="8" w:space="0" w:color="auto"/>
            </w:tcBorders>
            <w:hideMark/>
          </w:tcPr>
          <w:p w14:paraId="241F7339"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182</w:t>
            </w:r>
          </w:p>
        </w:tc>
        <w:tc>
          <w:tcPr>
            <w:tcW w:w="668" w:type="pct"/>
            <w:tcBorders>
              <w:top w:val="nil"/>
              <w:left w:val="nil"/>
              <w:bottom w:val="single" w:sz="8" w:space="0" w:color="auto"/>
              <w:right w:val="single" w:sz="8" w:space="0" w:color="auto"/>
            </w:tcBorders>
            <w:noWrap/>
            <w:hideMark/>
          </w:tcPr>
          <w:p w14:paraId="65942A9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2.692</w:t>
            </w:r>
          </w:p>
        </w:tc>
      </w:tr>
      <w:tr w:rsidR="00DA7276" w14:paraId="274CD791"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1EA43184"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2017</w:t>
            </w:r>
          </w:p>
        </w:tc>
        <w:tc>
          <w:tcPr>
            <w:tcW w:w="1036" w:type="pct"/>
            <w:tcBorders>
              <w:top w:val="nil"/>
              <w:left w:val="nil"/>
              <w:bottom w:val="single" w:sz="8" w:space="0" w:color="auto"/>
              <w:right w:val="single" w:sz="8" w:space="0" w:color="auto"/>
            </w:tcBorders>
            <w:shd w:val="clear" w:color="auto" w:fill="FFFFFF"/>
            <w:hideMark/>
          </w:tcPr>
          <w:p w14:paraId="1C0C5F2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2.692</w:t>
            </w:r>
          </w:p>
        </w:tc>
        <w:tc>
          <w:tcPr>
            <w:tcW w:w="668" w:type="pct"/>
            <w:tcBorders>
              <w:top w:val="nil"/>
              <w:left w:val="nil"/>
              <w:bottom w:val="single" w:sz="8" w:space="0" w:color="auto"/>
              <w:right w:val="single" w:sz="8" w:space="0" w:color="auto"/>
            </w:tcBorders>
            <w:shd w:val="clear" w:color="auto" w:fill="FFFFFF"/>
            <w:hideMark/>
          </w:tcPr>
          <w:p w14:paraId="21AA7CD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3.190</w:t>
            </w:r>
          </w:p>
        </w:tc>
        <w:tc>
          <w:tcPr>
            <w:tcW w:w="745" w:type="pct"/>
            <w:tcBorders>
              <w:top w:val="nil"/>
              <w:left w:val="nil"/>
              <w:bottom w:val="single" w:sz="8" w:space="0" w:color="auto"/>
              <w:right w:val="single" w:sz="8" w:space="0" w:color="auto"/>
            </w:tcBorders>
            <w:hideMark/>
          </w:tcPr>
          <w:p w14:paraId="2483DD49"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3.296</w:t>
            </w:r>
          </w:p>
        </w:tc>
        <w:tc>
          <w:tcPr>
            <w:tcW w:w="668" w:type="pct"/>
            <w:tcBorders>
              <w:top w:val="nil"/>
              <w:left w:val="nil"/>
              <w:bottom w:val="single" w:sz="8" w:space="0" w:color="auto"/>
              <w:right w:val="single" w:sz="8" w:space="0" w:color="auto"/>
            </w:tcBorders>
            <w:hideMark/>
          </w:tcPr>
          <w:p w14:paraId="71CCEE3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3.180</w:t>
            </w:r>
          </w:p>
        </w:tc>
        <w:tc>
          <w:tcPr>
            <w:tcW w:w="668" w:type="pct"/>
            <w:tcBorders>
              <w:top w:val="nil"/>
              <w:left w:val="nil"/>
              <w:bottom w:val="single" w:sz="8" w:space="0" w:color="auto"/>
              <w:right w:val="single" w:sz="8" w:space="0" w:color="auto"/>
            </w:tcBorders>
            <w:hideMark/>
          </w:tcPr>
          <w:p w14:paraId="5DDAC23D"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2C5A827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3.190</w:t>
            </w:r>
          </w:p>
        </w:tc>
      </w:tr>
      <w:tr w:rsidR="00DA7276" w14:paraId="51BEBF4F"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49F6AD9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2018</w:t>
            </w:r>
          </w:p>
        </w:tc>
        <w:tc>
          <w:tcPr>
            <w:tcW w:w="1036" w:type="pct"/>
            <w:tcBorders>
              <w:top w:val="nil"/>
              <w:left w:val="nil"/>
              <w:bottom w:val="single" w:sz="8" w:space="0" w:color="auto"/>
              <w:right w:val="single" w:sz="8" w:space="0" w:color="auto"/>
            </w:tcBorders>
            <w:shd w:val="clear" w:color="auto" w:fill="FFFFFF"/>
            <w:hideMark/>
          </w:tcPr>
          <w:p w14:paraId="176D6FF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3.190</w:t>
            </w:r>
          </w:p>
        </w:tc>
        <w:tc>
          <w:tcPr>
            <w:tcW w:w="668" w:type="pct"/>
            <w:tcBorders>
              <w:top w:val="nil"/>
              <w:left w:val="nil"/>
              <w:bottom w:val="single" w:sz="8" w:space="0" w:color="auto"/>
              <w:right w:val="single" w:sz="8" w:space="0" w:color="auto"/>
            </w:tcBorders>
            <w:shd w:val="clear" w:color="auto" w:fill="FFFFFF"/>
            <w:hideMark/>
          </w:tcPr>
          <w:p w14:paraId="5C6E0E5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694</w:t>
            </w:r>
          </w:p>
        </w:tc>
        <w:tc>
          <w:tcPr>
            <w:tcW w:w="745" w:type="pct"/>
            <w:tcBorders>
              <w:top w:val="nil"/>
              <w:left w:val="nil"/>
              <w:bottom w:val="single" w:sz="8" w:space="0" w:color="auto"/>
              <w:right w:val="single" w:sz="8" w:space="0" w:color="auto"/>
            </w:tcBorders>
            <w:hideMark/>
          </w:tcPr>
          <w:p w14:paraId="0529A3E9"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845</w:t>
            </w:r>
          </w:p>
        </w:tc>
        <w:tc>
          <w:tcPr>
            <w:tcW w:w="668" w:type="pct"/>
            <w:tcBorders>
              <w:top w:val="nil"/>
              <w:left w:val="nil"/>
              <w:bottom w:val="single" w:sz="8" w:space="0" w:color="auto"/>
              <w:right w:val="single" w:sz="8" w:space="0" w:color="auto"/>
            </w:tcBorders>
            <w:hideMark/>
          </w:tcPr>
          <w:p w14:paraId="2981D5DF"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729</w:t>
            </w:r>
          </w:p>
        </w:tc>
        <w:tc>
          <w:tcPr>
            <w:tcW w:w="668" w:type="pct"/>
            <w:tcBorders>
              <w:top w:val="nil"/>
              <w:left w:val="nil"/>
              <w:bottom w:val="single" w:sz="8" w:space="0" w:color="auto"/>
              <w:right w:val="single" w:sz="8" w:space="0" w:color="auto"/>
            </w:tcBorders>
            <w:hideMark/>
          </w:tcPr>
          <w:p w14:paraId="74F696A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32FDE81F"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694</w:t>
            </w:r>
          </w:p>
        </w:tc>
      </w:tr>
      <w:tr w:rsidR="00DA7276" w14:paraId="4A9CE101"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1DBE0F92"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2019</w:t>
            </w:r>
          </w:p>
        </w:tc>
        <w:tc>
          <w:tcPr>
            <w:tcW w:w="1036" w:type="pct"/>
            <w:tcBorders>
              <w:top w:val="nil"/>
              <w:left w:val="nil"/>
              <w:bottom w:val="single" w:sz="8" w:space="0" w:color="auto"/>
              <w:right w:val="single" w:sz="8" w:space="0" w:color="auto"/>
            </w:tcBorders>
            <w:shd w:val="clear" w:color="auto" w:fill="FFFFFF"/>
            <w:hideMark/>
          </w:tcPr>
          <w:p w14:paraId="1F680DA9"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694</w:t>
            </w:r>
          </w:p>
        </w:tc>
        <w:tc>
          <w:tcPr>
            <w:tcW w:w="668" w:type="pct"/>
            <w:tcBorders>
              <w:top w:val="nil"/>
              <w:left w:val="nil"/>
              <w:bottom w:val="single" w:sz="8" w:space="0" w:color="auto"/>
              <w:right w:val="single" w:sz="8" w:space="0" w:color="auto"/>
            </w:tcBorders>
            <w:shd w:val="clear" w:color="auto" w:fill="FFFFFF"/>
            <w:hideMark/>
          </w:tcPr>
          <w:p w14:paraId="75E0DA04"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745" w:type="pct"/>
            <w:tcBorders>
              <w:top w:val="nil"/>
              <w:left w:val="nil"/>
              <w:bottom w:val="single" w:sz="8" w:space="0" w:color="auto"/>
              <w:right w:val="single" w:sz="8" w:space="0" w:color="auto"/>
            </w:tcBorders>
            <w:hideMark/>
          </w:tcPr>
          <w:p w14:paraId="4E18D28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150</w:t>
            </w:r>
          </w:p>
        </w:tc>
        <w:tc>
          <w:tcPr>
            <w:tcW w:w="668" w:type="pct"/>
            <w:tcBorders>
              <w:top w:val="nil"/>
              <w:left w:val="nil"/>
              <w:bottom w:val="single" w:sz="8" w:space="0" w:color="auto"/>
              <w:right w:val="single" w:sz="8" w:space="0" w:color="auto"/>
            </w:tcBorders>
            <w:hideMark/>
          </w:tcPr>
          <w:p w14:paraId="295231E2"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w:t>
            </w:r>
          </w:p>
        </w:tc>
        <w:tc>
          <w:tcPr>
            <w:tcW w:w="668" w:type="pct"/>
            <w:tcBorders>
              <w:top w:val="nil"/>
              <w:left w:val="nil"/>
              <w:bottom w:val="single" w:sz="8" w:space="0" w:color="auto"/>
              <w:right w:val="single" w:sz="8" w:space="0" w:color="auto"/>
            </w:tcBorders>
            <w:hideMark/>
          </w:tcPr>
          <w:p w14:paraId="5150699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14EFB26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r>
      <w:tr w:rsidR="00DA7276" w14:paraId="07893342"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7F70C24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2020</w:t>
            </w:r>
          </w:p>
        </w:tc>
        <w:tc>
          <w:tcPr>
            <w:tcW w:w="1036" w:type="pct"/>
            <w:tcBorders>
              <w:top w:val="nil"/>
              <w:left w:val="nil"/>
              <w:bottom w:val="single" w:sz="8" w:space="0" w:color="auto"/>
              <w:right w:val="single" w:sz="8" w:space="0" w:color="auto"/>
            </w:tcBorders>
            <w:shd w:val="clear" w:color="auto" w:fill="FFFFFF"/>
            <w:hideMark/>
          </w:tcPr>
          <w:p w14:paraId="23DABCC5"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shd w:val="clear" w:color="auto" w:fill="FFFFFF"/>
            <w:hideMark/>
          </w:tcPr>
          <w:p w14:paraId="19889F6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221</w:t>
            </w:r>
          </w:p>
        </w:tc>
        <w:tc>
          <w:tcPr>
            <w:tcW w:w="745" w:type="pct"/>
            <w:tcBorders>
              <w:top w:val="nil"/>
              <w:left w:val="nil"/>
              <w:bottom w:val="single" w:sz="8" w:space="0" w:color="auto"/>
              <w:right w:val="single" w:sz="8" w:space="0" w:color="auto"/>
            </w:tcBorders>
            <w:hideMark/>
          </w:tcPr>
          <w:p w14:paraId="29589B2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240</w:t>
            </w:r>
          </w:p>
        </w:tc>
        <w:tc>
          <w:tcPr>
            <w:tcW w:w="668" w:type="pct"/>
            <w:tcBorders>
              <w:top w:val="nil"/>
              <w:left w:val="nil"/>
              <w:bottom w:val="single" w:sz="8" w:space="0" w:color="auto"/>
              <w:right w:val="single" w:sz="8" w:space="0" w:color="auto"/>
            </w:tcBorders>
            <w:hideMark/>
          </w:tcPr>
          <w:p w14:paraId="4744BB0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124</w:t>
            </w:r>
          </w:p>
        </w:tc>
        <w:tc>
          <w:tcPr>
            <w:tcW w:w="668" w:type="pct"/>
            <w:tcBorders>
              <w:top w:val="nil"/>
              <w:left w:val="nil"/>
              <w:bottom w:val="single" w:sz="8" w:space="0" w:color="auto"/>
              <w:right w:val="single" w:sz="8" w:space="0" w:color="auto"/>
            </w:tcBorders>
            <w:hideMark/>
          </w:tcPr>
          <w:p w14:paraId="32C7B43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32587B9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221</w:t>
            </w:r>
          </w:p>
        </w:tc>
      </w:tr>
      <w:tr w:rsidR="00DA7276" w14:paraId="38C13A34"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35802CB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2021</w:t>
            </w:r>
          </w:p>
        </w:tc>
        <w:tc>
          <w:tcPr>
            <w:tcW w:w="1036" w:type="pct"/>
            <w:tcBorders>
              <w:top w:val="nil"/>
              <w:left w:val="nil"/>
              <w:bottom w:val="single" w:sz="8" w:space="0" w:color="auto"/>
              <w:right w:val="single" w:sz="8" w:space="0" w:color="auto"/>
            </w:tcBorders>
            <w:shd w:val="clear" w:color="auto" w:fill="FFFFFF"/>
            <w:hideMark/>
          </w:tcPr>
          <w:p w14:paraId="113F413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221</w:t>
            </w:r>
          </w:p>
        </w:tc>
        <w:tc>
          <w:tcPr>
            <w:tcW w:w="668" w:type="pct"/>
            <w:tcBorders>
              <w:top w:val="nil"/>
              <w:left w:val="nil"/>
              <w:bottom w:val="single" w:sz="8" w:space="0" w:color="auto"/>
              <w:right w:val="single" w:sz="8" w:space="0" w:color="auto"/>
            </w:tcBorders>
            <w:shd w:val="clear" w:color="auto" w:fill="FFFFFF"/>
            <w:hideMark/>
          </w:tcPr>
          <w:p w14:paraId="42B6B12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1.448</w:t>
            </w:r>
          </w:p>
        </w:tc>
        <w:tc>
          <w:tcPr>
            <w:tcW w:w="745" w:type="pct"/>
            <w:tcBorders>
              <w:top w:val="nil"/>
              <w:left w:val="nil"/>
              <w:bottom w:val="single" w:sz="8" w:space="0" w:color="auto"/>
              <w:right w:val="single" w:sz="8" w:space="0" w:color="auto"/>
            </w:tcBorders>
            <w:hideMark/>
          </w:tcPr>
          <w:p w14:paraId="75B7FA6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2.079</w:t>
            </w:r>
          </w:p>
        </w:tc>
        <w:tc>
          <w:tcPr>
            <w:tcW w:w="668" w:type="pct"/>
            <w:tcBorders>
              <w:top w:val="nil"/>
              <w:left w:val="nil"/>
              <w:bottom w:val="single" w:sz="8" w:space="0" w:color="auto"/>
              <w:right w:val="single" w:sz="8" w:space="0" w:color="auto"/>
            </w:tcBorders>
            <w:hideMark/>
          </w:tcPr>
          <w:p w14:paraId="2E0DAF8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1.963</w:t>
            </w:r>
          </w:p>
        </w:tc>
        <w:tc>
          <w:tcPr>
            <w:tcW w:w="668" w:type="pct"/>
            <w:tcBorders>
              <w:top w:val="nil"/>
              <w:left w:val="nil"/>
              <w:bottom w:val="single" w:sz="8" w:space="0" w:color="auto"/>
              <w:right w:val="single" w:sz="8" w:space="0" w:color="auto"/>
            </w:tcBorders>
            <w:hideMark/>
          </w:tcPr>
          <w:p w14:paraId="5E12FEB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19C1BEC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1.448</w:t>
            </w:r>
          </w:p>
        </w:tc>
      </w:tr>
      <w:tr w:rsidR="00DA7276" w14:paraId="14579CAB" w14:textId="77777777" w:rsidTr="00291346">
        <w:trPr>
          <w:trHeight w:val="20"/>
        </w:trPr>
        <w:tc>
          <w:tcPr>
            <w:tcW w:w="547" w:type="pct"/>
            <w:tcBorders>
              <w:top w:val="nil"/>
              <w:left w:val="single" w:sz="8" w:space="0" w:color="auto"/>
              <w:bottom w:val="single" w:sz="8" w:space="0" w:color="auto"/>
              <w:right w:val="single" w:sz="8" w:space="0" w:color="auto"/>
            </w:tcBorders>
            <w:noWrap/>
            <w:hideMark/>
          </w:tcPr>
          <w:p w14:paraId="67E2A92A"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2022</w:t>
            </w:r>
          </w:p>
        </w:tc>
        <w:tc>
          <w:tcPr>
            <w:tcW w:w="1036" w:type="pct"/>
            <w:tcBorders>
              <w:top w:val="nil"/>
              <w:left w:val="nil"/>
              <w:bottom w:val="single" w:sz="8" w:space="0" w:color="auto"/>
              <w:right w:val="single" w:sz="8" w:space="0" w:color="auto"/>
            </w:tcBorders>
            <w:shd w:val="clear" w:color="auto" w:fill="FFFFFF"/>
            <w:hideMark/>
          </w:tcPr>
          <w:p w14:paraId="7D80AD0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1.448</w:t>
            </w:r>
          </w:p>
        </w:tc>
        <w:tc>
          <w:tcPr>
            <w:tcW w:w="668" w:type="pct"/>
            <w:tcBorders>
              <w:top w:val="nil"/>
              <w:left w:val="nil"/>
              <w:bottom w:val="single" w:sz="8" w:space="0" w:color="auto"/>
              <w:right w:val="single" w:sz="8" w:space="0" w:color="auto"/>
            </w:tcBorders>
            <w:shd w:val="clear" w:color="auto" w:fill="FFFFFF"/>
            <w:hideMark/>
          </w:tcPr>
          <w:p w14:paraId="4C7A367D"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354</w:t>
            </w:r>
          </w:p>
        </w:tc>
        <w:tc>
          <w:tcPr>
            <w:tcW w:w="745" w:type="pct"/>
            <w:tcBorders>
              <w:top w:val="nil"/>
              <w:left w:val="nil"/>
              <w:bottom w:val="single" w:sz="8" w:space="0" w:color="auto"/>
              <w:right w:val="single" w:sz="8" w:space="0" w:color="auto"/>
            </w:tcBorders>
            <w:hideMark/>
          </w:tcPr>
          <w:p w14:paraId="0789308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455</w:t>
            </w:r>
          </w:p>
        </w:tc>
        <w:tc>
          <w:tcPr>
            <w:tcW w:w="668" w:type="pct"/>
            <w:tcBorders>
              <w:top w:val="nil"/>
              <w:left w:val="nil"/>
              <w:bottom w:val="single" w:sz="8" w:space="0" w:color="auto"/>
              <w:right w:val="single" w:sz="8" w:space="0" w:color="auto"/>
            </w:tcBorders>
            <w:hideMark/>
          </w:tcPr>
          <w:p w14:paraId="35187494"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339</w:t>
            </w:r>
          </w:p>
        </w:tc>
        <w:tc>
          <w:tcPr>
            <w:tcW w:w="668" w:type="pct"/>
            <w:tcBorders>
              <w:top w:val="nil"/>
              <w:left w:val="nil"/>
              <w:bottom w:val="single" w:sz="8" w:space="0" w:color="auto"/>
              <w:right w:val="single" w:sz="8" w:space="0" w:color="auto"/>
            </w:tcBorders>
            <w:hideMark/>
          </w:tcPr>
          <w:p w14:paraId="063D2610"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116</w:t>
            </w:r>
          </w:p>
        </w:tc>
        <w:tc>
          <w:tcPr>
            <w:tcW w:w="668" w:type="pct"/>
            <w:tcBorders>
              <w:top w:val="nil"/>
              <w:left w:val="nil"/>
              <w:bottom w:val="single" w:sz="8" w:space="0" w:color="auto"/>
              <w:right w:val="single" w:sz="8" w:space="0" w:color="auto"/>
            </w:tcBorders>
            <w:noWrap/>
            <w:hideMark/>
          </w:tcPr>
          <w:p w14:paraId="72E9F48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354</w:t>
            </w:r>
          </w:p>
        </w:tc>
      </w:tr>
    </w:tbl>
    <w:p w14:paraId="0021FEB4" w14:textId="77777777" w:rsidR="00DA7276" w:rsidRDefault="00DA7276" w:rsidP="008F6530">
      <w:pPr>
        <w:jc w:val="center"/>
        <w:rPr>
          <w:rFonts w:ascii="Arial" w:eastAsia="Arial" w:hAnsi="Arial" w:cs="Arial"/>
          <w:bCs/>
          <w:sz w:val="18"/>
          <w:szCs w:val="22"/>
          <w:lang w:eastAsia="en-US"/>
        </w:rPr>
      </w:pPr>
      <w:r>
        <w:rPr>
          <w:rFonts w:ascii="Arial" w:eastAsia="Arial" w:hAnsi="Arial" w:cs="Arial"/>
          <w:bCs/>
          <w:sz w:val="18"/>
          <w:szCs w:val="22"/>
          <w:lang w:eastAsia="en-US"/>
        </w:rPr>
        <w:t>Fuente: Información enviada por la ETC.</w:t>
      </w:r>
    </w:p>
    <w:p w14:paraId="3334E3CF" w14:textId="77777777" w:rsidR="00DA7276" w:rsidRDefault="00DA7276" w:rsidP="008F6530">
      <w:pPr>
        <w:rPr>
          <w:rFonts w:ascii="Arial" w:eastAsia="Arial" w:hAnsi="Arial" w:cs="Arial"/>
          <w:bCs/>
          <w:sz w:val="22"/>
          <w:szCs w:val="22"/>
          <w:lang w:eastAsia="en-US"/>
        </w:rPr>
      </w:pPr>
    </w:p>
    <w:p w14:paraId="0F143A52" w14:textId="77777777" w:rsidR="00DA7276" w:rsidRDefault="00DA7276" w:rsidP="008F6530">
      <w:pPr>
        <w:jc w:val="both"/>
        <w:rPr>
          <w:rFonts w:ascii="Arial" w:hAnsi="Arial" w:cs="Arial"/>
          <w:sz w:val="22"/>
        </w:rPr>
      </w:pPr>
      <w:r>
        <w:rPr>
          <w:rFonts w:ascii="Arial" w:hAnsi="Arial" w:cs="Arial"/>
          <w:sz w:val="22"/>
        </w:rPr>
        <w:lastRenderedPageBreak/>
        <w:t>Los $354 millones de superávit acumulado a la vigencia 2022, fueron incorporados en la vigencia 2023 mediante Decreto No. 0190 de febrero 21 de 2023 "</w:t>
      </w:r>
      <w:r>
        <w:rPr>
          <w:rFonts w:ascii="Arial" w:hAnsi="Arial" w:cs="Arial"/>
          <w:i/>
          <w:sz w:val="22"/>
        </w:rPr>
        <w:t>Por medio del cual se incorporan los recursos del balance liquidado a 31 de diciembre de 2022 en el presupuesto general del departamento del Quindío para la vigencia fiscal 2023</w:t>
      </w:r>
      <w:r>
        <w:rPr>
          <w:rFonts w:ascii="Arial" w:hAnsi="Arial" w:cs="Arial"/>
          <w:sz w:val="22"/>
        </w:rPr>
        <w:t xml:space="preserve">", estos recursos también se pueden ver reflejados en la ejecución de ingresos en el acápite de análisis financiero de este documento. </w:t>
      </w:r>
    </w:p>
    <w:p w14:paraId="160E0D8B" w14:textId="77777777" w:rsidR="00DA7276" w:rsidRDefault="00DA7276" w:rsidP="008F6530">
      <w:pPr>
        <w:jc w:val="both"/>
        <w:rPr>
          <w:rFonts w:ascii="Arial" w:hAnsi="Arial" w:cs="Arial"/>
          <w:sz w:val="22"/>
        </w:rPr>
      </w:pPr>
    </w:p>
    <w:p w14:paraId="342A585A" w14:textId="77777777" w:rsidR="00DA7276" w:rsidRDefault="00DA7276" w:rsidP="008F6530">
      <w:pPr>
        <w:jc w:val="both"/>
        <w:rPr>
          <w:rFonts w:ascii="Arial" w:hAnsi="Arial" w:cs="Arial"/>
          <w:sz w:val="22"/>
        </w:rPr>
      </w:pPr>
      <w:r>
        <w:rPr>
          <w:rFonts w:ascii="Arial" w:hAnsi="Arial" w:cs="Arial"/>
          <w:sz w:val="22"/>
        </w:rPr>
        <w:t xml:space="preserve">Para la vigencia 2021 se culminó el ejercicio con un superávit acumulado de $1.448 millones, los cuales fueron incorporados en la vigencia 2022 mediante el Decreto No. 0170 de febrero 24 de 2022 y reclasificado mediante Decreto </w:t>
      </w:r>
      <w:proofErr w:type="spellStart"/>
      <w:r>
        <w:rPr>
          <w:rFonts w:ascii="Arial" w:hAnsi="Arial" w:cs="Arial"/>
          <w:sz w:val="22"/>
        </w:rPr>
        <w:t>N°</w:t>
      </w:r>
      <w:proofErr w:type="spellEnd"/>
      <w:r>
        <w:rPr>
          <w:rFonts w:ascii="Arial" w:hAnsi="Arial" w:cs="Arial"/>
          <w:sz w:val="22"/>
        </w:rPr>
        <w:t xml:space="preserve"> 00614 del 23 de agosto de 2022 "</w:t>
      </w:r>
      <w:r>
        <w:rPr>
          <w:rFonts w:ascii="Arial" w:hAnsi="Arial" w:cs="Arial"/>
          <w:i/>
          <w:sz w:val="22"/>
        </w:rPr>
        <w:t>Por medio del cual se realiza una reclasificación y traslado en el presupuesto general de ingresos y gastos del departamento del Quindío para la vigencia fiscal 2022"</w:t>
      </w:r>
      <w:r w:rsidR="00D64160" w:rsidRPr="00D64160">
        <w:rPr>
          <w:rFonts w:ascii="Arial" w:hAnsi="Arial" w:cs="Arial"/>
          <w:iCs/>
          <w:sz w:val="22"/>
        </w:rPr>
        <w:t>. L</w:t>
      </w:r>
      <w:r>
        <w:rPr>
          <w:rFonts w:ascii="Arial" w:hAnsi="Arial" w:cs="Arial"/>
          <w:sz w:val="22"/>
        </w:rPr>
        <w:t>a reclasificación se realizó por sugerencia del Ministerio de Educación</w:t>
      </w:r>
      <w:r w:rsidR="00D64160">
        <w:rPr>
          <w:rFonts w:ascii="Arial" w:hAnsi="Arial" w:cs="Arial"/>
          <w:sz w:val="22"/>
        </w:rPr>
        <w:t xml:space="preserve"> Nacional</w:t>
      </w:r>
      <w:r>
        <w:rPr>
          <w:rFonts w:ascii="Arial" w:hAnsi="Arial" w:cs="Arial"/>
          <w:sz w:val="22"/>
        </w:rPr>
        <w:t>, debido a que los $1.448 millones contenían $3.303.650 de superávit de rendimientos financieros, los cuales deb</w:t>
      </w:r>
      <w:r w:rsidR="00D64160">
        <w:rPr>
          <w:rFonts w:ascii="Arial" w:hAnsi="Arial" w:cs="Arial"/>
          <w:sz w:val="22"/>
        </w:rPr>
        <w:t>ía</w:t>
      </w:r>
      <w:r>
        <w:rPr>
          <w:rFonts w:ascii="Arial" w:hAnsi="Arial" w:cs="Arial"/>
          <w:sz w:val="22"/>
        </w:rPr>
        <w:t>n ser reportados en una cuenta diferente. Así, al observar el recaudo de ingresos para la misma vigencia por concepto de superávit de vigencias anteriores ($1.632 millones) se enc</w:t>
      </w:r>
      <w:r w:rsidR="00D64160">
        <w:rPr>
          <w:rFonts w:ascii="Arial" w:hAnsi="Arial" w:cs="Arial"/>
          <w:sz w:val="22"/>
        </w:rPr>
        <w:t xml:space="preserve">ontró </w:t>
      </w:r>
      <w:r>
        <w:rPr>
          <w:rFonts w:ascii="Arial" w:hAnsi="Arial" w:cs="Arial"/>
          <w:sz w:val="22"/>
        </w:rPr>
        <w:t>una diferencia de $184 millones, que se sustent</w:t>
      </w:r>
      <w:r w:rsidR="00D64160">
        <w:rPr>
          <w:rFonts w:ascii="Arial" w:hAnsi="Arial" w:cs="Arial"/>
          <w:sz w:val="22"/>
        </w:rPr>
        <w:t>ó</w:t>
      </w:r>
      <w:r>
        <w:rPr>
          <w:rFonts w:ascii="Arial" w:hAnsi="Arial" w:cs="Arial"/>
          <w:sz w:val="22"/>
        </w:rPr>
        <w:t xml:space="preserve"> en la resta de los tres millones de superávit de rendimientos financieros, más </w:t>
      </w:r>
      <w:r w:rsidR="00D64160">
        <w:rPr>
          <w:rFonts w:ascii="Arial" w:hAnsi="Arial" w:cs="Arial"/>
          <w:sz w:val="22"/>
        </w:rPr>
        <w:t xml:space="preserve">los </w:t>
      </w:r>
      <w:r>
        <w:rPr>
          <w:rFonts w:ascii="Arial" w:hAnsi="Arial" w:cs="Arial"/>
          <w:sz w:val="22"/>
        </w:rPr>
        <w:t xml:space="preserve">recursos de conectividad no ejecutados y adicionados al presupuesto mediante el Decreto No. 760 del 18 de octubre del 2022 ($187 millones). Por lo anterior, existe consistencia entre el cierre de tesorería, la información presupuestal y los actos administrativos. </w:t>
      </w:r>
    </w:p>
    <w:p w14:paraId="578C39C7" w14:textId="77777777" w:rsidR="00DA7276" w:rsidRDefault="00DA7276" w:rsidP="008F6530">
      <w:pPr>
        <w:jc w:val="both"/>
        <w:rPr>
          <w:rFonts w:ascii="Arial" w:hAnsi="Arial" w:cs="Arial"/>
          <w:sz w:val="22"/>
        </w:rPr>
      </w:pPr>
    </w:p>
    <w:p w14:paraId="39917344" w14:textId="77777777" w:rsidR="00DA7276" w:rsidRDefault="00DA7276" w:rsidP="008F6530">
      <w:pPr>
        <w:jc w:val="both"/>
        <w:rPr>
          <w:rFonts w:ascii="Arial" w:hAnsi="Arial" w:cs="Arial"/>
          <w:sz w:val="22"/>
        </w:rPr>
      </w:pPr>
      <w:r>
        <w:rPr>
          <w:rFonts w:ascii="Arial" w:hAnsi="Arial" w:cs="Arial"/>
          <w:sz w:val="22"/>
        </w:rPr>
        <w:t xml:space="preserve">Adicionalmente, en la vigencia 2020 se obtuvo un superávit de $221 millones, de los cuales </w:t>
      </w:r>
      <w:r w:rsidR="00D64160">
        <w:rPr>
          <w:rFonts w:ascii="Arial" w:hAnsi="Arial" w:cs="Arial"/>
          <w:sz w:val="22"/>
        </w:rPr>
        <w:t xml:space="preserve">$224 millones </w:t>
      </w:r>
      <w:r>
        <w:rPr>
          <w:rFonts w:ascii="Arial" w:hAnsi="Arial" w:cs="Arial"/>
          <w:sz w:val="22"/>
        </w:rPr>
        <w:t>fueron recaudados como ingresos de recursos de balance en la vigencia 2021, mediante el Decreto No. 000162 del 18 de marzo de 2021</w:t>
      </w:r>
      <w:r w:rsidR="00D64160">
        <w:rPr>
          <w:rFonts w:ascii="Arial" w:hAnsi="Arial" w:cs="Arial"/>
          <w:sz w:val="22"/>
        </w:rPr>
        <w:t>. L</w:t>
      </w:r>
      <w:r>
        <w:rPr>
          <w:rFonts w:ascii="Arial" w:hAnsi="Arial" w:cs="Arial"/>
          <w:sz w:val="22"/>
        </w:rPr>
        <w:t>a diferencia de $3 millones se presentó debido a una cancelación de vigencias futuras contemplada en el Decreto No. 3 del 4 enero de 2021</w:t>
      </w:r>
      <w:r w:rsidR="00D64160">
        <w:rPr>
          <w:rFonts w:ascii="Arial" w:hAnsi="Arial" w:cs="Arial"/>
          <w:sz w:val="22"/>
        </w:rPr>
        <w:t>,</w:t>
      </w:r>
      <w:r>
        <w:rPr>
          <w:rFonts w:ascii="Arial" w:hAnsi="Arial" w:cs="Arial"/>
          <w:sz w:val="22"/>
        </w:rPr>
        <w:t xml:space="preserve"> “</w:t>
      </w:r>
      <w:r>
        <w:rPr>
          <w:rFonts w:ascii="Arial" w:hAnsi="Arial" w:cs="Arial"/>
          <w:i/>
          <w:sz w:val="22"/>
        </w:rPr>
        <w:t xml:space="preserve">Por medio del cual se incorpora parcialmente recuso del balance liquidados a 21 de diciembre de 2020, en el presupuesto general del Departamento de Quindío para la vigencia fiscal 2021 correspondientes a vigencias futuras ordinarias y excepcionales constituidas a 31 de diciembre de 2020”. </w:t>
      </w:r>
      <w:r>
        <w:rPr>
          <w:rFonts w:ascii="Arial" w:hAnsi="Arial" w:cs="Arial"/>
          <w:sz w:val="22"/>
        </w:rPr>
        <w:t xml:space="preserve">Por lo anterior, existe consistencia entre el cierre de tesorería, la información presupuestal y los actos administrativos. </w:t>
      </w:r>
    </w:p>
    <w:p w14:paraId="1BFFC7BB" w14:textId="77777777" w:rsidR="00DA7276" w:rsidRDefault="00DA7276" w:rsidP="008F6530">
      <w:pPr>
        <w:jc w:val="both"/>
        <w:rPr>
          <w:rFonts w:ascii="Arial" w:hAnsi="Arial" w:cs="Arial"/>
          <w:sz w:val="22"/>
        </w:rPr>
      </w:pPr>
    </w:p>
    <w:p w14:paraId="3E9E041C" w14:textId="77777777" w:rsidR="00DA7276" w:rsidRDefault="00DA7276" w:rsidP="008F6530">
      <w:pPr>
        <w:jc w:val="both"/>
        <w:rPr>
          <w:rFonts w:ascii="Arial" w:hAnsi="Arial" w:cs="Arial"/>
          <w:sz w:val="22"/>
        </w:rPr>
      </w:pPr>
      <w:r>
        <w:rPr>
          <w:rFonts w:ascii="Arial" w:hAnsi="Arial" w:cs="Arial"/>
          <w:sz w:val="22"/>
        </w:rPr>
        <w:t>Igualmente, tesorería inform</w:t>
      </w:r>
      <w:r w:rsidR="00D64160">
        <w:rPr>
          <w:rFonts w:ascii="Arial" w:hAnsi="Arial" w:cs="Arial"/>
          <w:sz w:val="22"/>
        </w:rPr>
        <w:t>ó</w:t>
      </w:r>
      <w:r>
        <w:rPr>
          <w:rFonts w:ascii="Arial" w:hAnsi="Arial" w:cs="Arial"/>
          <w:sz w:val="22"/>
        </w:rPr>
        <w:t xml:space="preserve"> en el cierre de la vigencia 2022 poseer un saldo en bancos de $455 millones ($116 millones de embargos más $339 millones del saldo en bancos de tesorería). Los extractos bancarios arrojan un saldo de $1.319 millones lo cual representa una diferencia, sin tener en cuenta el saldo de embargos pues este recurso no se encuentra en tesorería, de $980 millones ($1.319 millones menos $339 millones), este valor corresponde a transferencias en tránsito que aún no se ven reflejadas en los extractos bancarios. </w:t>
      </w:r>
    </w:p>
    <w:p w14:paraId="4F108255" w14:textId="77777777" w:rsidR="00DA7276" w:rsidRDefault="00DA7276" w:rsidP="008F6530">
      <w:pPr>
        <w:jc w:val="both"/>
        <w:rPr>
          <w:rFonts w:ascii="Arial" w:hAnsi="Arial" w:cs="Arial"/>
          <w:sz w:val="22"/>
        </w:rPr>
      </w:pPr>
    </w:p>
    <w:p w14:paraId="4764E0C1" w14:textId="77777777" w:rsidR="00DA7276" w:rsidRDefault="00DA7276" w:rsidP="008F6530">
      <w:pPr>
        <w:jc w:val="both"/>
        <w:rPr>
          <w:rFonts w:ascii="Arial" w:hAnsi="Arial" w:cs="Arial"/>
          <w:sz w:val="22"/>
        </w:rPr>
      </w:pPr>
      <w:r>
        <w:rPr>
          <w:rFonts w:ascii="Arial" w:hAnsi="Arial" w:cs="Arial"/>
          <w:sz w:val="22"/>
        </w:rPr>
        <w:t xml:space="preserve">Por lo anterior, existe coherencia entre el cierre de tesorería, el reporte enviado por la Entidad Territorial y los extractos bancarios, como se muestra a continuación: </w:t>
      </w:r>
    </w:p>
    <w:p w14:paraId="040F18D8" w14:textId="77777777" w:rsidR="00DA7276" w:rsidRDefault="00DA7276" w:rsidP="008F6530">
      <w:pPr>
        <w:jc w:val="both"/>
        <w:rPr>
          <w:rFonts w:ascii="Arial" w:hAnsi="Arial" w:cs="Arial"/>
          <w:sz w:val="22"/>
        </w:rPr>
      </w:pPr>
    </w:p>
    <w:tbl>
      <w:tblPr>
        <w:tblW w:w="8870" w:type="dxa"/>
        <w:tblInd w:w="-10" w:type="dxa"/>
        <w:tblCellMar>
          <w:left w:w="70" w:type="dxa"/>
          <w:right w:w="70" w:type="dxa"/>
        </w:tblCellMar>
        <w:tblLook w:val="04A0" w:firstRow="1" w:lastRow="0" w:firstColumn="1" w:lastColumn="0" w:noHBand="0" w:noVBand="1"/>
      </w:tblPr>
      <w:tblGrid>
        <w:gridCol w:w="2503"/>
        <w:gridCol w:w="1766"/>
        <w:gridCol w:w="2798"/>
        <w:gridCol w:w="1803"/>
      </w:tblGrid>
      <w:tr w:rsidR="00DA7276" w14:paraId="67A81A95" w14:textId="77777777" w:rsidTr="002530E1">
        <w:trPr>
          <w:trHeight w:val="20"/>
          <w:tblHeader/>
        </w:trPr>
        <w:tc>
          <w:tcPr>
            <w:tcW w:w="8870" w:type="dxa"/>
            <w:gridSpan w:val="4"/>
            <w:tcBorders>
              <w:top w:val="single" w:sz="8" w:space="0" w:color="auto"/>
              <w:left w:val="single" w:sz="8" w:space="0" w:color="auto"/>
              <w:bottom w:val="single" w:sz="4" w:space="0" w:color="auto"/>
              <w:right w:val="single" w:sz="8" w:space="0" w:color="000000"/>
            </w:tcBorders>
            <w:shd w:val="clear" w:color="auto" w:fill="203764"/>
            <w:hideMark/>
          </w:tcPr>
          <w:p w14:paraId="5238C9F2"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SALDO CUENTAS BANCARIAS AL 31 DE DICIEMBRE DEL 2022</w:t>
            </w:r>
          </w:p>
        </w:tc>
      </w:tr>
      <w:tr w:rsidR="00DA7276" w14:paraId="1A2D60E2" w14:textId="77777777" w:rsidTr="002530E1">
        <w:trPr>
          <w:trHeight w:val="20"/>
          <w:tblHeader/>
        </w:trPr>
        <w:tc>
          <w:tcPr>
            <w:tcW w:w="2503" w:type="dxa"/>
            <w:tcBorders>
              <w:top w:val="nil"/>
              <w:left w:val="single" w:sz="8" w:space="0" w:color="auto"/>
              <w:bottom w:val="single" w:sz="4" w:space="0" w:color="auto"/>
              <w:right w:val="single" w:sz="4" w:space="0" w:color="auto"/>
            </w:tcBorders>
            <w:shd w:val="clear" w:color="auto" w:fill="95B3D7"/>
            <w:hideMark/>
          </w:tcPr>
          <w:p w14:paraId="3710C5E2"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Banco/ Cuenta</w:t>
            </w:r>
          </w:p>
        </w:tc>
        <w:tc>
          <w:tcPr>
            <w:tcW w:w="1766" w:type="dxa"/>
            <w:tcBorders>
              <w:top w:val="nil"/>
              <w:left w:val="nil"/>
              <w:bottom w:val="single" w:sz="4" w:space="0" w:color="auto"/>
              <w:right w:val="single" w:sz="4" w:space="0" w:color="auto"/>
            </w:tcBorders>
            <w:shd w:val="clear" w:color="auto" w:fill="95B3D7"/>
            <w:hideMark/>
          </w:tcPr>
          <w:p w14:paraId="19843D54"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Nro. de cuenta</w:t>
            </w:r>
          </w:p>
        </w:tc>
        <w:tc>
          <w:tcPr>
            <w:tcW w:w="2797" w:type="dxa"/>
            <w:tcBorders>
              <w:top w:val="nil"/>
              <w:left w:val="nil"/>
              <w:bottom w:val="single" w:sz="4" w:space="0" w:color="auto"/>
              <w:right w:val="single" w:sz="4" w:space="0" w:color="auto"/>
            </w:tcBorders>
            <w:shd w:val="clear" w:color="auto" w:fill="95B3D7"/>
            <w:hideMark/>
          </w:tcPr>
          <w:p w14:paraId="01318B46"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Concepto</w:t>
            </w:r>
          </w:p>
        </w:tc>
        <w:tc>
          <w:tcPr>
            <w:tcW w:w="1803" w:type="dxa"/>
            <w:tcBorders>
              <w:top w:val="nil"/>
              <w:left w:val="nil"/>
              <w:bottom w:val="single" w:sz="4" w:space="0" w:color="auto"/>
              <w:right w:val="single" w:sz="8" w:space="0" w:color="auto"/>
            </w:tcBorders>
            <w:shd w:val="clear" w:color="auto" w:fill="95B3D7"/>
            <w:hideMark/>
          </w:tcPr>
          <w:p w14:paraId="64B8A20B"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2022</w:t>
            </w:r>
          </w:p>
        </w:tc>
      </w:tr>
      <w:tr w:rsidR="00DA7276" w14:paraId="587290EF" w14:textId="77777777" w:rsidTr="00291346">
        <w:trPr>
          <w:trHeight w:val="20"/>
        </w:trPr>
        <w:tc>
          <w:tcPr>
            <w:tcW w:w="2503" w:type="dxa"/>
            <w:tcBorders>
              <w:top w:val="nil"/>
              <w:left w:val="single" w:sz="8" w:space="0" w:color="auto"/>
              <w:bottom w:val="single" w:sz="4" w:space="0" w:color="auto"/>
              <w:right w:val="single" w:sz="4" w:space="0" w:color="auto"/>
            </w:tcBorders>
            <w:noWrap/>
            <w:hideMark/>
          </w:tcPr>
          <w:p w14:paraId="59EA77B8"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DAVIVIENDA</w:t>
            </w:r>
          </w:p>
        </w:tc>
        <w:tc>
          <w:tcPr>
            <w:tcW w:w="1766" w:type="dxa"/>
            <w:tcBorders>
              <w:top w:val="nil"/>
              <w:left w:val="nil"/>
              <w:bottom w:val="single" w:sz="4" w:space="0" w:color="auto"/>
              <w:right w:val="single" w:sz="4" w:space="0" w:color="auto"/>
            </w:tcBorders>
            <w:noWrap/>
            <w:hideMark/>
          </w:tcPr>
          <w:p w14:paraId="12FFC1D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1366 0016 5924</w:t>
            </w:r>
          </w:p>
        </w:tc>
        <w:tc>
          <w:tcPr>
            <w:tcW w:w="2797" w:type="dxa"/>
            <w:tcBorders>
              <w:top w:val="nil"/>
              <w:left w:val="nil"/>
              <w:bottom w:val="single" w:sz="4" w:space="0" w:color="auto"/>
              <w:right w:val="single" w:sz="4" w:space="0" w:color="auto"/>
            </w:tcBorders>
            <w:hideMark/>
          </w:tcPr>
          <w:p w14:paraId="78BBE91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Nómina</w:t>
            </w:r>
          </w:p>
        </w:tc>
        <w:tc>
          <w:tcPr>
            <w:tcW w:w="1803" w:type="dxa"/>
            <w:tcBorders>
              <w:top w:val="nil"/>
              <w:left w:val="nil"/>
              <w:bottom w:val="single" w:sz="4" w:space="0" w:color="auto"/>
              <w:right w:val="single" w:sz="8" w:space="0" w:color="auto"/>
            </w:tcBorders>
            <w:noWrap/>
            <w:hideMark/>
          </w:tcPr>
          <w:p w14:paraId="5BEAC41E"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r>
      <w:tr w:rsidR="00DA7276" w14:paraId="5A97AEBD" w14:textId="77777777" w:rsidTr="00291346">
        <w:trPr>
          <w:trHeight w:val="20"/>
        </w:trPr>
        <w:tc>
          <w:tcPr>
            <w:tcW w:w="2503" w:type="dxa"/>
            <w:tcBorders>
              <w:top w:val="nil"/>
              <w:left w:val="single" w:sz="8" w:space="0" w:color="auto"/>
              <w:bottom w:val="single" w:sz="4" w:space="0" w:color="auto"/>
              <w:right w:val="single" w:sz="4" w:space="0" w:color="auto"/>
            </w:tcBorders>
            <w:noWrap/>
            <w:hideMark/>
          </w:tcPr>
          <w:p w14:paraId="3E2EF91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DAVIVIENDA</w:t>
            </w:r>
          </w:p>
        </w:tc>
        <w:tc>
          <w:tcPr>
            <w:tcW w:w="1766" w:type="dxa"/>
            <w:tcBorders>
              <w:top w:val="nil"/>
              <w:left w:val="nil"/>
              <w:bottom w:val="single" w:sz="4" w:space="0" w:color="auto"/>
              <w:right w:val="single" w:sz="4" w:space="0" w:color="auto"/>
            </w:tcBorders>
            <w:noWrap/>
            <w:hideMark/>
          </w:tcPr>
          <w:p w14:paraId="2B16C02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1366 0016 5932</w:t>
            </w:r>
          </w:p>
        </w:tc>
        <w:tc>
          <w:tcPr>
            <w:tcW w:w="2797" w:type="dxa"/>
            <w:tcBorders>
              <w:top w:val="nil"/>
              <w:left w:val="nil"/>
              <w:bottom w:val="single" w:sz="4" w:space="0" w:color="auto"/>
              <w:right w:val="single" w:sz="4" w:space="0" w:color="auto"/>
            </w:tcBorders>
            <w:hideMark/>
          </w:tcPr>
          <w:p w14:paraId="22D62EA6"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Diferente de nómina</w:t>
            </w:r>
          </w:p>
        </w:tc>
        <w:tc>
          <w:tcPr>
            <w:tcW w:w="1803" w:type="dxa"/>
            <w:tcBorders>
              <w:top w:val="nil"/>
              <w:left w:val="nil"/>
              <w:bottom w:val="single" w:sz="4" w:space="0" w:color="auto"/>
              <w:right w:val="single" w:sz="8" w:space="0" w:color="auto"/>
            </w:tcBorders>
            <w:noWrap/>
            <w:hideMark/>
          </w:tcPr>
          <w:p w14:paraId="0DC85CAA"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1.315</w:t>
            </w:r>
          </w:p>
        </w:tc>
      </w:tr>
      <w:tr w:rsidR="00DA7276" w14:paraId="1DA9E3B4" w14:textId="77777777" w:rsidTr="00291346">
        <w:trPr>
          <w:trHeight w:val="20"/>
        </w:trPr>
        <w:tc>
          <w:tcPr>
            <w:tcW w:w="2503" w:type="dxa"/>
            <w:tcBorders>
              <w:top w:val="nil"/>
              <w:left w:val="single" w:sz="8" w:space="0" w:color="auto"/>
              <w:bottom w:val="single" w:sz="4" w:space="0" w:color="auto"/>
              <w:right w:val="single" w:sz="4" w:space="0" w:color="auto"/>
            </w:tcBorders>
            <w:noWrap/>
            <w:hideMark/>
          </w:tcPr>
          <w:p w14:paraId="08175F5B"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lastRenderedPageBreak/>
              <w:t>DAVIVIENDA</w:t>
            </w:r>
          </w:p>
        </w:tc>
        <w:tc>
          <w:tcPr>
            <w:tcW w:w="1766" w:type="dxa"/>
            <w:tcBorders>
              <w:top w:val="nil"/>
              <w:left w:val="nil"/>
              <w:bottom w:val="single" w:sz="4" w:space="0" w:color="auto"/>
              <w:right w:val="single" w:sz="4" w:space="0" w:color="auto"/>
            </w:tcBorders>
            <w:noWrap/>
            <w:hideMark/>
          </w:tcPr>
          <w:p w14:paraId="03B1DF9C"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1366 0017 2920</w:t>
            </w:r>
          </w:p>
        </w:tc>
        <w:tc>
          <w:tcPr>
            <w:tcW w:w="2797" w:type="dxa"/>
            <w:tcBorders>
              <w:top w:val="nil"/>
              <w:left w:val="nil"/>
              <w:bottom w:val="single" w:sz="4" w:space="0" w:color="auto"/>
              <w:right w:val="single" w:sz="4" w:space="0" w:color="auto"/>
            </w:tcBorders>
            <w:hideMark/>
          </w:tcPr>
          <w:p w14:paraId="59DC03F7"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Pagadora de nómina</w:t>
            </w:r>
          </w:p>
        </w:tc>
        <w:tc>
          <w:tcPr>
            <w:tcW w:w="1803" w:type="dxa"/>
            <w:tcBorders>
              <w:top w:val="nil"/>
              <w:left w:val="nil"/>
              <w:bottom w:val="single" w:sz="4" w:space="0" w:color="auto"/>
              <w:right w:val="single" w:sz="8" w:space="0" w:color="auto"/>
            </w:tcBorders>
            <w:noWrap/>
            <w:hideMark/>
          </w:tcPr>
          <w:p w14:paraId="6890FF95"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w:t>
            </w:r>
          </w:p>
        </w:tc>
      </w:tr>
      <w:tr w:rsidR="00DA7276" w14:paraId="3D7BA0F3" w14:textId="77777777" w:rsidTr="00291346">
        <w:trPr>
          <w:trHeight w:val="20"/>
        </w:trPr>
        <w:tc>
          <w:tcPr>
            <w:tcW w:w="2503" w:type="dxa"/>
            <w:tcBorders>
              <w:top w:val="nil"/>
              <w:left w:val="single" w:sz="8" w:space="0" w:color="auto"/>
              <w:bottom w:val="single" w:sz="4" w:space="0" w:color="auto"/>
              <w:right w:val="single" w:sz="4" w:space="0" w:color="auto"/>
            </w:tcBorders>
            <w:noWrap/>
            <w:hideMark/>
          </w:tcPr>
          <w:p w14:paraId="19912B70"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DAVIVIENDA</w:t>
            </w:r>
          </w:p>
        </w:tc>
        <w:tc>
          <w:tcPr>
            <w:tcW w:w="1766" w:type="dxa"/>
            <w:tcBorders>
              <w:top w:val="nil"/>
              <w:left w:val="nil"/>
              <w:bottom w:val="single" w:sz="4" w:space="0" w:color="auto"/>
              <w:right w:val="single" w:sz="4" w:space="0" w:color="auto"/>
            </w:tcBorders>
            <w:noWrap/>
            <w:hideMark/>
          </w:tcPr>
          <w:p w14:paraId="713C2041"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1366 0017 7218</w:t>
            </w:r>
          </w:p>
        </w:tc>
        <w:tc>
          <w:tcPr>
            <w:tcW w:w="2797" w:type="dxa"/>
            <w:tcBorders>
              <w:top w:val="nil"/>
              <w:left w:val="nil"/>
              <w:bottom w:val="single" w:sz="4" w:space="0" w:color="auto"/>
              <w:right w:val="single" w:sz="4" w:space="0" w:color="auto"/>
            </w:tcBorders>
            <w:hideMark/>
          </w:tcPr>
          <w:p w14:paraId="2AAE6323"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Pagadora Diferente de nómina</w:t>
            </w:r>
          </w:p>
        </w:tc>
        <w:tc>
          <w:tcPr>
            <w:tcW w:w="1803" w:type="dxa"/>
            <w:tcBorders>
              <w:top w:val="nil"/>
              <w:left w:val="nil"/>
              <w:bottom w:val="single" w:sz="4" w:space="0" w:color="auto"/>
              <w:right w:val="single" w:sz="8" w:space="0" w:color="auto"/>
            </w:tcBorders>
            <w:noWrap/>
            <w:hideMark/>
          </w:tcPr>
          <w:p w14:paraId="7F1E0390" w14:textId="77777777" w:rsidR="00DA7276" w:rsidRDefault="00DA7276" w:rsidP="008F6530">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r>
      <w:tr w:rsidR="00DA7276" w14:paraId="40E75C5F" w14:textId="77777777" w:rsidTr="00291346">
        <w:trPr>
          <w:trHeight w:val="20"/>
        </w:trPr>
        <w:tc>
          <w:tcPr>
            <w:tcW w:w="7067" w:type="dxa"/>
            <w:gridSpan w:val="3"/>
            <w:tcBorders>
              <w:top w:val="single" w:sz="4" w:space="0" w:color="auto"/>
              <w:left w:val="single" w:sz="8" w:space="0" w:color="auto"/>
              <w:bottom w:val="single" w:sz="4" w:space="0" w:color="auto"/>
              <w:right w:val="single" w:sz="4" w:space="0" w:color="auto"/>
            </w:tcBorders>
            <w:shd w:val="clear" w:color="auto" w:fill="95B3D7"/>
            <w:hideMark/>
          </w:tcPr>
          <w:p w14:paraId="4ADA6B02"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Total Extractos Bancarios</w:t>
            </w:r>
          </w:p>
        </w:tc>
        <w:tc>
          <w:tcPr>
            <w:tcW w:w="1803" w:type="dxa"/>
            <w:tcBorders>
              <w:top w:val="nil"/>
              <w:left w:val="nil"/>
              <w:bottom w:val="single" w:sz="4" w:space="0" w:color="auto"/>
              <w:right w:val="single" w:sz="8" w:space="0" w:color="auto"/>
            </w:tcBorders>
            <w:shd w:val="clear" w:color="auto" w:fill="95B3D7"/>
            <w:hideMark/>
          </w:tcPr>
          <w:p w14:paraId="384818AC"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1.319</w:t>
            </w:r>
          </w:p>
        </w:tc>
      </w:tr>
      <w:tr w:rsidR="00DA7276" w14:paraId="3A34B82C" w14:textId="77777777" w:rsidTr="00291346">
        <w:trPr>
          <w:trHeight w:val="20"/>
        </w:trPr>
        <w:tc>
          <w:tcPr>
            <w:tcW w:w="7067" w:type="dxa"/>
            <w:gridSpan w:val="3"/>
            <w:tcBorders>
              <w:top w:val="single" w:sz="4" w:space="0" w:color="auto"/>
              <w:left w:val="single" w:sz="8" w:space="0" w:color="auto"/>
              <w:bottom w:val="single" w:sz="4" w:space="0" w:color="auto"/>
              <w:right w:val="single" w:sz="4" w:space="0" w:color="auto"/>
            </w:tcBorders>
            <w:shd w:val="clear" w:color="auto" w:fill="95B3D7"/>
            <w:hideMark/>
          </w:tcPr>
          <w:p w14:paraId="06CF72D8"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en Bancos Cierre de Tesorería</w:t>
            </w:r>
          </w:p>
        </w:tc>
        <w:tc>
          <w:tcPr>
            <w:tcW w:w="1803" w:type="dxa"/>
            <w:tcBorders>
              <w:top w:val="nil"/>
              <w:left w:val="nil"/>
              <w:bottom w:val="single" w:sz="4" w:space="0" w:color="auto"/>
              <w:right w:val="single" w:sz="8" w:space="0" w:color="auto"/>
            </w:tcBorders>
            <w:shd w:val="clear" w:color="auto" w:fill="95B3D7"/>
            <w:hideMark/>
          </w:tcPr>
          <w:p w14:paraId="5F758323"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339</w:t>
            </w:r>
          </w:p>
        </w:tc>
      </w:tr>
      <w:tr w:rsidR="00DA7276" w14:paraId="77ADA0B0" w14:textId="77777777" w:rsidTr="00291346">
        <w:trPr>
          <w:trHeight w:val="20"/>
        </w:trPr>
        <w:tc>
          <w:tcPr>
            <w:tcW w:w="7067" w:type="dxa"/>
            <w:gridSpan w:val="3"/>
            <w:tcBorders>
              <w:top w:val="single" w:sz="4" w:space="0" w:color="auto"/>
              <w:left w:val="single" w:sz="8" w:space="0" w:color="auto"/>
              <w:bottom w:val="single" w:sz="8" w:space="0" w:color="auto"/>
              <w:right w:val="single" w:sz="4" w:space="0" w:color="auto"/>
            </w:tcBorders>
            <w:shd w:val="clear" w:color="auto" w:fill="95B3D7"/>
            <w:hideMark/>
          </w:tcPr>
          <w:p w14:paraId="138A3D63"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w:t>
            </w:r>
          </w:p>
        </w:tc>
        <w:tc>
          <w:tcPr>
            <w:tcW w:w="1803" w:type="dxa"/>
            <w:tcBorders>
              <w:top w:val="nil"/>
              <w:left w:val="nil"/>
              <w:bottom w:val="single" w:sz="8" w:space="0" w:color="auto"/>
              <w:right w:val="single" w:sz="8" w:space="0" w:color="auto"/>
            </w:tcBorders>
            <w:shd w:val="clear" w:color="auto" w:fill="95B3D7"/>
            <w:hideMark/>
          </w:tcPr>
          <w:p w14:paraId="3961CACB"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980</w:t>
            </w:r>
          </w:p>
        </w:tc>
      </w:tr>
    </w:tbl>
    <w:p w14:paraId="5AFA8310" w14:textId="77777777" w:rsidR="00DA7276" w:rsidRDefault="00DA7276" w:rsidP="008F6530">
      <w:pPr>
        <w:jc w:val="center"/>
        <w:rPr>
          <w:rFonts w:ascii="Arial" w:hAnsi="Arial" w:cs="Arial"/>
          <w:sz w:val="18"/>
        </w:rPr>
      </w:pPr>
      <w:r>
        <w:rPr>
          <w:rFonts w:ascii="Arial" w:hAnsi="Arial" w:cs="Arial"/>
          <w:sz w:val="18"/>
        </w:rPr>
        <w:t>Fuente: Elaboración DAF con información enviada por el Departamento de Quindío.</w:t>
      </w:r>
    </w:p>
    <w:p w14:paraId="5782D1DB" w14:textId="77777777" w:rsidR="00DA7276" w:rsidRDefault="00DA7276" w:rsidP="008F6530">
      <w:pPr>
        <w:jc w:val="both"/>
        <w:rPr>
          <w:rFonts w:ascii="Arial" w:hAnsi="Arial" w:cs="Arial"/>
          <w:sz w:val="22"/>
        </w:rPr>
      </w:pPr>
    </w:p>
    <w:p w14:paraId="50B99E9E" w14:textId="77777777" w:rsidR="00DA7276" w:rsidRDefault="00DA7276" w:rsidP="008F6530">
      <w:pPr>
        <w:jc w:val="both"/>
        <w:rPr>
          <w:rFonts w:ascii="Arial" w:hAnsi="Arial" w:cs="Arial"/>
          <w:sz w:val="22"/>
        </w:rPr>
      </w:pPr>
      <w:r>
        <w:rPr>
          <w:rFonts w:ascii="Arial" w:hAnsi="Arial" w:cs="Arial"/>
          <w:sz w:val="22"/>
        </w:rPr>
        <w:t>Finalmente, aunque se presentan diferencias entre la información analizada anteriormente y la reportada en el FUT, como se expresó en el acápite de cierre de tesorería de este informe y en la evaluación de esta actividad del informe de seguimiento anterior, estas serán evaluadas en la actividad 1.1.1. del Plan de Desempeño.</w:t>
      </w:r>
    </w:p>
    <w:p w14:paraId="7C06E7FD" w14:textId="77777777" w:rsidR="00DA7276" w:rsidRDefault="00DA7276" w:rsidP="008F6530">
      <w:pPr>
        <w:jc w:val="both"/>
        <w:rPr>
          <w:rFonts w:ascii="Arial" w:hAnsi="Arial" w:cs="Arial"/>
          <w:sz w:val="22"/>
        </w:rPr>
      </w:pPr>
    </w:p>
    <w:p w14:paraId="2FFED7E3" w14:textId="77777777" w:rsidR="00DA7276" w:rsidRDefault="00DA7276" w:rsidP="008F6530">
      <w:pPr>
        <w:jc w:val="both"/>
        <w:rPr>
          <w:rFonts w:ascii="Arial" w:hAnsi="Arial" w:cs="Arial"/>
          <w:sz w:val="22"/>
        </w:rPr>
      </w:pPr>
      <w:r>
        <w:rPr>
          <w:rFonts w:ascii="Arial" w:hAnsi="Arial" w:cs="Arial"/>
          <w:sz w:val="22"/>
        </w:rPr>
        <w:t xml:space="preserve">El objetivo de la presente actividad es aclarar las diferencias entre cierre de tesorería, ejecución presupuestal y extractos bancarios evidenciadas en informes anteriores por lo cual, una vez analizada la documentación allegada por la administración departamental se concluye que la problemática detectada </w:t>
      </w:r>
      <w:r w:rsidR="00D64160">
        <w:rPr>
          <w:rFonts w:ascii="Arial" w:hAnsi="Arial" w:cs="Arial"/>
          <w:sz w:val="22"/>
        </w:rPr>
        <w:t>fue</w:t>
      </w:r>
      <w:r>
        <w:rPr>
          <w:rFonts w:ascii="Arial" w:hAnsi="Arial" w:cs="Arial"/>
          <w:sz w:val="22"/>
        </w:rPr>
        <w:t xml:space="preserve"> subsanada y las fuentes de información consultadas son consistentes entre sí. </w:t>
      </w:r>
    </w:p>
    <w:p w14:paraId="5EACE66C" w14:textId="77777777" w:rsidR="00DA7276" w:rsidRDefault="00DA7276" w:rsidP="008F6530">
      <w:pPr>
        <w:jc w:val="both"/>
        <w:rPr>
          <w:rFonts w:ascii="Arial" w:hAnsi="Arial" w:cs="Arial"/>
          <w:sz w:val="22"/>
        </w:rPr>
      </w:pPr>
    </w:p>
    <w:p w14:paraId="2A109799" w14:textId="77777777" w:rsidR="00DA7276" w:rsidRDefault="00DA7276" w:rsidP="008F6530">
      <w:pPr>
        <w:pStyle w:val="Textoindependiente"/>
        <w:ind w:right="194"/>
        <w:jc w:val="both"/>
      </w:pPr>
      <w:r>
        <w:rPr>
          <w:b/>
          <w:bCs/>
        </w:rPr>
        <w:t>Evaluación de la actividad:</w:t>
      </w:r>
      <w:r>
        <w:rPr>
          <w:b/>
        </w:rPr>
        <w:t xml:space="preserve"> </w:t>
      </w:r>
      <w:r>
        <w:t>Cumple</w:t>
      </w:r>
    </w:p>
    <w:p w14:paraId="5994A4AB" w14:textId="77777777" w:rsidR="00DA7276" w:rsidRDefault="00DA7276" w:rsidP="008F6530">
      <w:pPr>
        <w:jc w:val="both"/>
        <w:rPr>
          <w:rFonts w:ascii="Arial" w:hAnsi="Arial" w:cs="Arial"/>
          <w:sz w:val="22"/>
          <w:szCs w:val="22"/>
        </w:rPr>
      </w:pPr>
    </w:p>
    <w:p w14:paraId="367E1707"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Recomendación</w:t>
      </w:r>
    </w:p>
    <w:p w14:paraId="1E463865" w14:textId="77777777" w:rsidR="00DA7276" w:rsidRDefault="00DA7276" w:rsidP="008F6530">
      <w:pPr>
        <w:rPr>
          <w:lang w:eastAsia="en-US"/>
        </w:rPr>
      </w:pPr>
    </w:p>
    <w:p w14:paraId="06EE2DCC" w14:textId="77777777" w:rsidR="00DA7276" w:rsidRDefault="00DA7276" w:rsidP="008F6530">
      <w:pPr>
        <w:jc w:val="both"/>
        <w:rPr>
          <w:rFonts w:ascii="Arial" w:hAnsi="Arial" w:cs="Arial"/>
          <w:sz w:val="22"/>
        </w:rPr>
      </w:pPr>
      <w:r>
        <w:rPr>
          <w:rFonts w:ascii="Arial" w:hAnsi="Arial" w:cs="Arial"/>
          <w:sz w:val="22"/>
        </w:rPr>
        <w:t xml:space="preserve">Es de vital importancia que la Entidad Territorial continúe realizando los procesos de cruce y/o comparación de la información de tesorería y presupuestal, así como de la información reportada por los bancos, garantizando congruencia y coherencia entre la misma y detectando posibles inconsistencias de manera oportuna. Lo anterior garantiza un control efectivo a los recursos del Sistema General de Participaciones y por ende el compromiso por parte de la administración en la adecuada ejecución de </w:t>
      </w:r>
      <w:r w:rsidR="00301568">
        <w:rPr>
          <w:rFonts w:ascii="Arial" w:hAnsi="Arial" w:cs="Arial"/>
          <w:sz w:val="22"/>
        </w:rPr>
        <w:t>estos</w:t>
      </w:r>
      <w:r>
        <w:rPr>
          <w:rFonts w:ascii="Arial" w:hAnsi="Arial" w:cs="Arial"/>
          <w:sz w:val="22"/>
        </w:rPr>
        <w:t xml:space="preserve">. </w:t>
      </w:r>
    </w:p>
    <w:p w14:paraId="7A5F99F0" w14:textId="77777777" w:rsidR="00DA7276" w:rsidRDefault="00DA7276" w:rsidP="008F6530"/>
    <w:p w14:paraId="40A17A2F"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rPr>
        <w:t>Objetivo 1.2.</w:t>
      </w:r>
      <w:r>
        <w:rPr>
          <w:rFonts w:ascii="Arial" w:eastAsia="Arial" w:hAnsi="Arial" w:cs="Arial"/>
          <w:b/>
          <w:color w:val="auto"/>
          <w:sz w:val="22"/>
          <w:szCs w:val="22"/>
        </w:rPr>
        <w:t xml:space="preserve"> Administrar los recursos del SGP asignados al sector en los términos definidos por la normatividad.</w:t>
      </w:r>
    </w:p>
    <w:p w14:paraId="0DD9296E" w14:textId="77777777" w:rsidR="00DA7276" w:rsidRDefault="00DA7276" w:rsidP="008F6530"/>
    <w:p w14:paraId="5F1717F5" w14:textId="77777777" w:rsidR="00DA7276" w:rsidRPr="00D64160" w:rsidRDefault="00DA7276" w:rsidP="008F6530">
      <w:pPr>
        <w:pStyle w:val="Ttulo3"/>
        <w:spacing w:before="0"/>
        <w:jc w:val="both"/>
        <w:rPr>
          <w:rFonts w:ascii="Arial" w:eastAsia="Arial" w:hAnsi="Arial" w:cs="Arial"/>
          <w:b/>
          <w:bCs/>
          <w:i/>
          <w:color w:val="auto"/>
          <w:sz w:val="22"/>
        </w:rPr>
      </w:pPr>
      <w:r w:rsidRPr="00D64160">
        <w:rPr>
          <w:rFonts w:ascii="Arial" w:eastAsia="Arial" w:hAnsi="Arial" w:cs="Arial"/>
          <w:b/>
          <w:bCs/>
          <w:i/>
          <w:color w:val="auto"/>
          <w:sz w:val="22"/>
        </w:rPr>
        <w:t xml:space="preserve">Actividad 1.2.1. Incorporar en el ingreso y ejecutar en el gasto los recursos del SGP en Educación CSF, </w:t>
      </w:r>
      <w:bookmarkStart w:id="4" w:name="_Int_caAkUNxH"/>
      <w:r w:rsidRPr="00D64160">
        <w:rPr>
          <w:rFonts w:ascii="Arial" w:eastAsia="Arial" w:hAnsi="Arial" w:cs="Arial"/>
          <w:b/>
          <w:bCs/>
          <w:i/>
          <w:color w:val="auto"/>
          <w:sz w:val="22"/>
        </w:rPr>
        <w:t>SSF</w:t>
      </w:r>
      <w:bookmarkEnd w:id="4"/>
      <w:r w:rsidRPr="00D64160">
        <w:rPr>
          <w:rFonts w:ascii="Arial" w:eastAsia="Arial" w:hAnsi="Arial" w:cs="Arial"/>
          <w:b/>
          <w:bCs/>
          <w:i/>
          <w:color w:val="auto"/>
          <w:sz w:val="22"/>
        </w:rPr>
        <w:t xml:space="preserve"> y recursos del balance, realizando toda la cadena presupuestal, contable y de tesorería, teniendo en cuenta la normatividad vigente.</w:t>
      </w:r>
    </w:p>
    <w:p w14:paraId="13FEF849" w14:textId="77777777" w:rsidR="00DA7276" w:rsidRDefault="00DA7276" w:rsidP="008F6530">
      <w:pPr>
        <w:jc w:val="both"/>
        <w:rPr>
          <w:rFonts w:ascii="Arial" w:hAnsi="Arial" w:cs="Arial"/>
          <w:sz w:val="22"/>
          <w:szCs w:val="22"/>
          <w:lang w:val="es-CO"/>
        </w:rPr>
      </w:pPr>
    </w:p>
    <w:p w14:paraId="3787B9AC" w14:textId="77777777" w:rsidR="00DA7276" w:rsidRDefault="00DA7276" w:rsidP="008F6530">
      <w:pPr>
        <w:pStyle w:val="Ttulo4"/>
        <w:spacing w:before="0"/>
        <w:jc w:val="both"/>
        <w:rPr>
          <w:rFonts w:ascii="Arial" w:hAnsi="Arial" w:cs="Arial"/>
          <w:sz w:val="22"/>
          <w:szCs w:val="22"/>
          <w:lang w:val="es-CO" w:eastAsia="en-US"/>
        </w:rPr>
      </w:pPr>
      <w:r>
        <w:rPr>
          <w:rFonts w:ascii="Arial" w:eastAsia="Arial" w:hAnsi="Arial" w:cs="Arial"/>
          <w:i w:val="0"/>
          <w:iCs w:val="0"/>
          <w:color w:val="auto"/>
          <w:sz w:val="22"/>
          <w:szCs w:val="22"/>
          <w:u w:val="single"/>
          <w:lang w:eastAsia="en-US"/>
        </w:rPr>
        <w:t>Productos esperados</w:t>
      </w:r>
    </w:p>
    <w:p w14:paraId="6CEADB51" w14:textId="77777777" w:rsidR="00DA7276" w:rsidRDefault="00DA7276" w:rsidP="008F6530">
      <w:pPr>
        <w:pStyle w:val="Prrafodelista"/>
        <w:numPr>
          <w:ilvl w:val="0"/>
          <w:numId w:val="13"/>
        </w:numPr>
        <w:ind w:left="426" w:hanging="426"/>
        <w:jc w:val="both"/>
        <w:rPr>
          <w:rFonts w:ascii="Arial" w:hAnsi="Arial" w:cs="Arial"/>
          <w:sz w:val="22"/>
          <w:szCs w:val="22"/>
          <w:lang w:val="es-CO" w:eastAsia="en-US"/>
        </w:rPr>
      </w:pPr>
      <w:r>
        <w:rPr>
          <w:rFonts w:ascii="Arial" w:hAnsi="Arial" w:cs="Arial"/>
          <w:sz w:val="22"/>
          <w:szCs w:val="22"/>
          <w:lang w:val="es-CO" w:eastAsia="en-US"/>
        </w:rPr>
        <w:t>Ejecuciones presupuestales de ingresos y gastos presupuestal desagregadas por concepto y fuente de financiación que guarden coherencia con el catálogo de cuentas establecido en el FUT.</w:t>
      </w:r>
    </w:p>
    <w:p w14:paraId="08EC987B" w14:textId="77777777" w:rsidR="00DA7276" w:rsidRDefault="00DA7276" w:rsidP="008F6530">
      <w:pPr>
        <w:pStyle w:val="Prrafodelista"/>
        <w:numPr>
          <w:ilvl w:val="0"/>
          <w:numId w:val="13"/>
        </w:numPr>
        <w:ind w:left="426" w:hanging="426"/>
        <w:jc w:val="both"/>
        <w:rPr>
          <w:rFonts w:ascii="Arial" w:hAnsi="Arial" w:cs="Arial"/>
          <w:sz w:val="22"/>
          <w:szCs w:val="22"/>
          <w:lang w:val="es-CO" w:eastAsia="en-US"/>
        </w:rPr>
      </w:pPr>
      <w:r>
        <w:rPr>
          <w:rFonts w:ascii="Arial" w:hAnsi="Arial" w:cs="Arial"/>
          <w:sz w:val="22"/>
          <w:szCs w:val="22"/>
          <w:lang w:val="es-CO" w:eastAsia="en-US"/>
        </w:rPr>
        <w:t>Actos administrativos de incorporación de recursos, constitución de reservas y cuentas por pagar.</w:t>
      </w:r>
    </w:p>
    <w:p w14:paraId="77A26971" w14:textId="77777777" w:rsidR="00DA7276" w:rsidRDefault="00DA7276" w:rsidP="008F6530">
      <w:pPr>
        <w:pStyle w:val="Prrafodelista"/>
        <w:numPr>
          <w:ilvl w:val="0"/>
          <w:numId w:val="13"/>
        </w:numPr>
        <w:ind w:left="426" w:hanging="426"/>
        <w:jc w:val="both"/>
        <w:rPr>
          <w:rFonts w:ascii="Arial" w:hAnsi="Arial" w:cs="Arial"/>
          <w:sz w:val="22"/>
          <w:szCs w:val="22"/>
          <w:lang w:val="es-CO" w:eastAsia="en-US"/>
        </w:rPr>
      </w:pPr>
      <w:r>
        <w:rPr>
          <w:rFonts w:ascii="Arial" w:hAnsi="Arial" w:cs="Arial"/>
          <w:sz w:val="22"/>
          <w:szCs w:val="22"/>
          <w:lang w:val="es-CO" w:eastAsia="en-US"/>
        </w:rPr>
        <w:t>Cierre de tesorería de cada vigencia y las conciliaciones bancarias que lo soporten, con copia de los extractos bancarios de las cuentas en las cuales se administran los recursos del SGP.</w:t>
      </w:r>
    </w:p>
    <w:p w14:paraId="2CB40E2F" w14:textId="77777777" w:rsidR="00DA7276" w:rsidRDefault="00DA7276" w:rsidP="008F6530">
      <w:pPr>
        <w:pStyle w:val="Prrafodelista"/>
        <w:numPr>
          <w:ilvl w:val="0"/>
          <w:numId w:val="13"/>
        </w:numPr>
        <w:ind w:left="426" w:hanging="426"/>
        <w:jc w:val="both"/>
        <w:rPr>
          <w:rFonts w:ascii="Arial" w:hAnsi="Arial" w:cs="Arial"/>
          <w:sz w:val="22"/>
          <w:szCs w:val="22"/>
          <w:lang w:val="es-CO" w:eastAsia="en-US"/>
        </w:rPr>
      </w:pPr>
      <w:r>
        <w:rPr>
          <w:rFonts w:ascii="Arial" w:hAnsi="Arial" w:cs="Arial"/>
          <w:sz w:val="22"/>
          <w:szCs w:val="22"/>
          <w:lang w:val="es-CO" w:eastAsia="en-US"/>
        </w:rPr>
        <w:lastRenderedPageBreak/>
        <w:t xml:space="preserve">Reporte comparativo de lo asignado, del cierre </w:t>
      </w:r>
      <w:proofErr w:type="spellStart"/>
      <w:r>
        <w:rPr>
          <w:rFonts w:ascii="Arial" w:hAnsi="Arial" w:cs="Arial"/>
          <w:sz w:val="22"/>
          <w:szCs w:val="22"/>
          <w:lang w:val="es-CO" w:eastAsia="en-US"/>
        </w:rPr>
        <w:t>tesoral</w:t>
      </w:r>
      <w:proofErr w:type="spellEnd"/>
      <w:r>
        <w:rPr>
          <w:rFonts w:ascii="Arial" w:hAnsi="Arial" w:cs="Arial"/>
          <w:sz w:val="22"/>
          <w:szCs w:val="22"/>
          <w:lang w:val="es-CO" w:eastAsia="en-US"/>
        </w:rPr>
        <w:t xml:space="preserve"> de la vigencia anterior, del presupuesto de ingresos y gastos incorporados y ejecutados CSF, SSF y recursos del balance.</w:t>
      </w:r>
    </w:p>
    <w:p w14:paraId="1290FDEA" w14:textId="77777777" w:rsidR="00DA7276" w:rsidRDefault="00DA7276" w:rsidP="008F6530">
      <w:pPr>
        <w:jc w:val="both"/>
        <w:rPr>
          <w:rFonts w:ascii="Arial" w:hAnsi="Arial" w:cs="Arial"/>
          <w:sz w:val="22"/>
          <w:szCs w:val="22"/>
          <w:lang w:val="es-CO" w:eastAsia="en-US"/>
        </w:rPr>
      </w:pPr>
    </w:p>
    <w:p w14:paraId="5F69AF81" w14:textId="77777777" w:rsidR="00DA7276" w:rsidRDefault="00DA7276" w:rsidP="008F6530">
      <w:pPr>
        <w:pStyle w:val="Ttulo4"/>
        <w:spacing w:before="0"/>
        <w:jc w:val="both"/>
        <w:rPr>
          <w:rFonts w:cs="Arial"/>
          <w:szCs w:val="22"/>
          <w:lang w:val="es-CO"/>
        </w:rPr>
      </w:pPr>
      <w:r>
        <w:rPr>
          <w:rFonts w:ascii="Arial" w:eastAsia="Arial" w:hAnsi="Arial" w:cs="Arial"/>
          <w:i w:val="0"/>
          <w:iCs w:val="0"/>
          <w:color w:val="auto"/>
          <w:sz w:val="22"/>
          <w:szCs w:val="22"/>
          <w:u w:val="single"/>
          <w:lang w:eastAsia="en-US"/>
        </w:rPr>
        <w:t>Evaluación</w:t>
      </w:r>
      <w:r>
        <w:rPr>
          <w:rFonts w:eastAsiaTheme="minorHAnsi" w:cs="Arial"/>
          <w:szCs w:val="22"/>
          <w:lang w:val="es-CO" w:eastAsia="en-US"/>
        </w:rPr>
        <w:t xml:space="preserve"> </w:t>
      </w:r>
    </w:p>
    <w:p w14:paraId="747EDC39" w14:textId="77777777" w:rsidR="00DA7276" w:rsidRDefault="00DA7276" w:rsidP="008F6530">
      <w:pPr>
        <w:pStyle w:val="Textoindependiente"/>
        <w:jc w:val="both"/>
      </w:pPr>
      <w:r>
        <w:t xml:space="preserve"> </w:t>
      </w:r>
    </w:p>
    <w:p w14:paraId="41D37A48" w14:textId="77777777" w:rsidR="00DA7276" w:rsidRDefault="00DA7276" w:rsidP="008F6530">
      <w:pPr>
        <w:pStyle w:val="Textoindependiente"/>
        <w:jc w:val="both"/>
      </w:pPr>
      <w:r>
        <w:t xml:space="preserve">De acuerdo con el análisis de la información presupuestal enviada por el Departamento, así como los demás productos solicitados para esta actividad se elaboró el siguiente cuadro (cifras en millones de pesos): </w:t>
      </w:r>
    </w:p>
    <w:p w14:paraId="6906F47F" w14:textId="77777777" w:rsidR="00DA7276" w:rsidRDefault="00DA7276" w:rsidP="008F6530">
      <w:pPr>
        <w:pStyle w:val="Textoindependiente"/>
        <w:jc w:val="both"/>
      </w:pPr>
    </w:p>
    <w:tbl>
      <w:tblPr>
        <w:tblW w:w="8835" w:type="dxa"/>
        <w:tblLayout w:type="fixed"/>
        <w:tblCellMar>
          <w:left w:w="70" w:type="dxa"/>
          <w:right w:w="70" w:type="dxa"/>
        </w:tblCellMar>
        <w:tblLook w:val="04A0" w:firstRow="1" w:lastRow="0" w:firstColumn="1" w:lastColumn="0" w:noHBand="0" w:noVBand="1"/>
      </w:tblPr>
      <w:tblGrid>
        <w:gridCol w:w="2013"/>
        <w:gridCol w:w="1240"/>
        <w:gridCol w:w="993"/>
        <w:gridCol w:w="1277"/>
        <w:gridCol w:w="1010"/>
        <w:gridCol w:w="1007"/>
        <w:gridCol w:w="1295"/>
      </w:tblGrid>
      <w:tr w:rsidR="00DA7276" w14:paraId="56A9AF46" w14:textId="77777777" w:rsidTr="00291346">
        <w:trPr>
          <w:trHeight w:val="20"/>
        </w:trPr>
        <w:tc>
          <w:tcPr>
            <w:tcW w:w="8828" w:type="dxa"/>
            <w:gridSpan w:val="7"/>
            <w:tcBorders>
              <w:top w:val="nil"/>
              <w:left w:val="single" w:sz="8" w:space="0" w:color="auto"/>
              <w:bottom w:val="single" w:sz="8" w:space="0" w:color="auto"/>
              <w:right w:val="nil"/>
            </w:tcBorders>
            <w:shd w:val="clear" w:color="auto" w:fill="244061"/>
            <w:noWrap/>
            <w:vAlign w:val="center"/>
            <w:hideMark/>
          </w:tcPr>
          <w:p w14:paraId="4ADE8BE5"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ANÁLISIS FUENTE DE FINANCIACIÓN VIGENCIA 2022</w:t>
            </w:r>
          </w:p>
        </w:tc>
      </w:tr>
      <w:tr w:rsidR="00DA7276" w14:paraId="793C3B0E" w14:textId="77777777" w:rsidTr="00291346">
        <w:trPr>
          <w:trHeight w:val="20"/>
        </w:trPr>
        <w:tc>
          <w:tcPr>
            <w:tcW w:w="2012" w:type="dxa"/>
            <w:vMerge w:val="restart"/>
            <w:tcBorders>
              <w:top w:val="nil"/>
              <w:left w:val="single" w:sz="8" w:space="0" w:color="auto"/>
              <w:bottom w:val="single" w:sz="8" w:space="0" w:color="000000"/>
              <w:right w:val="single" w:sz="8" w:space="0" w:color="auto"/>
            </w:tcBorders>
            <w:shd w:val="clear" w:color="auto" w:fill="244061"/>
            <w:noWrap/>
            <w:vAlign w:val="center"/>
            <w:hideMark/>
          </w:tcPr>
          <w:p w14:paraId="46B5FD86"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CONCEPTO</w:t>
            </w:r>
          </w:p>
        </w:tc>
        <w:tc>
          <w:tcPr>
            <w:tcW w:w="3507" w:type="dxa"/>
            <w:gridSpan w:val="3"/>
            <w:tcBorders>
              <w:top w:val="single" w:sz="8" w:space="0" w:color="auto"/>
              <w:left w:val="nil"/>
              <w:bottom w:val="single" w:sz="8" w:space="0" w:color="auto"/>
              <w:right w:val="single" w:sz="8" w:space="0" w:color="000000"/>
            </w:tcBorders>
            <w:shd w:val="clear" w:color="auto" w:fill="244061"/>
            <w:noWrap/>
            <w:vAlign w:val="center"/>
            <w:hideMark/>
          </w:tcPr>
          <w:p w14:paraId="4ECBE980"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EJECUCIÓN PRESUPUESTAL</w:t>
            </w:r>
          </w:p>
        </w:tc>
        <w:tc>
          <w:tcPr>
            <w:tcW w:w="3309" w:type="dxa"/>
            <w:gridSpan w:val="3"/>
            <w:tcBorders>
              <w:top w:val="single" w:sz="8" w:space="0" w:color="auto"/>
              <w:left w:val="nil"/>
              <w:bottom w:val="single" w:sz="8" w:space="0" w:color="auto"/>
              <w:right w:val="single" w:sz="8" w:space="0" w:color="000000"/>
            </w:tcBorders>
            <w:shd w:val="clear" w:color="auto" w:fill="244061"/>
            <w:noWrap/>
            <w:vAlign w:val="center"/>
            <w:hideMark/>
          </w:tcPr>
          <w:p w14:paraId="7FC9BBF2"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CUADRO ETC</w:t>
            </w:r>
          </w:p>
        </w:tc>
      </w:tr>
      <w:tr w:rsidR="00DA7276" w14:paraId="3C11CDF0" w14:textId="77777777" w:rsidTr="00291346">
        <w:trPr>
          <w:trHeight w:val="20"/>
        </w:trPr>
        <w:tc>
          <w:tcPr>
            <w:tcW w:w="8828" w:type="dxa"/>
            <w:vMerge/>
            <w:tcBorders>
              <w:top w:val="nil"/>
              <w:left w:val="single" w:sz="8" w:space="0" w:color="auto"/>
              <w:bottom w:val="single" w:sz="8" w:space="0" w:color="000000"/>
              <w:right w:val="single" w:sz="8" w:space="0" w:color="auto"/>
            </w:tcBorders>
            <w:vAlign w:val="center"/>
            <w:hideMark/>
          </w:tcPr>
          <w:p w14:paraId="16B289F1" w14:textId="77777777" w:rsidR="00DA7276" w:rsidRDefault="00DA7276" w:rsidP="008F6530">
            <w:pPr>
              <w:rPr>
                <w:rFonts w:ascii="Arial" w:eastAsia="Times New Roman" w:hAnsi="Arial" w:cs="Arial"/>
                <w:b/>
                <w:bCs/>
                <w:color w:val="FFFFFF"/>
                <w:sz w:val="18"/>
                <w:szCs w:val="18"/>
                <w:lang w:val="es-CO" w:eastAsia="es-CO"/>
              </w:rPr>
            </w:pPr>
          </w:p>
        </w:tc>
        <w:tc>
          <w:tcPr>
            <w:tcW w:w="1239" w:type="dxa"/>
            <w:tcBorders>
              <w:top w:val="nil"/>
              <w:left w:val="nil"/>
              <w:bottom w:val="single" w:sz="8" w:space="0" w:color="auto"/>
              <w:right w:val="single" w:sz="8" w:space="0" w:color="auto"/>
            </w:tcBorders>
            <w:shd w:val="clear" w:color="auto" w:fill="244061"/>
            <w:noWrap/>
            <w:vAlign w:val="center"/>
            <w:hideMark/>
          </w:tcPr>
          <w:p w14:paraId="5A628DC8"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INGRESO</w:t>
            </w:r>
          </w:p>
        </w:tc>
        <w:tc>
          <w:tcPr>
            <w:tcW w:w="992" w:type="dxa"/>
            <w:tcBorders>
              <w:top w:val="nil"/>
              <w:left w:val="nil"/>
              <w:bottom w:val="single" w:sz="8" w:space="0" w:color="auto"/>
              <w:right w:val="single" w:sz="8" w:space="0" w:color="auto"/>
            </w:tcBorders>
            <w:shd w:val="clear" w:color="auto" w:fill="244061"/>
            <w:noWrap/>
            <w:vAlign w:val="center"/>
            <w:hideMark/>
          </w:tcPr>
          <w:p w14:paraId="11E62A72"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GASTOS</w:t>
            </w:r>
          </w:p>
        </w:tc>
        <w:tc>
          <w:tcPr>
            <w:tcW w:w="1276" w:type="dxa"/>
            <w:tcBorders>
              <w:top w:val="nil"/>
              <w:left w:val="nil"/>
              <w:bottom w:val="single" w:sz="8" w:space="0" w:color="auto"/>
              <w:right w:val="single" w:sz="8" w:space="0" w:color="auto"/>
            </w:tcBorders>
            <w:shd w:val="clear" w:color="auto" w:fill="244061"/>
            <w:vAlign w:val="center"/>
            <w:hideMark/>
          </w:tcPr>
          <w:p w14:paraId="45F70366"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SUPERÁVIT</w:t>
            </w:r>
          </w:p>
        </w:tc>
        <w:tc>
          <w:tcPr>
            <w:tcW w:w="1009" w:type="dxa"/>
            <w:tcBorders>
              <w:top w:val="nil"/>
              <w:left w:val="nil"/>
              <w:bottom w:val="single" w:sz="8" w:space="0" w:color="auto"/>
              <w:right w:val="single" w:sz="8" w:space="0" w:color="auto"/>
            </w:tcBorders>
            <w:shd w:val="clear" w:color="auto" w:fill="244061"/>
            <w:noWrap/>
            <w:vAlign w:val="center"/>
            <w:hideMark/>
          </w:tcPr>
          <w:p w14:paraId="304A2B6F"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INGRESO</w:t>
            </w:r>
          </w:p>
        </w:tc>
        <w:tc>
          <w:tcPr>
            <w:tcW w:w="1006" w:type="dxa"/>
            <w:tcBorders>
              <w:top w:val="nil"/>
              <w:left w:val="nil"/>
              <w:bottom w:val="single" w:sz="8" w:space="0" w:color="auto"/>
              <w:right w:val="single" w:sz="8" w:space="0" w:color="auto"/>
            </w:tcBorders>
            <w:shd w:val="clear" w:color="auto" w:fill="244061"/>
            <w:noWrap/>
            <w:vAlign w:val="center"/>
            <w:hideMark/>
          </w:tcPr>
          <w:p w14:paraId="287110D3"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GASTOS</w:t>
            </w:r>
          </w:p>
        </w:tc>
        <w:tc>
          <w:tcPr>
            <w:tcW w:w="1294" w:type="dxa"/>
            <w:tcBorders>
              <w:top w:val="nil"/>
              <w:left w:val="nil"/>
              <w:bottom w:val="single" w:sz="8" w:space="0" w:color="auto"/>
              <w:right w:val="single" w:sz="8" w:space="0" w:color="auto"/>
            </w:tcBorders>
            <w:shd w:val="clear" w:color="auto" w:fill="244061"/>
            <w:vAlign w:val="center"/>
            <w:hideMark/>
          </w:tcPr>
          <w:p w14:paraId="149F3DC8"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SUPERÁVIT</w:t>
            </w:r>
          </w:p>
        </w:tc>
      </w:tr>
      <w:tr w:rsidR="00DA7276" w14:paraId="58646229"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12165771"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 CSF</w:t>
            </w:r>
          </w:p>
        </w:tc>
        <w:tc>
          <w:tcPr>
            <w:tcW w:w="1239" w:type="dxa"/>
            <w:tcBorders>
              <w:top w:val="nil"/>
              <w:left w:val="nil"/>
              <w:bottom w:val="single" w:sz="8" w:space="0" w:color="auto"/>
              <w:right w:val="single" w:sz="8" w:space="0" w:color="auto"/>
            </w:tcBorders>
            <w:noWrap/>
            <w:vAlign w:val="center"/>
            <w:hideMark/>
          </w:tcPr>
          <w:p w14:paraId="7E25491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146.126</w:t>
            </w:r>
          </w:p>
        </w:tc>
        <w:tc>
          <w:tcPr>
            <w:tcW w:w="992" w:type="dxa"/>
            <w:tcBorders>
              <w:top w:val="nil"/>
              <w:left w:val="nil"/>
              <w:bottom w:val="single" w:sz="8" w:space="0" w:color="auto"/>
              <w:right w:val="single" w:sz="8" w:space="0" w:color="auto"/>
            </w:tcBorders>
            <w:noWrap/>
            <w:vAlign w:val="center"/>
            <w:hideMark/>
          </w:tcPr>
          <w:p w14:paraId="7770E1C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146.126</w:t>
            </w:r>
          </w:p>
        </w:tc>
        <w:tc>
          <w:tcPr>
            <w:tcW w:w="1276" w:type="dxa"/>
            <w:tcBorders>
              <w:top w:val="nil"/>
              <w:left w:val="nil"/>
              <w:bottom w:val="single" w:sz="8" w:space="0" w:color="auto"/>
              <w:right w:val="single" w:sz="8" w:space="0" w:color="auto"/>
            </w:tcBorders>
            <w:noWrap/>
            <w:vAlign w:val="center"/>
            <w:hideMark/>
          </w:tcPr>
          <w:p w14:paraId="40933A0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1009" w:type="dxa"/>
            <w:tcBorders>
              <w:top w:val="nil"/>
              <w:left w:val="nil"/>
              <w:bottom w:val="single" w:sz="8" w:space="0" w:color="auto"/>
              <w:right w:val="single" w:sz="8" w:space="0" w:color="auto"/>
            </w:tcBorders>
            <w:noWrap/>
            <w:vAlign w:val="center"/>
            <w:hideMark/>
          </w:tcPr>
          <w:p w14:paraId="6B262689"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146.126</w:t>
            </w:r>
          </w:p>
        </w:tc>
        <w:tc>
          <w:tcPr>
            <w:tcW w:w="1006" w:type="dxa"/>
            <w:tcBorders>
              <w:top w:val="nil"/>
              <w:left w:val="nil"/>
              <w:bottom w:val="single" w:sz="8" w:space="0" w:color="auto"/>
              <w:right w:val="single" w:sz="8" w:space="0" w:color="auto"/>
            </w:tcBorders>
            <w:noWrap/>
            <w:vAlign w:val="center"/>
            <w:hideMark/>
          </w:tcPr>
          <w:p w14:paraId="31A1499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146.126</w:t>
            </w:r>
          </w:p>
        </w:tc>
        <w:tc>
          <w:tcPr>
            <w:tcW w:w="1294" w:type="dxa"/>
            <w:tcBorders>
              <w:top w:val="nil"/>
              <w:left w:val="nil"/>
              <w:bottom w:val="single" w:sz="8" w:space="0" w:color="auto"/>
              <w:right w:val="single" w:sz="8" w:space="0" w:color="auto"/>
            </w:tcBorders>
            <w:noWrap/>
            <w:vAlign w:val="center"/>
            <w:hideMark/>
          </w:tcPr>
          <w:p w14:paraId="1391B89F"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r>
      <w:tr w:rsidR="00DA7276" w14:paraId="59288DCB"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1E1693CA"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 SSF</w:t>
            </w:r>
          </w:p>
        </w:tc>
        <w:tc>
          <w:tcPr>
            <w:tcW w:w="1239" w:type="dxa"/>
            <w:tcBorders>
              <w:top w:val="nil"/>
              <w:left w:val="nil"/>
              <w:bottom w:val="single" w:sz="8" w:space="0" w:color="auto"/>
              <w:right w:val="single" w:sz="8" w:space="0" w:color="auto"/>
            </w:tcBorders>
            <w:noWrap/>
            <w:vAlign w:val="center"/>
            <w:hideMark/>
          </w:tcPr>
          <w:p w14:paraId="63307E81"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20.731</w:t>
            </w:r>
          </w:p>
        </w:tc>
        <w:tc>
          <w:tcPr>
            <w:tcW w:w="992" w:type="dxa"/>
            <w:tcBorders>
              <w:top w:val="nil"/>
              <w:left w:val="nil"/>
              <w:bottom w:val="single" w:sz="8" w:space="0" w:color="auto"/>
              <w:right w:val="single" w:sz="8" w:space="0" w:color="auto"/>
            </w:tcBorders>
            <w:noWrap/>
            <w:vAlign w:val="center"/>
            <w:hideMark/>
          </w:tcPr>
          <w:p w14:paraId="5671F7B3"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20.731</w:t>
            </w:r>
          </w:p>
        </w:tc>
        <w:tc>
          <w:tcPr>
            <w:tcW w:w="1276" w:type="dxa"/>
            <w:tcBorders>
              <w:top w:val="nil"/>
              <w:left w:val="nil"/>
              <w:bottom w:val="single" w:sz="8" w:space="0" w:color="auto"/>
              <w:right w:val="single" w:sz="8" w:space="0" w:color="auto"/>
            </w:tcBorders>
            <w:noWrap/>
            <w:vAlign w:val="center"/>
            <w:hideMark/>
          </w:tcPr>
          <w:p w14:paraId="6D3869E3"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009" w:type="dxa"/>
            <w:tcBorders>
              <w:top w:val="nil"/>
              <w:left w:val="nil"/>
              <w:bottom w:val="single" w:sz="8" w:space="0" w:color="auto"/>
              <w:right w:val="single" w:sz="8" w:space="0" w:color="auto"/>
            </w:tcBorders>
            <w:noWrap/>
            <w:vAlign w:val="center"/>
            <w:hideMark/>
          </w:tcPr>
          <w:p w14:paraId="28431DD5"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20.731</w:t>
            </w:r>
          </w:p>
        </w:tc>
        <w:tc>
          <w:tcPr>
            <w:tcW w:w="1006" w:type="dxa"/>
            <w:tcBorders>
              <w:top w:val="nil"/>
              <w:left w:val="nil"/>
              <w:bottom w:val="single" w:sz="8" w:space="0" w:color="auto"/>
              <w:right w:val="single" w:sz="8" w:space="0" w:color="auto"/>
            </w:tcBorders>
            <w:noWrap/>
            <w:vAlign w:val="center"/>
            <w:hideMark/>
          </w:tcPr>
          <w:p w14:paraId="31DC2B4D"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20.731</w:t>
            </w:r>
          </w:p>
        </w:tc>
        <w:tc>
          <w:tcPr>
            <w:tcW w:w="1294" w:type="dxa"/>
            <w:tcBorders>
              <w:top w:val="nil"/>
              <w:left w:val="nil"/>
              <w:bottom w:val="single" w:sz="8" w:space="0" w:color="auto"/>
              <w:right w:val="single" w:sz="8" w:space="0" w:color="auto"/>
            </w:tcBorders>
            <w:noWrap/>
            <w:vAlign w:val="center"/>
            <w:hideMark/>
          </w:tcPr>
          <w:p w14:paraId="6676084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DA7276" w14:paraId="0C0682F2"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03D48435"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fiscal</w:t>
            </w:r>
          </w:p>
        </w:tc>
        <w:tc>
          <w:tcPr>
            <w:tcW w:w="1239" w:type="dxa"/>
            <w:tcBorders>
              <w:top w:val="nil"/>
              <w:left w:val="nil"/>
              <w:bottom w:val="single" w:sz="8" w:space="0" w:color="auto"/>
              <w:right w:val="single" w:sz="8" w:space="0" w:color="auto"/>
            </w:tcBorders>
            <w:noWrap/>
            <w:vAlign w:val="center"/>
            <w:hideMark/>
          </w:tcPr>
          <w:p w14:paraId="0AE0A87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1.721</w:t>
            </w:r>
          </w:p>
        </w:tc>
        <w:tc>
          <w:tcPr>
            <w:tcW w:w="992" w:type="dxa"/>
            <w:tcBorders>
              <w:top w:val="nil"/>
              <w:left w:val="nil"/>
              <w:bottom w:val="single" w:sz="8" w:space="0" w:color="auto"/>
              <w:right w:val="single" w:sz="8" w:space="0" w:color="auto"/>
            </w:tcBorders>
            <w:noWrap/>
            <w:vAlign w:val="center"/>
            <w:hideMark/>
          </w:tcPr>
          <w:p w14:paraId="67ABB472"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1.605</w:t>
            </w:r>
          </w:p>
        </w:tc>
        <w:tc>
          <w:tcPr>
            <w:tcW w:w="1276" w:type="dxa"/>
            <w:tcBorders>
              <w:top w:val="nil"/>
              <w:left w:val="nil"/>
              <w:bottom w:val="single" w:sz="8" w:space="0" w:color="auto"/>
              <w:right w:val="single" w:sz="8" w:space="0" w:color="auto"/>
            </w:tcBorders>
            <w:noWrap/>
            <w:vAlign w:val="center"/>
            <w:hideMark/>
          </w:tcPr>
          <w:p w14:paraId="413663BD"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116</w:t>
            </w:r>
          </w:p>
        </w:tc>
        <w:tc>
          <w:tcPr>
            <w:tcW w:w="1009" w:type="dxa"/>
            <w:tcBorders>
              <w:top w:val="nil"/>
              <w:left w:val="nil"/>
              <w:bottom w:val="single" w:sz="8" w:space="0" w:color="auto"/>
              <w:right w:val="single" w:sz="8" w:space="0" w:color="auto"/>
            </w:tcBorders>
            <w:noWrap/>
            <w:vAlign w:val="center"/>
            <w:hideMark/>
          </w:tcPr>
          <w:p w14:paraId="5E9D19D5"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1.721</w:t>
            </w:r>
          </w:p>
        </w:tc>
        <w:tc>
          <w:tcPr>
            <w:tcW w:w="1006" w:type="dxa"/>
            <w:tcBorders>
              <w:top w:val="nil"/>
              <w:left w:val="nil"/>
              <w:bottom w:val="single" w:sz="8" w:space="0" w:color="auto"/>
              <w:right w:val="single" w:sz="8" w:space="0" w:color="auto"/>
            </w:tcBorders>
            <w:noWrap/>
            <w:vAlign w:val="center"/>
            <w:hideMark/>
          </w:tcPr>
          <w:p w14:paraId="4BF4E7DB"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1.606</w:t>
            </w:r>
          </w:p>
        </w:tc>
        <w:tc>
          <w:tcPr>
            <w:tcW w:w="1294" w:type="dxa"/>
            <w:tcBorders>
              <w:top w:val="nil"/>
              <w:left w:val="nil"/>
              <w:bottom w:val="single" w:sz="8" w:space="0" w:color="auto"/>
              <w:right w:val="single" w:sz="8" w:space="0" w:color="auto"/>
            </w:tcBorders>
            <w:noWrap/>
            <w:vAlign w:val="center"/>
            <w:hideMark/>
          </w:tcPr>
          <w:p w14:paraId="0D6F907B"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116</w:t>
            </w:r>
          </w:p>
        </w:tc>
      </w:tr>
      <w:tr w:rsidR="00DA7276" w14:paraId="2785EB94"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70DA439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Reintegros</w:t>
            </w:r>
          </w:p>
        </w:tc>
        <w:tc>
          <w:tcPr>
            <w:tcW w:w="1239" w:type="dxa"/>
            <w:tcBorders>
              <w:top w:val="nil"/>
              <w:left w:val="nil"/>
              <w:bottom w:val="single" w:sz="8" w:space="0" w:color="auto"/>
              <w:right w:val="single" w:sz="8" w:space="0" w:color="auto"/>
            </w:tcBorders>
            <w:noWrap/>
            <w:vAlign w:val="center"/>
            <w:hideMark/>
          </w:tcPr>
          <w:p w14:paraId="00601B94"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w:t>
            </w:r>
          </w:p>
        </w:tc>
        <w:tc>
          <w:tcPr>
            <w:tcW w:w="992" w:type="dxa"/>
            <w:tcBorders>
              <w:top w:val="nil"/>
              <w:left w:val="nil"/>
              <w:bottom w:val="single" w:sz="8" w:space="0" w:color="auto"/>
              <w:right w:val="single" w:sz="8" w:space="0" w:color="auto"/>
            </w:tcBorders>
            <w:noWrap/>
            <w:vAlign w:val="center"/>
            <w:hideMark/>
          </w:tcPr>
          <w:p w14:paraId="020EABE6"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w:t>
            </w:r>
          </w:p>
        </w:tc>
        <w:tc>
          <w:tcPr>
            <w:tcW w:w="1276" w:type="dxa"/>
            <w:tcBorders>
              <w:top w:val="nil"/>
              <w:left w:val="nil"/>
              <w:bottom w:val="single" w:sz="8" w:space="0" w:color="auto"/>
              <w:right w:val="single" w:sz="8" w:space="0" w:color="auto"/>
            </w:tcBorders>
            <w:noWrap/>
            <w:vAlign w:val="center"/>
            <w:hideMark/>
          </w:tcPr>
          <w:p w14:paraId="07E553B4"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009" w:type="dxa"/>
            <w:tcBorders>
              <w:top w:val="nil"/>
              <w:left w:val="nil"/>
              <w:bottom w:val="single" w:sz="8" w:space="0" w:color="auto"/>
              <w:right w:val="single" w:sz="8" w:space="0" w:color="auto"/>
            </w:tcBorders>
            <w:noWrap/>
            <w:vAlign w:val="center"/>
            <w:hideMark/>
          </w:tcPr>
          <w:p w14:paraId="03C8C446"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w:t>
            </w:r>
          </w:p>
        </w:tc>
        <w:tc>
          <w:tcPr>
            <w:tcW w:w="1006" w:type="dxa"/>
            <w:tcBorders>
              <w:top w:val="nil"/>
              <w:left w:val="nil"/>
              <w:bottom w:val="single" w:sz="8" w:space="0" w:color="auto"/>
              <w:right w:val="single" w:sz="8" w:space="0" w:color="auto"/>
            </w:tcBorders>
            <w:noWrap/>
            <w:vAlign w:val="center"/>
            <w:hideMark/>
          </w:tcPr>
          <w:p w14:paraId="481E653E"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w:t>
            </w:r>
          </w:p>
        </w:tc>
        <w:tc>
          <w:tcPr>
            <w:tcW w:w="1294" w:type="dxa"/>
            <w:tcBorders>
              <w:top w:val="nil"/>
              <w:left w:val="nil"/>
              <w:bottom w:val="single" w:sz="8" w:space="0" w:color="auto"/>
              <w:right w:val="single" w:sz="8" w:space="0" w:color="auto"/>
            </w:tcBorders>
            <w:noWrap/>
            <w:vAlign w:val="center"/>
            <w:hideMark/>
          </w:tcPr>
          <w:p w14:paraId="511ED95F"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DA7276" w14:paraId="4FD6C991"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57AB4CFA"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R.B. Rendimientos financieros</w:t>
            </w:r>
          </w:p>
        </w:tc>
        <w:tc>
          <w:tcPr>
            <w:tcW w:w="1239" w:type="dxa"/>
            <w:tcBorders>
              <w:top w:val="nil"/>
              <w:left w:val="nil"/>
              <w:bottom w:val="single" w:sz="8" w:space="0" w:color="auto"/>
              <w:right w:val="single" w:sz="8" w:space="0" w:color="auto"/>
            </w:tcBorders>
            <w:noWrap/>
            <w:vAlign w:val="center"/>
            <w:hideMark/>
          </w:tcPr>
          <w:p w14:paraId="61B50635"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c>
          <w:tcPr>
            <w:tcW w:w="992" w:type="dxa"/>
            <w:tcBorders>
              <w:top w:val="nil"/>
              <w:left w:val="nil"/>
              <w:bottom w:val="single" w:sz="8" w:space="0" w:color="auto"/>
              <w:right w:val="single" w:sz="8" w:space="0" w:color="auto"/>
            </w:tcBorders>
            <w:noWrap/>
            <w:vAlign w:val="center"/>
            <w:hideMark/>
          </w:tcPr>
          <w:p w14:paraId="78BC14F7"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276" w:type="dxa"/>
            <w:tcBorders>
              <w:top w:val="nil"/>
              <w:left w:val="nil"/>
              <w:bottom w:val="single" w:sz="8" w:space="0" w:color="auto"/>
              <w:right w:val="single" w:sz="8" w:space="0" w:color="auto"/>
            </w:tcBorders>
            <w:noWrap/>
            <w:vAlign w:val="center"/>
            <w:hideMark/>
          </w:tcPr>
          <w:p w14:paraId="627D2F4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c>
          <w:tcPr>
            <w:tcW w:w="1009" w:type="dxa"/>
            <w:tcBorders>
              <w:top w:val="nil"/>
              <w:left w:val="nil"/>
              <w:bottom w:val="single" w:sz="8" w:space="0" w:color="auto"/>
              <w:right w:val="single" w:sz="8" w:space="0" w:color="auto"/>
            </w:tcBorders>
            <w:noWrap/>
            <w:vAlign w:val="center"/>
            <w:hideMark/>
          </w:tcPr>
          <w:p w14:paraId="778BB831"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c>
          <w:tcPr>
            <w:tcW w:w="1006" w:type="dxa"/>
            <w:tcBorders>
              <w:top w:val="nil"/>
              <w:left w:val="nil"/>
              <w:bottom w:val="single" w:sz="8" w:space="0" w:color="auto"/>
              <w:right w:val="single" w:sz="8" w:space="0" w:color="auto"/>
            </w:tcBorders>
            <w:noWrap/>
            <w:vAlign w:val="center"/>
            <w:hideMark/>
          </w:tcPr>
          <w:p w14:paraId="4626243D"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294" w:type="dxa"/>
            <w:tcBorders>
              <w:top w:val="nil"/>
              <w:left w:val="nil"/>
              <w:bottom w:val="single" w:sz="8" w:space="0" w:color="auto"/>
              <w:right w:val="single" w:sz="8" w:space="0" w:color="auto"/>
            </w:tcBorders>
            <w:noWrap/>
            <w:vAlign w:val="center"/>
            <w:hideMark/>
          </w:tcPr>
          <w:p w14:paraId="40491C7D"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r>
      <w:tr w:rsidR="00DA7276" w14:paraId="56AFF13B" w14:textId="77777777" w:rsidTr="00291346">
        <w:trPr>
          <w:trHeight w:val="20"/>
        </w:trPr>
        <w:tc>
          <w:tcPr>
            <w:tcW w:w="2012" w:type="dxa"/>
            <w:tcBorders>
              <w:top w:val="nil"/>
              <w:left w:val="single" w:sz="8" w:space="0" w:color="auto"/>
              <w:bottom w:val="single" w:sz="8" w:space="0" w:color="auto"/>
              <w:right w:val="single" w:sz="8" w:space="0" w:color="auto"/>
            </w:tcBorders>
            <w:noWrap/>
            <w:vAlign w:val="center"/>
            <w:hideMark/>
          </w:tcPr>
          <w:p w14:paraId="7DFF979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Rendimientos financieros</w:t>
            </w:r>
          </w:p>
        </w:tc>
        <w:tc>
          <w:tcPr>
            <w:tcW w:w="1239" w:type="dxa"/>
            <w:tcBorders>
              <w:top w:val="nil"/>
              <w:left w:val="nil"/>
              <w:bottom w:val="single" w:sz="8" w:space="0" w:color="auto"/>
              <w:right w:val="single" w:sz="8" w:space="0" w:color="auto"/>
            </w:tcBorders>
            <w:noWrap/>
            <w:vAlign w:val="center"/>
            <w:hideMark/>
          </w:tcPr>
          <w:p w14:paraId="516671FD"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234</w:t>
            </w:r>
          </w:p>
        </w:tc>
        <w:tc>
          <w:tcPr>
            <w:tcW w:w="992" w:type="dxa"/>
            <w:tcBorders>
              <w:top w:val="nil"/>
              <w:left w:val="nil"/>
              <w:bottom w:val="single" w:sz="8" w:space="0" w:color="auto"/>
              <w:right w:val="single" w:sz="8" w:space="0" w:color="auto"/>
            </w:tcBorders>
            <w:noWrap/>
            <w:vAlign w:val="center"/>
            <w:hideMark/>
          </w:tcPr>
          <w:p w14:paraId="622FC85B"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276" w:type="dxa"/>
            <w:tcBorders>
              <w:top w:val="nil"/>
              <w:left w:val="nil"/>
              <w:bottom w:val="single" w:sz="8" w:space="0" w:color="auto"/>
              <w:right w:val="single" w:sz="8" w:space="0" w:color="auto"/>
            </w:tcBorders>
            <w:noWrap/>
            <w:vAlign w:val="center"/>
            <w:hideMark/>
          </w:tcPr>
          <w:p w14:paraId="5E2635E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234</w:t>
            </w:r>
          </w:p>
        </w:tc>
        <w:tc>
          <w:tcPr>
            <w:tcW w:w="1009" w:type="dxa"/>
            <w:tcBorders>
              <w:top w:val="nil"/>
              <w:left w:val="nil"/>
              <w:bottom w:val="single" w:sz="8" w:space="0" w:color="auto"/>
              <w:right w:val="single" w:sz="8" w:space="0" w:color="auto"/>
            </w:tcBorders>
            <w:noWrap/>
            <w:vAlign w:val="center"/>
            <w:hideMark/>
          </w:tcPr>
          <w:p w14:paraId="7AEEDFDE"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234</w:t>
            </w:r>
          </w:p>
        </w:tc>
        <w:tc>
          <w:tcPr>
            <w:tcW w:w="1006" w:type="dxa"/>
            <w:tcBorders>
              <w:top w:val="nil"/>
              <w:left w:val="nil"/>
              <w:bottom w:val="single" w:sz="8" w:space="0" w:color="auto"/>
              <w:right w:val="single" w:sz="8" w:space="0" w:color="auto"/>
            </w:tcBorders>
            <w:noWrap/>
            <w:vAlign w:val="center"/>
            <w:hideMark/>
          </w:tcPr>
          <w:p w14:paraId="390F38A4"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294" w:type="dxa"/>
            <w:tcBorders>
              <w:top w:val="nil"/>
              <w:left w:val="nil"/>
              <w:bottom w:val="single" w:sz="8" w:space="0" w:color="auto"/>
              <w:right w:val="single" w:sz="8" w:space="0" w:color="auto"/>
            </w:tcBorders>
            <w:noWrap/>
            <w:vAlign w:val="center"/>
            <w:hideMark/>
          </w:tcPr>
          <w:p w14:paraId="17FCC22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234</w:t>
            </w:r>
          </w:p>
        </w:tc>
      </w:tr>
      <w:tr w:rsidR="00DA7276" w14:paraId="3574F460" w14:textId="77777777" w:rsidTr="00291346">
        <w:trPr>
          <w:trHeight w:val="20"/>
        </w:trPr>
        <w:tc>
          <w:tcPr>
            <w:tcW w:w="2012" w:type="dxa"/>
            <w:tcBorders>
              <w:top w:val="nil"/>
              <w:left w:val="single" w:sz="8" w:space="0" w:color="auto"/>
              <w:bottom w:val="single" w:sz="8" w:space="0" w:color="auto"/>
              <w:right w:val="single" w:sz="8" w:space="0" w:color="auto"/>
            </w:tcBorders>
            <w:shd w:val="clear" w:color="auto" w:fill="95B3D7"/>
            <w:vAlign w:val="center"/>
            <w:hideMark/>
          </w:tcPr>
          <w:p w14:paraId="36C659B2" w14:textId="77777777" w:rsidR="00DA7276" w:rsidRDefault="00DA7276" w:rsidP="008F6530">
            <w:pPr>
              <w:jc w:val="center"/>
              <w:rPr>
                <w:rFonts w:ascii="Arial" w:eastAsia="Times New Roman" w:hAnsi="Arial" w:cs="Arial"/>
                <w:b/>
                <w:bCs/>
                <w:color w:val="000000"/>
                <w:sz w:val="18"/>
                <w:szCs w:val="18"/>
                <w:lang w:val="es-CO" w:eastAsia="es-CO"/>
              </w:rPr>
            </w:pPr>
            <w:proofErr w:type="gramStart"/>
            <w:r>
              <w:rPr>
                <w:rFonts w:ascii="Arial" w:eastAsia="Times New Roman" w:hAnsi="Arial" w:cs="Arial"/>
                <w:b/>
                <w:bCs/>
                <w:color w:val="000000"/>
                <w:sz w:val="18"/>
                <w:szCs w:val="18"/>
                <w:lang w:val="es-CO" w:eastAsia="es-CO"/>
              </w:rPr>
              <w:t>TOTAL</w:t>
            </w:r>
            <w:proofErr w:type="gramEnd"/>
            <w:r>
              <w:rPr>
                <w:rFonts w:ascii="Arial" w:eastAsia="Times New Roman" w:hAnsi="Arial" w:cs="Arial"/>
                <w:b/>
                <w:bCs/>
                <w:color w:val="000000"/>
                <w:sz w:val="18"/>
                <w:szCs w:val="18"/>
                <w:lang w:val="es-CO" w:eastAsia="es-CO"/>
              </w:rPr>
              <w:t xml:space="preserve"> PRESTACION DEL SERVICIO (1)</w:t>
            </w:r>
          </w:p>
        </w:tc>
        <w:tc>
          <w:tcPr>
            <w:tcW w:w="1239" w:type="dxa"/>
            <w:tcBorders>
              <w:top w:val="nil"/>
              <w:left w:val="nil"/>
              <w:bottom w:val="single" w:sz="8" w:space="0" w:color="auto"/>
              <w:right w:val="single" w:sz="8" w:space="0" w:color="auto"/>
            </w:tcBorders>
            <w:shd w:val="clear" w:color="auto" w:fill="95B3D7"/>
            <w:noWrap/>
            <w:vAlign w:val="center"/>
            <w:hideMark/>
          </w:tcPr>
          <w:p w14:paraId="726BE5C4"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168.839</w:t>
            </w:r>
          </w:p>
        </w:tc>
        <w:tc>
          <w:tcPr>
            <w:tcW w:w="992" w:type="dxa"/>
            <w:tcBorders>
              <w:top w:val="nil"/>
              <w:left w:val="nil"/>
              <w:bottom w:val="single" w:sz="8" w:space="0" w:color="auto"/>
              <w:right w:val="single" w:sz="8" w:space="0" w:color="auto"/>
            </w:tcBorders>
            <w:shd w:val="clear" w:color="auto" w:fill="95B3D7"/>
            <w:noWrap/>
            <w:vAlign w:val="center"/>
            <w:hideMark/>
          </w:tcPr>
          <w:p w14:paraId="305A83D2"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168.485</w:t>
            </w:r>
          </w:p>
        </w:tc>
        <w:tc>
          <w:tcPr>
            <w:tcW w:w="1276" w:type="dxa"/>
            <w:tcBorders>
              <w:top w:val="nil"/>
              <w:left w:val="nil"/>
              <w:bottom w:val="single" w:sz="8" w:space="0" w:color="auto"/>
              <w:right w:val="single" w:sz="8" w:space="0" w:color="auto"/>
            </w:tcBorders>
            <w:shd w:val="clear" w:color="auto" w:fill="95B3D7"/>
            <w:noWrap/>
            <w:vAlign w:val="center"/>
            <w:hideMark/>
          </w:tcPr>
          <w:p w14:paraId="1B7FCD42"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354</w:t>
            </w:r>
          </w:p>
        </w:tc>
        <w:tc>
          <w:tcPr>
            <w:tcW w:w="1009" w:type="dxa"/>
            <w:tcBorders>
              <w:top w:val="nil"/>
              <w:left w:val="nil"/>
              <w:bottom w:val="single" w:sz="8" w:space="0" w:color="auto"/>
              <w:right w:val="single" w:sz="8" w:space="0" w:color="auto"/>
            </w:tcBorders>
            <w:shd w:val="clear" w:color="auto" w:fill="95B3D7"/>
            <w:noWrap/>
            <w:vAlign w:val="center"/>
            <w:hideMark/>
          </w:tcPr>
          <w:p w14:paraId="10F218C6"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168.839</w:t>
            </w:r>
          </w:p>
        </w:tc>
        <w:tc>
          <w:tcPr>
            <w:tcW w:w="1006" w:type="dxa"/>
            <w:tcBorders>
              <w:top w:val="nil"/>
              <w:left w:val="nil"/>
              <w:bottom w:val="single" w:sz="8" w:space="0" w:color="auto"/>
              <w:right w:val="single" w:sz="8" w:space="0" w:color="auto"/>
            </w:tcBorders>
            <w:shd w:val="clear" w:color="auto" w:fill="95B3D7"/>
            <w:noWrap/>
            <w:vAlign w:val="center"/>
            <w:hideMark/>
          </w:tcPr>
          <w:p w14:paraId="32AD1575"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168.486</w:t>
            </w:r>
          </w:p>
        </w:tc>
        <w:tc>
          <w:tcPr>
            <w:tcW w:w="1294" w:type="dxa"/>
            <w:tcBorders>
              <w:top w:val="nil"/>
              <w:left w:val="nil"/>
              <w:bottom w:val="single" w:sz="8" w:space="0" w:color="auto"/>
              <w:right w:val="single" w:sz="8" w:space="0" w:color="auto"/>
            </w:tcBorders>
            <w:shd w:val="clear" w:color="auto" w:fill="95B3D7"/>
            <w:noWrap/>
            <w:vAlign w:val="center"/>
            <w:hideMark/>
          </w:tcPr>
          <w:p w14:paraId="351D05D1"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354</w:t>
            </w:r>
          </w:p>
        </w:tc>
      </w:tr>
      <w:tr w:rsidR="00DA7276" w14:paraId="28C4A0F0" w14:textId="77777777" w:rsidTr="00291346">
        <w:trPr>
          <w:trHeight w:val="20"/>
        </w:trPr>
        <w:tc>
          <w:tcPr>
            <w:tcW w:w="4243" w:type="dxa"/>
            <w:gridSpan w:val="3"/>
            <w:tcBorders>
              <w:top w:val="single" w:sz="8" w:space="0" w:color="auto"/>
              <w:left w:val="single" w:sz="8" w:space="0" w:color="auto"/>
              <w:bottom w:val="single" w:sz="8" w:space="0" w:color="auto"/>
              <w:right w:val="single" w:sz="8" w:space="0" w:color="000000"/>
            </w:tcBorders>
            <w:shd w:val="clear" w:color="auto" w:fill="95B3D7"/>
            <w:noWrap/>
            <w:vAlign w:val="center"/>
            <w:hideMark/>
          </w:tcPr>
          <w:p w14:paraId="62CFCB5C"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SUPERAVIT TESORERÍA (2)</w:t>
            </w:r>
          </w:p>
        </w:tc>
        <w:tc>
          <w:tcPr>
            <w:tcW w:w="1276" w:type="dxa"/>
            <w:tcBorders>
              <w:top w:val="nil"/>
              <w:left w:val="nil"/>
              <w:bottom w:val="single" w:sz="8" w:space="0" w:color="auto"/>
              <w:right w:val="single" w:sz="8" w:space="0" w:color="auto"/>
            </w:tcBorders>
            <w:shd w:val="clear" w:color="auto" w:fill="95B3D7"/>
            <w:noWrap/>
            <w:vAlign w:val="center"/>
            <w:hideMark/>
          </w:tcPr>
          <w:p w14:paraId="58B96302"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354</w:t>
            </w:r>
          </w:p>
        </w:tc>
        <w:tc>
          <w:tcPr>
            <w:tcW w:w="2015" w:type="dxa"/>
            <w:gridSpan w:val="2"/>
            <w:tcBorders>
              <w:top w:val="single" w:sz="8" w:space="0" w:color="auto"/>
              <w:left w:val="nil"/>
              <w:bottom w:val="single" w:sz="8" w:space="0" w:color="auto"/>
              <w:right w:val="single" w:sz="8" w:space="0" w:color="000000"/>
            </w:tcBorders>
            <w:shd w:val="clear" w:color="auto" w:fill="95B3D7"/>
            <w:noWrap/>
            <w:vAlign w:val="center"/>
            <w:hideMark/>
          </w:tcPr>
          <w:p w14:paraId="5B1834B8"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SUPERAVIT TESORERÍA (2)</w:t>
            </w:r>
          </w:p>
        </w:tc>
        <w:tc>
          <w:tcPr>
            <w:tcW w:w="1294" w:type="dxa"/>
            <w:tcBorders>
              <w:top w:val="nil"/>
              <w:left w:val="nil"/>
              <w:bottom w:val="single" w:sz="8" w:space="0" w:color="auto"/>
              <w:right w:val="single" w:sz="8" w:space="0" w:color="auto"/>
            </w:tcBorders>
            <w:shd w:val="clear" w:color="auto" w:fill="95B3D7"/>
            <w:noWrap/>
            <w:vAlign w:val="center"/>
            <w:hideMark/>
          </w:tcPr>
          <w:p w14:paraId="4AAB4D63"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354</w:t>
            </w:r>
          </w:p>
        </w:tc>
      </w:tr>
      <w:tr w:rsidR="00DA7276" w14:paraId="5F76128A" w14:textId="77777777" w:rsidTr="00291346">
        <w:trPr>
          <w:trHeight w:val="20"/>
        </w:trPr>
        <w:tc>
          <w:tcPr>
            <w:tcW w:w="4243" w:type="dxa"/>
            <w:gridSpan w:val="3"/>
            <w:tcBorders>
              <w:top w:val="single" w:sz="8" w:space="0" w:color="auto"/>
              <w:left w:val="single" w:sz="8" w:space="0" w:color="auto"/>
              <w:bottom w:val="single" w:sz="8" w:space="0" w:color="auto"/>
              <w:right w:val="single" w:sz="8" w:space="0" w:color="000000"/>
            </w:tcBorders>
            <w:shd w:val="clear" w:color="auto" w:fill="95B3D7"/>
            <w:noWrap/>
            <w:vAlign w:val="center"/>
            <w:hideMark/>
          </w:tcPr>
          <w:p w14:paraId="1A5EE617"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 (1-2)</w:t>
            </w:r>
          </w:p>
        </w:tc>
        <w:tc>
          <w:tcPr>
            <w:tcW w:w="1276" w:type="dxa"/>
            <w:tcBorders>
              <w:top w:val="nil"/>
              <w:left w:val="nil"/>
              <w:bottom w:val="single" w:sz="8" w:space="0" w:color="auto"/>
              <w:right w:val="single" w:sz="8" w:space="0" w:color="auto"/>
            </w:tcBorders>
            <w:shd w:val="clear" w:color="auto" w:fill="95B3D7"/>
            <w:noWrap/>
            <w:vAlign w:val="center"/>
            <w:hideMark/>
          </w:tcPr>
          <w:p w14:paraId="45ADBE19"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0</w:t>
            </w:r>
          </w:p>
        </w:tc>
        <w:tc>
          <w:tcPr>
            <w:tcW w:w="2015" w:type="dxa"/>
            <w:gridSpan w:val="2"/>
            <w:tcBorders>
              <w:top w:val="single" w:sz="8" w:space="0" w:color="auto"/>
              <w:left w:val="nil"/>
              <w:bottom w:val="single" w:sz="8" w:space="0" w:color="auto"/>
              <w:right w:val="single" w:sz="8" w:space="0" w:color="000000"/>
            </w:tcBorders>
            <w:shd w:val="clear" w:color="auto" w:fill="95B3D7"/>
            <w:noWrap/>
            <w:vAlign w:val="center"/>
            <w:hideMark/>
          </w:tcPr>
          <w:p w14:paraId="35629256"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 (1-2)</w:t>
            </w:r>
          </w:p>
        </w:tc>
        <w:tc>
          <w:tcPr>
            <w:tcW w:w="1294" w:type="dxa"/>
            <w:tcBorders>
              <w:top w:val="nil"/>
              <w:left w:val="nil"/>
              <w:bottom w:val="single" w:sz="8" w:space="0" w:color="auto"/>
              <w:right w:val="single" w:sz="8" w:space="0" w:color="auto"/>
            </w:tcBorders>
            <w:shd w:val="clear" w:color="auto" w:fill="95B3D7"/>
            <w:noWrap/>
            <w:vAlign w:val="center"/>
            <w:hideMark/>
          </w:tcPr>
          <w:p w14:paraId="2194AB23" w14:textId="77777777" w:rsidR="00DA7276" w:rsidRDefault="00DA7276" w:rsidP="008F6530">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0</w:t>
            </w:r>
          </w:p>
        </w:tc>
      </w:tr>
    </w:tbl>
    <w:p w14:paraId="4FB21425" w14:textId="77777777" w:rsidR="00DA7276" w:rsidRDefault="00DA7276" w:rsidP="008F6530">
      <w:pPr>
        <w:pStyle w:val="Textoindependiente"/>
        <w:jc w:val="center"/>
        <w:rPr>
          <w:sz w:val="20"/>
          <w:szCs w:val="20"/>
        </w:rPr>
      </w:pPr>
      <w:r>
        <w:rPr>
          <w:sz w:val="20"/>
          <w:szCs w:val="20"/>
        </w:rPr>
        <w:t>Fuente: elaboración DAF con base a la información enviada por la Entidad Territorial.</w:t>
      </w:r>
    </w:p>
    <w:p w14:paraId="7DBBAB60" w14:textId="77777777" w:rsidR="00DA7276" w:rsidRDefault="00DA7276" w:rsidP="008F6530">
      <w:pPr>
        <w:pStyle w:val="Textoindependiente"/>
        <w:ind w:right="194"/>
        <w:jc w:val="both"/>
      </w:pPr>
    </w:p>
    <w:p w14:paraId="23AA7D36" w14:textId="77777777" w:rsidR="00DA7276" w:rsidRDefault="00DA7276" w:rsidP="008F6530">
      <w:pPr>
        <w:pStyle w:val="Textoindependiente"/>
        <w:ind w:right="194"/>
        <w:jc w:val="both"/>
        <w:rPr>
          <w:b/>
          <w:bCs/>
        </w:rPr>
      </w:pPr>
      <w:r>
        <w:t>De lo anterior, se puede concluir que la información de las ejecuciones presupuestales –</w:t>
      </w:r>
      <w:r w:rsidRPr="00E21211">
        <w:t>en cuan</w:t>
      </w:r>
      <w:r w:rsidR="00E21211" w:rsidRPr="00E21211">
        <w:t>t</w:t>
      </w:r>
      <w:r w:rsidRPr="00E21211">
        <w:t>o</w:t>
      </w:r>
      <w:r>
        <w:t xml:space="preserve"> a fuente de financiación- tiene una relación directa con el cierre enviado por tesorería y el reporte comparativo enviado por tal oficina. La Entidad Territorial está diferenciando los recursos con y sin situación de fondos tanto en sus ingresos como en los gastos, hay una coherencia frente al total de ingresos y gastos reportados -siendo estos últimos siempre menores que los primeros- y el cierre presupuestal coincide con el cierre de tesorería y lo recaudado como superávit en la vigencia 2023. Por lo tanto, el Departamento demuestra haber superado la problemática detectada.</w:t>
      </w:r>
    </w:p>
    <w:p w14:paraId="5E92337E" w14:textId="77777777" w:rsidR="00DA7276" w:rsidRDefault="00DA7276" w:rsidP="008F6530">
      <w:pPr>
        <w:pStyle w:val="Textoindependiente"/>
        <w:ind w:left="426" w:right="194" w:hanging="426"/>
        <w:jc w:val="both"/>
        <w:rPr>
          <w:b/>
          <w:bCs/>
        </w:rPr>
      </w:pPr>
    </w:p>
    <w:p w14:paraId="29CE4F6D" w14:textId="77777777" w:rsidR="00DA7276" w:rsidRDefault="00DA7276" w:rsidP="008F6530">
      <w:pPr>
        <w:pStyle w:val="Textoindependiente"/>
        <w:ind w:left="426" w:right="194" w:hanging="426"/>
        <w:jc w:val="both"/>
        <w:rPr>
          <w:bCs/>
        </w:rPr>
      </w:pPr>
      <w:r>
        <w:rPr>
          <w:b/>
          <w:bCs/>
        </w:rPr>
        <w:t>Evaluación de la actividad:</w:t>
      </w:r>
      <w:r>
        <w:rPr>
          <w:bCs/>
        </w:rPr>
        <w:t xml:space="preserve"> Cumple. </w:t>
      </w:r>
    </w:p>
    <w:p w14:paraId="6AC9DC97" w14:textId="77777777" w:rsidR="00DA7276" w:rsidRDefault="00DA7276" w:rsidP="008F6530">
      <w:pPr>
        <w:pStyle w:val="Textoindependiente"/>
        <w:ind w:left="426" w:right="194" w:hanging="426"/>
        <w:jc w:val="both"/>
        <w:rPr>
          <w:bCs/>
        </w:rPr>
      </w:pPr>
    </w:p>
    <w:p w14:paraId="5D207E72"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 xml:space="preserve">Recomendación </w:t>
      </w:r>
    </w:p>
    <w:p w14:paraId="429FC357" w14:textId="77777777" w:rsidR="00DA7276" w:rsidRDefault="00DA7276" w:rsidP="008F6530">
      <w:pPr>
        <w:rPr>
          <w:lang w:eastAsia="en-US"/>
        </w:rPr>
      </w:pPr>
    </w:p>
    <w:p w14:paraId="0615B7FA"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La información analizada permite observar una falta de ejecución de los recursos relacionados con rendimientos financieros ($237 millones), los cuales tienen una destinación legal hacia conceptos de calidad educativa</w:t>
      </w:r>
      <w:r w:rsidR="00D64160">
        <w:rPr>
          <w:rFonts w:ascii="Arial" w:eastAsia="Arial" w:hAnsi="Arial" w:cs="Arial"/>
          <w:sz w:val="22"/>
          <w:szCs w:val="22"/>
          <w:lang w:eastAsia="en-US"/>
        </w:rPr>
        <w:t>. A</w:t>
      </w:r>
      <w:r>
        <w:rPr>
          <w:rFonts w:ascii="Arial" w:eastAsia="Arial" w:hAnsi="Arial" w:cs="Arial"/>
          <w:sz w:val="22"/>
          <w:szCs w:val="22"/>
          <w:lang w:eastAsia="en-US"/>
        </w:rPr>
        <w:t>sí</w:t>
      </w:r>
      <w:r w:rsidR="00D64160">
        <w:rPr>
          <w:rFonts w:ascii="Arial" w:eastAsia="Arial" w:hAnsi="Arial" w:cs="Arial"/>
          <w:sz w:val="22"/>
          <w:szCs w:val="22"/>
          <w:lang w:eastAsia="en-US"/>
        </w:rPr>
        <w:t>,</w:t>
      </w:r>
      <w:r>
        <w:rPr>
          <w:rFonts w:ascii="Arial" w:eastAsia="Arial" w:hAnsi="Arial" w:cs="Arial"/>
          <w:sz w:val="22"/>
          <w:szCs w:val="22"/>
          <w:lang w:eastAsia="en-US"/>
        </w:rPr>
        <w:t xml:space="preserve"> esta Dirección recomienda a la administración departamental analizar las necesidades latentes en su territorio de manera que se puedan priorizar estos recursos y suplir los requerimientos detectados, velando por el bienestar de </w:t>
      </w:r>
      <w:proofErr w:type="gramStart"/>
      <w:r>
        <w:rPr>
          <w:rFonts w:ascii="Arial" w:eastAsia="Arial" w:hAnsi="Arial" w:cs="Arial"/>
          <w:sz w:val="22"/>
          <w:szCs w:val="22"/>
          <w:lang w:eastAsia="en-US"/>
        </w:rPr>
        <w:t>los niños y niñas</w:t>
      </w:r>
      <w:proofErr w:type="gramEnd"/>
      <w:r>
        <w:rPr>
          <w:rFonts w:ascii="Arial" w:eastAsia="Arial" w:hAnsi="Arial" w:cs="Arial"/>
          <w:sz w:val="22"/>
          <w:szCs w:val="22"/>
          <w:lang w:eastAsia="en-US"/>
        </w:rPr>
        <w:t xml:space="preserve"> del Departamento y su calidad educativa.</w:t>
      </w:r>
    </w:p>
    <w:p w14:paraId="0A3F9D5B" w14:textId="77777777" w:rsidR="00DA7276" w:rsidRDefault="00DA7276" w:rsidP="008F6530">
      <w:pPr>
        <w:rPr>
          <w:lang w:val="es-CO"/>
        </w:rPr>
      </w:pPr>
    </w:p>
    <w:p w14:paraId="458473FD" w14:textId="77777777" w:rsidR="00DA7276" w:rsidRDefault="00DA7276" w:rsidP="008F6530">
      <w:pPr>
        <w:pStyle w:val="Ttulo3"/>
        <w:spacing w:before="0"/>
        <w:jc w:val="both"/>
        <w:rPr>
          <w:rFonts w:ascii="Arial" w:eastAsia="Arial" w:hAnsi="Arial" w:cs="Arial"/>
          <w:b/>
          <w:color w:val="auto"/>
          <w:sz w:val="22"/>
        </w:rPr>
      </w:pPr>
      <w:r>
        <w:rPr>
          <w:rFonts w:ascii="Arial" w:eastAsia="Arial" w:hAnsi="Arial" w:cs="Arial"/>
          <w:b/>
          <w:color w:val="auto"/>
          <w:sz w:val="22"/>
        </w:rPr>
        <w:t>Objetivo 1.3. Restituir al Sector Educativo los recursos utilizados para cubrir conceptos de gasto no permitidos por la normatividad vigente.</w:t>
      </w:r>
    </w:p>
    <w:p w14:paraId="05629924" w14:textId="77777777" w:rsidR="00DA7276" w:rsidRDefault="00DA7276" w:rsidP="008F6530">
      <w:pPr>
        <w:jc w:val="both"/>
        <w:rPr>
          <w:rFonts w:ascii="Arial" w:hAnsi="Arial" w:cs="Arial"/>
          <w:sz w:val="22"/>
          <w:szCs w:val="22"/>
          <w:lang w:eastAsia="en-US"/>
        </w:rPr>
      </w:pPr>
    </w:p>
    <w:p w14:paraId="3299A098" w14:textId="77777777" w:rsidR="00DA7276" w:rsidRPr="00D64160" w:rsidRDefault="00DA7276" w:rsidP="008F6530">
      <w:pPr>
        <w:pStyle w:val="Ttulo3"/>
        <w:spacing w:before="0"/>
        <w:jc w:val="both"/>
        <w:rPr>
          <w:rFonts w:cs="Arial"/>
          <w:b/>
          <w:bCs/>
          <w:szCs w:val="22"/>
        </w:rPr>
      </w:pPr>
      <w:r w:rsidRPr="00D64160">
        <w:rPr>
          <w:rFonts w:ascii="Arial" w:eastAsia="Arial" w:hAnsi="Arial" w:cs="Arial"/>
          <w:b/>
          <w:bCs/>
          <w:i/>
          <w:color w:val="auto"/>
          <w:sz w:val="22"/>
        </w:rPr>
        <w:t>Actividad 1.3.1. Realizar inversiones en el sector educación con recursos distintos a los del SGP Educación, que compensen los pagos realizados con recursos del SGP cuyas destinaciones no estaban permitidas por la normatividad vigente por concepto de sentencias y conciliaciones, y deudas laborales al personal y directivo docente no certificadas por la Nación</w:t>
      </w:r>
      <w:r w:rsidRPr="00D64160">
        <w:rPr>
          <w:rFonts w:cs="Arial"/>
          <w:b/>
          <w:bCs/>
          <w:szCs w:val="22"/>
        </w:rPr>
        <w:t>.</w:t>
      </w:r>
    </w:p>
    <w:p w14:paraId="4AB2A8A1" w14:textId="77777777" w:rsidR="00DA7276" w:rsidRDefault="00DA7276" w:rsidP="008F6530">
      <w:pPr>
        <w:jc w:val="both"/>
        <w:rPr>
          <w:rFonts w:ascii="Arial" w:hAnsi="Arial" w:cs="Arial"/>
          <w:sz w:val="22"/>
          <w:szCs w:val="22"/>
        </w:rPr>
      </w:pPr>
    </w:p>
    <w:p w14:paraId="42FC1848" w14:textId="77777777" w:rsidR="00DA7276" w:rsidRDefault="00DA7276" w:rsidP="008F6530">
      <w:pPr>
        <w:pStyle w:val="Ttulo4"/>
        <w:spacing w:before="0"/>
        <w:jc w:val="both"/>
        <w:rPr>
          <w:rFonts w:ascii="Arial" w:hAnsi="Arial" w:cs="Arial"/>
          <w:sz w:val="22"/>
          <w:szCs w:val="22"/>
          <w:lang w:eastAsia="en-US"/>
        </w:rPr>
      </w:pPr>
      <w:r>
        <w:rPr>
          <w:rFonts w:ascii="Arial" w:eastAsia="Arial" w:hAnsi="Arial" w:cs="Arial"/>
          <w:i w:val="0"/>
          <w:iCs w:val="0"/>
          <w:color w:val="auto"/>
          <w:sz w:val="22"/>
          <w:szCs w:val="22"/>
          <w:u w:val="single"/>
          <w:lang w:eastAsia="en-US"/>
        </w:rPr>
        <w:t>Productos esperados</w:t>
      </w:r>
    </w:p>
    <w:p w14:paraId="5C3C5C4B" w14:textId="77777777" w:rsidR="00DA7276" w:rsidRDefault="00DA7276" w:rsidP="008F6530">
      <w:pPr>
        <w:pStyle w:val="Prrafodelista"/>
        <w:numPr>
          <w:ilvl w:val="0"/>
          <w:numId w:val="14"/>
        </w:numPr>
        <w:ind w:left="426" w:hanging="426"/>
        <w:jc w:val="both"/>
        <w:rPr>
          <w:rFonts w:ascii="Arial" w:hAnsi="Arial" w:cs="Arial"/>
          <w:sz w:val="22"/>
          <w:szCs w:val="22"/>
          <w:lang w:eastAsia="en-US"/>
        </w:rPr>
      </w:pPr>
      <w:r>
        <w:rPr>
          <w:rFonts w:ascii="Arial" w:hAnsi="Arial" w:cs="Arial"/>
          <w:sz w:val="22"/>
          <w:szCs w:val="22"/>
          <w:lang w:eastAsia="en-US"/>
        </w:rPr>
        <w:t>Copia de los Certificados de Disponibilidad Presupuestal y registro presupuestal de las inversiones realizadas en el sector educación con fuentes de financiación distintas a las del SGP Educación que compensen el cambio en la destinación de los recursos evidenciado en el evento de riesgo 9.4 que dio origen a la medida. El valor de las inversiones debe ser igual o mayor a la suma de los recursos cuya destinación fue alterada.</w:t>
      </w:r>
    </w:p>
    <w:p w14:paraId="12AD96CB" w14:textId="77777777" w:rsidR="00DA7276" w:rsidRDefault="00DA7276" w:rsidP="008F6530">
      <w:pPr>
        <w:pStyle w:val="Prrafodelista"/>
        <w:numPr>
          <w:ilvl w:val="0"/>
          <w:numId w:val="14"/>
        </w:numPr>
        <w:ind w:left="426" w:hanging="426"/>
        <w:jc w:val="both"/>
        <w:rPr>
          <w:rFonts w:ascii="Arial" w:hAnsi="Arial" w:cs="Arial"/>
          <w:sz w:val="22"/>
          <w:szCs w:val="22"/>
          <w:lang w:eastAsia="en-US"/>
        </w:rPr>
      </w:pPr>
      <w:r>
        <w:rPr>
          <w:rFonts w:ascii="Arial" w:hAnsi="Arial" w:cs="Arial"/>
          <w:sz w:val="22"/>
          <w:szCs w:val="22"/>
          <w:lang w:eastAsia="en-US"/>
        </w:rPr>
        <w:t>Cuadro con la relación de recursos propios ejecutados en el sector educación, indicando la fuente y el rubro en que se ejecutaron.</w:t>
      </w:r>
    </w:p>
    <w:p w14:paraId="287EB2A7" w14:textId="77777777" w:rsidR="00DA7276" w:rsidRDefault="00DA7276" w:rsidP="008F6530">
      <w:pPr>
        <w:pStyle w:val="Prrafodelista"/>
        <w:numPr>
          <w:ilvl w:val="0"/>
          <w:numId w:val="14"/>
        </w:numPr>
        <w:ind w:left="426" w:hanging="426"/>
        <w:jc w:val="both"/>
        <w:rPr>
          <w:rFonts w:ascii="Arial" w:hAnsi="Arial" w:cs="Arial"/>
          <w:sz w:val="22"/>
          <w:szCs w:val="22"/>
          <w:lang w:eastAsia="en-US"/>
        </w:rPr>
      </w:pPr>
      <w:r>
        <w:rPr>
          <w:rFonts w:ascii="Arial" w:hAnsi="Arial" w:cs="Arial"/>
          <w:sz w:val="22"/>
          <w:szCs w:val="22"/>
          <w:lang w:eastAsia="en-US"/>
        </w:rPr>
        <w:t>Ejecución presupuestal de compromisos financiados con recursos propios.</w:t>
      </w:r>
    </w:p>
    <w:p w14:paraId="1F988065" w14:textId="77777777" w:rsidR="00DA7276" w:rsidRDefault="00DA7276" w:rsidP="008F6530">
      <w:pPr>
        <w:jc w:val="both"/>
        <w:rPr>
          <w:rFonts w:ascii="Arial" w:hAnsi="Arial" w:cs="Arial"/>
          <w:sz w:val="22"/>
          <w:szCs w:val="22"/>
          <w:lang w:eastAsia="en-US"/>
        </w:rPr>
      </w:pPr>
    </w:p>
    <w:p w14:paraId="3882605C" w14:textId="77777777" w:rsidR="00DA7276" w:rsidRDefault="00DA7276" w:rsidP="008F6530">
      <w:pPr>
        <w:pStyle w:val="Ttulo4"/>
        <w:spacing w:before="0"/>
        <w:jc w:val="both"/>
        <w:rPr>
          <w:rFonts w:eastAsia="Arial" w:cs="Arial"/>
          <w:szCs w:val="22"/>
          <w:lang w:eastAsia="en-US"/>
        </w:rPr>
      </w:pPr>
      <w:r>
        <w:rPr>
          <w:rFonts w:ascii="Arial" w:eastAsia="Arial" w:hAnsi="Arial" w:cs="Arial"/>
          <w:i w:val="0"/>
          <w:iCs w:val="0"/>
          <w:color w:val="auto"/>
          <w:sz w:val="22"/>
          <w:szCs w:val="22"/>
          <w:u w:val="single"/>
          <w:lang w:eastAsia="en-US"/>
        </w:rPr>
        <w:t>Evaluación</w:t>
      </w:r>
      <w:r>
        <w:rPr>
          <w:rFonts w:eastAsia="Arial" w:cs="Arial"/>
          <w:szCs w:val="22"/>
          <w:lang w:eastAsia="en-US"/>
        </w:rPr>
        <w:t xml:space="preserve"> </w:t>
      </w:r>
    </w:p>
    <w:p w14:paraId="7CB76FB4" w14:textId="77777777" w:rsidR="00DA7276" w:rsidRDefault="00DA7276" w:rsidP="008F6530">
      <w:pPr>
        <w:rPr>
          <w:lang w:eastAsia="en-US"/>
        </w:rPr>
      </w:pPr>
    </w:p>
    <w:p w14:paraId="244534C5" w14:textId="77777777" w:rsidR="00DA7276" w:rsidRDefault="00DA7276" w:rsidP="008F6530">
      <w:pPr>
        <w:jc w:val="both"/>
        <w:rPr>
          <w:rFonts w:ascii="Arial" w:hAnsi="Arial" w:cs="Arial"/>
          <w:sz w:val="22"/>
          <w:szCs w:val="22"/>
          <w:lang w:eastAsia="en-US"/>
        </w:rPr>
      </w:pPr>
      <w:r>
        <w:rPr>
          <w:rFonts w:ascii="Arial" w:hAnsi="Arial" w:cs="Arial"/>
          <w:sz w:val="22"/>
          <w:szCs w:val="22"/>
          <w:lang w:eastAsia="en-US"/>
        </w:rPr>
        <w:t>El Departamento de Quindío alleg</w:t>
      </w:r>
      <w:r w:rsidR="0093266E">
        <w:rPr>
          <w:rFonts w:ascii="Arial" w:hAnsi="Arial" w:cs="Arial"/>
          <w:sz w:val="22"/>
          <w:szCs w:val="22"/>
          <w:lang w:eastAsia="en-US"/>
        </w:rPr>
        <w:t>ó</w:t>
      </w:r>
      <w:r>
        <w:rPr>
          <w:rFonts w:ascii="Arial" w:hAnsi="Arial" w:cs="Arial"/>
          <w:sz w:val="22"/>
          <w:szCs w:val="22"/>
          <w:lang w:eastAsia="en-US"/>
        </w:rPr>
        <w:t xml:space="preserve"> el siguiente cuadro resumen </w:t>
      </w:r>
      <w:r w:rsidR="0093266E">
        <w:rPr>
          <w:rFonts w:ascii="Arial" w:hAnsi="Arial" w:cs="Arial"/>
          <w:sz w:val="22"/>
          <w:szCs w:val="22"/>
          <w:lang w:eastAsia="en-US"/>
        </w:rPr>
        <w:t xml:space="preserve">en </w:t>
      </w:r>
      <w:r>
        <w:rPr>
          <w:rFonts w:ascii="Arial" w:hAnsi="Arial" w:cs="Arial"/>
          <w:sz w:val="22"/>
          <w:szCs w:val="22"/>
          <w:lang w:eastAsia="en-US"/>
        </w:rPr>
        <w:t xml:space="preserve">relación </w:t>
      </w:r>
      <w:r w:rsidR="0093266E">
        <w:rPr>
          <w:rFonts w:ascii="Arial" w:hAnsi="Arial" w:cs="Arial"/>
          <w:sz w:val="22"/>
          <w:szCs w:val="22"/>
          <w:lang w:eastAsia="en-US"/>
        </w:rPr>
        <w:t xml:space="preserve">con </w:t>
      </w:r>
      <w:r>
        <w:rPr>
          <w:rFonts w:ascii="Arial" w:hAnsi="Arial" w:cs="Arial"/>
          <w:sz w:val="22"/>
          <w:szCs w:val="22"/>
          <w:lang w:eastAsia="en-US"/>
        </w:rPr>
        <w:t xml:space="preserve">la reinversión de recursos en el sector educativo en conceptos de calidad: </w:t>
      </w:r>
    </w:p>
    <w:p w14:paraId="0E061E18" w14:textId="77777777" w:rsidR="00DA7276" w:rsidRDefault="00DA7276" w:rsidP="008F6530">
      <w:pPr>
        <w:rPr>
          <w:rFonts w:ascii="Arial"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4398"/>
        <w:gridCol w:w="3364"/>
        <w:gridCol w:w="1076"/>
      </w:tblGrid>
      <w:tr w:rsidR="00DA7276" w:rsidRPr="008F6530" w14:paraId="462143FB" w14:textId="77777777" w:rsidTr="008F6530">
        <w:trPr>
          <w:trHeight w:val="20"/>
          <w:tblHeader/>
        </w:trPr>
        <w:tc>
          <w:tcPr>
            <w:tcW w:w="5000" w:type="pct"/>
            <w:gridSpan w:val="3"/>
            <w:tcBorders>
              <w:top w:val="nil"/>
              <w:left w:val="nil"/>
              <w:bottom w:val="single" w:sz="8" w:space="0" w:color="auto"/>
              <w:right w:val="nil"/>
            </w:tcBorders>
            <w:shd w:val="clear" w:color="auto" w:fill="203764"/>
            <w:vAlign w:val="center"/>
            <w:hideMark/>
          </w:tcPr>
          <w:p w14:paraId="1BBD3EDC" w14:textId="77777777" w:rsidR="00DA7276" w:rsidRPr="008F6530" w:rsidRDefault="00DA7276" w:rsidP="008F6530">
            <w:pPr>
              <w:jc w:val="center"/>
              <w:rPr>
                <w:rFonts w:ascii="Arial" w:eastAsia="Times New Roman" w:hAnsi="Arial" w:cs="Arial"/>
                <w:b/>
                <w:bCs/>
                <w:color w:val="FFFFFF"/>
                <w:sz w:val="18"/>
                <w:szCs w:val="18"/>
                <w:lang w:val="es-CO" w:eastAsia="es-CO"/>
              </w:rPr>
            </w:pPr>
            <w:r w:rsidRPr="008F6530">
              <w:rPr>
                <w:rFonts w:ascii="Arial" w:eastAsia="Times New Roman" w:hAnsi="Arial" w:cs="Arial"/>
                <w:b/>
                <w:bCs/>
                <w:color w:val="FFFFFF"/>
                <w:sz w:val="18"/>
                <w:szCs w:val="18"/>
                <w:lang w:val="es-CO" w:eastAsia="es-CO"/>
              </w:rPr>
              <w:t>COMPROMISOS FINANCIADOS CON RECURSOS PROPIOS</w:t>
            </w:r>
          </w:p>
        </w:tc>
      </w:tr>
      <w:tr w:rsidR="00DA7276" w:rsidRPr="008F6530" w14:paraId="14AD38D9" w14:textId="77777777" w:rsidTr="008F6530">
        <w:trPr>
          <w:trHeight w:val="20"/>
          <w:tblHeader/>
        </w:trPr>
        <w:tc>
          <w:tcPr>
            <w:tcW w:w="5000" w:type="pct"/>
            <w:gridSpan w:val="3"/>
            <w:tcBorders>
              <w:top w:val="single" w:sz="8" w:space="0" w:color="auto"/>
              <w:left w:val="nil"/>
              <w:bottom w:val="single" w:sz="8" w:space="0" w:color="auto"/>
              <w:right w:val="nil"/>
            </w:tcBorders>
            <w:shd w:val="clear" w:color="auto" w:fill="203764"/>
            <w:vAlign w:val="center"/>
            <w:hideMark/>
          </w:tcPr>
          <w:p w14:paraId="0539C7A8" w14:textId="77777777" w:rsidR="00DA7276" w:rsidRPr="008F6530" w:rsidRDefault="00DA7276" w:rsidP="008F6530">
            <w:pPr>
              <w:jc w:val="center"/>
              <w:rPr>
                <w:rFonts w:ascii="Arial" w:eastAsia="Times New Roman" w:hAnsi="Arial" w:cs="Arial"/>
                <w:b/>
                <w:bCs/>
                <w:color w:val="FFFFFF"/>
                <w:sz w:val="18"/>
                <w:szCs w:val="18"/>
                <w:lang w:val="es-CO" w:eastAsia="es-CO"/>
              </w:rPr>
            </w:pPr>
            <w:r w:rsidRPr="008F6530">
              <w:rPr>
                <w:rFonts w:ascii="Arial" w:eastAsia="Times New Roman" w:hAnsi="Arial" w:cs="Arial"/>
                <w:b/>
                <w:bCs/>
                <w:color w:val="FFFFFF"/>
                <w:sz w:val="18"/>
                <w:szCs w:val="18"/>
                <w:lang w:val="es-CO" w:eastAsia="es-CO"/>
              </w:rPr>
              <w:t>CIFRAS EN MILLONES DE PESOS</w:t>
            </w:r>
          </w:p>
        </w:tc>
      </w:tr>
      <w:tr w:rsidR="008F6530" w:rsidRPr="008F6530" w14:paraId="2B4BE183" w14:textId="77777777" w:rsidTr="008F6530">
        <w:trPr>
          <w:trHeight w:val="20"/>
          <w:tblHeader/>
        </w:trPr>
        <w:tc>
          <w:tcPr>
            <w:tcW w:w="2488" w:type="pct"/>
            <w:tcBorders>
              <w:top w:val="nil"/>
              <w:left w:val="single" w:sz="8" w:space="0" w:color="auto"/>
              <w:bottom w:val="single" w:sz="8" w:space="0" w:color="auto"/>
              <w:right w:val="single" w:sz="8" w:space="0" w:color="000000"/>
            </w:tcBorders>
            <w:shd w:val="clear" w:color="auto" w:fill="95B3D7"/>
            <w:vAlign w:val="center"/>
            <w:hideMark/>
          </w:tcPr>
          <w:p w14:paraId="546A94E1" w14:textId="77777777" w:rsidR="00DA7276" w:rsidRPr="008F6530" w:rsidRDefault="00DA7276" w:rsidP="008F6530">
            <w:pPr>
              <w:jc w:val="center"/>
              <w:rPr>
                <w:rFonts w:ascii="Arial" w:eastAsia="Times New Roman" w:hAnsi="Arial" w:cs="Arial"/>
                <w:b/>
                <w:bCs/>
                <w:color w:val="000000"/>
                <w:sz w:val="18"/>
                <w:szCs w:val="18"/>
                <w:lang w:val="es-CO" w:eastAsia="es-CO"/>
              </w:rPr>
            </w:pPr>
            <w:r w:rsidRPr="008F6530">
              <w:rPr>
                <w:rFonts w:ascii="Arial" w:eastAsia="Times New Roman" w:hAnsi="Arial" w:cs="Arial"/>
                <w:b/>
                <w:bCs/>
                <w:color w:val="000000"/>
                <w:sz w:val="18"/>
                <w:szCs w:val="18"/>
                <w:lang w:val="es-CO" w:eastAsia="es-CO"/>
              </w:rPr>
              <w:t>CONCEPTOS</w:t>
            </w:r>
          </w:p>
        </w:tc>
        <w:tc>
          <w:tcPr>
            <w:tcW w:w="1903" w:type="pct"/>
            <w:tcBorders>
              <w:top w:val="nil"/>
              <w:left w:val="nil"/>
              <w:bottom w:val="single" w:sz="8" w:space="0" w:color="auto"/>
              <w:right w:val="single" w:sz="8" w:space="0" w:color="000000"/>
            </w:tcBorders>
            <w:shd w:val="clear" w:color="auto" w:fill="95B3D7"/>
            <w:vAlign w:val="center"/>
            <w:hideMark/>
          </w:tcPr>
          <w:p w14:paraId="17DE507C" w14:textId="77777777" w:rsidR="00DA7276" w:rsidRPr="008F6530" w:rsidRDefault="00DA7276" w:rsidP="008F6530">
            <w:pPr>
              <w:jc w:val="center"/>
              <w:rPr>
                <w:rFonts w:ascii="Arial" w:eastAsia="Times New Roman" w:hAnsi="Arial" w:cs="Arial"/>
                <w:b/>
                <w:bCs/>
                <w:color w:val="000000"/>
                <w:sz w:val="18"/>
                <w:szCs w:val="18"/>
                <w:lang w:val="es-CO" w:eastAsia="es-CO"/>
              </w:rPr>
            </w:pPr>
            <w:r w:rsidRPr="008F6530">
              <w:rPr>
                <w:rFonts w:ascii="Arial" w:eastAsia="Times New Roman" w:hAnsi="Arial" w:cs="Arial"/>
                <w:b/>
                <w:bCs/>
                <w:color w:val="000000"/>
                <w:sz w:val="18"/>
                <w:szCs w:val="18"/>
                <w:lang w:val="es-CO" w:eastAsia="es-CO"/>
              </w:rPr>
              <w:t>FUENTE</w:t>
            </w:r>
          </w:p>
        </w:tc>
        <w:tc>
          <w:tcPr>
            <w:tcW w:w="609" w:type="pct"/>
            <w:tcBorders>
              <w:top w:val="nil"/>
              <w:left w:val="nil"/>
              <w:bottom w:val="single" w:sz="8" w:space="0" w:color="auto"/>
              <w:right w:val="single" w:sz="8" w:space="0" w:color="000000"/>
            </w:tcBorders>
            <w:shd w:val="clear" w:color="auto" w:fill="95B3D7"/>
            <w:vAlign w:val="center"/>
            <w:hideMark/>
          </w:tcPr>
          <w:p w14:paraId="46C2693B" w14:textId="77777777" w:rsidR="00DA7276" w:rsidRPr="008F6530" w:rsidRDefault="00DA7276" w:rsidP="008F6530">
            <w:pPr>
              <w:jc w:val="center"/>
              <w:rPr>
                <w:rFonts w:ascii="Arial" w:eastAsia="Times New Roman" w:hAnsi="Arial" w:cs="Arial"/>
                <w:b/>
                <w:bCs/>
                <w:color w:val="000000"/>
                <w:sz w:val="18"/>
                <w:szCs w:val="18"/>
                <w:lang w:val="es-CO" w:eastAsia="es-CO"/>
              </w:rPr>
            </w:pPr>
            <w:proofErr w:type="gramStart"/>
            <w:r w:rsidRPr="008F6530">
              <w:rPr>
                <w:rFonts w:ascii="Arial" w:eastAsia="Times New Roman" w:hAnsi="Arial" w:cs="Arial"/>
                <w:b/>
                <w:bCs/>
                <w:color w:val="000000"/>
                <w:sz w:val="18"/>
                <w:szCs w:val="18"/>
                <w:lang w:val="es-CO" w:eastAsia="es-CO"/>
              </w:rPr>
              <w:t>TOTAL</w:t>
            </w:r>
            <w:proofErr w:type="gramEnd"/>
            <w:r w:rsidRPr="008F6530">
              <w:rPr>
                <w:rFonts w:ascii="Arial" w:eastAsia="Times New Roman" w:hAnsi="Arial" w:cs="Arial"/>
                <w:b/>
                <w:bCs/>
                <w:color w:val="000000"/>
                <w:sz w:val="18"/>
                <w:szCs w:val="18"/>
                <w:lang w:val="es-CO" w:eastAsia="es-CO"/>
              </w:rPr>
              <w:t xml:space="preserve"> FUENTE</w:t>
            </w:r>
          </w:p>
        </w:tc>
      </w:tr>
      <w:tr w:rsidR="008F6530" w:rsidRPr="008F6530" w14:paraId="5A729932"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191739B5"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Infraestructura de Instituciones Educativas con procesos constructivos, mejorados, ampliados, mantenidos, y/o reforzados.</w:t>
            </w:r>
          </w:p>
        </w:tc>
        <w:tc>
          <w:tcPr>
            <w:tcW w:w="1903" w:type="pct"/>
            <w:tcBorders>
              <w:top w:val="nil"/>
              <w:left w:val="nil"/>
              <w:bottom w:val="single" w:sz="4" w:space="0" w:color="auto"/>
              <w:right w:val="single" w:sz="4" w:space="0" w:color="auto"/>
            </w:tcBorders>
            <w:noWrap/>
            <w:vAlign w:val="center"/>
            <w:hideMark/>
          </w:tcPr>
          <w:p w14:paraId="2B0D8370"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40781962"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34</w:t>
            </w:r>
          </w:p>
        </w:tc>
      </w:tr>
      <w:tr w:rsidR="008F6530" w:rsidRPr="008F6530" w14:paraId="644F1BFE"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796BEFC6"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3CDA6C40"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2277ADB1"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19</w:t>
            </w:r>
          </w:p>
        </w:tc>
      </w:tr>
      <w:tr w:rsidR="008F6530" w:rsidRPr="008F6530" w14:paraId="69182E8C"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49F1BE0F"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apoyo a la permanencia con transporte escolar</w:t>
            </w:r>
          </w:p>
        </w:tc>
        <w:tc>
          <w:tcPr>
            <w:tcW w:w="1903" w:type="pct"/>
            <w:tcBorders>
              <w:top w:val="nil"/>
              <w:left w:val="nil"/>
              <w:bottom w:val="single" w:sz="4" w:space="0" w:color="auto"/>
              <w:right w:val="single" w:sz="4" w:space="0" w:color="auto"/>
            </w:tcBorders>
            <w:noWrap/>
            <w:vAlign w:val="center"/>
            <w:hideMark/>
          </w:tcPr>
          <w:p w14:paraId="5A1516AC"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76139A6D"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412</w:t>
            </w:r>
          </w:p>
        </w:tc>
      </w:tr>
      <w:tr w:rsidR="008F6530" w:rsidRPr="008F6530" w14:paraId="1707851E"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5FBEA0E0"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4" w:space="0" w:color="auto"/>
              <w:right w:val="single" w:sz="4" w:space="0" w:color="auto"/>
            </w:tcBorders>
            <w:vAlign w:val="center"/>
            <w:hideMark/>
          </w:tcPr>
          <w:p w14:paraId="2F2EA06C"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MONOPOLIO (91)</w:t>
            </w:r>
          </w:p>
        </w:tc>
        <w:tc>
          <w:tcPr>
            <w:tcW w:w="609" w:type="pct"/>
            <w:tcBorders>
              <w:top w:val="nil"/>
              <w:left w:val="nil"/>
              <w:bottom w:val="single" w:sz="4" w:space="0" w:color="auto"/>
              <w:right w:val="single" w:sz="4" w:space="0" w:color="auto"/>
            </w:tcBorders>
            <w:noWrap/>
            <w:vAlign w:val="center"/>
            <w:hideMark/>
          </w:tcPr>
          <w:p w14:paraId="2ACD0A0E"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110</w:t>
            </w:r>
          </w:p>
        </w:tc>
      </w:tr>
      <w:tr w:rsidR="008F6530" w:rsidRPr="008F6530" w14:paraId="4FFEBC54"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168A950F"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4" w:space="0" w:color="auto"/>
              <w:right w:val="single" w:sz="4" w:space="0" w:color="auto"/>
            </w:tcBorders>
            <w:noWrap/>
            <w:vAlign w:val="center"/>
            <w:hideMark/>
          </w:tcPr>
          <w:p w14:paraId="5D852D06"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MONOPOLIO</w:t>
            </w:r>
          </w:p>
        </w:tc>
        <w:tc>
          <w:tcPr>
            <w:tcW w:w="609" w:type="pct"/>
            <w:tcBorders>
              <w:top w:val="nil"/>
              <w:left w:val="nil"/>
              <w:bottom w:val="single" w:sz="4" w:space="0" w:color="auto"/>
              <w:right w:val="single" w:sz="4" w:space="0" w:color="auto"/>
            </w:tcBorders>
            <w:noWrap/>
            <w:vAlign w:val="center"/>
            <w:hideMark/>
          </w:tcPr>
          <w:p w14:paraId="591D3172"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10</w:t>
            </w:r>
          </w:p>
        </w:tc>
      </w:tr>
      <w:tr w:rsidR="008F6530" w:rsidRPr="008F6530" w14:paraId="3450BDE0"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7A8BBB27"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5D97C2CC"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2219013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30</w:t>
            </w:r>
          </w:p>
        </w:tc>
      </w:tr>
      <w:tr w:rsidR="008F6530" w:rsidRPr="008F6530" w14:paraId="26D86CEA" w14:textId="77777777" w:rsidTr="008F6530">
        <w:trPr>
          <w:trHeight w:val="20"/>
        </w:trPr>
        <w:tc>
          <w:tcPr>
            <w:tcW w:w="2488" w:type="pct"/>
            <w:tcBorders>
              <w:top w:val="nil"/>
              <w:left w:val="single" w:sz="8" w:space="0" w:color="auto"/>
              <w:bottom w:val="single" w:sz="8" w:space="0" w:color="auto"/>
              <w:right w:val="single" w:sz="4" w:space="0" w:color="auto"/>
            </w:tcBorders>
            <w:vAlign w:val="center"/>
            <w:hideMark/>
          </w:tcPr>
          <w:p w14:paraId="18910FDF"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fortalecimiento a las capacidades de los docentes de educación inicial, preescolar, básica y media</w:t>
            </w:r>
          </w:p>
        </w:tc>
        <w:tc>
          <w:tcPr>
            <w:tcW w:w="1903" w:type="pct"/>
            <w:tcBorders>
              <w:top w:val="nil"/>
              <w:left w:val="nil"/>
              <w:bottom w:val="single" w:sz="8" w:space="0" w:color="auto"/>
              <w:right w:val="single" w:sz="4" w:space="0" w:color="auto"/>
            </w:tcBorders>
            <w:noWrap/>
            <w:vAlign w:val="center"/>
            <w:hideMark/>
          </w:tcPr>
          <w:p w14:paraId="101A9B28"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8" w:space="0" w:color="auto"/>
              <w:right w:val="single" w:sz="4" w:space="0" w:color="auto"/>
            </w:tcBorders>
            <w:noWrap/>
            <w:vAlign w:val="center"/>
            <w:hideMark/>
          </w:tcPr>
          <w:p w14:paraId="67BF0966"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13</w:t>
            </w:r>
          </w:p>
        </w:tc>
      </w:tr>
      <w:tr w:rsidR="008F6530" w:rsidRPr="008F6530" w14:paraId="0C06A175"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57D72533"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apoyo a la permanencia con alimentación escolar</w:t>
            </w:r>
          </w:p>
        </w:tc>
        <w:tc>
          <w:tcPr>
            <w:tcW w:w="1903" w:type="pct"/>
            <w:tcBorders>
              <w:top w:val="nil"/>
              <w:left w:val="nil"/>
              <w:bottom w:val="single" w:sz="4" w:space="0" w:color="auto"/>
              <w:right w:val="single" w:sz="4" w:space="0" w:color="auto"/>
            </w:tcBorders>
            <w:noWrap/>
            <w:vAlign w:val="center"/>
            <w:hideMark/>
          </w:tcPr>
          <w:p w14:paraId="73BAE75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644A28A8"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250</w:t>
            </w:r>
          </w:p>
        </w:tc>
      </w:tr>
      <w:tr w:rsidR="008F6530" w:rsidRPr="008F6530" w14:paraId="345E2F24"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756CB29C"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660CF1D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19A6F052"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1.888</w:t>
            </w:r>
          </w:p>
        </w:tc>
      </w:tr>
      <w:tr w:rsidR="008F6530" w:rsidRPr="008F6530" w14:paraId="15A2A771" w14:textId="77777777" w:rsidTr="008F6530">
        <w:trPr>
          <w:trHeight w:val="20"/>
        </w:trPr>
        <w:tc>
          <w:tcPr>
            <w:tcW w:w="2488" w:type="pct"/>
            <w:tcBorders>
              <w:top w:val="nil"/>
              <w:left w:val="single" w:sz="8" w:space="0" w:color="auto"/>
              <w:bottom w:val="single" w:sz="8" w:space="0" w:color="auto"/>
              <w:right w:val="single" w:sz="4" w:space="0" w:color="auto"/>
            </w:tcBorders>
            <w:vAlign w:val="center"/>
            <w:hideMark/>
          </w:tcPr>
          <w:p w14:paraId="1C433825"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accesibilidad a contenidos web para fines pedagógicos</w:t>
            </w:r>
          </w:p>
        </w:tc>
        <w:tc>
          <w:tcPr>
            <w:tcW w:w="1903" w:type="pct"/>
            <w:tcBorders>
              <w:top w:val="nil"/>
              <w:left w:val="nil"/>
              <w:bottom w:val="single" w:sz="8" w:space="0" w:color="auto"/>
              <w:right w:val="single" w:sz="4" w:space="0" w:color="auto"/>
            </w:tcBorders>
            <w:noWrap/>
            <w:vAlign w:val="center"/>
            <w:hideMark/>
          </w:tcPr>
          <w:p w14:paraId="59CDA288"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8" w:space="0" w:color="auto"/>
              <w:right w:val="single" w:sz="4" w:space="0" w:color="auto"/>
            </w:tcBorders>
            <w:noWrap/>
            <w:vAlign w:val="center"/>
            <w:hideMark/>
          </w:tcPr>
          <w:p w14:paraId="40E112FF"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14</w:t>
            </w:r>
          </w:p>
        </w:tc>
      </w:tr>
      <w:tr w:rsidR="008F6530" w:rsidRPr="008F6530" w14:paraId="2D2D0D23" w14:textId="77777777" w:rsidTr="008F6530">
        <w:trPr>
          <w:trHeight w:val="20"/>
        </w:trPr>
        <w:tc>
          <w:tcPr>
            <w:tcW w:w="2488" w:type="pct"/>
            <w:vMerge w:val="restart"/>
            <w:tcBorders>
              <w:top w:val="nil"/>
              <w:left w:val="single" w:sz="8" w:space="0" w:color="auto"/>
              <w:bottom w:val="single" w:sz="8" w:space="0" w:color="000000"/>
              <w:right w:val="single" w:sz="4" w:space="0" w:color="auto"/>
            </w:tcBorders>
            <w:noWrap/>
            <w:vAlign w:val="center"/>
            <w:hideMark/>
          </w:tcPr>
          <w:p w14:paraId="1BFE559F"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Infraestructura educativa dotada</w:t>
            </w:r>
          </w:p>
        </w:tc>
        <w:tc>
          <w:tcPr>
            <w:tcW w:w="1903" w:type="pct"/>
            <w:tcBorders>
              <w:top w:val="nil"/>
              <w:left w:val="nil"/>
              <w:bottom w:val="single" w:sz="4" w:space="0" w:color="auto"/>
              <w:right w:val="single" w:sz="4" w:space="0" w:color="auto"/>
            </w:tcBorders>
            <w:noWrap/>
            <w:vAlign w:val="center"/>
            <w:hideMark/>
          </w:tcPr>
          <w:p w14:paraId="072777C0"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1029C311"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10</w:t>
            </w:r>
          </w:p>
        </w:tc>
      </w:tr>
      <w:tr w:rsidR="008F6530" w:rsidRPr="008F6530" w14:paraId="2CD6262D"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345DC6C4"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vAlign w:val="center"/>
            <w:hideMark/>
          </w:tcPr>
          <w:p w14:paraId="0C9F18E2"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MONOPOLIO (91)</w:t>
            </w:r>
          </w:p>
        </w:tc>
        <w:tc>
          <w:tcPr>
            <w:tcW w:w="609" w:type="pct"/>
            <w:tcBorders>
              <w:top w:val="nil"/>
              <w:left w:val="nil"/>
              <w:bottom w:val="single" w:sz="8" w:space="0" w:color="auto"/>
              <w:right w:val="single" w:sz="4" w:space="0" w:color="auto"/>
            </w:tcBorders>
            <w:noWrap/>
            <w:vAlign w:val="center"/>
            <w:hideMark/>
          </w:tcPr>
          <w:p w14:paraId="4E8A5B1C"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15</w:t>
            </w:r>
          </w:p>
        </w:tc>
      </w:tr>
      <w:tr w:rsidR="008F6530" w:rsidRPr="008F6530" w14:paraId="657BEB20" w14:textId="77777777" w:rsidTr="008F6530">
        <w:trPr>
          <w:trHeight w:val="20"/>
        </w:trPr>
        <w:tc>
          <w:tcPr>
            <w:tcW w:w="2488" w:type="pct"/>
            <w:vMerge w:val="restart"/>
            <w:tcBorders>
              <w:top w:val="nil"/>
              <w:left w:val="single" w:sz="8" w:space="0" w:color="auto"/>
              <w:bottom w:val="single" w:sz="8" w:space="0" w:color="000000"/>
              <w:right w:val="single" w:sz="4" w:space="0" w:color="auto"/>
            </w:tcBorders>
            <w:noWrap/>
            <w:vAlign w:val="center"/>
            <w:hideMark/>
          </w:tcPr>
          <w:p w14:paraId="2E83607E"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Proyectos Educativos Transversales</w:t>
            </w:r>
          </w:p>
        </w:tc>
        <w:tc>
          <w:tcPr>
            <w:tcW w:w="1903" w:type="pct"/>
            <w:tcBorders>
              <w:top w:val="nil"/>
              <w:left w:val="nil"/>
              <w:bottom w:val="single" w:sz="4" w:space="0" w:color="auto"/>
              <w:right w:val="single" w:sz="4" w:space="0" w:color="auto"/>
            </w:tcBorders>
            <w:noWrap/>
            <w:vAlign w:val="center"/>
            <w:hideMark/>
          </w:tcPr>
          <w:p w14:paraId="01199AF1"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4E59C8DF"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237</w:t>
            </w:r>
          </w:p>
        </w:tc>
      </w:tr>
      <w:tr w:rsidR="008F6530" w:rsidRPr="008F6530" w14:paraId="2F34F836"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5DF8274E"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4" w:space="0" w:color="auto"/>
              <w:right w:val="single" w:sz="4" w:space="0" w:color="auto"/>
            </w:tcBorders>
            <w:noWrap/>
            <w:vAlign w:val="center"/>
            <w:hideMark/>
          </w:tcPr>
          <w:p w14:paraId="1408BEC5"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4" w:space="0" w:color="auto"/>
              <w:right w:val="single" w:sz="4" w:space="0" w:color="auto"/>
            </w:tcBorders>
            <w:noWrap/>
            <w:vAlign w:val="center"/>
            <w:hideMark/>
          </w:tcPr>
          <w:p w14:paraId="2E8B4078"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39</w:t>
            </w:r>
          </w:p>
        </w:tc>
      </w:tr>
      <w:tr w:rsidR="008F6530" w:rsidRPr="008F6530" w14:paraId="3AA25D69"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1E23076F"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40E102AB"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MONOPOLIO (35)</w:t>
            </w:r>
          </w:p>
        </w:tc>
        <w:tc>
          <w:tcPr>
            <w:tcW w:w="609" w:type="pct"/>
            <w:tcBorders>
              <w:top w:val="nil"/>
              <w:left w:val="nil"/>
              <w:bottom w:val="single" w:sz="8" w:space="0" w:color="auto"/>
              <w:right w:val="single" w:sz="4" w:space="0" w:color="auto"/>
            </w:tcBorders>
            <w:noWrap/>
            <w:vAlign w:val="center"/>
            <w:hideMark/>
          </w:tcPr>
          <w:p w14:paraId="13302FB1"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5</w:t>
            </w:r>
          </w:p>
        </w:tc>
      </w:tr>
      <w:tr w:rsidR="008F6530" w:rsidRPr="008F6530" w14:paraId="58648AA2" w14:textId="77777777" w:rsidTr="008F6530">
        <w:trPr>
          <w:trHeight w:val="20"/>
        </w:trPr>
        <w:tc>
          <w:tcPr>
            <w:tcW w:w="2488" w:type="pct"/>
            <w:tcBorders>
              <w:top w:val="nil"/>
              <w:left w:val="single" w:sz="8" w:space="0" w:color="auto"/>
              <w:bottom w:val="single" w:sz="8" w:space="0" w:color="auto"/>
              <w:right w:val="single" w:sz="4" w:space="0" w:color="auto"/>
            </w:tcBorders>
            <w:noWrap/>
            <w:vAlign w:val="center"/>
            <w:hideMark/>
          </w:tcPr>
          <w:p w14:paraId="01E66342" w14:textId="77777777" w:rsid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Dotación Institucional de material</w:t>
            </w:r>
            <w:r w:rsidR="008F6530">
              <w:rPr>
                <w:rFonts w:ascii="Arial" w:eastAsia="Times New Roman" w:hAnsi="Arial" w:cs="Arial"/>
                <w:color w:val="000000"/>
                <w:sz w:val="18"/>
                <w:szCs w:val="18"/>
                <w:lang w:val="es-CO" w:eastAsia="es-CO"/>
              </w:rPr>
              <w:t xml:space="preserve">es </w:t>
            </w:r>
            <w:r w:rsidRPr="008F6530">
              <w:rPr>
                <w:rFonts w:ascii="Arial" w:eastAsia="Times New Roman" w:hAnsi="Arial" w:cs="Arial"/>
                <w:color w:val="000000"/>
                <w:sz w:val="18"/>
                <w:szCs w:val="18"/>
                <w:lang w:val="es-CO" w:eastAsia="es-CO"/>
              </w:rPr>
              <w:t>y medio</w:t>
            </w:r>
            <w:r w:rsidR="008F6530">
              <w:rPr>
                <w:rFonts w:ascii="Arial" w:eastAsia="Times New Roman" w:hAnsi="Arial" w:cs="Arial"/>
                <w:color w:val="000000"/>
                <w:sz w:val="18"/>
                <w:szCs w:val="18"/>
                <w:lang w:val="es-CO" w:eastAsia="es-CO"/>
              </w:rPr>
              <w:t>s</w:t>
            </w:r>
            <w:r w:rsidRPr="008F6530">
              <w:rPr>
                <w:rFonts w:ascii="Arial" w:eastAsia="Times New Roman" w:hAnsi="Arial" w:cs="Arial"/>
                <w:color w:val="000000"/>
                <w:sz w:val="18"/>
                <w:szCs w:val="18"/>
                <w:lang w:val="es-CO" w:eastAsia="es-CO"/>
              </w:rPr>
              <w:t xml:space="preserve"> </w:t>
            </w:r>
          </w:p>
          <w:p w14:paraId="7E7A93D8"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lastRenderedPageBreak/>
              <w:t>pedagógicos para el aprendizaje</w:t>
            </w:r>
          </w:p>
        </w:tc>
        <w:tc>
          <w:tcPr>
            <w:tcW w:w="1903" w:type="pct"/>
            <w:tcBorders>
              <w:top w:val="nil"/>
              <w:left w:val="nil"/>
              <w:bottom w:val="single" w:sz="8" w:space="0" w:color="auto"/>
              <w:right w:val="single" w:sz="4" w:space="0" w:color="auto"/>
            </w:tcBorders>
            <w:noWrap/>
            <w:vAlign w:val="center"/>
            <w:hideMark/>
          </w:tcPr>
          <w:p w14:paraId="3F86C081"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lastRenderedPageBreak/>
              <w:t>ORDINARIO (20)</w:t>
            </w:r>
          </w:p>
        </w:tc>
        <w:tc>
          <w:tcPr>
            <w:tcW w:w="609" w:type="pct"/>
            <w:tcBorders>
              <w:top w:val="nil"/>
              <w:left w:val="nil"/>
              <w:bottom w:val="single" w:sz="8" w:space="0" w:color="auto"/>
              <w:right w:val="single" w:sz="4" w:space="0" w:color="auto"/>
            </w:tcBorders>
            <w:noWrap/>
            <w:vAlign w:val="center"/>
            <w:hideMark/>
          </w:tcPr>
          <w:p w14:paraId="2F93E92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18</w:t>
            </w:r>
          </w:p>
        </w:tc>
      </w:tr>
      <w:tr w:rsidR="008F6530" w:rsidRPr="008F6530" w14:paraId="1164CA92"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2427404B"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Prestación del Servicio de Aseo para las Establecimientos Educativos Oficiales del Departamento del Quindío</w:t>
            </w:r>
          </w:p>
        </w:tc>
        <w:tc>
          <w:tcPr>
            <w:tcW w:w="1903" w:type="pct"/>
            <w:tcBorders>
              <w:top w:val="nil"/>
              <w:left w:val="nil"/>
              <w:bottom w:val="single" w:sz="4" w:space="0" w:color="auto"/>
              <w:right w:val="single" w:sz="4" w:space="0" w:color="auto"/>
            </w:tcBorders>
            <w:noWrap/>
            <w:vAlign w:val="center"/>
            <w:hideMark/>
          </w:tcPr>
          <w:p w14:paraId="10DA561D"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23265A5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3.032</w:t>
            </w:r>
          </w:p>
        </w:tc>
      </w:tr>
      <w:tr w:rsidR="008F6530" w:rsidRPr="008F6530" w14:paraId="3E47A763"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62BC0C64"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633451DC"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69355696"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1.188</w:t>
            </w:r>
          </w:p>
        </w:tc>
      </w:tr>
      <w:tr w:rsidR="008F6530" w:rsidRPr="008F6530" w14:paraId="784F5FDA"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5DED5435"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apoyo para el acceso y la permanencia a la educación superior o terciaria</w:t>
            </w:r>
          </w:p>
        </w:tc>
        <w:tc>
          <w:tcPr>
            <w:tcW w:w="1903" w:type="pct"/>
            <w:tcBorders>
              <w:top w:val="nil"/>
              <w:left w:val="nil"/>
              <w:bottom w:val="single" w:sz="4" w:space="0" w:color="auto"/>
              <w:right w:val="single" w:sz="4" w:space="0" w:color="auto"/>
            </w:tcBorders>
            <w:noWrap/>
            <w:vAlign w:val="center"/>
            <w:hideMark/>
          </w:tcPr>
          <w:p w14:paraId="74C46DE3"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2EB8883D"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86</w:t>
            </w:r>
          </w:p>
        </w:tc>
      </w:tr>
      <w:tr w:rsidR="008F6530" w:rsidRPr="008F6530" w14:paraId="6BAB9870"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181D2A48"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4" w:space="0" w:color="auto"/>
              <w:right w:val="single" w:sz="4" w:space="0" w:color="auto"/>
            </w:tcBorders>
            <w:noWrap/>
            <w:vAlign w:val="center"/>
            <w:hideMark/>
          </w:tcPr>
          <w:p w14:paraId="31EBB7D7"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MONOPOLIO (35)</w:t>
            </w:r>
          </w:p>
        </w:tc>
        <w:tc>
          <w:tcPr>
            <w:tcW w:w="609" w:type="pct"/>
            <w:tcBorders>
              <w:top w:val="nil"/>
              <w:left w:val="nil"/>
              <w:bottom w:val="single" w:sz="4" w:space="0" w:color="auto"/>
              <w:right w:val="single" w:sz="4" w:space="0" w:color="auto"/>
            </w:tcBorders>
            <w:noWrap/>
            <w:vAlign w:val="center"/>
            <w:hideMark/>
          </w:tcPr>
          <w:p w14:paraId="3AF888F9"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50</w:t>
            </w:r>
          </w:p>
        </w:tc>
      </w:tr>
      <w:tr w:rsidR="008F6530" w:rsidRPr="008F6530" w14:paraId="3E484F27"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3103F4AD"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7FCE7194"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2DE827B6"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20</w:t>
            </w:r>
          </w:p>
        </w:tc>
      </w:tr>
      <w:tr w:rsidR="008F6530" w:rsidRPr="008F6530" w14:paraId="53D41053" w14:textId="77777777" w:rsidTr="008F6530">
        <w:trPr>
          <w:trHeight w:val="20"/>
        </w:trPr>
        <w:tc>
          <w:tcPr>
            <w:tcW w:w="2488" w:type="pct"/>
            <w:vMerge w:val="restart"/>
            <w:tcBorders>
              <w:top w:val="nil"/>
              <w:left w:val="single" w:sz="8" w:space="0" w:color="auto"/>
              <w:bottom w:val="single" w:sz="8" w:space="0" w:color="000000"/>
              <w:right w:val="single" w:sz="4" w:space="0" w:color="auto"/>
            </w:tcBorders>
            <w:vAlign w:val="center"/>
            <w:hideMark/>
          </w:tcPr>
          <w:p w14:paraId="7711636E"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Servicio de asistencia técnica en educación inicial, preescolar, básica y media</w:t>
            </w:r>
          </w:p>
        </w:tc>
        <w:tc>
          <w:tcPr>
            <w:tcW w:w="1903" w:type="pct"/>
            <w:tcBorders>
              <w:top w:val="nil"/>
              <w:left w:val="nil"/>
              <w:bottom w:val="single" w:sz="4" w:space="0" w:color="auto"/>
              <w:right w:val="single" w:sz="4" w:space="0" w:color="auto"/>
            </w:tcBorders>
            <w:noWrap/>
            <w:vAlign w:val="center"/>
            <w:hideMark/>
          </w:tcPr>
          <w:p w14:paraId="7120721D"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ORDINARIO (20)</w:t>
            </w:r>
          </w:p>
        </w:tc>
        <w:tc>
          <w:tcPr>
            <w:tcW w:w="609" w:type="pct"/>
            <w:tcBorders>
              <w:top w:val="nil"/>
              <w:left w:val="nil"/>
              <w:bottom w:val="single" w:sz="4" w:space="0" w:color="auto"/>
              <w:right w:val="single" w:sz="4" w:space="0" w:color="auto"/>
            </w:tcBorders>
            <w:noWrap/>
            <w:vAlign w:val="center"/>
            <w:hideMark/>
          </w:tcPr>
          <w:p w14:paraId="04C6A5D2"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144</w:t>
            </w:r>
          </w:p>
        </w:tc>
      </w:tr>
      <w:tr w:rsidR="008F6530" w:rsidRPr="008F6530" w14:paraId="7646FF75" w14:textId="77777777" w:rsidTr="008F6530">
        <w:trPr>
          <w:trHeight w:val="20"/>
        </w:trPr>
        <w:tc>
          <w:tcPr>
            <w:tcW w:w="2488" w:type="pct"/>
            <w:vMerge/>
            <w:tcBorders>
              <w:top w:val="nil"/>
              <w:left w:val="single" w:sz="8" w:space="0" w:color="auto"/>
              <w:bottom w:val="single" w:sz="8" w:space="0" w:color="000000"/>
              <w:right w:val="single" w:sz="4" w:space="0" w:color="auto"/>
            </w:tcBorders>
            <w:vAlign w:val="center"/>
            <w:hideMark/>
          </w:tcPr>
          <w:p w14:paraId="09833259" w14:textId="77777777" w:rsidR="00DA7276" w:rsidRPr="008F6530" w:rsidRDefault="00DA7276" w:rsidP="008F6530">
            <w:pPr>
              <w:rPr>
                <w:rFonts w:ascii="Arial" w:eastAsia="Times New Roman" w:hAnsi="Arial" w:cs="Arial"/>
                <w:color w:val="000000"/>
                <w:sz w:val="18"/>
                <w:szCs w:val="18"/>
                <w:lang w:val="es-CO" w:eastAsia="es-CO"/>
              </w:rPr>
            </w:pPr>
          </w:p>
        </w:tc>
        <w:tc>
          <w:tcPr>
            <w:tcW w:w="1903" w:type="pct"/>
            <w:tcBorders>
              <w:top w:val="nil"/>
              <w:left w:val="nil"/>
              <w:bottom w:val="single" w:sz="8" w:space="0" w:color="auto"/>
              <w:right w:val="single" w:sz="4" w:space="0" w:color="auto"/>
            </w:tcBorders>
            <w:noWrap/>
            <w:vAlign w:val="center"/>
            <w:hideMark/>
          </w:tcPr>
          <w:p w14:paraId="092F2CEB"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SUPERAVIT ORDINARIO (88)</w:t>
            </w:r>
          </w:p>
        </w:tc>
        <w:tc>
          <w:tcPr>
            <w:tcW w:w="609" w:type="pct"/>
            <w:tcBorders>
              <w:top w:val="nil"/>
              <w:left w:val="nil"/>
              <w:bottom w:val="single" w:sz="8" w:space="0" w:color="auto"/>
              <w:right w:val="single" w:sz="4" w:space="0" w:color="auto"/>
            </w:tcBorders>
            <w:noWrap/>
            <w:vAlign w:val="center"/>
            <w:hideMark/>
          </w:tcPr>
          <w:p w14:paraId="71DAE9C4" w14:textId="77777777" w:rsidR="00DA7276" w:rsidRPr="008F6530" w:rsidRDefault="00DA7276" w:rsidP="008F6530">
            <w:pPr>
              <w:jc w:val="center"/>
              <w:rPr>
                <w:rFonts w:ascii="Arial" w:eastAsia="Times New Roman" w:hAnsi="Arial" w:cs="Arial"/>
                <w:color w:val="000000"/>
                <w:sz w:val="18"/>
                <w:szCs w:val="18"/>
                <w:lang w:val="es-CO" w:eastAsia="es-CO"/>
              </w:rPr>
            </w:pPr>
            <w:r w:rsidRPr="008F6530">
              <w:rPr>
                <w:rFonts w:ascii="Arial" w:eastAsia="Times New Roman" w:hAnsi="Arial" w:cs="Arial"/>
                <w:color w:val="000000"/>
                <w:sz w:val="18"/>
                <w:szCs w:val="18"/>
                <w:lang w:val="es-CO" w:eastAsia="es-CO"/>
              </w:rPr>
              <w:t>364</w:t>
            </w:r>
          </w:p>
        </w:tc>
      </w:tr>
      <w:tr w:rsidR="00DA7276" w:rsidRPr="008F6530" w14:paraId="37562E03" w14:textId="77777777" w:rsidTr="008F6530">
        <w:trPr>
          <w:trHeight w:val="20"/>
        </w:trPr>
        <w:tc>
          <w:tcPr>
            <w:tcW w:w="4391" w:type="pct"/>
            <w:gridSpan w:val="2"/>
            <w:tcBorders>
              <w:top w:val="nil"/>
              <w:left w:val="nil"/>
              <w:bottom w:val="single" w:sz="8" w:space="0" w:color="auto"/>
              <w:right w:val="nil"/>
            </w:tcBorders>
            <w:shd w:val="clear" w:color="auto" w:fill="203764"/>
            <w:vAlign w:val="center"/>
            <w:hideMark/>
          </w:tcPr>
          <w:p w14:paraId="1CC32411" w14:textId="77777777" w:rsidR="00DA7276" w:rsidRPr="008F6530" w:rsidRDefault="00DA7276" w:rsidP="008F6530">
            <w:pPr>
              <w:jc w:val="center"/>
              <w:rPr>
                <w:rFonts w:ascii="Arial" w:eastAsia="Times New Roman" w:hAnsi="Arial" w:cs="Arial"/>
                <w:b/>
                <w:bCs/>
                <w:color w:val="FFFFFF"/>
                <w:sz w:val="18"/>
                <w:szCs w:val="18"/>
                <w:lang w:val="es-CO" w:eastAsia="es-CO"/>
              </w:rPr>
            </w:pPr>
            <w:proofErr w:type="gramStart"/>
            <w:r w:rsidRPr="008F6530">
              <w:rPr>
                <w:rFonts w:ascii="Arial" w:eastAsia="Times New Roman" w:hAnsi="Arial" w:cs="Arial"/>
                <w:b/>
                <w:bCs/>
                <w:color w:val="FFFFFF"/>
                <w:sz w:val="18"/>
                <w:szCs w:val="18"/>
                <w:lang w:val="es-CO" w:eastAsia="es-CO"/>
              </w:rPr>
              <w:t>TOTAL</w:t>
            </w:r>
            <w:proofErr w:type="gramEnd"/>
            <w:r w:rsidRPr="008F6530">
              <w:rPr>
                <w:rFonts w:ascii="Arial" w:eastAsia="Times New Roman" w:hAnsi="Arial" w:cs="Arial"/>
                <w:b/>
                <w:bCs/>
                <w:color w:val="FFFFFF"/>
                <w:sz w:val="18"/>
                <w:szCs w:val="18"/>
                <w:lang w:val="es-CO" w:eastAsia="es-CO"/>
              </w:rPr>
              <w:t xml:space="preserve"> GENERAL</w:t>
            </w:r>
          </w:p>
        </w:tc>
        <w:tc>
          <w:tcPr>
            <w:tcW w:w="609" w:type="pct"/>
            <w:tcBorders>
              <w:top w:val="nil"/>
              <w:left w:val="nil"/>
              <w:bottom w:val="single" w:sz="8" w:space="0" w:color="auto"/>
              <w:right w:val="nil"/>
            </w:tcBorders>
            <w:shd w:val="clear" w:color="auto" w:fill="203764"/>
            <w:vAlign w:val="center"/>
            <w:hideMark/>
          </w:tcPr>
          <w:p w14:paraId="054B5DB2" w14:textId="77777777" w:rsidR="00DA7276" w:rsidRPr="008F6530" w:rsidRDefault="00DA7276" w:rsidP="008F6530">
            <w:pPr>
              <w:jc w:val="center"/>
              <w:rPr>
                <w:rFonts w:ascii="Arial" w:eastAsia="Times New Roman" w:hAnsi="Arial" w:cs="Arial"/>
                <w:b/>
                <w:bCs/>
                <w:color w:val="FFFFFF"/>
                <w:sz w:val="18"/>
                <w:szCs w:val="18"/>
                <w:lang w:val="es-CO" w:eastAsia="es-CO"/>
              </w:rPr>
            </w:pPr>
            <w:r w:rsidRPr="008F6530">
              <w:rPr>
                <w:rFonts w:ascii="Arial" w:eastAsia="Times New Roman" w:hAnsi="Arial" w:cs="Arial"/>
                <w:b/>
                <w:bCs/>
                <w:color w:val="FFFFFF"/>
                <w:sz w:val="18"/>
                <w:szCs w:val="18"/>
                <w:lang w:val="es-CO" w:eastAsia="es-CO"/>
              </w:rPr>
              <w:t>7.988</w:t>
            </w:r>
          </w:p>
        </w:tc>
      </w:tr>
    </w:tbl>
    <w:p w14:paraId="002FF359" w14:textId="77777777" w:rsidR="00DA7276" w:rsidRDefault="00DA7276" w:rsidP="008F6530">
      <w:pPr>
        <w:jc w:val="center"/>
        <w:rPr>
          <w:rFonts w:ascii="Arial" w:hAnsi="Arial" w:cs="Arial"/>
          <w:sz w:val="18"/>
          <w:szCs w:val="18"/>
          <w:lang w:eastAsia="en-US"/>
        </w:rPr>
      </w:pPr>
      <w:r>
        <w:rPr>
          <w:rFonts w:ascii="Arial" w:hAnsi="Arial" w:cs="Arial"/>
          <w:sz w:val="18"/>
          <w:szCs w:val="18"/>
          <w:lang w:eastAsia="en-US"/>
        </w:rPr>
        <w:t>Fuente: Información allegada por la Entidad Territorial mediante el oficio radicado No. 1-2023-024872 del 24 de marzo de 2023.</w:t>
      </w:r>
    </w:p>
    <w:p w14:paraId="4A975108" w14:textId="77777777" w:rsidR="00DA7276" w:rsidRDefault="00DA7276" w:rsidP="008F6530">
      <w:pPr>
        <w:jc w:val="both"/>
        <w:rPr>
          <w:rFonts w:ascii="Arial" w:eastAsia="Arial" w:hAnsi="Arial" w:cs="Arial"/>
          <w:sz w:val="22"/>
          <w:szCs w:val="22"/>
          <w:lang w:eastAsia="en-US"/>
        </w:rPr>
      </w:pPr>
    </w:p>
    <w:p w14:paraId="2A0C867C"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Adicionalmente, alleg</w:t>
      </w:r>
      <w:r w:rsidR="0093266E">
        <w:rPr>
          <w:rFonts w:ascii="Arial" w:eastAsia="Arial" w:hAnsi="Arial" w:cs="Arial"/>
          <w:sz w:val="22"/>
          <w:szCs w:val="22"/>
          <w:lang w:eastAsia="en-US"/>
        </w:rPr>
        <w:t>ó</w:t>
      </w:r>
      <w:r>
        <w:rPr>
          <w:rFonts w:ascii="Arial" w:eastAsia="Arial" w:hAnsi="Arial" w:cs="Arial"/>
          <w:sz w:val="22"/>
          <w:szCs w:val="22"/>
          <w:lang w:eastAsia="en-US"/>
        </w:rPr>
        <w:t xml:space="preserve"> un cuadro más detallado donde indic</w:t>
      </w:r>
      <w:r w:rsidR="0093266E">
        <w:rPr>
          <w:rFonts w:ascii="Arial" w:eastAsia="Arial" w:hAnsi="Arial" w:cs="Arial"/>
          <w:sz w:val="22"/>
          <w:szCs w:val="22"/>
          <w:lang w:eastAsia="en-US"/>
        </w:rPr>
        <w:t>ó</w:t>
      </w:r>
      <w:r>
        <w:rPr>
          <w:rFonts w:ascii="Arial" w:eastAsia="Arial" w:hAnsi="Arial" w:cs="Arial"/>
          <w:sz w:val="22"/>
          <w:szCs w:val="22"/>
          <w:lang w:eastAsia="en-US"/>
        </w:rPr>
        <w:t xml:space="preserve">: el rubro e identificación presupuestal, la fuente de financiación, el objeto contractual y el valor de la inversión; este documento totaliza $7.988 millones, cifra consistente con el cuadro anteriormente expuesto. Los dos cuadros fueron contrastados con la ejecución presupuestal enviada, encontrando que todos los rubros indicados por el Departamento (en sus cuadros) estaban contenidos en la ejecución presupuestal, por lo cual existe una coherencia entre los diferentes reportes allegados. </w:t>
      </w:r>
    </w:p>
    <w:p w14:paraId="3D901E76" w14:textId="77777777" w:rsidR="00DA7276" w:rsidRDefault="00DA7276" w:rsidP="008F6530">
      <w:pPr>
        <w:jc w:val="both"/>
        <w:rPr>
          <w:rFonts w:ascii="Arial" w:eastAsia="Arial" w:hAnsi="Arial" w:cs="Arial"/>
          <w:sz w:val="22"/>
          <w:szCs w:val="22"/>
          <w:lang w:eastAsia="en-US"/>
        </w:rPr>
      </w:pPr>
    </w:p>
    <w:p w14:paraId="5CED5F6B"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No obstante, al hacer una revisión de cada uno de los objetos contractuales, se observó que algunos de estos no corresponden a objetos de gasto relacionados con la calidad educativa, pues en su mayoría tienen una relación directa con la contratación de personal para la secretar</w:t>
      </w:r>
      <w:r w:rsidR="0093266E">
        <w:rPr>
          <w:rFonts w:ascii="Arial" w:eastAsia="Arial" w:hAnsi="Arial" w:cs="Arial"/>
          <w:sz w:val="22"/>
          <w:szCs w:val="22"/>
          <w:lang w:eastAsia="en-US"/>
        </w:rPr>
        <w:t>í</w:t>
      </w:r>
      <w:r>
        <w:rPr>
          <w:rFonts w:ascii="Arial" w:eastAsia="Arial" w:hAnsi="Arial" w:cs="Arial"/>
          <w:sz w:val="22"/>
          <w:szCs w:val="22"/>
          <w:lang w:eastAsia="en-US"/>
        </w:rPr>
        <w:t xml:space="preserve">a de educación o las instituciones educativas, como se muestra a continuación (cifras en millones de pesos): </w:t>
      </w:r>
    </w:p>
    <w:p w14:paraId="197281D0" w14:textId="77777777" w:rsidR="00DA7276" w:rsidRDefault="00DA7276" w:rsidP="008F6530">
      <w:pPr>
        <w:jc w:val="both"/>
        <w:rPr>
          <w:rFonts w:ascii="Arial" w:eastAsia="Arial" w:hAnsi="Arial" w:cs="Arial"/>
          <w:sz w:val="22"/>
          <w:szCs w:val="22"/>
          <w:lang w:eastAsia="en-US"/>
        </w:rPr>
      </w:pPr>
    </w:p>
    <w:tbl>
      <w:tblPr>
        <w:tblW w:w="8925" w:type="dxa"/>
        <w:tblLayout w:type="fixed"/>
        <w:tblCellMar>
          <w:left w:w="70" w:type="dxa"/>
          <w:right w:w="70" w:type="dxa"/>
        </w:tblCellMar>
        <w:tblLook w:val="04A0" w:firstRow="1" w:lastRow="0" w:firstColumn="1" w:lastColumn="0" w:noHBand="0" w:noVBand="1"/>
      </w:tblPr>
      <w:tblGrid>
        <w:gridCol w:w="2118"/>
        <w:gridCol w:w="1702"/>
        <w:gridCol w:w="4254"/>
        <w:gridCol w:w="851"/>
      </w:tblGrid>
      <w:tr w:rsidR="00DA7276" w14:paraId="5475C869" w14:textId="77777777" w:rsidTr="008F6530">
        <w:trPr>
          <w:trHeight w:val="20"/>
          <w:tblHeader/>
        </w:trPr>
        <w:tc>
          <w:tcPr>
            <w:tcW w:w="2117" w:type="dxa"/>
            <w:tcBorders>
              <w:top w:val="single" w:sz="8" w:space="0" w:color="auto"/>
              <w:left w:val="single" w:sz="8" w:space="0" w:color="auto"/>
              <w:bottom w:val="single" w:sz="4" w:space="0" w:color="auto"/>
              <w:right w:val="single" w:sz="4" w:space="0" w:color="auto"/>
            </w:tcBorders>
            <w:shd w:val="clear" w:color="auto" w:fill="203764"/>
            <w:vAlign w:val="center"/>
            <w:hideMark/>
          </w:tcPr>
          <w:p w14:paraId="58EAB84A"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RUBRO PRESUPUESTAL</w:t>
            </w:r>
          </w:p>
        </w:tc>
        <w:tc>
          <w:tcPr>
            <w:tcW w:w="1701" w:type="dxa"/>
            <w:tcBorders>
              <w:top w:val="single" w:sz="8" w:space="0" w:color="auto"/>
              <w:left w:val="nil"/>
              <w:bottom w:val="single" w:sz="4" w:space="0" w:color="auto"/>
              <w:right w:val="single" w:sz="4" w:space="0" w:color="auto"/>
            </w:tcBorders>
            <w:shd w:val="clear" w:color="auto" w:fill="203764"/>
            <w:vAlign w:val="center"/>
            <w:hideMark/>
          </w:tcPr>
          <w:p w14:paraId="3FACE3C5"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IDENTIFICACION PRESUPUESTAL</w:t>
            </w:r>
          </w:p>
        </w:tc>
        <w:tc>
          <w:tcPr>
            <w:tcW w:w="4252" w:type="dxa"/>
            <w:tcBorders>
              <w:top w:val="single" w:sz="8" w:space="0" w:color="auto"/>
              <w:left w:val="nil"/>
              <w:bottom w:val="single" w:sz="4" w:space="0" w:color="auto"/>
              <w:right w:val="single" w:sz="4" w:space="0" w:color="auto"/>
            </w:tcBorders>
            <w:shd w:val="clear" w:color="auto" w:fill="203764"/>
            <w:vAlign w:val="center"/>
            <w:hideMark/>
          </w:tcPr>
          <w:p w14:paraId="66AAE431"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OBJETO</w:t>
            </w:r>
          </w:p>
        </w:tc>
        <w:tc>
          <w:tcPr>
            <w:tcW w:w="851" w:type="dxa"/>
            <w:tcBorders>
              <w:top w:val="single" w:sz="8" w:space="0" w:color="auto"/>
              <w:left w:val="nil"/>
              <w:bottom w:val="single" w:sz="4" w:space="0" w:color="auto"/>
              <w:right w:val="single" w:sz="8" w:space="0" w:color="auto"/>
            </w:tcBorders>
            <w:shd w:val="clear" w:color="auto" w:fill="203764"/>
            <w:vAlign w:val="center"/>
            <w:hideMark/>
          </w:tcPr>
          <w:p w14:paraId="45010DA8"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VALOR</w:t>
            </w:r>
          </w:p>
        </w:tc>
      </w:tr>
      <w:tr w:rsidR="00DA7276" w14:paraId="4D6225C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59650F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2ABFD8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B28EA1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técnicamente la implementación y/o fortalecimiento de la jornada única, en las instituciones adscritas a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departamental de educación</w:t>
            </w:r>
          </w:p>
        </w:tc>
        <w:tc>
          <w:tcPr>
            <w:tcW w:w="851" w:type="dxa"/>
            <w:tcBorders>
              <w:top w:val="nil"/>
              <w:left w:val="nil"/>
              <w:bottom w:val="single" w:sz="4" w:space="0" w:color="auto"/>
              <w:right w:val="single" w:sz="8" w:space="0" w:color="auto"/>
            </w:tcBorders>
            <w:noWrap/>
            <w:vAlign w:val="center"/>
            <w:hideMark/>
          </w:tcPr>
          <w:p w14:paraId="3BA894D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10554D01"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95086A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149BCE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4E1EC9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en seguridad y salud en el trabajo para apoyar la implementación de actividades que contribuyan al mejoramiento de las condiciones de los ambientes laborales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1A3F7AC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70635BB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377E1C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191C5A0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6FB722E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la implementación de actividades que contribuyan al mejoramiento de las condiciones de los ambientes laborales de las instituciones educativas adscritas a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5FC3AA2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p>
        </w:tc>
      </w:tr>
      <w:tr w:rsidR="00DA7276" w14:paraId="3327C59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EC2EC4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0314 - 2.3.2.02.02.009.00.00.00.2201001.095.91121 - 20</w:t>
            </w:r>
          </w:p>
        </w:tc>
        <w:tc>
          <w:tcPr>
            <w:tcW w:w="1701" w:type="dxa"/>
            <w:tcBorders>
              <w:top w:val="nil"/>
              <w:left w:val="nil"/>
              <w:bottom w:val="single" w:sz="4" w:space="0" w:color="auto"/>
              <w:right w:val="single" w:sz="4" w:space="0" w:color="auto"/>
            </w:tcBorders>
            <w:vAlign w:val="center"/>
            <w:hideMark/>
          </w:tcPr>
          <w:p w14:paraId="06F0180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43D64DA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apoyo en la ejecución de los procesos y/o actividades que se desarrollan en la dirección de planeamiento educativo</w:t>
            </w:r>
          </w:p>
        </w:tc>
        <w:tc>
          <w:tcPr>
            <w:tcW w:w="851" w:type="dxa"/>
            <w:tcBorders>
              <w:top w:val="nil"/>
              <w:left w:val="nil"/>
              <w:bottom w:val="single" w:sz="4" w:space="0" w:color="auto"/>
              <w:right w:val="single" w:sz="8" w:space="0" w:color="auto"/>
            </w:tcBorders>
            <w:noWrap/>
            <w:vAlign w:val="center"/>
            <w:hideMark/>
          </w:tcPr>
          <w:p w14:paraId="0F6F129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3F78EB4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7D3792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0314 - 2.3.2.02.02.009.00.00.00.2201048.095.91121 - 20</w:t>
            </w:r>
          </w:p>
        </w:tc>
        <w:tc>
          <w:tcPr>
            <w:tcW w:w="1701" w:type="dxa"/>
            <w:tcBorders>
              <w:top w:val="nil"/>
              <w:left w:val="nil"/>
              <w:bottom w:val="single" w:sz="4" w:space="0" w:color="auto"/>
              <w:right w:val="single" w:sz="4" w:space="0" w:color="auto"/>
            </w:tcBorders>
            <w:vAlign w:val="center"/>
            <w:hideMark/>
          </w:tcPr>
          <w:p w14:paraId="26DAFA4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39C1137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apoyo en la ejecución de los procesos y/o actividades que se desarrollan en la dirección de planeamiento educativo</w:t>
            </w:r>
          </w:p>
        </w:tc>
        <w:tc>
          <w:tcPr>
            <w:tcW w:w="851" w:type="dxa"/>
            <w:tcBorders>
              <w:top w:val="nil"/>
              <w:left w:val="nil"/>
              <w:bottom w:val="single" w:sz="4" w:space="0" w:color="auto"/>
              <w:right w:val="single" w:sz="8" w:space="0" w:color="auto"/>
            </w:tcBorders>
            <w:noWrap/>
            <w:vAlign w:val="center"/>
            <w:hideMark/>
          </w:tcPr>
          <w:p w14:paraId="3F15B97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245968B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CE64BC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0314 - 2.3.2.02.02.009.00.00.00.2201006.016.91113 - 88</w:t>
            </w:r>
          </w:p>
        </w:tc>
        <w:tc>
          <w:tcPr>
            <w:tcW w:w="1701" w:type="dxa"/>
            <w:tcBorders>
              <w:top w:val="nil"/>
              <w:left w:val="nil"/>
              <w:bottom w:val="single" w:sz="4" w:space="0" w:color="auto"/>
              <w:right w:val="single" w:sz="4" w:space="0" w:color="auto"/>
            </w:tcBorders>
            <w:vAlign w:val="center"/>
            <w:hideMark/>
          </w:tcPr>
          <w:p w14:paraId="49F69E8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152BD36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4D5A82D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21AA2CC2"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511FCD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6E1D497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4999055"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en seguridad y salud en el trabajo para apoyar la implementación de actividades que contribuyan al mejoramiento de las condiciones de los ambientes laborales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42430F2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6594A687"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883C82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12A3149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15594E61"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el apoyo jurídico de la dirección de calidad educativa en el marco de la asistencia técnica a la secretaría de educación departamental</w:t>
            </w:r>
          </w:p>
        </w:tc>
        <w:tc>
          <w:tcPr>
            <w:tcW w:w="851" w:type="dxa"/>
            <w:tcBorders>
              <w:top w:val="nil"/>
              <w:left w:val="nil"/>
              <w:bottom w:val="single" w:sz="4" w:space="0" w:color="auto"/>
              <w:right w:val="single" w:sz="8" w:space="0" w:color="auto"/>
            </w:tcBorders>
            <w:noWrap/>
            <w:vAlign w:val="center"/>
            <w:hideMark/>
          </w:tcPr>
          <w:p w14:paraId="1E20A63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225C3447"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2C5652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9C585E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69AE7309"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de un contador para realizar apoyo y acompañamiento en la dirección administrativa y financiera de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en desarrollo de las acciones encaminadas a fortalecer los procesos de </w:t>
            </w:r>
            <w:proofErr w:type="spellStart"/>
            <w:r>
              <w:rPr>
                <w:rFonts w:ascii="Arial" w:eastAsia="Times New Roman" w:hAnsi="Arial" w:cs="Arial"/>
                <w:sz w:val="16"/>
                <w:szCs w:val="16"/>
                <w:lang w:val="es-CO" w:eastAsia="es-CO"/>
              </w:rPr>
              <w:t>asis</w:t>
            </w:r>
            <w:proofErr w:type="spellEnd"/>
          </w:p>
        </w:tc>
        <w:tc>
          <w:tcPr>
            <w:tcW w:w="851" w:type="dxa"/>
            <w:tcBorders>
              <w:top w:val="nil"/>
              <w:left w:val="nil"/>
              <w:bottom w:val="single" w:sz="4" w:space="0" w:color="auto"/>
              <w:right w:val="single" w:sz="8" w:space="0" w:color="auto"/>
            </w:tcBorders>
            <w:noWrap/>
            <w:vAlign w:val="center"/>
            <w:hideMark/>
          </w:tcPr>
          <w:p w14:paraId="6480201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7A2DC34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64E4F6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4549D4F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C7B4BA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asistencia técnica como tecnólogo (a) en contabilidad y finanzas en las necesidades que se presenten en la oficina asesora jurídica e instituciones educativas oficiales adscritas a la secretaría de educación departamental</w:t>
            </w:r>
          </w:p>
        </w:tc>
        <w:tc>
          <w:tcPr>
            <w:tcW w:w="851" w:type="dxa"/>
            <w:tcBorders>
              <w:top w:val="nil"/>
              <w:left w:val="nil"/>
              <w:bottom w:val="single" w:sz="4" w:space="0" w:color="auto"/>
              <w:right w:val="single" w:sz="8" w:space="0" w:color="auto"/>
            </w:tcBorders>
            <w:noWrap/>
            <w:vAlign w:val="center"/>
            <w:hideMark/>
          </w:tcPr>
          <w:p w14:paraId="6111927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037B697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8A9CDB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545CB9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51A0E940"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2521245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555A7DD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089772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24AD289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21FA7096"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la consolidación y el análisis de la ruta de mejoramiento institucional de las instituciones educativas oficiales adscritas a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1FBDF48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32F523F5"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B9A6DB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E6E9E7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4C2883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el fortalecimiento del banco de programas y proyectos de la dirección de planeamiento educativo en el marco de los procesos de asistencia técnica a las direcciones, oficinas de apoyo e instituciones educativas ofi</w:t>
            </w:r>
          </w:p>
        </w:tc>
        <w:tc>
          <w:tcPr>
            <w:tcW w:w="851" w:type="dxa"/>
            <w:tcBorders>
              <w:top w:val="nil"/>
              <w:left w:val="nil"/>
              <w:bottom w:val="single" w:sz="4" w:space="0" w:color="auto"/>
              <w:right w:val="single" w:sz="8" w:space="0" w:color="auto"/>
            </w:tcBorders>
            <w:noWrap/>
            <w:vAlign w:val="center"/>
            <w:hideMark/>
          </w:tcPr>
          <w:p w14:paraId="25F13E7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283738A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1713C9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702ECE8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4EB661D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procesos de la oficina de gestión de inspección y vigilancia en el marco de los procesos de asistencia técnica a las direcciones, oficinas de apoyo de la secretaría de educación departamental</w:t>
            </w:r>
          </w:p>
        </w:tc>
        <w:tc>
          <w:tcPr>
            <w:tcW w:w="851" w:type="dxa"/>
            <w:tcBorders>
              <w:top w:val="nil"/>
              <w:left w:val="nil"/>
              <w:bottom w:val="single" w:sz="4" w:space="0" w:color="auto"/>
              <w:right w:val="single" w:sz="8" w:space="0" w:color="auto"/>
            </w:tcBorders>
            <w:noWrap/>
            <w:vAlign w:val="center"/>
            <w:hideMark/>
          </w:tcPr>
          <w:p w14:paraId="45D5700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382531C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985010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2E86849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999CDD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prestación de servicios de apoyo a la gestión en la secretaría de educación del departamento del Quindío, en el desarrollo de actividades que se requieran para el correcto funcionamiento de </w:t>
            </w:r>
            <w:proofErr w:type="gramStart"/>
            <w:r>
              <w:rPr>
                <w:rFonts w:ascii="Arial" w:eastAsia="Times New Roman" w:hAnsi="Arial" w:cs="Arial"/>
                <w:sz w:val="16"/>
                <w:szCs w:val="16"/>
                <w:lang w:val="es-CO" w:eastAsia="es-CO"/>
              </w:rPr>
              <w:t>la misma</w:t>
            </w:r>
            <w:proofErr w:type="gramEnd"/>
          </w:p>
        </w:tc>
        <w:tc>
          <w:tcPr>
            <w:tcW w:w="851" w:type="dxa"/>
            <w:tcBorders>
              <w:top w:val="nil"/>
              <w:left w:val="nil"/>
              <w:bottom w:val="single" w:sz="4" w:space="0" w:color="auto"/>
              <w:right w:val="single" w:sz="8" w:space="0" w:color="auto"/>
            </w:tcBorders>
            <w:noWrap/>
            <w:vAlign w:val="center"/>
            <w:hideMark/>
          </w:tcPr>
          <w:p w14:paraId="1C7B101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67730C5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5F3569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634DBAA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7FE12F9"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servicios de apoyo a la gestión en la secretaría de educación departamental en la clasificación, conservación, consolidación y manejo de los documentos generados dentro de los diferentes procesos administrativos adelantados por esta secretaría</w:t>
            </w:r>
          </w:p>
        </w:tc>
        <w:tc>
          <w:tcPr>
            <w:tcW w:w="851" w:type="dxa"/>
            <w:tcBorders>
              <w:top w:val="nil"/>
              <w:left w:val="nil"/>
              <w:bottom w:val="single" w:sz="4" w:space="0" w:color="auto"/>
              <w:right w:val="single" w:sz="8" w:space="0" w:color="auto"/>
            </w:tcBorders>
            <w:noWrap/>
            <w:vAlign w:val="center"/>
            <w:hideMark/>
          </w:tcPr>
          <w:p w14:paraId="292ABBC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w:t>
            </w:r>
          </w:p>
        </w:tc>
      </w:tr>
      <w:tr w:rsidR="00DA7276" w14:paraId="331652F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3AD959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0314 - 2.3.2.02.02.009.00.00.00.2202006.096.92330 - 20</w:t>
            </w:r>
          </w:p>
        </w:tc>
        <w:tc>
          <w:tcPr>
            <w:tcW w:w="1701" w:type="dxa"/>
            <w:tcBorders>
              <w:top w:val="nil"/>
              <w:left w:val="nil"/>
              <w:bottom w:val="single" w:sz="4" w:space="0" w:color="auto"/>
              <w:right w:val="single" w:sz="4" w:space="0" w:color="auto"/>
            </w:tcBorders>
            <w:vAlign w:val="center"/>
            <w:hideMark/>
          </w:tcPr>
          <w:p w14:paraId="7551755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511035A5"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beneficio económico otorgado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 estudiantes para el pago de matrícula en la educación superior, establecido mediante la ordenanza 010 del 29 de abril de 2014, y autorizado mediante las resoluciones 0310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2018, 6994 de 2019, 0564 de 2020, 0934 de 2021 y</w:t>
            </w:r>
          </w:p>
        </w:tc>
        <w:tc>
          <w:tcPr>
            <w:tcW w:w="851" w:type="dxa"/>
            <w:tcBorders>
              <w:top w:val="nil"/>
              <w:left w:val="nil"/>
              <w:bottom w:val="single" w:sz="4" w:space="0" w:color="auto"/>
              <w:right w:val="single" w:sz="8" w:space="0" w:color="auto"/>
            </w:tcBorders>
            <w:noWrap/>
            <w:vAlign w:val="center"/>
            <w:hideMark/>
          </w:tcPr>
          <w:p w14:paraId="75E6D21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35</w:t>
            </w:r>
          </w:p>
        </w:tc>
      </w:tr>
      <w:tr w:rsidR="00DA7276" w14:paraId="430BCCE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A7A61F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440E1BF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6C5308A0"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 1346 de 2022 cuyo objeto es "prestar asistencia técnica como tecnólogo (a)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en contabilidad y finanzas en las necesidades que se presenten en la oficina asesora jurídica e instituciones educativa</w:t>
            </w:r>
          </w:p>
        </w:tc>
        <w:tc>
          <w:tcPr>
            <w:tcW w:w="851" w:type="dxa"/>
            <w:tcBorders>
              <w:top w:val="nil"/>
              <w:left w:val="nil"/>
              <w:bottom w:val="single" w:sz="4" w:space="0" w:color="auto"/>
              <w:right w:val="single" w:sz="8" w:space="0" w:color="auto"/>
            </w:tcBorders>
            <w:noWrap/>
            <w:vAlign w:val="center"/>
            <w:hideMark/>
          </w:tcPr>
          <w:p w14:paraId="487EC9A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40E0F572"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6BFEE8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0314 - 2.3.2.02.02.009.00.00.00.2201035.093.92330 - 20</w:t>
            </w:r>
          </w:p>
        </w:tc>
        <w:tc>
          <w:tcPr>
            <w:tcW w:w="1701" w:type="dxa"/>
            <w:tcBorders>
              <w:top w:val="nil"/>
              <w:left w:val="nil"/>
              <w:bottom w:val="single" w:sz="4" w:space="0" w:color="auto"/>
              <w:right w:val="single" w:sz="4" w:space="0" w:color="auto"/>
            </w:tcBorders>
            <w:vAlign w:val="center"/>
            <w:hideMark/>
          </w:tcPr>
          <w:p w14:paraId="7C2F084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335EB948"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profesionales n°600 de 2022 cuyo objeto es "prestación de servicios profesionales para apoyar técnicamente los proyectos pedagógicos productivos y los procesos de articulación en las instituciones e</w:t>
            </w:r>
          </w:p>
        </w:tc>
        <w:tc>
          <w:tcPr>
            <w:tcW w:w="851" w:type="dxa"/>
            <w:tcBorders>
              <w:top w:val="nil"/>
              <w:left w:val="nil"/>
              <w:bottom w:val="single" w:sz="4" w:space="0" w:color="auto"/>
              <w:right w:val="single" w:sz="8" w:space="0" w:color="auto"/>
            </w:tcBorders>
            <w:noWrap/>
            <w:vAlign w:val="center"/>
            <w:hideMark/>
          </w:tcPr>
          <w:p w14:paraId="53F6DF4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4287761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134EEE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0314 - 2.3.2.02.02.009.00.00.00.2201061.093.91121 - 20</w:t>
            </w:r>
          </w:p>
        </w:tc>
        <w:tc>
          <w:tcPr>
            <w:tcW w:w="1701" w:type="dxa"/>
            <w:tcBorders>
              <w:top w:val="nil"/>
              <w:left w:val="nil"/>
              <w:bottom w:val="single" w:sz="4" w:space="0" w:color="auto"/>
              <w:right w:val="single" w:sz="4" w:space="0" w:color="auto"/>
            </w:tcBorders>
            <w:vAlign w:val="center"/>
            <w:hideMark/>
          </w:tcPr>
          <w:p w14:paraId="36BE019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3250BAE1"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profesionales n°600 de 2022 cuyo objeto es "prestación de servicios profesionales para apoyar técnicamente los proyectos pedagógicos productivos y los procesos de articulación en las instituciones e</w:t>
            </w:r>
          </w:p>
        </w:tc>
        <w:tc>
          <w:tcPr>
            <w:tcW w:w="851" w:type="dxa"/>
            <w:tcBorders>
              <w:top w:val="nil"/>
              <w:left w:val="nil"/>
              <w:bottom w:val="single" w:sz="4" w:space="0" w:color="auto"/>
              <w:right w:val="single" w:sz="8" w:space="0" w:color="auto"/>
            </w:tcBorders>
            <w:noWrap/>
            <w:vAlign w:val="center"/>
            <w:hideMark/>
          </w:tcPr>
          <w:p w14:paraId="5E1E113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DA7276" w14:paraId="7AB4DBD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1CB68D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0314 - 2.3.2.02.02.009.00.00.00.2201001.094.92102 - 20</w:t>
            </w:r>
          </w:p>
        </w:tc>
        <w:tc>
          <w:tcPr>
            <w:tcW w:w="1701" w:type="dxa"/>
            <w:tcBorders>
              <w:top w:val="nil"/>
              <w:left w:val="nil"/>
              <w:bottom w:val="single" w:sz="4" w:space="0" w:color="auto"/>
              <w:right w:val="single" w:sz="4" w:space="0" w:color="auto"/>
            </w:tcBorders>
            <w:vAlign w:val="center"/>
            <w:hideMark/>
          </w:tcPr>
          <w:p w14:paraId="5382CBD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preescolar</w:t>
            </w:r>
          </w:p>
        </w:tc>
        <w:tc>
          <w:tcPr>
            <w:tcW w:w="4252" w:type="dxa"/>
            <w:tcBorders>
              <w:top w:val="nil"/>
              <w:left w:val="nil"/>
              <w:bottom w:val="single" w:sz="4" w:space="0" w:color="auto"/>
              <w:right w:val="single" w:sz="4" w:space="0" w:color="auto"/>
            </w:tcBorders>
            <w:vAlign w:val="center"/>
            <w:hideMark/>
          </w:tcPr>
          <w:p w14:paraId="5BD1C91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n°718 de 2022 cuyo objeto es "prestación de servicios profesionales para apoyar el plan estratégico de tecnologías de la información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y lo</w:t>
            </w:r>
          </w:p>
        </w:tc>
        <w:tc>
          <w:tcPr>
            <w:tcW w:w="851" w:type="dxa"/>
            <w:tcBorders>
              <w:top w:val="nil"/>
              <w:left w:val="nil"/>
              <w:bottom w:val="single" w:sz="4" w:space="0" w:color="auto"/>
              <w:right w:val="single" w:sz="8" w:space="0" w:color="auto"/>
            </w:tcBorders>
            <w:noWrap/>
            <w:vAlign w:val="center"/>
            <w:hideMark/>
          </w:tcPr>
          <w:p w14:paraId="1A1D8CF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4C68F137"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763466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0314 - 2.3.2.02.02.009.00.00.00.2201001.094.92200 - 20</w:t>
            </w:r>
          </w:p>
        </w:tc>
        <w:tc>
          <w:tcPr>
            <w:tcW w:w="1701" w:type="dxa"/>
            <w:tcBorders>
              <w:top w:val="nil"/>
              <w:left w:val="nil"/>
              <w:bottom w:val="single" w:sz="4" w:space="0" w:color="auto"/>
              <w:right w:val="single" w:sz="4" w:space="0" w:color="auto"/>
            </w:tcBorders>
            <w:vAlign w:val="center"/>
            <w:hideMark/>
          </w:tcPr>
          <w:p w14:paraId="0690181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básica primaria</w:t>
            </w:r>
          </w:p>
        </w:tc>
        <w:tc>
          <w:tcPr>
            <w:tcW w:w="4252" w:type="dxa"/>
            <w:tcBorders>
              <w:top w:val="nil"/>
              <w:left w:val="nil"/>
              <w:bottom w:val="single" w:sz="4" w:space="0" w:color="auto"/>
              <w:right w:val="single" w:sz="4" w:space="0" w:color="auto"/>
            </w:tcBorders>
            <w:vAlign w:val="center"/>
            <w:hideMark/>
          </w:tcPr>
          <w:p w14:paraId="60F9C356"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n°718 de 2022 cuyo objeto es "prestación de servicios profesionales para apoyar el plan estratégico de tecnologías de la información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y lo</w:t>
            </w:r>
          </w:p>
        </w:tc>
        <w:tc>
          <w:tcPr>
            <w:tcW w:w="851" w:type="dxa"/>
            <w:tcBorders>
              <w:top w:val="nil"/>
              <w:left w:val="nil"/>
              <w:bottom w:val="single" w:sz="4" w:space="0" w:color="auto"/>
              <w:right w:val="single" w:sz="8" w:space="0" w:color="auto"/>
            </w:tcBorders>
            <w:noWrap/>
            <w:vAlign w:val="center"/>
            <w:hideMark/>
          </w:tcPr>
          <w:p w14:paraId="68C799E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DA7276" w14:paraId="1769EE21"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0FA95D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0314 - 2.3.2.02.02.009.00.00.00.2201001.094.92310 - 20</w:t>
            </w:r>
          </w:p>
        </w:tc>
        <w:tc>
          <w:tcPr>
            <w:tcW w:w="1701" w:type="dxa"/>
            <w:tcBorders>
              <w:top w:val="nil"/>
              <w:left w:val="nil"/>
              <w:bottom w:val="single" w:sz="4" w:space="0" w:color="auto"/>
              <w:right w:val="single" w:sz="4" w:space="0" w:color="auto"/>
            </w:tcBorders>
            <w:vAlign w:val="center"/>
            <w:hideMark/>
          </w:tcPr>
          <w:p w14:paraId="5852F7D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básica secundaria general</w:t>
            </w:r>
          </w:p>
        </w:tc>
        <w:tc>
          <w:tcPr>
            <w:tcW w:w="4252" w:type="dxa"/>
            <w:tcBorders>
              <w:top w:val="nil"/>
              <w:left w:val="nil"/>
              <w:bottom w:val="single" w:sz="4" w:space="0" w:color="auto"/>
              <w:right w:val="single" w:sz="4" w:space="0" w:color="auto"/>
            </w:tcBorders>
            <w:vAlign w:val="center"/>
            <w:hideMark/>
          </w:tcPr>
          <w:p w14:paraId="01FA45C7"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n°718 de 2022 cuyo objeto es "prestación de servicios profesionales para apoyar el plan estratégico de tecnologías de la información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y lo</w:t>
            </w:r>
          </w:p>
        </w:tc>
        <w:tc>
          <w:tcPr>
            <w:tcW w:w="851" w:type="dxa"/>
            <w:tcBorders>
              <w:top w:val="nil"/>
              <w:left w:val="nil"/>
              <w:bottom w:val="single" w:sz="4" w:space="0" w:color="auto"/>
              <w:right w:val="single" w:sz="8" w:space="0" w:color="auto"/>
            </w:tcBorders>
            <w:noWrap/>
            <w:vAlign w:val="center"/>
            <w:hideMark/>
          </w:tcPr>
          <w:p w14:paraId="79539AE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242D604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5E1358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0314 - 2.3.2.02.02.009.00.00.00.2201050.094.92310 - 20</w:t>
            </w:r>
          </w:p>
        </w:tc>
        <w:tc>
          <w:tcPr>
            <w:tcW w:w="1701" w:type="dxa"/>
            <w:tcBorders>
              <w:top w:val="nil"/>
              <w:left w:val="nil"/>
              <w:bottom w:val="single" w:sz="4" w:space="0" w:color="auto"/>
              <w:right w:val="single" w:sz="4" w:space="0" w:color="auto"/>
            </w:tcBorders>
            <w:vAlign w:val="center"/>
            <w:hideMark/>
          </w:tcPr>
          <w:p w14:paraId="3BCFC8E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básica secundaria general</w:t>
            </w:r>
          </w:p>
        </w:tc>
        <w:tc>
          <w:tcPr>
            <w:tcW w:w="4252" w:type="dxa"/>
            <w:tcBorders>
              <w:top w:val="nil"/>
              <w:left w:val="nil"/>
              <w:bottom w:val="single" w:sz="4" w:space="0" w:color="auto"/>
              <w:right w:val="single" w:sz="4" w:space="0" w:color="auto"/>
            </w:tcBorders>
            <w:vAlign w:val="center"/>
            <w:hideMark/>
          </w:tcPr>
          <w:p w14:paraId="2D5AEA42"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n°718 de 2022 cuyo objeto es "prestación de servicios profesionales para apoyar el plan estratégico de tecnologías de la información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y lo</w:t>
            </w:r>
          </w:p>
        </w:tc>
        <w:tc>
          <w:tcPr>
            <w:tcW w:w="851" w:type="dxa"/>
            <w:tcBorders>
              <w:top w:val="nil"/>
              <w:left w:val="nil"/>
              <w:bottom w:val="single" w:sz="4" w:space="0" w:color="auto"/>
              <w:right w:val="single" w:sz="8" w:space="0" w:color="auto"/>
            </w:tcBorders>
            <w:noWrap/>
            <w:vAlign w:val="center"/>
            <w:hideMark/>
          </w:tcPr>
          <w:p w14:paraId="13D9C37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38C4C51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BD2B99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0314 - 2.3.2.02.02.009.00.00.00.2201050.094.92330 - 20</w:t>
            </w:r>
          </w:p>
        </w:tc>
        <w:tc>
          <w:tcPr>
            <w:tcW w:w="1701" w:type="dxa"/>
            <w:tcBorders>
              <w:top w:val="nil"/>
              <w:left w:val="nil"/>
              <w:bottom w:val="single" w:sz="4" w:space="0" w:color="auto"/>
              <w:right w:val="single" w:sz="4" w:space="0" w:color="auto"/>
            </w:tcBorders>
            <w:vAlign w:val="center"/>
            <w:hideMark/>
          </w:tcPr>
          <w:p w14:paraId="5E279C9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30B0387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n°718 de 2022 cuyo objeto es "prestación de servicios profesionales para apoyar el plan estratégico de tecnologías de la información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y lo</w:t>
            </w:r>
          </w:p>
        </w:tc>
        <w:tc>
          <w:tcPr>
            <w:tcW w:w="851" w:type="dxa"/>
            <w:tcBorders>
              <w:top w:val="nil"/>
              <w:left w:val="nil"/>
              <w:bottom w:val="single" w:sz="4" w:space="0" w:color="auto"/>
              <w:right w:val="single" w:sz="8" w:space="0" w:color="auto"/>
            </w:tcBorders>
            <w:noWrap/>
            <w:vAlign w:val="center"/>
            <w:hideMark/>
          </w:tcPr>
          <w:p w14:paraId="7373B3C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052B282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FCAD20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52E9723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60CEE5F8"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n°001 al contrato de prestación de servicios profesionales n°1201 de 2022 cuyo objeto es: "prestación de servicios profesionales para apoyar técnicamente la implementación y/o fortalecimiento de la jornada única, en las instituciones </w:t>
            </w:r>
            <w:proofErr w:type="spellStart"/>
            <w:r>
              <w:rPr>
                <w:rFonts w:ascii="Arial" w:eastAsia="Times New Roman" w:hAnsi="Arial" w:cs="Arial"/>
                <w:sz w:val="16"/>
                <w:szCs w:val="16"/>
                <w:lang w:val="es-CO" w:eastAsia="es-CO"/>
              </w:rPr>
              <w:t>adscrit</w:t>
            </w:r>
            <w:proofErr w:type="spellEnd"/>
          </w:p>
        </w:tc>
        <w:tc>
          <w:tcPr>
            <w:tcW w:w="851" w:type="dxa"/>
            <w:tcBorders>
              <w:top w:val="nil"/>
              <w:left w:val="nil"/>
              <w:bottom w:val="single" w:sz="4" w:space="0" w:color="auto"/>
              <w:right w:val="single" w:sz="8" w:space="0" w:color="auto"/>
            </w:tcBorders>
            <w:noWrap/>
            <w:vAlign w:val="center"/>
            <w:hideMark/>
          </w:tcPr>
          <w:p w14:paraId="7C5933F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064978F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3B12F0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1F65C98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1EF028E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n°001 al contrato de prestación de servicios profesionales n°1238 de 2022 cuyo objeto es: "prestación de servicios profesionales para el apoyo jurídico de la dirección de calidad educativa en el marco de la asistencia técnica a la secretaría</w:t>
            </w:r>
          </w:p>
        </w:tc>
        <w:tc>
          <w:tcPr>
            <w:tcW w:w="851" w:type="dxa"/>
            <w:tcBorders>
              <w:top w:val="nil"/>
              <w:left w:val="nil"/>
              <w:bottom w:val="single" w:sz="4" w:space="0" w:color="auto"/>
              <w:right w:val="single" w:sz="8" w:space="0" w:color="auto"/>
            </w:tcBorders>
            <w:noWrap/>
            <w:vAlign w:val="center"/>
            <w:hideMark/>
          </w:tcPr>
          <w:p w14:paraId="7E5E64A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7F6B698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BB1C0F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0314 - 2.3.2.02.02.009.00.00.00.2201001.095.91121 - 20</w:t>
            </w:r>
          </w:p>
        </w:tc>
        <w:tc>
          <w:tcPr>
            <w:tcW w:w="1701" w:type="dxa"/>
            <w:tcBorders>
              <w:top w:val="nil"/>
              <w:left w:val="nil"/>
              <w:bottom w:val="single" w:sz="4" w:space="0" w:color="auto"/>
              <w:right w:val="single" w:sz="4" w:space="0" w:color="auto"/>
            </w:tcBorders>
            <w:vAlign w:val="center"/>
            <w:hideMark/>
          </w:tcPr>
          <w:p w14:paraId="7D45AB6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74CCCA01"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 001 al contrato de prestación de servicios profesionales n. 1145 del 2022 cuyo objeto es "prestación de servicios profesionales para brindar apoyo en la ejecución de los procesos y/o actividades que se desarrollan en la dirección de plane</w:t>
            </w:r>
          </w:p>
        </w:tc>
        <w:tc>
          <w:tcPr>
            <w:tcW w:w="851" w:type="dxa"/>
            <w:tcBorders>
              <w:top w:val="nil"/>
              <w:left w:val="nil"/>
              <w:bottom w:val="single" w:sz="4" w:space="0" w:color="auto"/>
              <w:right w:val="single" w:sz="8" w:space="0" w:color="auto"/>
            </w:tcBorders>
            <w:noWrap/>
            <w:vAlign w:val="center"/>
            <w:hideMark/>
          </w:tcPr>
          <w:p w14:paraId="6F6E8ED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110BA5DD"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6BD727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0314 - 2.3.2.02.02.009.00.00.00.2201048.095.91121 - 20</w:t>
            </w:r>
          </w:p>
        </w:tc>
        <w:tc>
          <w:tcPr>
            <w:tcW w:w="1701" w:type="dxa"/>
            <w:tcBorders>
              <w:top w:val="nil"/>
              <w:left w:val="nil"/>
              <w:bottom w:val="single" w:sz="4" w:space="0" w:color="auto"/>
              <w:right w:val="single" w:sz="4" w:space="0" w:color="auto"/>
            </w:tcBorders>
            <w:vAlign w:val="center"/>
            <w:hideMark/>
          </w:tcPr>
          <w:p w14:paraId="3CDDC94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2380690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 001 al contrato de prestación de servicios profesionales n. 1145 del 2022 cuyo objeto es "prestación de servicios profesionales para brindar apoyo en la ejecución de los procesos y/o actividades que se desarrollan en la dirección de plane</w:t>
            </w:r>
          </w:p>
        </w:tc>
        <w:tc>
          <w:tcPr>
            <w:tcW w:w="851" w:type="dxa"/>
            <w:tcBorders>
              <w:top w:val="nil"/>
              <w:left w:val="nil"/>
              <w:bottom w:val="single" w:sz="4" w:space="0" w:color="auto"/>
              <w:right w:val="single" w:sz="8" w:space="0" w:color="auto"/>
            </w:tcBorders>
            <w:noWrap/>
            <w:vAlign w:val="center"/>
            <w:hideMark/>
          </w:tcPr>
          <w:p w14:paraId="104A64D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7CFFFD3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6E6B84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5C38169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6EC88649"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01 al contrato de prestación de servicios profesionales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1459 de 2022 cuyo objeto es "prestación de servicios profesionales para apoyar la consolidación y el análisis de la ruta de mejoramiento institucional de las instituciones </w:t>
            </w:r>
            <w:proofErr w:type="spellStart"/>
            <w:r>
              <w:rPr>
                <w:rFonts w:ascii="Arial" w:eastAsia="Times New Roman" w:hAnsi="Arial" w:cs="Arial"/>
                <w:sz w:val="16"/>
                <w:szCs w:val="16"/>
                <w:lang w:val="es-CO" w:eastAsia="es-CO"/>
              </w:rPr>
              <w:t>educat</w:t>
            </w:r>
            <w:proofErr w:type="spellEnd"/>
          </w:p>
        </w:tc>
        <w:tc>
          <w:tcPr>
            <w:tcW w:w="851" w:type="dxa"/>
            <w:tcBorders>
              <w:top w:val="nil"/>
              <w:left w:val="nil"/>
              <w:bottom w:val="single" w:sz="4" w:space="0" w:color="auto"/>
              <w:right w:val="single" w:sz="8" w:space="0" w:color="auto"/>
            </w:tcBorders>
            <w:noWrap/>
            <w:vAlign w:val="center"/>
            <w:hideMark/>
          </w:tcPr>
          <w:p w14:paraId="1DD4850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567503BD"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3A2E0A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0314 - 2.3.2.02.02.009.00.00.00.2201006.016.91113 - 88</w:t>
            </w:r>
          </w:p>
        </w:tc>
        <w:tc>
          <w:tcPr>
            <w:tcW w:w="1701" w:type="dxa"/>
            <w:tcBorders>
              <w:top w:val="nil"/>
              <w:left w:val="nil"/>
              <w:bottom w:val="single" w:sz="4" w:space="0" w:color="auto"/>
              <w:right w:val="single" w:sz="4" w:space="0" w:color="auto"/>
            </w:tcBorders>
            <w:vAlign w:val="center"/>
            <w:hideMark/>
          </w:tcPr>
          <w:p w14:paraId="1A9067D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0EB82E9"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 1483 de 2022 cuyo objeto es: "prestar servicios de apoyo a la gestión en la secretaría de educación departamental en la clasificación, conservación, consolidación y manejo de los documentos gen</w:t>
            </w:r>
          </w:p>
        </w:tc>
        <w:tc>
          <w:tcPr>
            <w:tcW w:w="851" w:type="dxa"/>
            <w:tcBorders>
              <w:top w:val="nil"/>
              <w:left w:val="nil"/>
              <w:bottom w:val="single" w:sz="4" w:space="0" w:color="auto"/>
              <w:right w:val="single" w:sz="8" w:space="0" w:color="auto"/>
            </w:tcBorders>
            <w:noWrap/>
            <w:vAlign w:val="center"/>
            <w:hideMark/>
          </w:tcPr>
          <w:p w14:paraId="5609F12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239006DD"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21D47B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18544FE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58B363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 002 al contrato de prestación de servicios profesionales n. 1478 de 2022 cuyo objeto "prestación de servicios profesionales para el fortalecimiento del banco de programas y proyectos de la dirección de planeamiento educativo en el marco d</w:t>
            </w:r>
          </w:p>
        </w:tc>
        <w:tc>
          <w:tcPr>
            <w:tcW w:w="851" w:type="dxa"/>
            <w:tcBorders>
              <w:top w:val="nil"/>
              <w:left w:val="nil"/>
              <w:bottom w:val="single" w:sz="4" w:space="0" w:color="auto"/>
              <w:right w:val="single" w:sz="8" w:space="0" w:color="auto"/>
            </w:tcBorders>
            <w:noWrap/>
            <w:vAlign w:val="center"/>
            <w:hideMark/>
          </w:tcPr>
          <w:p w14:paraId="78AD187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5BB1DC2B"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764155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0314 - 2.3.2.02.02.005.00.00.00.2201062.091.54790 - 20</w:t>
            </w:r>
          </w:p>
        </w:tc>
        <w:tc>
          <w:tcPr>
            <w:tcW w:w="1701" w:type="dxa"/>
            <w:tcBorders>
              <w:top w:val="nil"/>
              <w:left w:val="nil"/>
              <w:bottom w:val="single" w:sz="4" w:space="0" w:color="auto"/>
              <w:right w:val="single" w:sz="4" w:space="0" w:color="auto"/>
            </w:tcBorders>
            <w:vAlign w:val="center"/>
            <w:hideMark/>
          </w:tcPr>
          <w:p w14:paraId="0593884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Otros servicios de terminación y acabado de edificios</w:t>
            </w:r>
          </w:p>
        </w:tc>
        <w:tc>
          <w:tcPr>
            <w:tcW w:w="4252" w:type="dxa"/>
            <w:tcBorders>
              <w:top w:val="nil"/>
              <w:left w:val="nil"/>
              <w:bottom w:val="single" w:sz="4" w:space="0" w:color="auto"/>
              <w:right w:val="single" w:sz="4" w:space="0" w:color="auto"/>
            </w:tcBorders>
            <w:vAlign w:val="center"/>
            <w:hideMark/>
          </w:tcPr>
          <w:p w14:paraId="07DF747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 xml:space="preserve">002 al contrato de prestación de servicios no. 1228 de 2022 cuyo objeto </w:t>
            </w:r>
            <w:proofErr w:type="gramStart"/>
            <w:r>
              <w:rPr>
                <w:rFonts w:ascii="Arial" w:eastAsia="Times New Roman" w:hAnsi="Arial" w:cs="Arial"/>
                <w:sz w:val="16"/>
                <w:szCs w:val="16"/>
                <w:lang w:val="es-CO" w:eastAsia="es-CO"/>
              </w:rPr>
              <w:t>es :prestación</w:t>
            </w:r>
            <w:proofErr w:type="gramEnd"/>
            <w:r>
              <w:rPr>
                <w:rFonts w:ascii="Arial" w:eastAsia="Times New Roman" w:hAnsi="Arial" w:cs="Arial"/>
                <w:sz w:val="16"/>
                <w:szCs w:val="16"/>
                <w:lang w:val="es-CO" w:eastAsia="es-CO"/>
              </w:rPr>
              <w:t xml:space="preserve"> de servicios profesionales como arquitecto para brindar apoyo o asistencia técnica de los procesos que se adelanten en el cumplimiento del proyecto de </w:t>
            </w:r>
            <w:proofErr w:type="spellStart"/>
            <w:r>
              <w:rPr>
                <w:rFonts w:ascii="Arial" w:eastAsia="Times New Roman" w:hAnsi="Arial" w:cs="Arial"/>
                <w:sz w:val="16"/>
                <w:szCs w:val="16"/>
                <w:lang w:val="es-CO" w:eastAsia="es-CO"/>
              </w:rPr>
              <w:t>obr</w:t>
            </w:r>
            <w:proofErr w:type="spellEnd"/>
          </w:p>
        </w:tc>
        <w:tc>
          <w:tcPr>
            <w:tcW w:w="851" w:type="dxa"/>
            <w:tcBorders>
              <w:top w:val="nil"/>
              <w:left w:val="nil"/>
              <w:bottom w:val="single" w:sz="4" w:space="0" w:color="auto"/>
              <w:right w:val="single" w:sz="8" w:space="0" w:color="auto"/>
            </w:tcBorders>
            <w:noWrap/>
            <w:vAlign w:val="center"/>
            <w:hideMark/>
          </w:tcPr>
          <w:p w14:paraId="2284CCC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w:t>
            </w:r>
          </w:p>
        </w:tc>
      </w:tr>
      <w:tr w:rsidR="00DA7276" w14:paraId="1BB507D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158359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400C9EC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F33DF42"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1231</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2022 cuyo objeto es: "prestación de servicios profesionales en seguridad y salud en el trabajo para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apoyar la implementación de actividades que contribuyan al mejoramiento de las c</w:t>
            </w:r>
          </w:p>
        </w:tc>
        <w:tc>
          <w:tcPr>
            <w:tcW w:w="851" w:type="dxa"/>
            <w:tcBorders>
              <w:top w:val="nil"/>
              <w:left w:val="nil"/>
              <w:bottom w:val="single" w:sz="4" w:space="0" w:color="auto"/>
              <w:right w:val="single" w:sz="8" w:space="0" w:color="auto"/>
            </w:tcBorders>
            <w:noWrap/>
            <w:vAlign w:val="center"/>
            <w:hideMark/>
          </w:tcPr>
          <w:p w14:paraId="4408ABD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073A816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AF96C9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1DC78EE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BC2410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1239</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2022 cuyo objeto es: "prestación de servicios profesionales de un contador para realizar apoyo y acompañamiento en la dirección administrativa y financiera de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w:t>
            </w:r>
          </w:p>
        </w:tc>
        <w:tc>
          <w:tcPr>
            <w:tcW w:w="851" w:type="dxa"/>
            <w:tcBorders>
              <w:top w:val="nil"/>
              <w:left w:val="nil"/>
              <w:bottom w:val="single" w:sz="4" w:space="0" w:color="auto"/>
              <w:right w:val="single" w:sz="8" w:space="0" w:color="auto"/>
            </w:tcBorders>
            <w:noWrap/>
            <w:vAlign w:val="center"/>
            <w:hideMark/>
          </w:tcPr>
          <w:p w14:paraId="3644C4B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33FC33B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A835B1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4C4A087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4F33ED9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1232</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2022 cuyo objeto es: "prestación de servicios profesionales para apoyar la implementación de actividades que contribuyan al mejoramiento de las condiciones de los ambientes laboral</w:t>
            </w:r>
          </w:p>
        </w:tc>
        <w:tc>
          <w:tcPr>
            <w:tcW w:w="851" w:type="dxa"/>
            <w:tcBorders>
              <w:top w:val="nil"/>
              <w:left w:val="nil"/>
              <w:bottom w:val="single" w:sz="4" w:space="0" w:color="auto"/>
              <w:right w:val="single" w:sz="8" w:space="0" w:color="auto"/>
            </w:tcBorders>
            <w:noWrap/>
            <w:vAlign w:val="center"/>
            <w:hideMark/>
          </w:tcPr>
          <w:p w14:paraId="162F69D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3410220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D59192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0E26919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8ABE5C1"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1408</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2022 cuyo objeto es: "prestación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759A1B2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4CDD2DBB"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9F51F7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7BC4B3F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4438796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1235</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2022 cuyo objeto es: "prestación de servicios profesionales en seguridad y salud en el trabajo para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apoyar la implementación de actividades que contribuyan al mejoramiento de las c</w:t>
            </w:r>
          </w:p>
        </w:tc>
        <w:tc>
          <w:tcPr>
            <w:tcW w:w="851" w:type="dxa"/>
            <w:tcBorders>
              <w:top w:val="nil"/>
              <w:left w:val="nil"/>
              <w:bottom w:val="single" w:sz="4" w:space="0" w:color="auto"/>
              <w:right w:val="single" w:sz="8" w:space="0" w:color="auto"/>
            </w:tcBorders>
            <w:noWrap/>
            <w:vAlign w:val="center"/>
            <w:hideMark/>
          </w:tcPr>
          <w:p w14:paraId="4596FFB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5DA8CB7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C302A6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3ED6EE6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5685E35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1237 de 2022 cuyo objeto es: "prestación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696EE08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09884215"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F93BE4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51F755E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18A83E6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001 al contrato de prestación de servicios profesionales nro. 1356 de 2022</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 xml:space="preserve">cuyo objeto es "prestación de servicios profesionales para apoyar procesos de la oficina de gestión de inspección y vigilancia en el marco de los procesos de </w:t>
            </w:r>
            <w:proofErr w:type="spellStart"/>
            <w:r>
              <w:rPr>
                <w:rFonts w:ascii="Arial" w:eastAsia="Times New Roman" w:hAnsi="Arial" w:cs="Arial"/>
                <w:sz w:val="16"/>
                <w:szCs w:val="16"/>
                <w:lang w:val="es-CO" w:eastAsia="es-CO"/>
              </w:rPr>
              <w:t>asis</w:t>
            </w:r>
            <w:proofErr w:type="spellEnd"/>
          </w:p>
        </w:tc>
        <w:tc>
          <w:tcPr>
            <w:tcW w:w="851" w:type="dxa"/>
            <w:tcBorders>
              <w:top w:val="nil"/>
              <w:left w:val="nil"/>
              <w:bottom w:val="single" w:sz="4" w:space="0" w:color="auto"/>
              <w:right w:val="single" w:sz="8" w:space="0" w:color="auto"/>
            </w:tcBorders>
            <w:noWrap/>
            <w:vAlign w:val="center"/>
            <w:hideMark/>
          </w:tcPr>
          <w:p w14:paraId="096F2FC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25BBACC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B5BC4D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0314 - 2.3.2.02.02.009.00.00.00.2201006.016.91113 - 88</w:t>
            </w:r>
          </w:p>
        </w:tc>
        <w:tc>
          <w:tcPr>
            <w:tcW w:w="1701" w:type="dxa"/>
            <w:tcBorders>
              <w:top w:val="nil"/>
              <w:left w:val="nil"/>
              <w:bottom w:val="single" w:sz="4" w:space="0" w:color="auto"/>
              <w:right w:val="single" w:sz="4" w:space="0" w:color="auto"/>
            </w:tcBorders>
            <w:vAlign w:val="center"/>
            <w:hideMark/>
          </w:tcPr>
          <w:p w14:paraId="1A9C5D0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7BAAA4D8"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 1502 de 2022 cuyo objeto es: "prestación de servicios de apoyo a la gestión en la secretaría de educación del departamento del Quindío, en el desarrollo de actividades que se requieran para el</w:t>
            </w:r>
          </w:p>
        </w:tc>
        <w:tc>
          <w:tcPr>
            <w:tcW w:w="851" w:type="dxa"/>
            <w:tcBorders>
              <w:top w:val="nil"/>
              <w:left w:val="nil"/>
              <w:bottom w:val="single" w:sz="4" w:space="0" w:color="auto"/>
              <w:right w:val="single" w:sz="8" w:space="0" w:color="auto"/>
            </w:tcBorders>
            <w:noWrap/>
            <w:vAlign w:val="center"/>
            <w:hideMark/>
          </w:tcPr>
          <w:p w14:paraId="5C82EC9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5C603458"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BE0508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577DCC5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10141CA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prestar asistencia técnica como tecnólogo (a) en contabilidad y finanzas en la implementación del plan colectivo de asistencia técnica en las necesidades que presenten las instituciones educativas oficiales adscritas a la secretaría de educación </w:t>
            </w:r>
            <w:proofErr w:type="spellStart"/>
            <w:r>
              <w:rPr>
                <w:rFonts w:ascii="Arial" w:eastAsia="Times New Roman" w:hAnsi="Arial" w:cs="Arial"/>
                <w:sz w:val="16"/>
                <w:szCs w:val="16"/>
                <w:lang w:val="es-CO" w:eastAsia="es-CO"/>
              </w:rPr>
              <w:t>departame</w:t>
            </w:r>
            <w:proofErr w:type="spellEnd"/>
          </w:p>
        </w:tc>
        <w:tc>
          <w:tcPr>
            <w:tcW w:w="851" w:type="dxa"/>
            <w:tcBorders>
              <w:top w:val="nil"/>
              <w:left w:val="nil"/>
              <w:bottom w:val="single" w:sz="4" w:space="0" w:color="auto"/>
              <w:right w:val="single" w:sz="8" w:space="0" w:color="auto"/>
            </w:tcBorders>
            <w:noWrap/>
            <w:vAlign w:val="center"/>
            <w:hideMark/>
          </w:tcPr>
          <w:p w14:paraId="6E9B718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w:t>
            </w:r>
          </w:p>
        </w:tc>
      </w:tr>
      <w:tr w:rsidR="00DA7276" w14:paraId="00F2240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1C4F33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2BB2E69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943DFA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apoyo jurídico en procesos a cargo de la dirección de calidad educativa en el marco del plan colectivo de asistencia técnica de la secretaría de educación departamental</w:t>
            </w:r>
          </w:p>
        </w:tc>
        <w:tc>
          <w:tcPr>
            <w:tcW w:w="851" w:type="dxa"/>
            <w:tcBorders>
              <w:top w:val="nil"/>
              <w:left w:val="nil"/>
              <w:bottom w:val="single" w:sz="4" w:space="0" w:color="auto"/>
              <w:right w:val="single" w:sz="8" w:space="0" w:color="auto"/>
            </w:tcBorders>
            <w:noWrap/>
            <w:vAlign w:val="center"/>
            <w:hideMark/>
          </w:tcPr>
          <w:p w14:paraId="0BE8E6F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r>
      <w:tr w:rsidR="00DA7276" w14:paraId="66A75FF7"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45D934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0314 - 2.3.2.02.02.009.00.00.00.2201035.093.92330 - 88</w:t>
            </w:r>
          </w:p>
        </w:tc>
        <w:tc>
          <w:tcPr>
            <w:tcW w:w="1701" w:type="dxa"/>
            <w:tcBorders>
              <w:top w:val="nil"/>
              <w:left w:val="nil"/>
              <w:bottom w:val="single" w:sz="4" w:space="0" w:color="auto"/>
              <w:right w:val="single" w:sz="4" w:space="0" w:color="auto"/>
            </w:tcBorders>
            <w:vAlign w:val="center"/>
            <w:hideMark/>
          </w:tcPr>
          <w:p w14:paraId="74E92B5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302FC421"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prestación de servicios profesionales para apoyar técnicamente los procesos de articulación con el </w:t>
            </w:r>
            <w:proofErr w:type="spellStart"/>
            <w:r>
              <w:rPr>
                <w:rFonts w:ascii="Arial" w:eastAsia="Times New Roman" w:hAnsi="Arial" w:cs="Arial"/>
                <w:sz w:val="16"/>
                <w:szCs w:val="16"/>
                <w:lang w:val="es-CO" w:eastAsia="es-CO"/>
              </w:rPr>
              <w:t>sena</w:t>
            </w:r>
            <w:proofErr w:type="spellEnd"/>
            <w:r>
              <w:rPr>
                <w:rFonts w:ascii="Arial" w:eastAsia="Times New Roman" w:hAnsi="Arial" w:cs="Arial"/>
                <w:sz w:val="16"/>
                <w:szCs w:val="16"/>
                <w:lang w:val="es-CO" w:eastAsia="es-CO"/>
              </w:rPr>
              <w:t xml:space="preserve"> y la innovación educativa mediante la estrategia escuela emprende en instituciones educativas oficiales, adscritas a la secretaría de educación departa</w:t>
            </w:r>
          </w:p>
        </w:tc>
        <w:tc>
          <w:tcPr>
            <w:tcW w:w="851" w:type="dxa"/>
            <w:tcBorders>
              <w:top w:val="nil"/>
              <w:left w:val="nil"/>
              <w:bottom w:val="single" w:sz="4" w:space="0" w:color="auto"/>
              <w:right w:val="single" w:sz="8" w:space="0" w:color="auto"/>
            </w:tcBorders>
            <w:noWrap/>
            <w:vAlign w:val="center"/>
            <w:hideMark/>
          </w:tcPr>
          <w:p w14:paraId="3383E9A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p>
        </w:tc>
      </w:tr>
      <w:tr w:rsidR="00DA7276" w14:paraId="7CBBF61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E197EB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0314 - 2.3.2.02.02.009.00.00.00.2201046.093.92310 - 20</w:t>
            </w:r>
          </w:p>
        </w:tc>
        <w:tc>
          <w:tcPr>
            <w:tcW w:w="1701" w:type="dxa"/>
            <w:tcBorders>
              <w:top w:val="nil"/>
              <w:left w:val="nil"/>
              <w:bottom w:val="single" w:sz="4" w:space="0" w:color="auto"/>
              <w:right w:val="single" w:sz="4" w:space="0" w:color="auto"/>
            </w:tcBorders>
            <w:vAlign w:val="center"/>
            <w:hideMark/>
          </w:tcPr>
          <w:p w14:paraId="731E1EB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básica secundaria general</w:t>
            </w:r>
          </w:p>
        </w:tc>
        <w:tc>
          <w:tcPr>
            <w:tcW w:w="4252" w:type="dxa"/>
            <w:tcBorders>
              <w:top w:val="nil"/>
              <w:left w:val="nil"/>
              <w:bottom w:val="single" w:sz="4" w:space="0" w:color="auto"/>
              <w:right w:val="single" w:sz="4" w:space="0" w:color="auto"/>
            </w:tcBorders>
            <w:vAlign w:val="center"/>
            <w:hideMark/>
          </w:tcPr>
          <w:p w14:paraId="658D718D"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prestación de servicios profesionales para apoyar técnicamente los procesos de articulación con el </w:t>
            </w:r>
            <w:proofErr w:type="spellStart"/>
            <w:r>
              <w:rPr>
                <w:rFonts w:ascii="Arial" w:eastAsia="Times New Roman" w:hAnsi="Arial" w:cs="Arial"/>
                <w:sz w:val="16"/>
                <w:szCs w:val="16"/>
                <w:lang w:val="es-CO" w:eastAsia="es-CO"/>
              </w:rPr>
              <w:t>sena</w:t>
            </w:r>
            <w:proofErr w:type="spellEnd"/>
            <w:r>
              <w:rPr>
                <w:rFonts w:ascii="Arial" w:eastAsia="Times New Roman" w:hAnsi="Arial" w:cs="Arial"/>
                <w:sz w:val="16"/>
                <w:szCs w:val="16"/>
                <w:lang w:val="es-CO" w:eastAsia="es-CO"/>
              </w:rPr>
              <w:t xml:space="preserve"> y la innovación educativa mediante la estrategia escuela emprende en instituciones educativas oficiales, adscritas a la secretaría de educación departa</w:t>
            </w:r>
          </w:p>
        </w:tc>
        <w:tc>
          <w:tcPr>
            <w:tcW w:w="851" w:type="dxa"/>
            <w:tcBorders>
              <w:top w:val="nil"/>
              <w:left w:val="nil"/>
              <w:bottom w:val="single" w:sz="4" w:space="0" w:color="auto"/>
              <w:right w:val="single" w:sz="8" w:space="0" w:color="auto"/>
            </w:tcBorders>
            <w:noWrap/>
            <w:vAlign w:val="center"/>
            <w:hideMark/>
          </w:tcPr>
          <w:p w14:paraId="7E4A200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DA7276" w14:paraId="0269022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1DD0E9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0314 - 2.3.2.02.02.009.00.00.00.2201001.095.91121 - 20</w:t>
            </w:r>
          </w:p>
        </w:tc>
        <w:tc>
          <w:tcPr>
            <w:tcW w:w="1701" w:type="dxa"/>
            <w:tcBorders>
              <w:top w:val="nil"/>
              <w:left w:val="nil"/>
              <w:bottom w:val="single" w:sz="4" w:space="0" w:color="auto"/>
              <w:right w:val="single" w:sz="4" w:space="0" w:color="auto"/>
            </w:tcBorders>
            <w:vAlign w:val="center"/>
            <w:hideMark/>
          </w:tcPr>
          <w:p w14:paraId="2885E49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33A03D7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apoyo en el ejercicio de los procesos y/o actividades que se desarrollan en la dirección de planeamiento educativo</w:t>
            </w:r>
          </w:p>
        </w:tc>
        <w:tc>
          <w:tcPr>
            <w:tcW w:w="851" w:type="dxa"/>
            <w:tcBorders>
              <w:top w:val="nil"/>
              <w:left w:val="nil"/>
              <w:bottom w:val="single" w:sz="4" w:space="0" w:color="auto"/>
              <w:right w:val="single" w:sz="8" w:space="0" w:color="auto"/>
            </w:tcBorders>
            <w:noWrap/>
            <w:vAlign w:val="center"/>
            <w:hideMark/>
          </w:tcPr>
          <w:p w14:paraId="2563D82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4CE14E5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1854B4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41A6590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25B18DA0"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prestación de servicios profesionales para el fortalecimiento del banco de programas y proyectos de la dirección de planeamiento educativo en el marco de los procesos de asistencia técnica a las direcciones, oficinas de apoyo e instituciones educativas </w:t>
            </w:r>
            <w:proofErr w:type="spellStart"/>
            <w:r>
              <w:rPr>
                <w:rFonts w:ascii="Arial" w:eastAsia="Times New Roman" w:hAnsi="Arial" w:cs="Arial"/>
                <w:sz w:val="16"/>
                <w:szCs w:val="16"/>
                <w:lang w:val="es-CO" w:eastAsia="es-CO"/>
              </w:rPr>
              <w:t>of</w:t>
            </w:r>
            <w:proofErr w:type="spellEnd"/>
          </w:p>
        </w:tc>
        <w:tc>
          <w:tcPr>
            <w:tcW w:w="851" w:type="dxa"/>
            <w:tcBorders>
              <w:top w:val="nil"/>
              <w:left w:val="nil"/>
              <w:bottom w:val="single" w:sz="4" w:space="0" w:color="auto"/>
              <w:right w:val="single" w:sz="8" w:space="0" w:color="auto"/>
            </w:tcBorders>
            <w:noWrap/>
            <w:vAlign w:val="center"/>
            <w:hideMark/>
          </w:tcPr>
          <w:p w14:paraId="2792FC2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61E2D9C4"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A886E4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5EFC470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F3CD2B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procesos de la oficina de gestión de inspección y vigilancia en el marco del plan colectivo de asistencia técnica de la secretaría de educación departamental</w:t>
            </w:r>
          </w:p>
        </w:tc>
        <w:tc>
          <w:tcPr>
            <w:tcW w:w="851" w:type="dxa"/>
            <w:tcBorders>
              <w:top w:val="nil"/>
              <w:left w:val="nil"/>
              <w:bottom w:val="single" w:sz="4" w:space="0" w:color="auto"/>
              <w:right w:val="single" w:sz="8" w:space="0" w:color="auto"/>
            </w:tcBorders>
            <w:noWrap/>
            <w:vAlign w:val="center"/>
            <w:hideMark/>
          </w:tcPr>
          <w:p w14:paraId="2B6BCEA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p>
        </w:tc>
      </w:tr>
      <w:tr w:rsidR="00DA7276" w14:paraId="1CC730B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6C927E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7E0C410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372866C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servicios de apoyo a la gestión en la secretaría de educación departamental en la clasificación, conservación, consolidación y manejo de los documentos generados dentro de los diferentes procesos administrativos adelantados por esta secretaría</w:t>
            </w:r>
          </w:p>
        </w:tc>
        <w:tc>
          <w:tcPr>
            <w:tcW w:w="851" w:type="dxa"/>
            <w:tcBorders>
              <w:top w:val="nil"/>
              <w:left w:val="nil"/>
              <w:bottom w:val="single" w:sz="4" w:space="0" w:color="auto"/>
              <w:right w:val="single" w:sz="8" w:space="0" w:color="auto"/>
            </w:tcBorders>
            <w:noWrap/>
            <w:vAlign w:val="center"/>
            <w:hideMark/>
          </w:tcPr>
          <w:p w14:paraId="23FC2FE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4DBCA83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0A507B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7624ED0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1A57285"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de un contador para realizar apoyo y acompañamiento en la dirección administrativa y financiera de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en desarrollo de las acciones encaminadas a fortalecer los procesos de </w:t>
            </w:r>
            <w:proofErr w:type="spellStart"/>
            <w:r>
              <w:rPr>
                <w:rFonts w:ascii="Arial" w:eastAsia="Times New Roman" w:hAnsi="Arial" w:cs="Arial"/>
                <w:sz w:val="16"/>
                <w:szCs w:val="16"/>
                <w:lang w:val="es-CO" w:eastAsia="es-CO"/>
              </w:rPr>
              <w:t>asis</w:t>
            </w:r>
            <w:proofErr w:type="spellEnd"/>
          </w:p>
        </w:tc>
        <w:tc>
          <w:tcPr>
            <w:tcW w:w="851" w:type="dxa"/>
            <w:tcBorders>
              <w:top w:val="nil"/>
              <w:left w:val="nil"/>
              <w:bottom w:val="single" w:sz="4" w:space="0" w:color="auto"/>
              <w:right w:val="single" w:sz="8" w:space="0" w:color="auto"/>
            </w:tcBorders>
            <w:noWrap/>
            <w:vAlign w:val="center"/>
            <w:hideMark/>
          </w:tcPr>
          <w:p w14:paraId="4327177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4F74EEA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98F40A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0314 - 2.3.2.02.02.009.00.00.00.2202006.096.92330 - 20</w:t>
            </w:r>
          </w:p>
        </w:tc>
        <w:tc>
          <w:tcPr>
            <w:tcW w:w="1701" w:type="dxa"/>
            <w:tcBorders>
              <w:top w:val="nil"/>
              <w:left w:val="nil"/>
              <w:bottom w:val="single" w:sz="4" w:space="0" w:color="auto"/>
              <w:right w:val="single" w:sz="4" w:space="0" w:color="auto"/>
            </w:tcBorders>
            <w:vAlign w:val="center"/>
            <w:hideMark/>
          </w:tcPr>
          <w:p w14:paraId="67B0BA6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01EC234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estimulo otorgado</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 xml:space="preserve">por la gobernación del Quindío mediante ordenanza 010 del 29 de abril de 2014,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resolución 0310 de</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 xml:space="preserve">2018, resolución n°0564 de 2020 resolución n°0934 de 2021.resolución </w:t>
            </w:r>
            <w:proofErr w:type="spellStart"/>
            <w:r>
              <w:rPr>
                <w:rFonts w:ascii="Arial" w:eastAsia="Times New Roman" w:hAnsi="Arial" w:cs="Arial"/>
                <w:sz w:val="16"/>
                <w:szCs w:val="16"/>
                <w:lang w:val="es-CO" w:eastAsia="es-CO"/>
              </w:rPr>
              <w:t>nº</w:t>
            </w:r>
            <w:proofErr w:type="spellEnd"/>
            <w:r>
              <w:rPr>
                <w:rFonts w:ascii="Arial" w:eastAsia="Times New Roman" w:hAnsi="Arial" w:cs="Arial"/>
                <w:sz w:val="16"/>
                <w:szCs w:val="16"/>
                <w:lang w:val="es-CO" w:eastAsia="es-CO"/>
              </w:rPr>
              <w:t xml:space="preserve"> 001452 del 24 de febrero de 2022, resolución n°05931 del 26 d</w:t>
            </w:r>
          </w:p>
        </w:tc>
        <w:tc>
          <w:tcPr>
            <w:tcW w:w="851" w:type="dxa"/>
            <w:tcBorders>
              <w:top w:val="nil"/>
              <w:left w:val="nil"/>
              <w:bottom w:val="single" w:sz="4" w:space="0" w:color="auto"/>
              <w:right w:val="single" w:sz="8" w:space="0" w:color="auto"/>
            </w:tcBorders>
            <w:noWrap/>
            <w:vAlign w:val="center"/>
            <w:hideMark/>
          </w:tcPr>
          <w:p w14:paraId="5B11A85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27</w:t>
            </w:r>
          </w:p>
        </w:tc>
      </w:tr>
      <w:tr w:rsidR="00DA7276" w14:paraId="36ACF134"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3F33DC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3594CF7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28E88EA2"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7CB4945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70C0C8A8"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3AE38E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6DCA983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103D5D3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en seguridad y salud en el trabajo para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apoyar la implementación de actividades que contribuyan al mejoramiento de las condiciones de los ambientes laborales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1D2D5FC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0ACA62F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EDED40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3579329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597869B"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fortalecer el servicio de monitoreo y seguimiento a la gestión del sector educativo</w:t>
            </w:r>
          </w:p>
        </w:tc>
        <w:tc>
          <w:tcPr>
            <w:tcW w:w="851" w:type="dxa"/>
            <w:tcBorders>
              <w:top w:val="nil"/>
              <w:left w:val="nil"/>
              <w:bottom w:val="single" w:sz="4" w:space="0" w:color="auto"/>
              <w:right w:val="single" w:sz="8" w:space="0" w:color="auto"/>
            </w:tcBorders>
            <w:noWrap/>
            <w:vAlign w:val="center"/>
            <w:hideMark/>
          </w:tcPr>
          <w:p w14:paraId="2113AC6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2CBF111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144166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7C1CDB8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7A1F20B6"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en seguridad y salud en el trabajo para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apoyar la implementación de actividades que contribuyan al mejoramiento de las condiciones de los ambientes laborales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1736CF6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3584B9E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9003A9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0314 - 2.3.2.02.02.009.00.00.00.2201006.016.92920 - 20</w:t>
            </w:r>
          </w:p>
        </w:tc>
        <w:tc>
          <w:tcPr>
            <w:tcW w:w="1701" w:type="dxa"/>
            <w:tcBorders>
              <w:top w:val="nil"/>
              <w:left w:val="nil"/>
              <w:bottom w:val="single" w:sz="4" w:space="0" w:color="auto"/>
              <w:right w:val="single" w:sz="4" w:space="0" w:color="auto"/>
            </w:tcBorders>
            <w:vAlign w:val="center"/>
            <w:hideMark/>
          </w:tcPr>
          <w:p w14:paraId="58D4570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651C36E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técnicamente en el seguimiento a instituciones educativas oficiales adscritas a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que tienen implementada la jornada única</w:t>
            </w:r>
          </w:p>
        </w:tc>
        <w:tc>
          <w:tcPr>
            <w:tcW w:w="851" w:type="dxa"/>
            <w:tcBorders>
              <w:top w:val="nil"/>
              <w:left w:val="nil"/>
              <w:bottom w:val="single" w:sz="4" w:space="0" w:color="auto"/>
              <w:right w:val="single" w:sz="8" w:space="0" w:color="auto"/>
            </w:tcBorders>
            <w:noWrap/>
            <w:vAlign w:val="center"/>
            <w:hideMark/>
          </w:tcPr>
          <w:p w14:paraId="067444E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767CB91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FDC6DD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0314 - 2.3.2.02.02.009.00.00.00.2201006.016.92920 - 20</w:t>
            </w:r>
          </w:p>
        </w:tc>
        <w:tc>
          <w:tcPr>
            <w:tcW w:w="1701" w:type="dxa"/>
            <w:tcBorders>
              <w:top w:val="nil"/>
              <w:left w:val="nil"/>
              <w:bottom w:val="single" w:sz="4" w:space="0" w:color="auto"/>
              <w:right w:val="single" w:sz="4" w:space="0" w:color="auto"/>
            </w:tcBorders>
            <w:vAlign w:val="center"/>
            <w:hideMark/>
          </w:tcPr>
          <w:p w14:paraId="066DCCC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3D55F70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servicios de apoyo a la gestión en la secretaría de educación departamental en el apoyo administrativo dentro de los diferentes procesos adelantados por esta</w:t>
            </w:r>
            <w:r w:rsidR="0093266E">
              <w:rPr>
                <w:rFonts w:ascii="Arial" w:eastAsia="Times New Roman" w:hAnsi="Arial" w:cs="Arial"/>
                <w:sz w:val="16"/>
                <w:szCs w:val="16"/>
                <w:lang w:val="es-CO" w:eastAsia="es-CO"/>
              </w:rPr>
              <w:t xml:space="preserve"> secretaría</w:t>
            </w:r>
          </w:p>
        </w:tc>
        <w:tc>
          <w:tcPr>
            <w:tcW w:w="851" w:type="dxa"/>
            <w:tcBorders>
              <w:top w:val="nil"/>
              <w:left w:val="nil"/>
              <w:bottom w:val="single" w:sz="4" w:space="0" w:color="auto"/>
              <w:right w:val="single" w:sz="8" w:space="0" w:color="auto"/>
            </w:tcBorders>
            <w:noWrap/>
            <w:vAlign w:val="center"/>
            <w:hideMark/>
          </w:tcPr>
          <w:p w14:paraId="25F3011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70A99076"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9D6D33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3171059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57F08FA7"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el mantenimiento y actualización del sitio web de la secretaría de educación departamental</w:t>
            </w:r>
          </w:p>
        </w:tc>
        <w:tc>
          <w:tcPr>
            <w:tcW w:w="851" w:type="dxa"/>
            <w:tcBorders>
              <w:top w:val="nil"/>
              <w:left w:val="nil"/>
              <w:bottom w:val="single" w:sz="4" w:space="0" w:color="auto"/>
              <w:right w:val="single" w:sz="8" w:space="0" w:color="auto"/>
            </w:tcBorders>
            <w:noWrap/>
            <w:vAlign w:val="center"/>
            <w:hideMark/>
          </w:tcPr>
          <w:p w14:paraId="42C3E80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DA7276" w14:paraId="06D84A78"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417EDF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1511C4C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65B6ACC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de apoyo a la gestión en las actividades administrativas relacionadas con la dirección de cobertura educativa adscrita a la secretaría de educación departamental del Quindío</w:t>
            </w:r>
          </w:p>
        </w:tc>
        <w:tc>
          <w:tcPr>
            <w:tcW w:w="851" w:type="dxa"/>
            <w:tcBorders>
              <w:top w:val="nil"/>
              <w:left w:val="nil"/>
              <w:bottom w:val="single" w:sz="4" w:space="0" w:color="auto"/>
              <w:right w:val="single" w:sz="8" w:space="0" w:color="auto"/>
            </w:tcBorders>
            <w:noWrap/>
            <w:vAlign w:val="center"/>
            <w:hideMark/>
          </w:tcPr>
          <w:p w14:paraId="2C10429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4B2959D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2AD915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47AEB0B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13BD659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asistencia técnica en la oficina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de control interno de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en la</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 xml:space="preserve">ejecución del macroproceso del ministerio de educación nacional k. control interno y </w:t>
            </w:r>
            <w:proofErr w:type="spellStart"/>
            <w:r>
              <w:rPr>
                <w:rFonts w:ascii="Arial" w:eastAsia="Times New Roman" w:hAnsi="Arial" w:cs="Arial"/>
                <w:sz w:val="16"/>
                <w:szCs w:val="16"/>
                <w:lang w:val="es-CO" w:eastAsia="es-CO"/>
              </w:rPr>
              <w:t>mipg</w:t>
            </w:r>
            <w:proofErr w:type="spellEnd"/>
          </w:p>
        </w:tc>
        <w:tc>
          <w:tcPr>
            <w:tcW w:w="851" w:type="dxa"/>
            <w:tcBorders>
              <w:top w:val="nil"/>
              <w:left w:val="nil"/>
              <w:bottom w:val="single" w:sz="4" w:space="0" w:color="auto"/>
              <w:right w:val="single" w:sz="8" w:space="0" w:color="auto"/>
            </w:tcBorders>
            <w:noWrap/>
            <w:vAlign w:val="center"/>
            <w:hideMark/>
          </w:tcPr>
          <w:p w14:paraId="63EE61C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w:t>
            </w:r>
          </w:p>
        </w:tc>
      </w:tr>
      <w:tr w:rsidR="00DA7276" w14:paraId="15B60C5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C69864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0314 - 2.3.2.02.02.009.00.00.00.2202006.096.92330 - 20</w:t>
            </w:r>
          </w:p>
        </w:tc>
        <w:tc>
          <w:tcPr>
            <w:tcW w:w="1701" w:type="dxa"/>
            <w:tcBorders>
              <w:top w:val="nil"/>
              <w:left w:val="nil"/>
              <w:bottom w:val="single" w:sz="4" w:space="0" w:color="auto"/>
              <w:right w:val="single" w:sz="4" w:space="0" w:color="auto"/>
            </w:tcBorders>
            <w:vAlign w:val="center"/>
            <w:hideMark/>
          </w:tcPr>
          <w:p w14:paraId="4751D39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2930559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aunar esfuerzos académicos y administrativos para la articulación del nivel de la educación media con la educación superior, para promover la continuidad de los estudiantes en el sistema educativo, dentro del marco del convenio específico interinstitucional</w:t>
            </w:r>
          </w:p>
        </w:tc>
        <w:tc>
          <w:tcPr>
            <w:tcW w:w="851" w:type="dxa"/>
            <w:tcBorders>
              <w:top w:val="nil"/>
              <w:left w:val="nil"/>
              <w:bottom w:val="single" w:sz="4" w:space="0" w:color="auto"/>
              <w:right w:val="single" w:sz="8" w:space="0" w:color="auto"/>
            </w:tcBorders>
            <w:noWrap/>
            <w:vAlign w:val="center"/>
            <w:hideMark/>
          </w:tcPr>
          <w:p w14:paraId="3E4FC7F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w:t>
            </w:r>
          </w:p>
        </w:tc>
      </w:tr>
      <w:tr w:rsidR="00DA7276" w14:paraId="6BCE6C0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405453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0314 - 2.3.2.02.02.009.00.00.00.2202006.096.92340 - 35</w:t>
            </w:r>
          </w:p>
        </w:tc>
        <w:tc>
          <w:tcPr>
            <w:tcW w:w="1701" w:type="dxa"/>
            <w:tcBorders>
              <w:top w:val="nil"/>
              <w:left w:val="nil"/>
              <w:bottom w:val="single" w:sz="4" w:space="0" w:color="auto"/>
              <w:right w:val="single" w:sz="4" w:space="0" w:color="auto"/>
            </w:tcBorders>
            <w:vAlign w:val="center"/>
            <w:hideMark/>
          </w:tcPr>
          <w:p w14:paraId="593E463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técnica vocacional</w:t>
            </w:r>
          </w:p>
        </w:tc>
        <w:tc>
          <w:tcPr>
            <w:tcW w:w="4252" w:type="dxa"/>
            <w:tcBorders>
              <w:top w:val="nil"/>
              <w:left w:val="nil"/>
              <w:bottom w:val="single" w:sz="4" w:space="0" w:color="auto"/>
              <w:right w:val="single" w:sz="4" w:space="0" w:color="auto"/>
            </w:tcBorders>
            <w:vAlign w:val="center"/>
            <w:hideMark/>
          </w:tcPr>
          <w:p w14:paraId="4518C55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aunar esfuerzos académicos y administrativos para la articulación del nivel de la educación media con la educación superior, para promover la continuidad de los estudiantes en el sistema educativo, dentro del marco del convenio específico interinstitucional</w:t>
            </w:r>
          </w:p>
        </w:tc>
        <w:tc>
          <w:tcPr>
            <w:tcW w:w="851" w:type="dxa"/>
            <w:tcBorders>
              <w:top w:val="nil"/>
              <w:left w:val="nil"/>
              <w:bottom w:val="single" w:sz="4" w:space="0" w:color="auto"/>
              <w:right w:val="single" w:sz="8" w:space="0" w:color="auto"/>
            </w:tcBorders>
            <w:noWrap/>
            <w:vAlign w:val="center"/>
            <w:hideMark/>
          </w:tcPr>
          <w:p w14:paraId="62582D4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r>
      <w:tr w:rsidR="00DA7276" w14:paraId="452BC48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91394A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0314 - 2.3.2.02.02.009.00.00.00.2201006.016.92920 - 20</w:t>
            </w:r>
          </w:p>
        </w:tc>
        <w:tc>
          <w:tcPr>
            <w:tcW w:w="1701" w:type="dxa"/>
            <w:tcBorders>
              <w:top w:val="nil"/>
              <w:left w:val="nil"/>
              <w:bottom w:val="single" w:sz="4" w:space="0" w:color="auto"/>
              <w:right w:val="single" w:sz="4" w:space="0" w:color="auto"/>
            </w:tcBorders>
            <w:vAlign w:val="center"/>
            <w:hideMark/>
          </w:tcPr>
          <w:p w14:paraId="2F3A760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70CFB11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el desarrollo de las diferentes actividades en el proceso de planes y programas, conforme a las directrices de orden departamental y nacional.</w:t>
            </w:r>
          </w:p>
        </w:tc>
        <w:tc>
          <w:tcPr>
            <w:tcW w:w="851" w:type="dxa"/>
            <w:tcBorders>
              <w:top w:val="nil"/>
              <w:left w:val="nil"/>
              <w:bottom w:val="single" w:sz="4" w:space="0" w:color="auto"/>
              <w:right w:val="single" w:sz="8" w:space="0" w:color="auto"/>
            </w:tcBorders>
            <w:noWrap/>
            <w:vAlign w:val="center"/>
            <w:hideMark/>
          </w:tcPr>
          <w:p w14:paraId="6AC93CB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59F679CD"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B1E320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1070F92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59121345"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apoyar el desarrollo de las diferentes actividades en el proceso de planes y programas, conforme a las directrices de orden departamental y nacional.</w:t>
            </w:r>
          </w:p>
        </w:tc>
        <w:tc>
          <w:tcPr>
            <w:tcW w:w="851" w:type="dxa"/>
            <w:tcBorders>
              <w:top w:val="nil"/>
              <w:left w:val="nil"/>
              <w:bottom w:val="single" w:sz="4" w:space="0" w:color="auto"/>
              <w:right w:val="single" w:sz="8" w:space="0" w:color="auto"/>
            </w:tcBorders>
            <w:noWrap/>
            <w:vAlign w:val="center"/>
            <w:hideMark/>
          </w:tcPr>
          <w:p w14:paraId="257A255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6336398C"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FABA47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56D1076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2C16C228"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a la gestión para apoyar la consolidación y el análisis de la ruta de mejoramiento institucional de las instituciones educativas oficiales adscritas a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00233F0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4FE3A27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24AA4A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749C498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2ABDA13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como abogado para apoyar en los diferentes procesos jurídicos que adelante la secretaría de educación del departamento del Quindío</w:t>
            </w:r>
          </w:p>
        </w:tc>
        <w:tc>
          <w:tcPr>
            <w:tcW w:w="851" w:type="dxa"/>
            <w:tcBorders>
              <w:top w:val="nil"/>
              <w:left w:val="nil"/>
              <w:bottom w:val="single" w:sz="4" w:space="0" w:color="auto"/>
              <w:right w:val="single" w:sz="8" w:space="0" w:color="auto"/>
            </w:tcBorders>
            <w:noWrap/>
            <w:vAlign w:val="center"/>
            <w:hideMark/>
          </w:tcPr>
          <w:p w14:paraId="47DEF82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w:t>
            </w:r>
          </w:p>
        </w:tc>
      </w:tr>
      <w:tr w:rsidR="00DA7276" w14:paraId="149C515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ADCEAC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3827A09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6347D79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de apoyo a la gestión para brindar acompañamiento en la oficina de prestaciones sociales de la secretaría de educación departamental</w:t>
            </w:r>
          </w:p>
        </w:tc>
        <w:tc>
          <w:tcPr>
            <w:tcW w:w="851" w:type="dxa"/>
            <w:tcBorders>
              <w:top w:val="nil"/>
              <w:left w:val="nil"/>
              <w:bottom w:val="single" w:sz="4" w:space="0" w:color="auto"/>
              <w:right w:val="single" w:sz="8" w:space="0" w:color="auto"/>
            </w:tcBorders>
            <w:noWrap/>
            <w:vAlign w:val="center"/>
            <w:hideMark/>
          </w:tcPr>
          <w:p w14:paraId="5626411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3E2ED852"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BE9811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0314 - 2.3.2.02.02.009.00.00.00.2201015.016.91121 - 88</w:t>
            </w:r>
          </w:p>
        </w:tc>
        <w:tc>
          <w:tcPr>
            <w:tcW w:w="1701" w:type="dxa"/>
            <w:tcBorders>
              <w:top w:val="nil"/>
              <w:left w:val="nil"/>
              <w:bottom w:val="single" w:sz="4" w:space="0" w:color="auto"/>
              <w:right w:val="single" w:sz="4" w:space="0" w:color="auto"/>
            </w:tcBorders>
            <w:vAlign w:val="center"/>
            <w:hideMark/>
          </w:tcPr>
          <w:p w14:paraId="5809832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7FF9536B"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realizar acompañamiento a las alcaldías municipales en la ejecución de los recursos del sector educativo</w:t>
            </w:r>
          </w:p>
        </w:tc>
        <w:tc>
          <w:tcPr>
            <w:tcW w:w="851" w:type="dxa"/>
            <w:tcBorders>
              <w:top w:val="nil"/>
              <w:left w:val="nil"/>
              <w:bottom w:val="single" w:sz="4" w:space="0" w:color="auto"/>
              <w:right w:val="single" w:sz="8" w:space="0" w:color="auto"/>
            </w:tcBorders>
            <w:noWrap/>
            <w:vAlign w:val="center"/>
            <w:hideMark/>
          </w:tcPr>
          <w:p w14:paraId="1B02316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23D3EFC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62DA4B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4014118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5CF0A80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servicios de apoyo a la gestión para brindar acompañamiento en el área de talento humano de la dirección administrativa de la secretaría de educación departamental</w:t>
            </w:r>
          </w:p>
        </w:tc>
        <w:tc>
          <w:tcPr>
            <w:tcW w:w="851" w:type="dxa"/>
            <w:tcBorders>
              <w:top w:val="nil"/>
              <w:left w:val="nil"/>
              <w:bottom w:val="single" w:sz="4" w:space="0" w:color="auto"/>
              <w:right w:val="single" w:sz="8" w:space="0" w:color="auto"/>
            </w:tcBorders>
            <w:noWrap/>
            <w:vAlign w:val="center"/>
            <w:hideMark/>
          </w:tcPr>
          <w:p w14:paraId="176BF64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1B598FD1"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14A2E4B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482DDDA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229D5C4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prestar servicios de apoyo a la gestión en la secretaría de educación departamental en la clasificación, conservación, consolidación y manejo de los documentos generados dentro de los diferentes procesos administrativos adelantados por esta secretaría</w:t>
            </w:r>
          </w:p>
        </w:tc>
        <w:tc>
          <w:tcPr>
            <w:tcW w:w="851" w:type="dxa"/>
            <w:tcBorders>
              <w:top w:val="nil"/>
              <w:left w:val="nil"/>
              <w:bottom w:val="single" w:sz="4" w:space="0" w:color="auto"/>
              <w:right w:val="single" w:sz="8" w:space="0" w:color="auto"/>
            </w:tcBorders>
            <w:noWrap/>
            <w:vAlign w:val="center"/>
            <w:hideMark/>
          </w:tcPr>
          <w:p w14:paraId="09EB1A3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0F27ACF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5EF049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4D90E40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4A880CEC"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acompañamiento en las actividades administrativas relacionadas con los procesos que se adelanten desde el área de poblaciones de la dirección de cobertura educativa.</w:t>
            </w:r>
          </w:p>
        </w:tc>
        <w:tc>
          <w:tcPr>
            <w:tcW w:w="851" w:type="dxa"/>
            <w:tcBorders>
              <w:top w:val="nil"/>
              <w:left w:val="nil"/>
              <w:bottom w:val="single" w:sz="4" w:space="0" w:color="auto"/>
              <w:right w:val="single" w:sz="8" w:space="0" w:color="auto"/>
            </w:tcBorders>
            <w:noWrap/>
            <w:vAlign w:val="center"/>
            <w:hideMark/>
          </w:tcPr>
          <w:p w14:paraId="60649EA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4712DFA1"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0222A1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0314 - 2.3.2.02.02.009.00.00.00.2201006.016.92920 - 88</w:t>
            </w:r>
          </w:p>
        </w:tc>
        <w:tc>
          <w:tcPr>
            <w:tcW w:w="1701" w:type="dxa"/>
            <w:tcBorders>
              <w:top w:val="nil"/>
              <w:left w:val="nil"/>
              <w:bottom w:val="single" w:sz="4" w:space="0" w:color="auto"/>
              <w:right w:val="single" w:sz="4" w:space="0" w:color="auto"/>
            </w:tcBorders>
            <w:vAlign w:val="center"/>
            <w:hideMark/>
          </w:tcPr>
          <w:p w14:paraId="39B6537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22AD7153"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como abogado para apoyar en los diferentes procesos jurídicos que adelante la secretaría de educación del departamento del Quindío</w:t>
            </w:r>
          </w:p>
        </w:tc>
        <w:tc>
          <w:tcPr>
            <w:tcW w:w="851" w:type="dxa"/>
            <w:tcBorders>
              <w:top w:val="nil"/>
              <w:left w:val="nil"/>
              <w:bottom w:val="single" w:sz="4" w:space="0" w:color="auto"/>
              <w:right w:val="single" w:sz="8" w:space="0" w:color="auto"/>
            </w:tcBorders>
            <w:noWrap/>
            <w:vAlign w:val="center"/>
            <w:hideMark/>
          </w:tcPr>
          <w:p w14:paraId="72E144A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DA7276" w14:paraId="503DD894"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A1A092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0314 - 2.3.2.02.02.009.00.00.00.2201015.016.91121 - 20</w:t>
            </w:r>
          </w:p>
        </w:tc>
        <w:tc>
          <w:tcPr>
            <w:tcW w:w="1701" w:type="dxa"/>
            <w:tcBorders>
              <w:top w:val="nil"/>
              <w:left w:val="nil"/>
              <w:bottom w:val="single" w:sz="4" w:space="0" w:color="auto"/>
              <w:right w:val="single" w:sz="4" w:space="0" w:color="auto"/>
            </w:tcBorders>
            <w:vAlign w:val="center"/>
            <w:hideMark/>
          </w:tcPr>
          <w:p w14:paraId="13DE7CC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5964D28D"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realizar acompañamiento a las alcaldías municipales en la ejecución de los recursos del sector educativo</w:t>
            </w:r>
          </w:p>
        </w:tc>
        <w:tc>
          <w:tcPr>
            <w:tcW w:w="851" w:type="dxa"/>
            <w:tcBorders>
              <w:top w:val="nil"/>
              <w:left w:val="nil"/>
              <w:bottom w:val="single" w:sz="4" w:space="0" w:color="auto"/>
              <w:right w:val="single" w:sz="8" w:space="0" w:color="auto"/>
            </w:tcBorders>
            <w:noWrap/>
            <w:vAlign w:val="center"/>
            <w:hideMark/>
          </w:tcPr>
          <w:p w14:paraId="0BEE4E48"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DA7276" w14:paraId="20C66392"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6FAA76F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0314 - 2.3.2.02.02.009.00.00.00.2201015.016.91121 - 88</w:t>
            </w:r>
          </w:p>
        </w:tc>
        <w:tc>
          <w:tcPr>
            <w:tcW w:w="1701" w:type="dxa"/>
            <w:tcBorders>
              <w:top w:val="nil"/>
              <w:left w:val="nil"/>
              <w:bottom w:val="single" w:sz="4" w:space="0" w:color="auto"/>
              <w:right w:val="single" w:sz="4" w:space="0" w:color="auto"/>
            </w:tcBorders>
            <w:vAlign w:val="center"/>
            <w:hideMark/>
          </w:tcPr>
          <w:p w14:paraId="79A39DD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14EB9B3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realizar acompañamiento a las alcaldías municipales en la ejecución de los recursos del sector educativo</w:t>
            </w:r>
          </w:p>
        </w:tc>
        <w:tc>
          <w:tcPr>
            <w:tcW w:w="851" w:type="dxa"/>
            <w:tcBorders>
              <w:top w:val="nil"/>
              <w:left w:val="nil"/>
              <w:bottom w:val="single" w:sz="4" w:space="0" w:color="auto"/>
              <w:right w:val="single" w:sz="8" w:space="0" w:color="auto"/>
            </w:tcBorders>
            <w:noWrap/>
            <w:vAlign w:val="center"/>
            <w:hideMark/>
          </w:tcPr>
          <w:p w14:paraId="2DAEAA4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4D733DC4"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75E6975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2A494431"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57C9E63D"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001 al contrato de prestación de servicios de apoyo a la gestión nro. 1927 de 2022, cuyo objeto contractual es "prestar asistencia técnica como tecnólogo (a) en contabilidad y finanzas en la implementación del plan colectivo de asistencia</w:t>
            </w:r>
          </w:p>
        </w:tc>
        <w:tc>
          <w:tcPr>
            <w:tcW w:w="851" w:type="dxa"/>
            <w:tcBorders>
              <w:top w:val="nil"/>
              <w:left w:val="nil"/>
              <w:bottom w:val="single" w:sz="4" w:space="0" w:color="auto"/>
              <w:right w:val="single" w:sz="8" w:space="0" w:color="auto"/>
            </w:tcBorders>
            <w:noWrap/>
            <w:vAlign w:val="center"/>
            <w:hideMark/>
          </w:tcPr>
          <w:p w14:paraId="7792953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507BDE9D"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915598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0314 - 2.3.2.02.02.009.00.00.00.2201001.095.91121 - 20</w:t>
            </w:r>
          </w:p>
        </w:tc>
        <w:tc>
          <w:tcPr>
            <w:tcW w:w="1701" w:type="dxa"/>
            <w:tcBorders>
              <w:top w:val="nil"/>
              <w:left w:val="nil"/>
              <w:bottom w:val="single" w:sz="4" w:space="0" w:color="auto"/>
              <w:right w:val="single" w:sz="4" w:space="0" w:color="auto"/>
            </w:tcBorders>
            <w:vAlign w:val="center"/>
            <w:hideMark/>
          </w:tcPr>
          <w:p w14:paraId="2317606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52DA7EF9"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001 al contrato de prestación de servicios profesionales nro. 2051 de 2022, cuyo objeto contractual es "prestación de servicios profesionales para brindar apoyo en el ejercicio de los procesos y/o actividades que se desarrollan en la diré</w:t>
            </w:r>
          </w:p>
        </w:tc>
        <w:tc>
          <w:tcPr>
            <w:tcW w:w="851" w:type="dxa"/>
            <w:tcBorders>
              <w:top w:val="nil"/>
              <w:left w:val="nil"/>
              <w:bottom w:val="single" w:sz="4" w:space="0" w:color="auto"/>
              <w:right w:val="single" w:sz="8" w:space="0" w:color="auto"/>
            </w:tcBorders>
            <w:noWrap/>
            <w:vAlign w:val="center"/>
            <w:hideMark/>
          </w:tcPr>
          <w:p w14:paraId="234606B4"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199DADDA"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B1801D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0314 - 2.3.2.02.02.009.00.00.00.2201015.016.91121 - 88</w:t>
            </w:r>
          </w:p>
        </w:tc>
        <w:tc>
          <w:tcPr>
            <w:tcW w:w="1701" w:type="dxa"/>
            <w:tcBorders>
              <w:top w:val="nil"/>
              <w:left w:val="nil"/>
              <w:bottom w:val="single" w:sz="4" w:space="0" w:color="auto"/>
              <w:right w:val="single" w:sz="4" w:space="0" w:color="auto"/>
            </w:tcBorders>
            <w:vAlign w:val="center"/>
            <w:hideMark/>
          </w:tcPr>
          <w:p w14:paraId="230BF9B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1D779C14"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de apoyo a la gestión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 en la consolidación y manejo de los informes y/o documentos generados por los profesionales que realizan acompañamiento a las alcaldías municipales en la ejecución</w:t>
            </w:r>
          </w:p>
        </w:tc>
        <w:tc>
          <w:tcPr>
            <w:tcW w:w="851" w:type="dxa"/>
            <w:tcBorders>
              <w:top w:val="nil"/>
              <w:left w:val="nil"/>
              <w:bottom w:val="single" w:sz="4" w:space="0" w:color="auto"/>
              <w:right w:val="single" w:sz="8" w:space="0" w:color="auto"/>
            </w:tcBorders>
            <w:noWrap/>
            <w:vAlign w:val="center"/>
            <w:hideMark/>
          </w:tcPr>
          <w:p w14:paraId="10AB606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3E082C33"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1234FA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52B369C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47ED9BEF"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de apoyo a la gestión para brindar acompañamiento operativo en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 departamental</w:t>
            </w:r>
          </w:p>
        </w:tc>
        <w:tc>
          <w:tcPr>
            <w:tcW w:w="851" w:type="dxa"/>
            <w:tcBorders>
              <w:top w:val="nil"/>
              <w:left w:val="nil"/>
              <w:bottom w:val="single" w:sz="4" w:space="0" w:color="auto"/>
              <w:right w:val="single" w:sz="8" w:space="0" w:color="auto"/>
            </w:tcBorders>
            <w:noWrap/>
            <w:vAlign w:val="center"/>
            <w:hideMark/>
          </w:tcPr>
          <w:p w14:paraId="0183F2D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DA7276" w14:paraId="721E2AD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A94714D"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0314 - 2.3.2.02.02.009.00.00.00.2201042.016.91121 - 88</w:t>
            </w:r>
          </w:p>
        </w:tc>
        <w:tc>
          <w:tcPr>
            <w:tcW w:w="1701" w:type="dxa"/>
            <w:tcBorders>
              <w:top w:val="nil"/>
              <w:left w:val="nil"/>
              <w:bottom w:val="single" w:sz="4" w:space="0" w:color="auto"/>
              <w:right w:val="single" w:sz="4" w:space="0" w:color="auto"/>
            </w:tcBorders>
            <w:vAlign w:val="center"/>
            <w:hideMark/>
          </w:tcPr>
          <w:p w14:paraId="0BCB74F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la administración pública relacionados con la educación</w:t>
            </w:r>
          </w:p>
        </w:tc>
        <w:tc>
          <w:tcPr>
            <w:tcW w:w="4252" w:type="dxa"/>
            <w:tcBorders>
              <w:top w:val="nil"/>
              <w:left w:val="nil"/>
              <w:bottom w:val="single" w:sz="4" w:space="0" w:color="auto"/>
              <w:right w:val="single" w:sz="4" w:space="0" w:color="auto"/>
            </w:tcBorders>
            <w:vAlign w:val="center"/>
            <w:hideMark/>
          </w:tcPr>
          <w:p w14:paraId="1751C620"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profesionales para brindar acompañamiento psicosocial en la secretaría de educación departamental</w:t>
            </w:r>
          </w:p>
        </w:tc>
        <w:tc>
          <w:tcPr>
            <w:tcW w:w="851" w:type="dxa"/>
            <w:tcBorders>
              <w:top w:val="nil"/>
              <w:left w:val="nil"/>
              <w:bottom w:val="single" w:sz="4" w:space="0" w:color="auto"/>
              <w:right w:val="single" w:sz="8" w:space="0" w:color="auto"/>
            </w:tcBorders>
            <w:noWrap/>
            <w:vAlign w:val="center"/>
            <w:hideMark/>
          </w:tcPr>
          <w:p w14:paraId="372A702C"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2B0A369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A5D5DC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3AE4859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6BE514CB"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oo1 al contrato de prestación de servicios profesionales no. 2128 de 2022 cuyo objeto es:</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prestación de servicios profesionales para el fortalecimiento del banco de programas y proyectos de la dirección de planeamiento educativo en el marco</w:t>
            </w:r>
          </w:p>
        </w:tc>
        <w:tc>
          <w:tcPr>
            <w:tcW w:w="851" w:type="dxa"/>
            <w:tcBorders>
              <w:top w:val="nil"/>
              <w:left w:val="nil"/>
              <w:bottom w:val="single" w:sz="4" w:space="0" w:color="auto"/>
              <w:right w:val="single" w:sz="8" w:space="0" w:color="auto"/>
            </w:tcBorders>
            <w:noWrap/>
            <w:vAlign w:val="center"/>
            <w:hideMark/>
          </w:tcPr>
          <w:p w14:paraId="4E5B9905"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08943A9F"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1DD66F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65C50F3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53E49A60"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n°001 al contrato de prestación de servicios profesionales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2205 de 2022, cuyo objeto es: "prestación de servicios profesionales para apoyar procesos de la oficina de gestión de inspección y vigilancia en el marco del plan</w:t>
            </w:r>
            <w:r w:rsidR="008F6530">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colectivo de a</w:t>
            </w:r>
          </w:p>
        </w:tc>
        <w:tc>
          <w:tcPr>
            <w:tcW w:w="851" w:type="dxa"/>
            <w:tcBorders>
              <w:top w:val="nil"/>
              <w:left w:val="nil"/>
              <w:bottom w:val="single" w:sz="4" w:space="0" w:color="auto"/>
              <w:right w:val="single" w:sz="8" w:space="0" w:color="auto"/>
            </w:tcBorders>
            <w:noWrap/>
            <w:vAlign w:val="center"/>
            <w:hideMark/>
          </w:tcPr>
          <w:p w14:paraId="04032AF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351CC065"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3999A70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56A9730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3DAF02A7"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n°001 al contrato de prestación de servicios profesionales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2129 de 2022, cuyo objeto es: contrato de prestación de servicios profesionales para apoyar técnicamente en la consolidación y análisis de la ruta de mejoramiento institucional en</w:t>
            </w:r>
          </w:p>
        </w:tc>
        <w:tc>
          <w:tcPr>
            <w:tcW w:w="851" w:type="dxa"/>
            <w:tcBorders>
              <w:top w:val="nil"/>
              <w:left w:val="nil"/>
              <w:bottom w:val="single" w:sz="4" w:space="0" w:color="auto"/>
              <w:right w:val="single" w:sz="8" w:space="0" w:color="auto"/>
            </w:tcBorders>
            <w:noWrap/>
            <w:vAlign w:val="center"/>
            <w:hideMark/>
          </w:tcPr>
          <w:p w14:paraId="7E05871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66152E4E"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B0DB55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47F28B7E"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3EDE4627"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no. 001 al contrato de prestación de servicios profesionales no. 2204 de 2022, cuyo objeto es: "prestación de servicios profesionales para apoyar en el diseño de instrumentos de medición del plan estratégico de tecnologías de la información</w:t>
            </w:r>
          </w:p>
        </w:tc>
        <w:tc>
          <w:tcPr>
            <w:tcW w:w="851" w:type="dxa"/>
            <w:tcBorders>
              <w:top w:val="nil"/>
              <w:left w:val="nil"/>
              <w:bottom w:val="single" w:sz="4" w:space="0" w:color="auto"/>
              <w:right w:val="single" w:sz="8" w:space="0" w:color="auto"/>
            </w:tcBorders>
            <w:noWrap/>
            <w:vAlign w:val="center"/>
            <w:hideMark/>
          </w:tcPr>
          <w:p w14:paraId="703616C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r>
      <w:tr w:rsidR="00DA7276" w14:paraId="37D04CD0"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559E47F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343BC29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73A42DD5"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 de apoyo a la gestión, para brindar acompañamiento a instituciones educativas de los 11 municipios no certificados del departamento del Quindío en la verificación del estado actual de afectaciones y posibles afectaciones en sus in</w:t>
            </w:r>
          </w:p>
        </w:tc>
        <w:tc>
          <w:tcPr>
            <w:tcW w:w="851" w:type="dxa"/>
            <w:tcBorders>
              <w:top w:val="nil"/>
              <w:left w:val="nil"/>
              <w:bottom w:val="single" w:sz="4" w:space="0" w:color="auto"/>
              <w:right w:val="single" w:sz="8" w:space="0" w:color="auto"/>
            </w:tcBorders>
            <w:noWrap/>
            <w:vAlign w:val="center"/>
            <w:hideMark/>
          </w:tcPr>
          <w:p w14:paraId="7C7F399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73194B75"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D1F990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503DCC9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6DDDFDFD"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001 al contrato de prestación de servicios no. 2330 de 2022 cuyo objeto es: "prestar servicios de apoyo a la gestión en la secretaría de educación </w:t>
            </w:r>
            <w:r>
              <w:rPr>
                <w:rFonts w:ascii="Arial" w:eastAsia="Times New Roman" w:hAnsi="Arial" w:cs="Arial"/>
                <w:sz w:val="16"/>
                <w:szCs w:val="16"/>
                <w:lang w:val="es-CO" w:eastAsia="es-CO"/>
              </w:rPr>
              <w:lastRenderedPageBreak/>
              <w:t>departamental en la clasificación, conservación, consolidación y manejo de los documentos gen</w:t>
            </w:r>
          </w:p>
        </w:tc>
        <w:tc>
          <w:tcPr>
            <w:tcW w:w="851" w:type="dxa"/>
            <w:tcBorders>
              <w:top w:val="nil"/>
              <w:left w:val="nil"/>
              <w:bottom w:val="single" w:sz="4" w:space="0" w:color="auto"/>
              <w:right w:val="single" w:sz="8" w:space="0" w:color="auto"/>
            </w:tcBorders>
            <w:noWrap/>
            <w:vAlign w:val="center"/>
            <w:hideMark/>
          </w:tcPr>
          <w:p w14:paraId="7865C3E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2</w:t>
            </w:r>
          </w:p>
        </w:tc>
      </w:tr>
      <w:tr w:rsidR="00DA7276" w14:paraId="63DBBE09"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2C70BFEA"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0314 - 2.3.2.02.02.009.00.00.00.2202006.096.92330 - 88</w:t>
            </w:r>
          </w:p>
        </w:tc>
        <w:tc>
          <w:tcPr>
            <w:tcW w:w="1701" w:type="dxa"/>
            <w:tcBorders>
              <w:top w:val="nil"/>
              <w:left w:val="nil"/>
              <w:bottom w:val="single" w:sz="4" w:space="0" w:color="auto"/>
              <w:right w:val="single" w:sz="4" w:space="0" w:color="auto"/>
            </w:tcBorders>
            <w:vAlign w:val="center"/>
            <w:hideMark/>
          </w:tcPr>
          <w:p w14:paraId="7C7F49F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educación media académica</w:t>
            </w:r>
          </w:p>
        </w:tc>
        <w:tc>
          <w:tcPr>
            <w:tcW w:w="4252" w:type="dxa"/>
            <w:tcBorders>
              <w:top w:val="nil"/>
              <w:left w:val="nil"/>
              <w:bottom w:val="single" w:sz="4" w:space="0" w:color="auto"/>
              <w:right w:val="single" w:sz="4" w:space="0" w:color="auto"/>
            </w:tcBorders>
            <w:vAlign w:val="center"/>
            <w:hideMark/>
          </w:tcPr>
          <w:p w14:paraId="3A44D63B"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estimulo otorgado por la gobernación del Quindío mediante ordenanza 010 del 29 de abril de 2014, resolución n°0934 de 2021.resolución </w:t>
            </w:r>
            <w:proofErr w:type="spellStart"/>
            <w:r>
              <w:rPr>
                <w:rFonts w:ascii="Arial" w:eastAsia="Times New Roman" w:hAnsi="Arial" w:cs="Arial"/>
                <w:sz w:val="16"/>
                <w:szCs w:val="16"/>
                <w:lang w:val="es-CO" w:eastAsia="es-CO"/>
              </w:rPr>
              <w:t>nº</w:t>
            </w:r>
            <w:proofErr w:type="spellEnd"/>
            <w:r>
              <w:rPr>
                <w:rFonts w:ascii="Arial" w:eastAsia="Times New Roman" w:hAnsi="Arial" w:cs="Arial"/>
                <w:sz w:val="16"/>
                <w:szCs w:val="16"/>
                <w:lang w:val="es-CO" w:eastAsia="es-CO"/>
              </w:rPr>
              <w:t xml:space="preserve"> 001452 del 24 de febrero de 2022, resolución n°05931 del 26 de julio de 2022. resolución n°02702 del 18 de abril de 2</w:t>
            </w:r>
          </w:p>
        </w:tc>
        <w:tc>
          <w:tcPr>
            <w:tcW w:w="851" w:type="dxa"/>
            <w:tcBorders>
              <w:top w:val="nil"/>
              <w:left w:val="nil"/>
              <w:bottom w:val="single" w:sz="4" w:space="0" w:color="auto"/>
              <w:right w:val="single" w:sz="8" w:space="0" w:color="auto"/>
            </w:tcBorders>
            <w:noWrap/>
            <w:vAlign w:val="center"/>
            <w:hideMark/>
          </w:tcPr>
          <w:p w14:paraId="7DDB5F1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w:t>
            </w:r>
          </w:p>
        </w:tc>
      </w:tr>
      <w:tr w:rsidR="00DA7276" w14:paraId="0DD55BCB"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0016409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0314 - 2.3.2.02.02.009.00.00.00.2201006.016.91113 - 20</w:t>
            </w:r>
          </w:p>
        </w:tc>
        <w:tc>
          <w:tcPr>
            <w:tcW w:w="1701" w:type="dxa"/>
            <w:tcBorders>
              <w:top w:val="nil"/>
              <w:left w:val="nil"/>
              <w:bottom w:val="single" w:sz="4" w:space="0" w:color="auto"/>
              <w:right w:val="single" w:sz="4" w:space="0" w:color="auto"/>
            </w:tcBorders>
            <w:vAlign w:val="center"/>
            <w:hideMark/>
          </w:tcPr>
          <w:p w14:paraId="70B92BE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financieros y fiscales de la administración pública</w:t>
            </w:r>
          </w:p>
        </w:tc>
        <w:tc>
          <w:tcPr>
            <w:tcW w:w="4252" w:type="dxa"/>
            <w:tcBorders>
              <w:top w:val="nil"/>
              <w:left w:val="nil"/>
              <w:bottom w:val="single" w:sz="4" w:space="0" w:color="auto"/>
              <w:right w:val="single" w:sz="4" w:space="0" w:color="auto"/>
            </w:tcBorders>
            <w:vAlign w:val="center"/>
            <w:hideMark/>
          </w:tcPr>
          <w:p w14:paraId="0AD66CEE"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modificatorio 001 al contrato de prestación de servicios no. 2395 de 2022 cuyo objeto es: "prestación de servicios profesionales de un contador para realizar apoyo y acompañamiento en la dirección administrativa y financiera de la</w:t>
            </w:r>
            <w:r w:rsidR="0093266E">
              <w:rPr>
                <w:rFonts w:ascii="Arial" w:eastAsia="Times New Roman" w:hAnsi="Arial" w:cs="Arial"/>
                <w:sz w:val="16"/>
                <w:szCs w:val="16"/>
                <w:lang w:val="es-CO" w:eastAsia="es-CO"/>
              </w:rPr>
              <w:t xml:space="preserve"> secretaría</w:t>
            </w:r>
            <w:r>
              <w:rPr>
                <w:rFonts w:ascii="Arial" w:eastAsia="Times New Roman" w:hAnsi="Arial" w:cs="Arial"/>
                <w:sz w:val="16"/>
                <w:szCs w:val="16"/>
                <w:lang w:val="es-CO" w:eastAsia="es-CO"/>
              </w:rPr>
              <w:t xml:space="preserve"> de educación</w:t>
            </w:r>
          </w:p>
        </w:tc>
        <w:tc>
          <w:tcPr>
            <w:tcW w:w="851" w:type="dxa"/>
            <w:tcBorders>
              <w:top w:val="nil"/>
              <w:left w:val="nil"/>
              <w:bottom w:val="single" w:sz="4" w:space="0" w:color="auto"/>
              <w:right w:val="single" w:sz="8" w:space="0" w:color="auto"/>
            </w:tcBorders>
            <w:noWrap/>
            <w:vAlign w:val="center"/>
            <w:hideMark/>
          </w:tcPr>
          <w:p w14:paraId="5F1D9B2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r>
      <w:tr w:rsidR="00DA7276" w14:paraId="6DC61327" w14:textId="77777777" w:rsidTr="008F6530">
        <w:trPr>
          <w:trHeight w:val="20"/>
        </w:trPr>
        <w:tc>
          <w:tcPr>
            <w:tcW w:w="2117" w:type="dxa"/>
            <w:tcBorders>
              <w:top w:val="nil"/>
              <w:left w:val="single" w:sz="8" w:space="0" w:color="auto"/>
              <w:bottom w:val="single" w:sz="4" w:space="0" w:color="auto"/>
              <w:right w:val="single" w:sz="4" w:space="0" w:color="auto"/>
            </w:tcBorders>
            <w:vAlign w:val="center"/>
            <w:hideMark/>
          </w:tcPr>
          <w:p w14:paraId="4D2F389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0314 - 2.3.2.02.02.009.00.00.00.2201006.016.92920 - 88</w:t>
            </w:r>
          </w:p>
        </w:tc>
        <w:tc>
          <w:tcPr>
            <w:tcW w:w="1701" w:type="dxa"/>
            <w:tcBorders>
              <w:top w:val="nil"/>
              <w:left w:val="nil"/>
              <w:bottom w:val="single" w:sz="4" w:space="0" w:color="auto"/>
              <w:right w:val="single" w:sz="4" w:space="0" w:color="auto"/>
            </w:tcBorders>
            <w:vAlign w:val="center"/>
            <w:hideMark/>
          </w:tcPr>
          <w:p w14:paraId="2799C08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Servicios de apoyo educativo</w:t>
            </w:r>
          </w:p>
        </w:tc>
        <w:tc>
          <w:tcPr>
            <w:tcW w:w="4252" w:type="dxa"/>
            <w:tcBorders>
              <w:top w:val="nil"/>
              <w:left w:val="nil"/>
              <w:bottom w:val="single" w:sz="4" w:space="0" w:color="auto"/>
              <w:right w:val="single" w:sz="4" w:space="0" w:color="auto"/>
            </w:tcBorders>
            <w:vAlign w:val="center"/>
            <w:hideMark/>
          </w:tcPr>
          <w:p w14:paraId="507C018A" w14:textId="77777777" w:rsidR="00DA7276" w:rsidRDefault="00DA7276" w:rsidP="008F6530">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modificatorio n°001 al contrato de prestación de servicios profesionales </w:t>
            </w:r>
            <w:proofErr w:type="spellStart"/>
            <w:r>
              <w:rPr>
                <w:rFonts w:ascii="Arial" w:eastAsia="Times New Roman" w:hAnsi="Arial" w:cs="Arial"/>
                <w:sz w:val="16"/>
                <w:szCs w:val="16"/>
                <w:lang w:val="es-CO" w:eastAsia="es-CO"/>
              </w:rPr>
              <w:t>n°</w:t>
            </w:r>
            <w:proofErr w:type="spellEnd"/>
            <w:r>
              <w:rPr>
                <w:rFonts w:ascii="Arial" w:eastAsia="Times New Roman" w:hAnsi="Arial" w:cs="Arial"/>
                <w:sz w:val="16"/>
                <w:szCs w:val="16"/>
                <w:lang w:val="es-CO" w:eastAsia="es-CO"/>
              </w:rPr>
              <w:t xml:space="preserve"> 1960 de 2022, cuyo objeto es: prestación de servicios profesionales para apoyo jurídico en procesos a cargo de la dirección de calidad educativa en el marco del plan colectivo de</w:t>
            </w:r>
          </w:p>
        </w:tc>
        <w:tc>
          <w:tcPr>
            <w:tcW w:w="851" w:type="dxa"/>
            <w:tcBorders>
              <w:top w:val="nil"/>
              <w:left w:val="nil"/>
              <w:bottom w:val="single" w:sz="4" w:space="0" w:color="auto"/>
              <w:right w:val="single" w:sz="8" w:space="0" w:color="auto"/>
            </w:tcBorders>
            <w:noWrap/>
            <w:vAlign w:val="center"/>
            <w:hideMark/>
          </w:tcPr>
          <w:p w14:paraId="4053E6B2"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DA7276" w14:paraId="7205C678" w14:textId="77777777" w:rsidTr="008F6530">
        <w:trPr>
          <w:trHeight w:val="20"/>
        </w:trPr>
        <w:tc>
          <w:tcPr>
            <w:tcW w:w="8070" w:type="dxa"/>
            <w:gridSpan w:val="3"/>
            <w:tcBorders>
              <w:top w:val="single" w:sz="4" w:space="0" w:color="auto"/>
              <w:left w:val="single" w:sz="8" w:space="0" w:color="auto"/>
              <w:bottom w:val="single" w:sz="8" w:space="0" w:color="auto"/>
              <w:right w:val="single" w:sz="4" w:space="0" w:color="auto"/>
            </w:tcBorders>
            <w:shd w:val="clear" w:color="auto" w:fill="203764"/>
            <w:vAlign w:val="center"/>
            <w:hideMark/>
          </w:tcPr>
          <w:p w14:paraId="62D9ACDC"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TOTAL</w:t>
            </w:r>
          </w:p>
        </w:tc>
        <w:tc>
          <w:tcPr>
            <w:tcW w:w="851" w:type="dxa"/>
            <w:tcBorders>
              <w:top w:val="nil"/>
              <w:left w:val="nil"/>
              <w:bottom w:val="single" w:sz="8" w:space="0" w:color="auto"/>
              <w:right w:val="single" w:sz="8" w:space="0" w:color="auto"/>
            </w:tcBorders>
            <w:shd w:val="clear" w:color="auto" w:fill="203764"/>
            <w:vAlign w:val="center"/>
            <w:hideMark/>
          </w:tcPr>
          <w:p w14:paraId="53C97120"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652</w:t>
            </w:r>
          </w:p>
        </w:tc>
      </w:tr>
    </w:tbl>
    <w:p w14:paraId="629BCE5F" w14:textId="77777777" w:rsidR="00DA7276" w:rsidRDefault="00DA7276" w:rsidP="008F6530">
      <w:pPr>
        <w:jc w:val="center"/>
        <w:rPr>
          <w:rFonts w:ascii="Arial" w:hAnsi="Arial" w:cs="Arial"/>
          <w:sz w:val="18"/>
          <w:szCs w:val="18"/>
          <w:lang w:eastAsia="en-US"/>
        </w:rPr>
      </w:pPr>
      <w:r>
        <w:rPr>
          <w:rFonts w:ascii="Arial" w:hAnsi="Arial" w:cs="Arial"/>
          <w:sz w:val="18"/>
          <w:szCs w:val="18"/>
          <w:lang w:eastAsia="en-US"/>
        </w:rPr>
        <w:t>Fuente: Información allegada por la Entidad Territorial mediante el oficio radicado No. 1-2023-024872 del 24 de marzo de 2023.</w:t>
      </w:r>
    </w:p>
    <w:p w14:paraId="0E48F831" w14:textId="77777777" w:rsidR="00DA7276" w:rsidRDefault="00DA7276" w:rsidP="008F6530">
      <w:pPr>
        <w:jc w:val="center"/>
        <w:rPr>
          <w:rFonts w:ascii="Arial" w:hAnsi="Arial" w:cs="Arial"/>
          <w:sz w:val="18"/>
          <w:szCs w:val="18"/>
          <w:lang w:eastAsia="en-US"/>
        </w:rPr>
      </w:pPr>
    </w:p>
    <w:p w14:paraId="206635F0" w14:textId="77777777" w:rsidR="00DA7276" w:rsidRDefault="00DA7276" w:rsidP="008F6530">
      <w:pPr>
        <w:jc w:val="both"/>
        <w:rPr>
          <w:rFonts w:ascii="Arial" w:hAnsi="Arial" w:cs="Arial"/>
          <w:sz w:val="18"/>
          <w:szCs w:val="18"/>
          <w:lang w:eastAsia="en-US"/>
        </w:rPr>
      </w:pPr>
      <w:r>
        <w:rPr>
          <w:rFonts w:ascii="Arial" w:eastAsia="Arial" w:hAnsi="Arial" w:cs="Arial"/>
          <w:sz w:val="22"/>
          <w:szCs w:val="22"/>
          <w:lang w:eastAsia="en-US"/>
        </w:rPr>
        <w:t xml:space="preserve">De lo anterior, los $7.988 millones de pesos que indica el Departamento haber reinvertido en el sector, $7.336 </w:t>
      </w:r>
      <w:r w:rsidR="00301568">
        <w:rPr>
          <w:rFonts w:ascii="Arial" w:eastAsia="Arial" w:hAnsi="Arial" w:cs="Arial"/>
          <w:sz w:val="22"/>
          <w:szCs w:val="22"/>
          <w:lang w:eastAsia="en-US"/>
        </w:rPr>
        <w:t xml:space="preserve">millones </w:t>
      </w:r>
      <w:r>
        <w:rPr>
          <w:rFonts w:ascii="Arial" w:eastAsia="Arial" w:hAnsi="Arial" w:cs="Arial"/>
          <w:sz w:val="22"/>
          <w:szCs w:val="22"/>
          <w:lang w:eastAsia="en-US"/>
        </w:rPr>
        <w:t>corresponden a objetos de gasto relacionados con la calidad educativa y, por ende, serán tenidos en cuenta para el cumplimiento de esta actividad. Los $652 millones detallados en el cuadro anterior, no corresponden a gastos de calidad y por ende no son contemplados para la evaluación; por lo cual, el Departamento aún debe reinvertir un total de $1.723 millones en la vigencia 2023, como se muestra en la siguiente tabla:</w:t>
      </w:r>
    </w:p>
    <w:p w14:paraId="0C2FEC44" w14:textId="77777777" w:rsidR="00DA7276" w:rsidRDefault="00DA7276" w:rsidP="008F6530">
      <w:pPr>
        <w:jc w:val="both"/>
        <w:rPr>
          <w:rFonts w:ascii="Arial" w:eastAsia="Arial"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3987"/>
        <w:gridCol w:w="1631"/>
        <w:gridCol w:w="917"/>
        <w:gridCol w:w="2283"/>
      </w:tblGrid>
      <w:tr w:rsidR="00DA7276" w14:paraId="718810A3" w14:textId="77777777" w:rsidTr="008F6530">
        <w:trPr>
          <w:trHeight w:val="20"/>
        </w:trPr>
        <w:tc>
          <w:tcPr>
            <w:tcW w:w="1927" w:type="pct"/>
            <w:tcBorders>
              <w:top w:val="single" w:sz="8" w:space="0" w:color="auto"/>
              <w:left w:val="single" w:sz="8" w:space="0" w:color="auto"/>
              <w:bottom w:val="single" w:sz="4" w:space="0" w:color="auto"/>
              <w:right w:val="single" w:sz="4" w:space="0" w:color="auto"/>
            </w:tcBorders>
            <w:shd w:val="clear" w:color="auto" w:fill="244061"/>
            <w:noWrap/>
            <w:vAlign w:val="center"/>
            <w:hideMark/>
          </w:tcPr>
          <w:p w14:paraId="2587A966"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CONCEPTO</w:t>
            </w:r>
          </w:p>
        </w:tc>
        <w:tc>
          <w:tcPr>
            <w:tcW w:w="1041" w:type="pct"/>
            <w:tcBorders>
              <w:top w:val="single" w:sz="8" w:space="0" w:color="auto"/>
              <w:left w:val="nil"/>
              <w:bottom w:val="single" w:sz="4" w:space="0" w:color="auto"/>
              <w:right w:val="single" w:sz="4" w:space="0" w:color="auto"/>
            </w:tcBorders>
            <w:shd w:val="clear" w:color="auto" w:fill="244061"/>
            <w:noWrap/>
            <w:vAlign w:val="center"/>
            <w:hideMark/>
          </w:tcPr>
          <w:p w14:paraId="607A6679"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VALOR (Millones $)</w:t>
            </w:r>
          </w:p>
        </w:tc>
        <w:tc>
          <w:tcPr>
            <w:tcW w:w="696" w:type="pct"/>
            <w:tcBorders>
              <w:top w:val="single" w:sz="8" w:space="0" w:color="auto"/>
              <w:left w:val="nil"/>
              <w:bottom w:val="single" w:sz="4" w:space="0" w:color="auto"/>
              <w:right w:val="single" w:sz="4" w:space="0" w:color="auto"/>
            </w:tcBorders>
            <w:shd w:val="clear" w:color="auto" w:fill="244061"/>
            <w:noWrap/>
            <w:vAlign w:val="center"/>
            <w:hideMark/>
          </w:tcPr>
          <w:p w14:paraId="52BA278B"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VIGENCIA</w:t>
            </w:r>
          </w:p>
        </w:tc>
        <w:tc>
          <w:tcPr>
            <w:tcW w:w="1335" w:type="pct"/>
            <w:tcBorders>
              <w:top w:val="single" w:sz="8" w:space="0" w:color="auto"/>
              <w:left w:val="nil"/>
              <w:bottom w:val="single" w:sz="4" w:space="0" w:color="auto"/>
              <w:right w:val="single" w:sz="8" w:space="0" w:color="auto"/>
            </w:tcBorders>
            <w:shd w:val="clear" w:color="auto" w:fill="244061"/>
            <w:noWrap/>
            <w:vAlign w:val="center"/>
            <w:hideMark/>
          </w:tcPr>
          <w:p w14:paraId="4A8BD570"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ESTIPULADO EN</w:t>
            </w:r>
          </w:p>
        </w:tc>
      </w:tr>
      <w:tr w:rsidR="00DA7276" w14:paraId="08D469D2"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0BF32D16"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Sentencias y Conciliaciones</w:t>
            </w:r>
          </w:p>
        </w:tc>
        <w:tc>
          <w:tcPr>
            <w:tcW w:w="1041" w:type="pct"/>
            <w:tcBorders>
              <w:top w:val="nil"/>
              <w:left w:val="nil"/>
              <w:bottom w:val="single" w:sz="4" w:space="0" w:color="auto"/>
              <w:right w:val="single" w:sz="4" w:space="0" w:color="auto"/>
            </w:tcBorders>
            <w:noWrap/>
            <w:vAlign w:val="center"/>
            <w:hideMark/>
          </w:tcPr>
          <w:p w14:paraId="0B155FD1"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2.243</w:t>
            </w:r>
          </w:p>
        </w:tc>
        <w:tc>
          <w:tcPr>
            <w:tcW w:w="696" w:type="pct"/>
            <w:tcBorders>
              <w:top w:val="nil"/>
              <w:left w:val="nil"/>
              <w:bottom w:val="single" w:sz="4" w:space="0" w:color="auto"/>
              <w:right w:val="single" w:sz="4" w:space="0" w:color="auto"/>
            </w:tcBorders>
            <w:noWrap/>
            <w:vAlign w:val="center"/>
            <w:hideMark/>
          </w:tcPr>
          <w:p w14:paraId="4E097897"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2013</w:t>
            </w:r>
          </w:p>
        </w:tc>
        <w:tc>
          <w:tcPr>
            <w:tcW w:w="1335" w:type="pct"/>
            <w:tcBorders>
              <w:top w:val="nil"/>
              <w:left w:val="nil"/>
              <w:bottom w:val="single" w:sz="4" w:space="0" w:color="auto"/>
              <w:right w:val="single" w:sz="8" w:space="0" w:color="auto"/>
            </w:tcBorders>
            <w:noWrap/>
            <w:vAlign w:val="center"/>
            <w:hideMark/>
          </w:tcPr>
          <w:p w14:paraId="5C64246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Resolución 1344 del 2019</w:t>
            </w:r>
          </w:p>
        </w:tc>
      </w:tr>
      <w:tr w:rsidR="00DA7276" w14:paraId="0664A016"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57EC42D4"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Sentencias y Conciliaciones</w:t>
            </w:r>
          </w:p>
        </w:tc>
        <w:tc>
          <w:tcPr>
            <w:tcW w:w="1041" w:type="pct"/>
            <w:tcBorders>
              <w:top w:val="nil"/>
              <w:left w:val="nil"/>
              <w:bottom w:val="single" w:sz="4" w:space="0" w:color="auto"/>
              <w:right w:val="single" w:sz="4" w:space="0" w:color="auto"/>
            </w:tcBorders>
            <w:noWrap/>
            <w:vAlign w:val="center"/>
            <w:hideMark/>
          </w:tcPr>
          <w:p w14:paraId="1DCC98EF"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3.328</w:t>
            </w:r>
          </w:p>
        </w:tc>
        <w:tc>
          <w:tcPr>
            <w:tcW w:w="696" w:type="pct"/>
            <w:tcBorders>
              <w:top w:val="nil"/>
              <w:left w:val="nil"/>
              <w:bottom w:val="single" w:sz="4" w:space="0" w:color="auto"/>
              <w:right w:val="single" w:sz="4" w:space="0" w:color="auto"/>
            </w:tcBorders>
            <w:noWrap/>
            <w:vAlign w:val="center"/>
            <w:hideMark/>
          </w:tcPr>
          <w:p w14:paraId="4D13BB1A"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2014</w:t>
            </w:r>
          </w:p>
        </w:tc>
        <w:tc>
          <w:tcPr>
            <w:tcW w:w="1335" w:type="pct"/>
            <w:tcBorders>
              <w:top w:val="nil"/>
              <w:left w:val="nil"/>
              <w:bottom w:val="single" w:sz="4" w:space="0" w:color="auto"/>
              <w:right w:val="single" w:sz="8" w:space="0" w:color="auto"/>
            </w:tcBorders>
            <w:noWrap/>
            <w:vAlign w:val="center"/>
            <w:hideMark/>
          </w:tcPr>
          <w:p w14:paraId="08FDA9B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Resolución 1344 del 2019</w:t>
            </w:r>
          </w:p>
        </w:tc>
      </w:tr>
      <w:tr w:rsidR="00DA7276" w14:paraId="0E3553B3"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5D5E0DD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Sentencias y Conciliaciones</w:t>
            </w:r>
          </w:p>
        </w:tc>
        <w:tc>
          <w:tcPr>
            <w:tcW w:w="1041" w:type="pct"/>
            <w:tcBorders>
              <w:top w:val="nil"/>
              <w:left w:val="nil"/>
              <w:bottom w:val="single" w:sz="4" w:space="0" w:color="auto"/>
              <w:right w:val="single" w:sz="4" w:space="0" w:color="auto"/>
            </w:tcBorders>
            <w:noWrap/>
            <w:vAlign w:val="center"/>
            <w:hideMark/>
          </w:tcPr>
          <w:p w14:paraId="7C468EA7"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2.552</w:t>
            </w:r>
          </w:p>
        </w:tc>
        <w:tc>
          <w:tcPr>
            <w:tcW w:w="696" w:type="pct"/>
            <w:tcBorders>
              <w:top w:val="nil"/>
              <w:left w:val="nil"/>
              <w:bottom w:val="single" w:sz="4" w:space="0" w:color="auto"/>
              <w:right w:val="single" w:sz="4" w:space="0" w:color="auto"/>
            </w:tcBorders>
            <w:noWrap/>
            <w:vAlign w:val="center"/>
            <w:hideMark/>
          </w:tcPr>
          <w:p w14:paraId="39DBA5CA"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2015</w:t>
            </w:r>
          </w:p>
        </w:tc>
        <w:tc>
          <w:tcPr>
            <w:tcW w:w="1335" w:type="pct"/>
            <w:tcBorders>
              <w:top w:val="nil"/>
              <w:left w:val="nil"/>
              <w:bottom w:val="single" w:sz="4" w:space="0" w:color="auto"/>
              <w:right w:val="single" w:sz="8" w:space="0" w:color="auto"/>
            </w:tcBorders>
            <w:noWrap/>
            <w:vAlign w:val="center"/>
            <w:hideMark/>
          </w:tcPr>
          <w:p w14:paraId="3A73F972"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Resolución 1344 del 2019</w:t>
            </w:r>
          </w:p>
        </w:tc>
      </w:tr>
      <w:tr w:rsidR="00DA7276" w14:paraId="5F4FBEDB"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2ED89FDE"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Sentencias y Conciliaciones</w:t>
            </w:r>
          </w:p>
        </w:tc>
        <w:tc>
          <w:tcPr>
            <w:tcW w:w="1041" w:type="pct"/>
            <w:tcBorders>
              <w:top w:val="nil"/>
              <w:left w:val="nil"/>
              <w:bottom w:val="single" w:sz="4" w:space="0" w:color="auto"/>
              <w:right w:val="single" w:sz="4" w:space="0" w:color="auto"/>
            </w:tcBorders>
            <w:noWrap/>
            <w:vAlign w:val="center"/>
            <w:hideMark/>
          </w:tcPr>
          <w:p w14:paraId="4779D713"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29</w:t>
            </w:r>
          </w:p>
        </w:tc>
        <w:tc>
          <w:tcPr>
            <w:tcW w:w="696" w:type="pct"/>
            <w:tcBorders>
              <w:top w:val="nil"/>
              <w:left w:val="nil"/>
              <w:bottom w:val="single" w:sz="4" w:space="0" w:color="auto"/>
              <w:right w:val="single" w:sz="4" w:space="0" w:color="auto"/>
            </w:tcBorders>
            <w:noWrap/>
            <w:vAlign w:val="center"/>
            <w:hideMark/>
          </w:tcPr>
          <w:p w14:paraId="283CBC0F"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2016</w:t>
            </w:r>
          </w:p>
        </w:tc>
        <w:tc>
          <w:tcPr>
            <w:tcW w:w="1335" w:type="pct"/>
            <w:tcBorders>
              <w:top w:val="nil"/>
              <w:left w:val="nil"/>
              <w:bottom w:val="single" w:sz="4" w:space="0" w:color="auto"/>
              <w:right w:val="single" w:sz="8" w:space="0" w:color="auto"/>
            </w:tcBorders>
            <w:noWrap/>
            <w:vAlign w:val="center"/>
            <w:hideMark/>
          </w:tcPr>
          <w:p w14:paraId="3D076237"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Resolución 1344 del 2019</w:t>
            </w:r>
          </w:p>
        </w:tc>
      </w:tr>
      <w:tr w:rsidR="00DA7276" w14:paraId="04F74625"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1159C076"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Deudas Laborales</w:t>
            </w:r>
          </w:p>
        </w:tc>
        <w:tc>
          <w:tcPr>
            <w:tcW w:w="1041" w:type="pct"/>
            <w:tcBorders>
              <w:top w:val="nil"/>
              <w:left w:val="nil"/>
              <w:bottom w:val="single" w:sz="4" w:space="0" w:color="auto"/>
              <w:right w:val="single" w:sz="4" w:space="0" w:color="auto"/>
            </w:tcBorders>
            <w:noWrap/>
            <w:vAlign w:val="center"/>
            <w:hideMark/>
          </w:tcPr>
          <w:p w14:paraId="3B392DB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865</w:t>
            </w:r>
          </w:p>
        </w:tc>
        <w:tc>
          <w:tcPr>
            <w:tcW w:w="696" w:type="pct"/>
            <w:tcBorders>
              <w:top w:val="nil"/>
              <w:left w:val="nil"/>
              <w:bottom w:val="single" w:sz="4" w:space="0" w:color="auto"/>
              <w:right w:val="single" w:sz="4" w:space="0" w:color="auto"/>
            </w:tcBorders>
            <w:noWrap/>
            <w:vAlign w:val="center"/>
            <w:hideMark/>
          </w:tcPr>
          <w:p w14:paraId="1B9C47F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2017</w:t>
            </w:r>
          </w:p>
        </w:tc>
        <w:tc>
          <w:tcPr>
            <w:tcW w:w="1335" w:type="pct"/>
            <w:tcBorders>
              <w:top w:val="nil"/>
              <w:left w:val="nil"/>
              <w:bottom w:val="single" w:sz="4" w:space="0" w:color="auto"/>
              <w:right w:val="single" w:sz="8" w:space="0" w:color="auto"/>
            </w:tcBorders>
            <w:noWrap/>
            <w:vAlign w:val="center"/>
            <w:hideMark/>
          </w:tcPr>
          <w:p w14:paraId="55825B59"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Resolución 1344 del 2019</w:t>
            </w:r>
          </w:p>
        </w:tc>
      </w:tr>
      <w:tr w:rsidR="00DA7276" w14:paraId="71B40F09"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1D4AA0A2"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Contratos de seguridad y salud en el trabajo</w:t>
            </w:r>
          </w:p>
        </w:tc>
        <w:tc>
          <w:tcPr>
            <w:tcW w:w="1041" w:type="pct"/>
            <w:tcBorders>
              <w:top w:val="nil"/>
              <w:left w:val="nil"/>
              <w:bottom w:val="single" w:sz="4" w:space="0" w:color="auto"/>
              <w:right w:val="single" w:sz="4" w:space="0" w:color="auto"/>
            </w:tcBorders>
            <w:noWrap/>
            <w:vAlign w:val="center"/>
            <w:hideMark/>
          </w:tcPr>
          <w:p w14:paraId="53011A4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42</w:t>
            </w:r>
          </w:p>
        </w:tc>
        <w:tc>
          <w:tcPr>
            <w:tcW w:w="696" w:type="pct"/>
            <w:tcBorders>
              <w:top w:val="nil"/>
              <w:left w:val="nil"/>
              <w:bottom w:val="single" w:sz="4" w:space="0" w:color="auto"/>
              <w:right w:val="single" w:sz="4" w:space="0" w:color="auto"/>
            </w:tcBorders>
            <w:noWrap/>
            <w:vAlign w:val="center"/>
            <w:hideMark/>
          </w:tcPr>
          <w:p w14:paraId="6C58FA5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w:t>
            </w:r>
          </w:p>
        </w:tc>
        <w:tc>
          <w:tcPr>
            <w:tcW w:w="1335" w:type="pct"/>
            <w:tcBorders>
              <w:top w:val="nil"/>
              <w:left w:val="nil"/>
              <w:bottom w:val="single" w:sz="4" w:space="0" w:color="auto"/>
              <w:right w:val="single" w:sz="8" w:space="0" w:color="auto"/>
            </w:tcBorders>
            <w:noWrap/>
            <w:vAlign w:val="center"/>
            <w:hideMark/>
          </w:tcPr>
          <w:p w14:paraId="2C87D2F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Informe de seguimiento 2022</w:t>
            </w:r>
          </w:p>
        </w:tc>
      </w:tr>
      <w:tr w:rsidR="00DA7276" w14:paraId="5168AD9A" w14:textId="77777777" w:rsidTr="008F6530">
        <w:trPr>
          <w:trHeight w:val="20"/>
        </w:trPr>
        <w:tc>
          <w:tcPr>
            <w:tcW w:w="1927" w:type="pct"/>
            <w:tcBorders>
              <w:top w:val="nil"/>
              <w:left w:val="single" w:sz="8" w:space="0" w:color="auto"/>
              <w:bottom w:val="single" w:sz="4" w:space="0" w:color="auto"/>
              <w:right w:val="single" w:sz="4" w:space="0" w:color="auto"/>
            </w:tcBorders>
            <w:shd w:val="clear" w:color="auto" w:fill="244061"/>
            <w:noWrap/>
            <w:vAlign w:val="center"/>
            <w:hideMark/>
          </w:tcPr>
          <w:p w14:paraId="23B1C1E9" w14:textId="77777777" w:rsidR="00DA7276" w:rsidRDefault="00DA7276" w:rsidP="008F6530">
            <w:pPr>
              <w:jc w:val="center"/>
              <w:rPr>
                <w:rFonts w:ascii="Arial" w:eastAsia="Times New Roman" w:hAnsi="Arial" w:cs="Arial"/>
                <w:b/>
                <w:bCs/>
                <w:color w:val="FFFFFF"/>
                <w:sz w:val="18"/>
                <w:szCs w:val="18"/>
                <w:lang w:val="es-CO" w:eastAsia="es-CO"/>
              </w:rPr>
            </w:pPr>
            <w:proofErr w:type="gramStart"/>
            <w:r>
              <w:rPr>
                <w:rFonts w:ascii="Arial" w:eastAsia="Times New Roman" w:hAnsi="Arial" w:cs="Arial"/>
                <w:b/>
                <w:bCs/>
                <w:color w:val="FFFFFF"/>
                <w:sz w:val="18"/>
                <w:szCs w:val="18"/>
                <w:lang w:val="es-CO" w:eastAsia="es-CO"/>
              </w:rPr>
              <w:t>TOTAL</w:t>
            </w:r>
            <w:proofErr w:type="gramEnd"/>
            <w:r>
              <w:rPr>
                <w:rFonts w:ascii="Arial" w:eastAsia="Times New Roman" w:hAnsi="Arial" w:cs="Arial"/>
                <w:b/>
                <w:bCs/>
                <w:color w:val="FFFFFF"/>
                <w:sz w:val="18"/>
                <w:szCs w:val="18"/>
                <w:lang w:val="es-CO" w:eastAsia="es-CO"/>
              </w:rPr>
              <w:t xml:space="preserve"> REINVERSIÓN (1)</w:t>
            </w:r>
          </w:p>
        </w:tc>
        <w:tc>
          <w:tcPr>
            <w:tcW w:w="1041" w:type="pct"/>
            <w:tcBorders>
              <w:top w:val="nil"/>
              <w:left w:val="nil"/>
              <w:bottom w:val="single" w:sz="4" w:space="0" w:color="auto"/>
              <w:right w:val="single" w:sz="4" w:space="0" w:color="auto"/>
            </w:tcBorders>
            <w:shd w:val="clear" w:color="auto" w:fill="244061"/>
            <w:noWrap/>
            <w:vAlign w:val="center"/>
            <w:hideMark/>
          </w:tcPr>
          <w:p w14:paraId="7568C203"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9.059</w:t>
            </w:r>
          </w:p>
        </w:tc>
        <w:tc>
          <w:tcPr>
            <w:tcW w:w="696" w:type="pct"/>
            <w:tcBorders>
              <w:top w:val="nil"/>
              <w:left w:val="nil"/>
              <w:bottom w:val="single" w:sz="4" w:space="0" w:color="auto"/>
              <w:right w:val="single" w:sz="4" w:space="0" w:color="auto"/>
            </w:tcBorders>
            <w:shd w:val="clear" w:color="auto" w:fill="244061"/>
            <w:noWrap/>
            <w:vAlign w:val="center"/>
            <w:hideMark/>
          </w:tcPr>
          <w:p w14:paraId="4EE7DA09" w14:textId="77777777" w:rsidR="00DA7276" w:rsidRDefault="00DA7276" w:rsidP="008F6530">
            <w:pPr>
              <w:rPr>
                <w:rFonts w:ascii="Arial" w:eastAsia="Times New Roman" w:hAnsi="Arial" w:cs="Arial"/>
                <w:b/>
                <w:bCs/>
                <w:color w:val="FFFFFF"/>
                <w:sz w:val="18"/>
                <w:szCs w:val="18"/>
                <w:lang w:val="es-CO" w:eastAsia="es-CO"/>
              </w:rPr>
            </w:pPr>
          </w:p>
        </w:tc>
        <w:tc>
          <w:tcPr>
            <w:tcW w:w="1335" w:type="pct"/>
            <w:tcBorders>
              <w:top w:val="nil"/>
              <w:left w:val="nil"/>
              <w:bottom w:val="single" w:sz="4" w:space="0" w:color="auto"/>
              <w:right w:val="single" w:sz="8" w:space="0" w:color="auto"/>
            </w:tcBorders>
            <w:shd w:val="clear" w:color="auto" w:fill="244061"/>
            <w:noWrap/>
            <w:vAlign w:val="center"/>
            <w:hideMark/>
          </w:tcPr>
          <w:p w14:paraId="2FA4694E" w14:textId="77777777" w:rsidR="00DA7276" w:rsidRDefault="00DA7276" w:rsidP="008F6530">
            <w:pPr>
              <w:rPr>
                <w:rFonts w:asciiTheme="minorHAnsi" w:eastAsiaTheme="minorHAnsi" w:hAnsiTheme="minorHAnsi" w:cstheme="minorBidi"/>
                <w:sz w:val="20"/>
                <w:szCs w:val="20"/>
                <w:lang w:val="es-CO" w:eastAsia="es-CO"/>
              </w:rPr>
            </w:pPr>
          </w:p>
        </w:tc>
      </w:tr>
      <w:tr w:rsidR="00DA7276" w14:paraId="291DB0C8" w14:textId="77777777" w:rsidTr="008F6530">
        <w:trPr>
          <w:trHeight w:val="20"/>
        </w:trPr>
        <w:tc>
          <w:tcPr>
            <w:tcW w:w="1927" w:type="pct"/>
            <w:tcBorders>
              <w:top w:val="nil"/>
              <w:left w:val="single" w:sz="8" w:space="0" w:color="auto"/>
              <w:bottom w:val="single" w:sz="4" w:space="0" w:color="auto"/>
              <w:right w:val="single" w:sz="4" w:space="0" w:color="auto"/>
            </w:tcBorders>
            <w:noWrap/>
            <w:vAlign w:val="center"/>
            <w:hideMark/>
          </w:tcPr>
          <w:p w14:paraId="37D8C5BC"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Inversión en objetos de gasto en calidad educativa (2)</w:t>
            </w:r>
          </w:p>
        </w:tc>
        <w:tc>
          <w:tcPr>
            <w:tcW w:w="1041" w:type="pct"/>
            <w:tcBorders>
              <w:top w:val="nil"/>
              <w:left w:val="nil"/>
              <w:bottom w:val="single" w:sz="4" w:space="0" w:color="auto"/>
              <w:right w:val="single" w:sz="4" w:space="0" w:color="auto"/>
            </w:tcBorders>
            <w:noWrap/>
            <w:vAlign w:val="center"/>
            <w:hideMark/>
          </w:tcPr>
          <w:p w14:paraId="1226A081"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7.336</w:t>
            </w:r>
          </w:p>
        </w:tc>
        <w:tc>
          <w:tcPr>
            <w:tcW w:w="696" w:type="pct"/>
            <w:tcBorders>
              <w:top w:val="nil"/>
              <w:left w:val="nil"/>
              <w:bottom w:val="single" w:sz="4" w:space="0" w:color="auto"/>
              <w:right w:val="single" w:sz="4" w:space="0" w:color="auto"/>
            </w:tcBorders>
            <w:noWrap/>
            <w:vAlign w:val="center"/>
            <w:hideMark/>
          </w:tcPr>
          <w:p w14:paraId="6EE83B38"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2022</w:t>
            </w:r>
          </w:p>
        </w:tc>
        <w:tc>
          <w:tcPr>
            <w:tcW w:w="1335" w:type="pct"/>
            <w:tcBorders>
              <w:top w:val="nil"/>
              <w:left w:val="nil"/>
              <w:bottom w:val="single" w:sz="4" w:space="0" w:color="auto"/>
              <w:right w:val="single" w:sz="8" w:space="0" w:color="auto"/>
            </w:tcBorders>
            <w:noWrap/>
            <w:vAlign w:val="center"/>
            <w:hideMark/>
          </w:tcPr>
          <w:p w14:paraId="5E34C2B0" w14:textId="77777777" w:rsidR="00DA7276" w:rsidRDefault="00DA7276" w:rsidP="008F6530">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Ejecución presupuestal y R.P.</w:t>
            </w:r>
          </w:p>
        </w:tc>
      </w:tr>
      <w:tr w:rsidR="00DA7276" w14:paraId="146F7DDF" w14:textId="77777777" w:rsidTr="008F6530">
        <w:trPr>
          <w:trHeight w:val="20"/>
        </w:trPr>
        <w:tc>
          <w:tcPr>
            <w:tcW w:w="1927" w:type="pct"/>
            <w:tcBorders>
              <w:top w:val="nil"/>
              <w:left w:val="single" w:sz="8" w:space="0" w:color="auto"/>
              <w:bottom w:val="single" w:sz="8" w:space="0" w:color="auto"/>
              <w:right w:val="single" w:sz="4" w:space="0" w:color="auto"/>
            </w:tcBorders>
            <w:shd w:val="clear" w:color="auto" w:fill="244061"/>
            <w:noWrap/>
            <w:vAlign w:val="center"/>
            <w:hideMark/>
          </w:tcPr>
          <w:p w14:paraId="7313B023" w14:textId="77777777" w:rsidR="00DA7276" w:rsidRDefault="00DA7276" w:rsidP="008F6530">
            <w:pPr>
              <w:jc w:val="center"/>
              <w:rPr>
                <w:rFonts w:ascii="Arial" w:eastAsia="Times New Roman" w:hAnsi="Arial" w:cs="Arial"/>
                <w:b/>
                <w:bCs/>
                <w:color w:val="FFFFFF"/>
                <w:sz w:val="18"/>
                <w:szCs w:val="18"/>
                <w:lang w:val="es-CO" w:eastAsia="es-CO"/>
              </w:rPr>
            </w:pPr>
            <w:proofErr w:type="gramStart"/>
            <w:r>
              <w:rPr>
                <w:rFonts w:ascii="Arial" w:eastAsia="Times New Roman" w:hAnsi="Arial" w:cs="Arial"/>
                <w:b/>
                <w:bCs/>
                <w:color w:val="FFFFFF"/>
                <w:sz w:val="18"/>
                <w:szCs w:val="18"/>
                <w:lang w:val="es-CO" w:eastAsia="es-CO"/>
              </w:rPr>
              <w:t>TOTAL</w:t>
            </w:r>
            <w:proofErr w:type="gramEnd"/>
            <w:r>
              <w:rPr>
                <w:rFonts w:ascii="Arial" w:eastAsia="Times New Roman" w:hAnsi="Arial" w:cs="Arial"/>
                <w:b/>
                <w:bCs/>
                <w:color w:val="FFFFFF"/>
                <w:sz w:val="18"/>
                <w:szCs w:val="18"/>
                <w:lang w:val="es-CO" w:eastAsia="es-CO"/>
              </w:rPr>
              <w:t xml:space="preserve"> POR REINVERTIR (1-2)</w:t>
            </w:r>
          </w:p>
        </w:tc>
        <w:tc>
          <w:tcPr>
            <w:tcW w:w="1041" w:type="pct"/>
            <w:tcBorders>
              <w:top w:val="nil"/>
              <w:left w:val="nil"/>
              <w:bottom w:val="single" w:sz="8" w:space="0" w:color="auto"/>
              <w:right w:val="single" w:sz="4" w:space="0" w:color="auto"/>
            </w:tcBorders>
            <w:shd w:val="clear" w:color="auto" w:fill="244061"/>
            <w:noWrap/>
            <w:vAlign w:val="center"/>
            <w:hideMark/>
          </w:tcPr>
          <w:p w14:paraId="5559137E" w14:textId="77777777" w:rsidR="00DA7276" w:rsidRDefault="00DA7276" w:rsidP="008F6530">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1.723</w:t>
            </w:r>
          </w:p>
        </w:tc>
        <w:tc>
          <w:tcPr>
            <w:tcW w:w="696" w:type="pct"/>
            <w:tcBorders>
              <w:top w:val="nil"/>
              <w:left w:val="nil"/>
              <w:bottom w:val="single" w:sz="8" w:space="0" w:color="auto"/>
              <w:right w:val="single" w:sz="4" w:space="0" w:color="auto"/>
            </w:tcBorders>
            <w:shd w:val="clear" w:color="auto" w:fill="244061"/>
            <w:noWrap/>
            <w:vAlign w:val="center"/>
            <w:hideMark/>
          </w:tcPr>
          <w:p w14:paraId="554DAE73" w14:textId="77777777" w:rsidR="00DA7276" w:rsidRDefault="00DA7276" w:rsidP="008F6530">
            <w:pPr>
              <w:rPr>
                <w:rFonts w:ascii="Arial" w:eastAsia="Times New Roman" w:hAnsi="Arial" w:cs="Arial"/>
                <w:b/>
                <w:bCs/>
                <w:color w:val="FFFFFF"/>
                <w:sz w:val="18"/>
                <w:szCs w:val="18"/>
                <w:lang w:val="es-CO" w:eastAsia="es-CO"/>
              </w:rPr>
            </w:pPr>
          </w:p>
        </w:tc>
        <w:tc>
          <w:tcPr>
            <w:tcW w:w="1335" w:type="pct"/>
            <w:tcBorders>
              <w:top w:val="nil"/>
              <w:left w:val="nil"/>
              <w:bottom w:val="single" w:sz="8" w:space="0" w:color="auto"/>
              <w:right w:val="single" w:sz="8" w:space="0" w:color="auto"/>
            </w:tcBorders>
            <w:shd w:val="clear" w:color="auto" w:fill="244061"/>
            <w:noWrap/>
            <w:vAlign w:val="center"/>
            <w:hideMark/>
          </w:tcPr>
          <w:p w14:paraId="202A5E47" w14:textId="77777777" w:rsidR="00DA7276" w:rsidRDefault="00DA7276" w:rsidP="008F6530">
            <w:pPr>
              <w:rPr>
                <w:rFonts w:asciiTheme="minorHAnsi" w:eastAsiaTheme="minorHAnsi" w:hAnsiTheme="minorHAnsi" w:cstheme="minorBidi"/>
                <w:sz w:val="20"/>
                <w:szCs w:val="20"/>
                <w:lang w:val="es-CO" w:eastAsia="es-CO"/>
              </w:rPr>
            </w:pPr>
          </w:p>
        </w:tc>
      </w:tr>
    </w:tbl>
    <w:p w14:paraId="143C90B5" w14:textId="77777777" w:rsidR="00DA7276" w:rsidRDefault="00DA7276" w:rsidP="008F6530">
      <w:pPr>
        <w:jc w:val="both"/>
        <w:rPr>
          <w:rFonts w:ascii="Arial" w:eastAsia="Arial" w:hAnsi="Arial" w:cs="Arial"/>
          <w:sz w:val="22"/>
          <w:szCs w:val="22"/>
          <w:lang w:eastAsia="en-US"/>
        </w:rPr>
      </w:pPr>
    </w:p>
    <w:p w14:paraId="7288282C" w14:textId="77777777" w:rsidR="00DA7276" w:rsidRDefault="00DA7276" w:rsidP="008F6530">
      <w:pPr>
        <w:pStyle w:val="Textoindependiente"/>
        <w:ind w:left="426" w:right="194" w:hanging="426"/>
        <w:jc w:val="both"/>
        <w:rPr>
          <w:bCs/>
        </w:rPr>
      </w:pPr>
      <w:r>
        <w:rPr>
          <w:b/>
          <w:bCs/>
        </w:rPr>
        <w:t>Evaluación de la actividad:</w:t>
      </w:r>
      <w:r>
        <w:rPr>
          <w:bCs/>
        </w:rPr>
        <w:t xml:space="preserve"> No Cumple. </w:t>
      </w:r>
    </w:p>
    <w:p w14:paraId="6C7A1791" w14:textId="77777777" w:rsidR="00DA7276" w:rsidRDefault="00DA7276" w:rsidP="008F6530">
      <w:pPr>
        <w:pStyle w:val="Textoindependiente"/>
        <w:ind w:left="426" w:right="194" w:hanging="426"/>
        <w:jc w:val="both"/>
      </w:pPr>
    </w:p>
    <w:p w14:paraId="22E711FC"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Recomendación</w:t>
      </w:r>
    </w:p>
    <w:p w14:paraId="15A9B137" w14:textId="77777777" w:rsidR="00DA7276" w:rsidRDefault="00DA7276" w:rsidP="008F6530">
      <w:pPr>
        <w:rPr>
          <w:lang w:eastAsia="en-US"/>
        </w:rPr>
      </w:pPr>
    </w:p>
    <w:p w14:paraId="2A003518" w14:textId="77777777" w:rsidR="00DA7276" w:rsidRDefault="00DA7276" w:rsidP="008F6530">
      <w:pPr>
        <w:jc w:val="both"/>
        <w:rPr>
          <w:rFonts w:ascii="Arial" w:eastAsia="Arial" w:hAnsi="Arial" w:cs="Arial"/>
          <w:sz w:val="22"/>
          <w:szCs w:val="22"/>
          <w:lang w:eastAsia="en-US"/>
        </w:rPr>
      </w:pPr>
      <w:r>
        <w:rPr>
          <w:rFonts w:ascii="Arial" w:eastAsia="Arial" w:hAnsi="Arial" w:cs="Arial"/>
          <w:sz w:val="22"/>
          <w:szCs w:val="22"/>
          <w:lang w:eastAsia="en-US"/>
        </w:rPr>
        <w:t xml:space="preserve">Se debe prestar especial atención en los objetos de gasto relacionados para el cumplimiento de esta actividad, pese a que el Departamento puede comprometer los recursos diferentes al SGP -Educación en cualquier tipo de emolumento que considere necesario para el sector, en el seguimiento y evaluación del plan de desempeño vigente sólo serán tenidos en cuenta aquellos compromisos que guarden una relación directa con la calidad educativa: transporte escolar, alimentación escolar, mantenimiento y adecuación </w:t>
      </w:r>
      <w:r>
        <w:rPr>
          <w:rFonts w:ascii="Arial" w:eastAsia="Arial" w:hAnsi="Arial" w:cs="Arial"/>
          <w:sz w:val="22"/>
          <w:szCs w:val="22"/>
          <w:lang w:eastAsia="en-US"/>
        </w:rPr>
        <w:lastRenderedPageBreak/>
        <w:t xml:space="preserve">de la infraestructura educativa, construcción de la infraestructura educativa, dotación de las instituciones educativas, entre otros. </w:t>
      </w:r>
    </w:p>
    <w:p w14:paraId="65019057" w14:textId="77777777" w:rsidR="00DA7276" w:rsidRDefault="00DA7276" w:rsidP="008F6530">
      <w:pPr>
        <w:jc w:val="both"/>
        <w:rPr>
          <w:rFonts w:ascii="Arial" w:hAnsi="Arial" w:cs="Arial"/>
          <w:sz w:val="22"/>
          <w:szCs w:val="22"/>
          <w:highlight w:val="yellow"/>
        </w:rPr>
      </w:pPr>
    </w:p>
    <w:p w14:paraId="080B4368" w14:textId="77777777" w:rsidR="00DA7276" w:rsidRDefault="00DA7276" w:rsidP="008F6530">
      <w:pPr>
        <w:pStyle w:val="Ttulo3"/>
        <w:spacing w:before="0"/>
        <w:jc w:val="both"/>
        <w:rPr>
          <w:rFonts w:cs="Arial"/>
          <w:szCs w:val="22"/>
          <w:u w:val="single"/>
        </w:rPr>
      </w:pPr>
      <w:r>
        <w:rPr>
          <w:rFonts w:ascii="Arial" w:eastAsia="Arial" w:hAnsi="Arial" w:cs="Arial"/>
          <w:b/>
          <w:color w:val="auto"/>
          <w:sz w:val="22"/>
          <w:szCs w:val="22"/>
        </w:rPr>
        <w:t>Categoría 2. Recursos Humanos del Sector</w:t>
      </w:r>
    </w:p>
    <w:p w14:paraId="3325B28A" w14:textId="77777777" w:rsidR="00DA7276" w:rsidRDefault="00DA7276" w:rsidP="008F6530">
      <w:pPr>
        <w:jc w:val="both"/>
        <w:rPr>
          <w:rFonts w:ascii="Arial" w:hAnsi="Arial" w:cs="Arial"/>
          <w:sz w:val="22"/>
          <w:szCs w:val="22"/>
          <w:highlight w:val="yellow"/>
          <w:u w:val="single"/>
        </w:rPr>
      </w:pPr>
    </w:p>
    <w:p w14:paraId="483F3618" w14:textId="77777777" w:rsidR="00DA7276" w:rsidRDefault="00DA7276" w:rsidP="008F6530">
      <w:pPr>
        <w:pStyle w:val="Ttulo3"/>
        <w:spacing w:before="0"/>
        <w:jc w:val="both"/>
        <w:rPr>
          <w:rFonts w:ascii="Arial" w:eastAsia="Arial" w:hAnsi="Arial" w:cs="Arial"/>
          <w:b/>
          <w:color w:val="auto"/>
          <w:sz w:val="22"/>
        </w:rPr>
      </w:pPr>
      <w:r>
        <w:rPr>
          <w:rFonts w:ascii="Arial" w:eastAsia="Arial" w:hAnsi="Arial" w:cs="Arial"/>
          <w:b/>
          <w:color w:val="auto"/>
          <w:sz w:val="22"/>
        </w:rPr>
        <w:t>Objetivo 2.1. Administrar los recursos humanos del sector en los términos definidos por la normatividad</w:t>
      </w:r>
    </w:p>
    <w:p w14:paraId="3C0B0804" w14:textId="77777777" w:rsidR="00DA7276" w:rsidRDefault="00DA7276" w:rsidP="008F6530">
      <w:pPr>
        <w:jc w:val="both"/>
        <w:rPr>
          <w:rFonts w:ascii="Arial" w:hAnsi="Arial" w:cs="Arial"/>
          <w:sz w:val="22"/>
          <w:szCs w:val="22"/>
          <w:lang w:eastAsia="en-US"/>
        </w:rPr>
      </w:pPr>
    </w:p>
    <w:p w14:paraId="0E3F5E5E" w14:textId="77777777" w:rsidR="00DA7276" w:rsidRPr="008E06D8" w:rsidRDefault="00DA7276" w:rsidP="008F6530">
      <w:pPr>
        <w:pStyle w:val="Ttulo3"/>
        <w:spacing w:before="0"/>
        <w:jc w:val="both"/>
        <w:rPr>
          <w:rFonts w:ascii="Arial" w:eastAsia="Arial" w:hAnsi="Arial" w:cs="Arial"/>
          <w:b/>
          <w:bCs/>
          <w:i/>
          <w:color w:val="auto"/>
          <w:sz w:val="22"/>
        </w:rPr>
      </w:pPr>
      <w:r w:rsidRPr="008E06D8">
        <w:rPr>
          <w:rFonts w:ascii="Arial" w:eastAsia="Arial" w:hAnsi="Arial" w:cs="Arial"/>
          <w:b/>
          <w:bCs/>
          <w:i/>
          <w:color w:val="auto"/>
          <w:sz w:val="22"/>
        </w:rPr>
        <w:t>Actividad 2.1.1.1. Ajustar y distribuir la planta de personal y directivo docentes según la matrícula realmente atendida en cada establecimiento educativo.</w:t>
      </w:r>
    </w:p>
    <w:p w14:paraId="3013F89E" w14:textId="77777777" w:rsidR="00DA7276" w:rsidRDefault="00DA7276" w:rsidP="008F6530"/>
    <w:p w14:paraId="09358F48"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Productos Esperados</w:t>
      </w:r>
    </w:p>
    <w:p w14:paraId="66C67460"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Expedición del acto administrativo anual de distribución de la planta de cargos docentes, directivos y administrativos comunicada a los rectores de los Establecimientos Educativos y remitida al Ministerio de Educación Nacional.</w:t>
      </w:r>
    </w:p>
    <w:p w14:paraId="666B820E"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Acto administrativo de definición del Directorio Único de Establecimientos Educativos del Departamento.</w:t>
      </w:r>
    </w:p>
    <w:p w14:paraId="4569449A"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 xml:space="preserve">Reporte de matrícula generado desde </w:t>
      </w:r>
      <w:bookmarkStart w:id="5" w:name="_Int_hXyDYupG"/>
      <w:r>
        <w:rPr>
          <w:rFonts w:ascii="Arial" w:hAnsi="Arial" w:cs="Arial"/>
          <w:sz w:val="22"/>
          <w:szCs w:val="22"/>
        </w:rPr>
        <w:t>SIMAT</w:t>
      </w:r>
      <w:bookmarkEnd w:id="5"/>
      <w:r>
        <w:rPr>
          <w:rFonts w:ascii="Arial" w:hAnsi="Arial" w:cs="Arial"/>
          <w:sz w:val="22"/>
          <w:szCs w:val="22"/>
        </w:rPr>
        <w:t xml:space="preserve"> por Entidad territorial, Establecimiento, Sede y grado para cada vigencia.</w:t>
      </w:r>
    </w:p>
    <w:p w14:paraId="7279A8E6"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Estudio técnico de planta ajustada entregado al Ministerio de Educación Nacional</w:t>
      </w:r>
    </w:p>
    <w:p w14:paraId="40518168"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Decreto de adopción y distribución de la planta.</w:t>
      </w:r>
    </w:p>
    <w:p w14:paraId="11DE4462" w14:textId="77777777" w:rsidR="00DA7276" w:rsidRDefault="00DA7276" w:rsidP="008E06D8">
      <w:pPr>
        <w:pStyle w:val="Prrafodelista"/>
        <w:numPr>
          <w:ilvl w:val="0"/>
          <w:numId w:val="15"/>
        </w:numPr>
        <w:jc w:val="both"/>
        <w:rPr>
          <w:rFonts w:ascii="Arial" w:hAnsi="Arial" w:cs="Arial"/>
          <w:sz w:val="22"/>
          <w:szCs w:val="22"/>
        </w:rPr>
      </w:pPr>
      <w:r>
        <w:rPr>
          <w:rFonts w:ascii="Arial" w:hAnsi="Arial" w:cs="Arial"/>
          <w:sz w:val="22"/>
          <w:szCs w:val="22"/>
        </w:rPr>
        <w:t>Cuadro comparativo de matrícula (de grado 0 a 13) por institución educativa con la relación de docentes y administrativos asignados a cada institución mediante acto administrativo.</w:t>
      </w:r>
    </w:p>
    <w:p w14:paraId="16F20FAA" w14:textId="77777777" w:rsidR="00DA7276" w:rsidRDefault="00DA7276" w:rsidP="008F6530">
      <w:pPr>
        <w:rPr>
          <w:rFonts w:ascii="Arial" w:hAnsi="Arial" w:cs="Arial"/>
          <w:sz w:val="22"/>
          <w:szCs w:val="22"/>
        </w:rPr>
      </w:pPr>
    </w:p>
    <w:p w14:paraId="5F4F98BD"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 xml:space="preserve">Evaluación </w:t>
      </w:r>
    </w:p>
    <w:p w14:paraId="0BA37C68" w14:textId="77777777" w:rsidR="00DA7276" w:rsidRDefault="00DA7276" w:rsidP="008F6530">
      <w:pPr>
        <w:rPr>
          <w:lang w:eastAsia="en-US"/>
        </w:rPr>
      </w:pPr>
    </w:p>
    <w:p w14:paraId="19E84AEB" w14:textId="77777777" w:rsidR="00DA7276" w:rsidRDefault="00DA7276" w:rsidP="008F6530">
      <w:pPr>
        <w:jc w:val="both"/>
        <w:rPr>
          <w:rFonts w:ascii="Arial" w:hAnsi="Arial" w:cs="Arial"/>
          <w:sz w:val="22"/>
          <w:szCs w:val="22"/>
          <w:lang w:val="es-CO"/>
        </w:rPr>
      </w:pPr>
      <w:r>
        <w:rPr>
          <w:rFonts w:ascii="Arial" w:hAnsi="Arial" w:cs="Arial"/>
          <w:sz w:val="22"/>
          <w:szCs w:val="22"/>
        </w:rPr>
        <w:t xml:space="preserve">Para la adecuada evaluación de la actividad, se tomó como referencia el </w:t>
      </w:r>
      <w:r w:rsidR="008E06D8">
        <w:rPr>
          <w:rFonts w:ascii="Arial" w:hAnsi="Arial" w:cs="Arial"/>
          <w:sz w:val="22"/>
          <w:szCs w:val="22"/>
        </w:rPr>
        <w:t>ú</w:t>
      </w:r>
      <w:r>
        <w:rPr>
          <w:rFonts w:ascii="Arial" w:hAnsi="Arial" w:cs="Arial"/>
          <w:sz w:val="22"/>
          <w:szCs w:val="22"/>
        </w:rPr>
        <w:t xml:space="preserve">ltimo concepto técnico de </w:t>
      </w:r>
      <w:proofErr w:type="spellStart"/>
      <w:r>
        <w:rPr>
          <w:rFonts w:ascii="Arial" w:hAnsi="Arial" w:cs="Arial"/>
          <w:sz w:val="22"/>
          <w:szCs w:val="22"/>
        </w:rPr>
        <w:t>viabilización</w:t>
      </w:r>
      <w:proofErr w:type="spellEnd"/>
      <w:r>
        <w:rPr>
          <w:rFonts w:ascii="Arial" w:hAnsi="Arial" w:cs="Arial"/>
          <w:sz w:val="22"/>
          <w:szCs w:val="22"/>
        </w:rPr>
        <w:t xml:space="preserve"> de la planta emitido por el Ministerio de Educación Nacional el día 26 de mayo de 2021 mediante el oficio radicado No. 2021-EE-189810, el cual fue adoptado por la Entidad Territorial mediante Decreto No. 217 del 14 de marzo de 2022. Así como el decreto de distribución de planta No. 359 del 25 de abril del 2023, el cual fue expedido extemporáneamente de acuerdo con lo establecido en </w:t>
      </w:r>
      <w:r>
        <w:rPr>
          <w:rFonts w:ascii="Arial" w:hAnsi="Arial" w:cs="Arial"/>
          <w:sz w:val="22"/>
          <w:szCs w:val="22"/>
          <w:lang w:val="es-CO"/>
        </w:rPr>
        <w:t>el artículo 32 de la Resolución 7797 del 2015 del MEN, en el cual se establece la cuarta semana de marzo como fecha máxima para expedir el acto administrativo mediante el cual se distribuye la planta docente, directiva docente y administrativa para el año lectivo en curso.</w:t>
      </w:r>
    </w:p>
    <w:p w14:paraId="7F8EE87E" w14:textId="77777777" w:rsidR="00DA7276" w:rsidRDefault="00DA7276" w:rsidP="008F6530">
      <w:pPr>
        <w:jc w:val="both"/>
        <w:rPr>
          <w:rFonts w:ascii="Arial" w:hAnsi="Arial" w:cs="Arial"/>
          <w:sz w:val="22"/>
          <w:szCs w:val="22"/>
          <w:lang w:val="es-CO"/>
        </w:rPr>
      </w:pPr>
    </w:p>
    <w:p w14:paraId="287A22C9" w14:textId="77777777" w:rsidR="00C14804" w:rsidRDefault="00DA7276" w:rsidP="008F6530">
      <w:pPr>
        <w:jc w:val="both"/>
        <w:rPr>
          <w:rFonts w:ascii="Arial" w:hAnsi="Arial" w:cs="Arial"/>
          <w:sz w:val="22"/>
          <w:szCs w:val="22"/>
          <w:lang w:val="es-CO"/>
        </w:rPr>
      </w:pPr>
      <w:r>
        <w:rPr>
          <w:rFonts w:ascii="Arial" w:hAnsi="Arial" w:cs="Arial"/>
          <w:sz w:val="22"/>
          <w:szCs w:val="22"/>
          <w:lang w:val="es-CO"/>
        </w:rPr>
        <w:t xml:space="preserve">El análisis realizado evidenció diferencias entre el concepto de </w:t>
      </w:r>
      <w:proofErr w:type="spellStart"/>
      <w:r>
        <w:rPr>
          <w:rFonts w:ascii="Arial" w:hAnsi="Arial" w:cs="Arial"/>
          <w:sz w:val="22"/>
          <w:szCs w:val="22"/>
          <w:lang w:val="es-CO"/>
        </w:rPr>
        <w:t>viabilización</w:t>
      </w:r>
      <w:proofErr w:type="spellEnd"/>
      <w:r>
        <w:rPr>
          <w:rFonts w:ascii="Arial" w:hAnsi="Arial" w:cs="Arial"/>
          <w:sz w:val="22"/>
          <w:szCs w:val="22"/>
          <w:lang w:val="es-CO"/>
        </w:rPr>
        <w:t xml:space="preserve"> de planta del MEN y el Decreto No. 359 de 2023, como se muestra a continuación: </w:t>
      </w:r>
    </w:p>
    <w:p w14:paraId="709539FB" w14:textId="77777777" w:rsidR="00C14804" w:rsidRDefault="00C14804" w:rsidP="008F6530">
      <w:pPr>
        <w:jc w:val="both"/>
        <w:rPr>
          <w:rFonts w:ascii="Arial" w:hAnsi="Arial" w:cs="Arial"/>
          <w:sz w:val="22"/>
          <w:szCs w:val="22"/>
          <w:lang w:val="es-CO"/>
        </w:rPr>
      </w:pPr>
    </w:p>
    <w:tbl>
      <w:tblPr>
        <w:tblW w:w="5000" w:type="pct"/>
        <w:tblCellMar>
          <w:left w:w="70" w:type="dxa"/>
          <w:right w:w="70" w:type="dxa"/>
        </w:tblCellMar>
        <w:tblLook w:val="04A0" w:firstRow="1" w:lastRow="0" w:firstColumn="1" w:lastColumn="0" w:noHBand="0" w:noVBand="1"/>
      </w:tblPr>
      <w:tblGrid>
        <w:gridCol w:w="4047"/>
        <w:gridCol w:w="1585"/>
        <w:gridCol w:w="1601"/>
        <w:gridCol w:w="1585"/>
      </w:tblGrid>
      <w:tr w:rsidR="008E06D8" w:rsidRPr="008E06D8" w14:paraId="0FF51626" w14:textId="77777777" w:rsidTr="00BC7BB2">
        <w:trPr>
          <w:trHeight w:val="20"/>
          <w:tblHeader/>
        </w:trPr>
        <w:tc>
          <w:tcPr>
            <w:tcW w:w="2294" w:type="pct"/>
            <w:tcBorders>
              <w:top w:val="single" w:sz="8" w:space="0" w:color="auto"/>
              <w:left w:val="single" w:sz="8" w:space="0" w:color="auto"/>
              <w:bottom w:val="single" w:sz="8" w:space="0" w:color="auto"/>
              <w:right w:val="single" w:sz="8" w:space="0" w:color="auto"/>
            </w:tcBorders>
            <w:shd w:val="clear" w:color="000000" w:fill="002060"/>
            <w:vAlign w:val="center"/>
            <w:hideMark/>
          </w:tcPr>
          <w:p w14:paraId="27DE3E88" w14:textId="77777777" w:rsidR="008E06D8" w:rsidRPr="008E06D8" w:rsidRDefault="008E06D8" w:rsidP="008E06D8">
            <w:pPr>
              <w:jc w:val="center"/>
              <w:rPr>
                <w:rFonts w:ascii="Arial" w:eastAsia="Times New Roman" w:hAnsi="Arial" w:cs="Arial"/>
                <w:b/>
                <w:bCs/>
                <w:color w:val="FFFFFF"/>
                <w:sz w:val="18"/>
                <w:szCs w:val="18"/>
                <w:lang w:val="es-CO" w:eastAsia="es-CO"/>
              </w:rPr>
            </w:pPr>
            <w:r w:rsidRPr="008E06D8">
              <w:rPr>
                <w:rFonts w:ascii="Arial" w:eastAsia="Times New Roman" w:hAnsi="Arial" w:cs="Arial"/>
                <w:b/>
                <w:bCs/>
                <w:color w:val="FFFFFF"/>
                <w:sz w:val="18"/>
                <w:szCs w:val="18"/>
                <w:lang w:val="es-CO" w:eastAsia="es-CO"/>
              </w:rPr>
              <w:t>Cargo</w:t>
            </w:r>
          </w:p>
        </w:tc>
        <w:tc>
          <w:tcPr>
            <w:tcW w:w="899" w:type="pct"/>
            <w:tcBorders>
              <w:top w:val="single" w:sz="8" w:space="0" w:color="auto"/>
              <w:left w:val="nil"/>
              <w:bottom w:val="single" w:sz="8" w:space="0" w:color="auto"/>
              <w:right w:val="single" w:sz="8" w:space="0" w:color="auto"/>
            </w:tcBorders>
            <w:shd w:val="clear" w:color="000000" w:fill="002060"/>
            <w:vAlign w:val="center"/>
            <w:hideMark/>
          </w:tcPr>
          <w:p w14:paraId="1411B410" w14:textId="77777777" w:rsidR="008E06D8" w:rsidRPr="008E06D8" w:rsidRDefault="008E06D8" w:rsidP="008E06D8">
            <w:pPr>
              <w:jc w:val="center"/>
              <w:rPr>
                <w:rFonts w:ascii="Arial" w:eastAsia="Times New Roman" w:hAnsi="Arial" w:cs="Arial"/>
                <w:b/>
                <w:bCs/>
                <w:color w:val="FFFFFF"/>
                <w:sz w:val="18"/>
                <w:szCs w:val="18"/>
                <w:lang w:val="es-CO" w:eastAsia="es-CO"/>
              </w:rPr>
            </w:pPr>
            <w:r w:rsidRPr="008E06D8">
              <w:rPr>
                <w:rFonts w:ascii="Arial" w:eastAsia="Times New Roman" w:hAnsi="Arial" w:cs="Arial"/>
                <w:b/>
                <w:bCs/>
                <w:color w:val="FFFFFF"/>
                <w:sz w:val="18"/>
                <w:szCs w:val="18"/>
                <w:lang w:val="es-CO" w:eastAsia="es-CO"/>
              </w:rPr>
              <w:t>Decreto de distribución de Planta No. 359 de 2023</w:t>
            </w:r>
          </w:p>
        </w:tc>
        <w:tc>
          <w:tcPr>
            <w:tcW w:w="908" w:type="pct"/>
            <w:tcBorders>
              <w:top w:val="single" w:sz="8" w:space="0" w:color="auto"/>
              <w:left w:val="nil"/>
              <w:bottom w:val="single" w:sz="8" w:space="0" w:color="auto"/>
              <w:right w:val="single" w:sz="8" w:space="0" w:color="auto"/>
            </w:tcBorders>
            <w:shd w:val="clear" w:color="000000" w:fill="002060"/>
            <w:vAlign w:val="center"/>
            <w:hideMark/>
          </w:tcPr>
          <w:p w14:paraId="06357653" w14:textId="77777777" w:rsidR="008E06D8" w:rsidRPr="008E06D8" w:rsidRDefault="008E06D8" w:rsidP="008E06D8">
            <w:pPr>
              <w:jc w:val="center"/>
              <w:rPr>
                <w:rFonts w:ascii="Arial" w:eastAsia="Times New Roman" w:hAnsi="Arial" w:cs="Arial"/>
                <w:b/>
                <w:bCs/>
                <w:color w:val="FFFFFF"/>
                <w:sz w:val="18"/>
                <w:szCs w:val="18"/>
                <w:lang w:val="es-CO" w:eastAsia="es-CO"/>
              </w:rPr>
            </w:pPr>
            <w:r w:rsidRPr="008E06D8">
              <w:rPr>
                <w:rFonts w:ascii="Arial" w:eastAsia="Times New Roman" w:hAnsi="Arial" w:cs="Arial"/>
                <w:b/>
                <w:bCs/>
                <w:color w:val="FFFFFF"/>
                <w:sz w:val="18"/>
                <w:szCs w:val="18"/>
                <w:lang w:val="es-CO" w:eastAsia="es-CO"/>
              </w:rPr>
              <w:t xml:space="preserve">Concepto técnico de </w:t>
            </w:r>
            <w:proofErr w:type="spellStart"/>
            <w:r w:rsidRPr="008E06D8">
              <w:rPr>
                <w:rFonts w:ascii="Arial" w:eastAsia="Times New Roman" w:hAnsi="Arial" w:cs="Arial"/>
                <w:b/>
                <w:bCs/>
                <w:color w:val="FFFFFF"/>
                <w:sz w:val="18"/>
                <w:szCs w:val="18"/>
                <w:lang w:val="es-CO" w:eastAsia="es-CO"/>
              </w:rPr>
              <w:t>viabilización</w:t>
            </w:r>
            <w:proofErr w:type="spellEnd"/>
            <w:r w:rsidRPr="008E06D8">
              <w:rPr>
                <w:rFonts w:ascii="Arial" w:eastAsia="Times New Roman" w:hAnsi="Arial" w:cs="Arial"/>
                <w:b/>
                <w:bCs/>
                <w:color w:val="FFFFFF"/>
                <w:sz w:val="18"/>
                <w:szCs w:val="18"/>
                <w:lang w:val="es-CO" w:eastAsia="es-CO"/>
              </w:rPr>
              <w:t xml:space="preserve"> de Planta</w:t>
            </w:r>
          </w:p>
        </w:tc>
        <w:tc>
          <w:tcPr>
            <w:tcW w:w="899" w:type="pct"/>
            <w:tcBorders>
              <w:top w:val="single" w:sz="8" w:space="0" w:color="auto"/>
              <w:left w:val="nil"/>
              <w:bottom w:val="single" w:sz="8" w:space="0" w:color="auto"/>
              <w:right w:val="single" w:sz="8" w:space="0" w:color="auto"/>
            </w:tcBorders>
            <w:shd w:val="clear" w:color="000000" w:fill="002060"/>
            <w:vAlign w:val="center"/>
            <w:hideMark/>
          </w:tcPr>
          <w:p w14:paraId="4C08FD95" w14:textId="77777777" w:rsidR="008E06D8" w:rsidRPr="008E06D8" w:rsidRDefault="008E06D8" w:rsidP="008E06D8">
            <w:pPr>
              <w:jc w:val="center"/>
              <w:rPr>
                <w:rFonts w:ascii="Arial" w:eastAsia="Times New Roman" w:hAnsi="Arial" w:cs="Arial"/>
                <w:b/>
                <w:bCs/>
                <w:color w:val="FFFFFF"/>
                <w:sz w:val="18"/>
                <w:szCs w:val="18"/>
                <w:lang w:val="es-CO" w:eastAsia="es-CO"/>
              </w:rPr>
            </w:pPr>
            <w:r w:rsidRPr="008E06D8">
              <w:rPr>
                <w:rFonts w:ascii="Arial" w:eastAsia="Times New Roman" w:hAnsi="Arial" w:cs="Arial"/>
                <w:b/>
                <w:bCs/>
                <w:color w:val="FFFFFF"/>
                <w:sz w:val="18"/>
                <w:szCs w:val="18"/>
                <w:lang w:val="es-CO" w:eastAsia="es-CO"/>
              </w:rPr>
              <w:t>Diferencia</w:t>
            </w:r>
          </w:p>
        </w:tc>
      </w:tr>
      <w:tr w:rsidR="008E06D8" w:rsidRPr="008E06D8" w14:paraId="184B78A1"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485F5B30"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t xml:space="preserve">Docentes de aula </w:t>
            </w:r>
          </w:p>
        </w:tc>
        <w:tc>
          <w:tcPr>
            <w:tcW w:w="899" w:type="pct"/>
            <w:tcBorders>
              <w:top w:val="nil"/>
              <w:left w:val="nil"/>
              <w:bottom w:val="single" w:sz="8" w:space="0" w:color="auto"/>
              <w:right w:val="single" w:sz="8" w:space="0" w:color="auto"/>
            </w:tcBorders>
            <w:shd w:val="clear" w:color="auto" w:fill="auto"/>
            <w:noWrap/>
            <w:vAlign w:val="center"/>
            <w:hideMark/>
          </w:tcPr>
          <w:p w14:paraId="0D3A20CC"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1.792</w:t>
            </w:r>
          </w:p>
        </w:tc>
        <w:tc>
          <w:tcPr>
            <w:tcW w:w="908" w:type="pct"/>
            <w:tcBorders>
              <w:top w:val="nil"/>
              <w:left w:val="nil"/>
              <w:bottom w:val="single" w:sz="8" w:space="0" w:color="auto"/>
              <w:right w:val="single" w:sz="8" w:space="0" w:color="auto"/>
            </w:tcBorders>
            <w:shd w:val="clear" w:color="auto" w:fill="auto"/>
            <w:noWrap/>
            <w:vAlign w:val="center"/>
            <w:hideMark/>
          </w:tcPr>
          <w:p w14:paraId="0A08FC38"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1.792</w:t>
            </w:r>
          </w:p>
        </w:tc>
        <w:tc>
          <w:tcPr>
            <w:tcW w:w="899" w:type="pct"/>
            <w:tcBorders>
              <w:top w:val="nil"/>
              <w:left w:val="nil"/>
              <w:bottom w:val="single" w:sz="8" w:space="0" w:color="auto"/>
              <w:right w:val="single" w:sz="8" w:space="0" w:color="auto"/>
            </w:tcBorders>
            <w:shd w:val="clear" w:color="auto" w:fill="auto"/>
            <w:noWrap/>
            <w:vAlign w:val="center"/>
            <w:hideMark/>
          </w:tcPr>
          <w:p w14:paraId="15C0961C"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w:t>
            </w:r>
          </w:p>
        </w:tc>
      </w:tr>
      <w:tr w:rsidR="008E06D8" w:rsidRPr="008E06D8" w14:paraId="49024B7D"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225F84C4"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t xml:space="preserve">Docentes con funciones de apoyo </w:t>
            </w:r>
          </w:p>
        </w:tc>
        <w:tc>
          <w:tcPr>
            <w:tcW w:w="899" w:type="pct"/>
            <w:tcBorders>
              <w:top w:val="nil"/>
              <w:left w:val="nil"/>
              <w:bottom w:val="single" w:sz="8" w:space="0" w:color="auto"/>
              <w:right w:val="single" w:sz="8" w:space="0" w:color="auto"/>
            </w:tcBorders>
            <w:shd w:val="clear" w:color="auto" w:fill="auto"/>
            <w:noWrap/>
            <w:vAlign w:val="center"/>
            <w:hideMark/>
          </w:tcPr>
          <w:p w14:paraId="45752998"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39</w:t>
            </w:r>
          </w:p>
        </w:tc>
        <w:tc>
          <w:tcPr>
            <w:tcW w:w="908" w:type="pct"/>
            <w:tcBorders>
              <w:top w:val="nil"/>
              <w:left w:val="nil"/>
              <w:bottom w:val="single" w:sz="8" w:space="0" w:color="auto"/>
              <w:right w:val="single" w:sz="8" w:space="0" w:color="auto"/>
            </w:tcBorders>
            <w:shd w:val="clear" w:color="auto" w:fill="auto"/>
            <w:noWrap/>
            <w:vAlign w:val="center"/>
            <w:hideMark/>
          </w:tcPr>
          <w:p w14:paraId="3AC9969E"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50</w:t>
            </w:r>
          </w:p>
        </w:tc>
        <w:tc>
          <w:tcPr>
            <w:tcW w:w="899" w:type="pct"/>
            <w:tcBorders>
              <w:top w:val="nil"/>
              <w:left w:val="nil"/>
              <w:bottom w:val="single" w:sz="8" w:space="0" w:color="auto"/>
              <w:right w:val="single" w:sz="8" w:space="0" w:color="auto"/>
            </w:tcBorders>
            <w:shd w:val="clear" w:color="auto" w:fill="auto"/>
            <w:noWrap/>
            <w:vAlign w:val="center"/>
            <w:hideMark/>
          </w:tcPr>
          <w:p w14:paraId="62A4028A"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-11</w:t>
            </w:r>
          </w:p>
        </w:tc>
      </w:tr>
      <w:tr w:rsidR="008E06D8" w:rsidRPr="008E06D8" w14:paraId="17DF15A5"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7816CEB4"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t xml:space="preserve">Docentes orientadores </w:t>
            </w:r>
          </w:p>
        </w:tc>
        <w:tc>
          <w:tcPr>
            <w:tcW w:w="899" w:type="pct"/>
            <w:tcBorders>
              <w:top w:val="nil"/>
              <w:left w:val="nil"/>
              <w:bottom w:val="single" w:sz="8" w:space="0" w:color="auto"/>
              <w:right w:val="single" w:sz="8" w:space="0" w:color="auto"/>
            </w:tcBorders>
            <w:shd w:val="clear" w:color="auto" w:fill="auto"/>
            <w:noWrap/>
            <w:vAlign w:val="center"/>
            <w:hideMark/>
          </w:tcPr>
          <w:p w14:paraId="1E04B67F"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49</w:t>
            </w:r>
          </w:p>
        </w:tc>
        <w:tc>
          <w:tcPr>
            <w:tcW w:w="908" w:type="pct"/>
            <w:tcBorders>
              <w:top w:val="nil"/>
              <w:left w:val="nil"/>
              <w:bottom w:val="single" w:sz="8" w:space="0" w:color="auto"/>
              <w:right w:val="single" w:sz="8" w:space="0" w:color="auto"/>
            </w:tcBorders>
            <w:shd w:val="clear" w:color="auto" w:fill="auto"/>
            <w:noWrap/>
            <w:vAlign w:val="center"/>
            <w:hideMark/>
          </w:tcPr>
          <w:p w14:paraId="35D9D737"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41</w:t>
            </w:r>
          </w:p>
        </w:tc>
        <w:tc>
          <w:tcPr>
            <w:tcW w:w="899" w:type="pct"/>
            <w:tcBorders>
              <w:top w:val="nil"/>
              <w:left w:val="nil"/>
              <w:bottom w:val="single" w:sz="8" w:space="0" w:color="auto"/>
              <w:right w:val="single" w:sz="8" w:space="0" w:color="auto"/>
            </w:tcBorders>
            <w:shd w:val="clear" w:color="auto" w:fill="auto"/>
            <w:noWrap/>
            <w:vAlign w:val="center"/>
            <w:hideMark/>
          </w:tcPr>
          <w:p w14:paraId="012231D9"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8</w:t>
            </w:r>
          </w:p>
        </w:tc>
      </w:tr>
      <w:tr w:rsidR="008E06D8" w:rsidRPr="008E06D8" w14:paraId="01E628E5"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644E1D2D"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t>Coordinadores</w:t>
            </w:r>
          </w:p>
        </w:tc>
        <w:tc>
          <w:tcPr>
            <w:tcW w:w="899" w:type="pct"/>
            <w:tcBorders>
              <w:top w:val="nil"/>
              <w:left w:val="nil"/>
              <w:bottom w:val="single" w:sz="8" w:space="0" w:color="auto"/>
              <w:right w:val="single" w:sz="8" w:space="0" w:color="auto"/>
            </w:tcBorders>
            <w:shd w:val="clear" w:color="auto" w:fill="auto"/>
            <w:noWrap/>
            <w:vAlign w:val="center"/>
            <w:hideMark/>
          </w:tcPr>
          <w:p w14:paraId="23C24292"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90</w:t>
            </w:r>
          </w:p>
        </w:tc>
        <w:tc>
          <w:tcPr>
            <w:tcW w:w="908" w:type="pct"/>
            <w:tcBorders>
              <w:top w:val="nil"/>
              <w:left w:val="nil"/>
              <w:bottom w:val="single" w:sz="8" w:space="0" w:color="auto"/>
              <w:right w:val="single" w:sz="8" w:space="0" w:color="auto"/>
            </w:tcBorders>
            <w:shd w:val="clear" w:color="auto" w:fill="auto"/>
            <w:noWrap/>
            <w:vAlign w:val="center"/>
            <w:hideMark/>
          </w:tcPr>
          <w:p w14:paraId="6E809688"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88</w:t>
            </w:r>
          </w:p>
        </w:tc>
        <w:tc>
          <w:tcPr>
            <w:tcW w:w="899" w:type="pct"/>
            <w:tcBorders>
              <w:top w:val="nil"/>
              <w:left w:val="nil"/>
              <w:bottom w:val="single" w:sz="8" w:space="0" w:color="auto"/>
              <w:right w:val="single" w:sz="8" w:space="0" w:color="auto"/>
            </w:tcBorders>
            <w:shd w:val="clear" w:color="auto" w:fill="auto"/>
            <w:noWrap/>
            <w:vAlign w:val="center"/>
            <w:hideMark/>
          </w:tcPr>
          <w:p w14:paraId="561BC1C9"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2</w:t>
            </w:r>
          </w:p>
        </w:tc>
      </w:tr>
      <w:tr w:rsidR="008E06D8" w:rsidRPr="008E06D8" w14:paraId="62DB2058"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75BB89BE"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lastRenderedPageBreak/>
              <w:t xml:space="preserve">Rectores </w:t>
            </w:r>
          </w:p>
        </w:tc>
        <w:tc>
          <w:tcPr>
            <w:tcW w:w="899" w:type="pct"/>
            <w:tcBorders>
              <w:top w:val="nil"/>
              <w:left w:val="nil"/>
              <w:bottom w:val="single" w:sz="8" w:space="0" w:color="auto"/>
              <w:right w:val="single" w:sz="8" w:space="0" w:color="auto"/>
            </w:tcBorders>
            <w:shd w:val="clear" w:color="auto" w:fill="auto"/>
            <w:noWrap/>
            <w:vAlign w:val="center"/>
            <w:hideMark/>
          </w:tcPr>
          <w:p w14:paraId="36A032D7"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54</w:t>
            </w:r>
          </w:p>
        </w:tc>
        <w:tc>
          <w:tcPr>
            <w:tcW w:w="908" w:type="pct"/>
            <w:tcBorders>
              <w:top w:val="nil"/>
              <w:left w:val="nil"/>
              <w:bottom w:val="single" w:sz="8" w:space="0" w:color="auto"/>
              <w:right w:val="single" w:sz="8" w:space="0" w:color="auto"/>
            </w:tcBorders>
            <w:shd w:val="clear" w:color="auto" w:fill="auto"/>
            <w:noWrap/>
            <w:vAlign w:val="center"/>
            <w:hideMark/>
          </w:tcPr>
          <w:p w14:paraId="3ACB3367"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54</w:t>
            </w:r>
          </w:p>
        </w:tc>
        <w:tc>
          <w:tcPr>
            <w:tcW w:w="899" w:type="pct"/>
            <w:tcBorders>
              <w:top w:val="nil"/>
              <w:left w:val="nil"/>
              <w:bottom w:val="single" w:sz="8" w:space="0" w:color="auto"/>
              <w:right w:val="single" w:sz="8" w:space="0" w:color="auto"/>
            </w:tcBorders>
            <w:shd w:val="clear" w:color="auto" w:fill="auto"/>
            <w:noWrap/>
            <w:vAlign w:val="center"/>
            <w:hideMark/>
          </w:tcPr>
          <w:p w14:paraId="207FD355"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w:t>
            </w:r>
          </w:p>
        </w:tc>
      </w:tr>
      <w:tr w:rsidR="008E06D8" w:rsidRPr="008E06D8" w14:paraId="3220C51A"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0B74C037" w14:textId="77777777" w:rsidR="008E06D8" w:rsidRPr="008E06D8" w:rsidRDefault="008E06D8" w:rsidP="008E06D8">
            <w:pPr>
              <w:rPr>
                <w:rFonts w:ascii="Arial" w:eastAsia="Times New Roman" w:hAnsi="Arial" w:cs="Arial"/>
                <w:b/>
                <w:bCs/>
                <w:color w:val="000000"/>
                <w:sz w:val="18"/>
                <w:szCs w:val="18"/>
                <w:lang w:val="es-CO" w:eastAsia="es-CO"/>
              </w:rPr>
            </w:pPr>
            <w:proofErr w:type="spellStart"/>
            <w:r w:rsidRPr="008E06D8">
              <w:rPr>
                <w:rFonts w:ascii="Arial" w:eastAsia="Times New Roman" w:hAnsi="Arial" w:cs="Arial"/>
                <w:b/>
                <w:bCs/>
                <w:color w:val="000000"/>
                <w:sz w:val="18"/>
                <w:szCs w:val="18"/>
                <w:lang w:val="es-CO" w:eastAsia="es-CO"/>
              </w:rPr>
              <w:t>Direc</w:t>
            </w:r>
            <w:proofErr w:type="spellEnd"/>
            <w:r w:rsidRPr="008E06D8">
              <w:rPr>
                <w:rFonts w:ascii="Arial" w:eastAsia="Times New Roman" w:hAnsi="Arial" w:cs="Arial"/>
                <w:b/>
                <w:bCs/>
                <w:color w:val="000000"/>
                <w:sz w:val="18"/>
                <w:szCs w:val="18"/>
                <w:lang w:val="es-CO" w:eastAsia="es-CO"/>
              </w:rPr>
              <w:t>. de núcleo</w:t>
            </w:r>
          </w:p>
        </w:tc>
        <w:tc>
          <w:tcPr>
            <w:tcW w:w="899" w:type="pct"/>
            <w:tcBorders>
              <w:top w:val="nil"/>
              <w:left w:val="nil"/>
              <w:bottom w:val="single" w:sz="8" w:space="0" w:color="auto"/>
              <w:right w:val="single" w:sz="8" w:space="0" w:color="auto"/>
            </w:tcBorders>
            <w:shd w:val="clear" w:color="auto" w:fill="auto"/>
            <w:noWrap/>
            <w:vAlign w:val="center"/>
            <w:hideMark/>
          </w:tcPr>
          <w:p w14:paraId="18FEB535"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3</w:t>
            </w:r>
          </w:p>
        </w:tc>
        <w:tc>
          <w:tcPr>
            <w:tcW w:w="908" w:type="pct"/>
            <w:tcBorders>
              <w:top w:val="nil"/>
              <w:left w:val="nil"/>
              <w:bottom w:val="single" w:sz="8" w:space="0" w:color="auto"/>
              <w:right w:val="single" w:sz="8" w:space="0" w:color="auto"/>
            </w:tcBorders>
            <w:shd w:val="clear" w:color="auto" w:fill="auto"/>
            <w:noWrap/>
            <w:vAlign w:val="center"/>
            <w:hideMark/>
          </w:tcPr>
          <w:p w14:paraId="7E7A60B5"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3</w:t>
            </w:r>
          </w:p>
        </w:tc>
        <w:tc>
          <w:tcPr>
            <w:tcW w:w="899" w:type="pct"/>
            <w:tcBorders>
              <w:top w:val="nil"/>
              <w:left w:val="nil"/>
              <w:bottom w:val="single" w:sz="8" w:space="0" w:color="auto"/>
              <w:right w:val="single" w:sz="8" w:space="0" w:color="auto"/>
            </w:tcBorders>
            <w:shd w:val="clear" w:color="auto" w:fill="auto"/>
            <w:noWrap/>
            <w:vAlign w:val="center"/>
            <w:hideMark/>
          </w:tcPr>
          <w:p w14:paraId="37DCF145"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w:t>
            </w:r>
          </w:p>
        </w:tc>
      </w:tr>
      <w:tr w:rsidR="008E06D8" w:rsidRPr="008E06D8" w14:paraId="732B3BCD"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2E36328A" w14:textId="77777777" w:rsidR="008E06D8" w:rsidRPr="008E06D8" w:rsidRDefault="008E06D8" w:rsidP="008E06D8">
            <w:pPr>
              <w:rPr>
                <w:rFonts w:ascii="Arial" w:eastAsia="Times New Roman" w:hAnsi="Arial" w:cs="Arial"/>
                <w:b/>
                <w:bCs/>
                <w:color w:val="000000"/>
                <w:sz w:val="18"/>
                <w:szCs w:val="18"/>
                <w:lang w:val="es-CO" w:eastAsia="es-CO"/>
              </w:rPr>
            </w:pPr>
            <w:r w:rsidRPr="008E06D8">
              <w:rPr>
                <w:rFonts w:ascii="Arial" w:eastAsia="Times New Roman" w:hAnsi="Arial" w:cs="Arial"/>
                <w:b/>
                <w:bCs/>
                <w:color w:val="000000"/>
                <w:sz w:val="18"/>
                <w:szCs w:val="18"/>
                <w:lang w:val="es-CO" w:eastAsia="es-CO"/>
              </w:rPr>
              <w:t>Supervisores</w:t>
            </w:r>
          </w:p>
        </w:tc>
        <w:tc>
          <w:tcPr>
            <w:tcW w:w="899" w:type="pct"/>
            <w:tcBorders>
              <w:top w:val="nil"/>
              <w:left w:val="nil"/>
              <w:bottom w:val="single" w:sz="8" w:space="0" w:color="auto"/>
              <w:right w:val="single" w:sz="8" w:space="0" w:color="auto"/>
            </w:tcBorders>
            <w:shd w:val="clear" w:color="auto" w:fill="auto"/>
            <w:noWrap/>
            <w:vAlign w:val="center"/>
            <w:hideMark/>
          </w:tcPr>
          <w:p w14:paraId="703DA588"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3</w:t>
            </w:r>
          </w:p>
        </w:tc>
        <w:tc>
          <w:tcPr>
            <w:tcW w:w="908" w:type="pct"/>
            <w:tcBorders>
              <w:top w:val="nil"/>
              <w:left w:val="nil"/>
              <w:bottom w:val="single" w:sz="8" w:space="0" w:color="auto"/>
              <w:right w:val="single" w:sz="8" w:space="0" w:color="auto"/>
            </w:tcBorders>
            <w:shd w:val="clear" w:color="auto" w:fill="auto"/>
            <w:noWrap/>
            <w:vAlign w:val="center"/>
            <w:hideMark/>
          </w:tcPr>
          <w:p w14:paraId="0804449A"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3</w:t>
            </w:r>
          </w:p>
        </w:tc>
        <w:tc>
          <w:tcPr>
            <w:tcW w:w="899" w:type="pct"/>
            <w:tcBorders>
              <w:top w:val="nil"/>
              <w:left w:val="nil"/>
              <w:bottom w:val="single" w:sz="8" w:space="0" w:color="auto"/>
              <w:right w:val="single" w:sz="8" w:space="0" w:color="auto"/>
            </w:tcBorders>
            <w:shd w:val="clear" w:color="auto" w:fill="auto"/>
            <w:noWrap/>
            <w:vAlign w:val="center"/>
            <w:hideMark/>
          </w:tcPr>
          <w:p w14:paraId="26C87488"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w:t>
            </w:r>
          </w:p>
        </w:tc>
      </w:tr>
      <w:tr w:rsidR="008E06D8" w:rsidRPr="008E06D8" w14:paraId="50A217C9" w14:textId="77777777" w:rsidTr="00BC7BB2">
        <w:trPr>
          <w:trHeight w:val="20"/>
        </w:trPr>
        <w:tc>
          <w:tcPr>
            <w:tcW w:w="2294" w:type="pct"/>
            <w:tcBorders>
              <w:top w:val="nil"/>
              <w:left w:val="single" w:sz="8" w:space="0" w:color="auto"/>
              <w:bottom w:val="single" w:sz="8" w:space="0" w:color="auto"/>
              <w:right w:val="single" w:sz="8" w:space="0" w:color="auto"/>
            </w:tcBorders>
            <w:shd w:val="clear" w:color="auto" w:fill="auto"/>
            <w:noWrap/>
            <w:vAlign w:val="center"/>
            <w:hideMark/>
          </w:tcPr>
          <w:p w14:paraId="5CA222BA" w14:textId="77777777" w:rsidR="008E06D8" w:rsidRPr="008E06D8" w:rsidRDefault="00BC7BB2" w:rsidP="008E06D8">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T</w:t>
            </w:r>
            <w:r w:rsidR="008E06D8" w:rsidRPr="008E06D8">
              <w:rPr>
                <w:rFonts w:ascii="Arial" w:eastAsia="Times New Roman" w:hAnsi="Arial" w:cs="Arial"/>
                <w:b/>
                <w:bCs/>
                <w:color w:val="000000"/>
                <w:sz w:val="18"/>
                <w:szCs w:val="18"/>
                <w:lang w:val="es-CO" w:eastAsia="es-CO"/>
              </w:rPr>
              <w:t>otal</w:t>
            </w:r>
          </w:p>
        </w:tc>
        <w:tc>
          <w:tcPr>
            <w:tcW w:w="899" w:type="pct"/>
            <w:tcBorders>
              <w:top w:val="nil"/>
              <w:left w:val="nil"/>
              <w:bottom w:val="single" w:sz="8" w:space="0" w:color="auto"/>
              <w:right w:val="single" w:sz="8" w:space="0" w:color="auto"/>
            </w:tcBorders>
            <w:shd w:val="clear" w:color="auto" w:fill="auto"/>
            <w:noWrap/>
            <w:vAlign w:val="center"/>
            <w:hideMark/>
          </w:tcPr>
          <w:p w14:paraId="531B3221"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2030</w:t>
            </w:r>
          </w:p>
        </w:tc>
        <w:tc>
          <w:tcPr>
            <w:tcW w:w="908" w:type="pct"/>
            <w:tcBorders>
              <w:top w:val="nil"/>
              <w:left w:val="nil"/>
              <w:bottom w:val="single" w:sz="8" w:space="0" w:color="auto"/>
              <w:right w:val="single" w:sz="8" w:space="0" w:color="auto"/>
            </w:tcBorders>
            <w:shd w:val="clear" w:color="auto" w:fill="auto"/>
            <w:noWrap/>
            <w:vAlign w:val="center"/>
            <w:hideMark/>
          </w:tcPr>
          <w:p w14:paraId="555EFFCB"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2031</w:t>
            </w:r>
          </w:p>
        </w:tc>
        <w:tc>
          <w:tcPr>
            <w:tcW w:w="899" w:type="pct"/>
            <w:tcBorders>
              <w:top w:val="nil"/>
              <w:left w:val="nil"/>
              <w:bottom w:val="single" w:sz="8" w:space="0" w:color="auto"/>
              <w:right w:val="single" w:sz="8" w:space="0" w:color="auto"/>
            </w:tcBorders>
            <w:shd w:val="clear" w:color="auto" w:fill="auto"/>
            <w:noWrap/>
            <w:vAlign w:val="center"/>
            <w:hideMark/>
          </w:tcPr>
          <w:p w14:paraId="3887E67D" w14:textId="77777777" w:rsidR="008E06D8" w:rsidRPr="008E06D8" w:rsidRDefault="008E06D8" w:rsidP="008E06D8">
            <w:pPr>
              <w:jc w:val="center"/>
              <w:rPr>
                <w:rFonts w:ascii="Arial" w:eastAsia="Times New Roman" w:hAnsi="Arial" w:cs="Arial"/>
                <w:color w:val="000000"/>
                <w:sz w:val="18"/>
                <w:szCs w:val="18"/>
                <w:lang w:val="es-CO" w:eastAsia="es-CO"/>
              </w:rPr>
            </w:pPr>
            <w:r w:rsidRPr="008E06D8">
              <w:rPr>
                <w:rFonts w:ascii="Arial" w:eastAsia="Times New Roman" w:hAnsi="Arial" w:cs="Arial"/>
                <w:color w:val="000000"/>
                <w:sz w:val="18"/>
                <w:szCs w:val="18"/>
                <w:lang w:val="es-CO" w:eastAsia="es-CO"/>
              </w:rPr>
              <w:t>-1</w:t>
            </w:r>
          </w:p>
        </w:tc>
      </w:tr>
    </w:tbl>
    <w:p w14:paraId="757753B5" w14:textId="77777777" w:rsidR="00DA7276" w:rsidRDefault="00DA7276" w:rsidP="008F6530">
      <w:pPr>
        <w:jc w:val="center"/>
        <w:rPr>
          <w:rFonts w:ascii="Arial" w:hAnsi="Arial" w:cs="Arial"/>
          <w:sz w:val="18"/>
          <w:szCs w:val="22"/>
        </w:rPr>
      </w:pPr>
      <w:r>
        <w:rPr>
          <w:rFonts w:ascii="Arial" w:hAnsi="Arial" w:cs="Arial"/>
          <w:sz w:val="18"/>
          <w:szCs w:val="22"/>
        </w:rPr>
        <w:t>Fuente: Elaboración DAF.</w:t>
      </w:r>
    </w:p>
    <w:p w14:paraId="7DD330D9" w14:textId="77777777" w:rsidR="00DA7276" w:rsidRDefault="00DA7276" w:rsidP="008F6530">
      <w:pPr>
        <w:pStyle w:val="Prrafodelista"/>
        <w:ind w:left="360"/>
        <w:rPr>
          <w:rFonts w:ascii="Arial" w:hAnsi="Arial" w:cs="Arial"/>
          <w:sz w:val="22"/>
          <w:szCs w:val="22"/>
        </w:rPr>
      </w:pPr>
    </w:p>
    <w:p w14:paraId="2A05FCD4" w14:textId="77777777" w:rsidR="00DA7276" w:rsidRDefault="00DA7276" w:rsidP="008F6530">
      <w:pPr>
        <w:jc w:val="both"/>
        <w:rPr>
          <w:rFonts w:ascii="Arial" w:hAnsi="Arial" w:cs="Arial"/>
          <w:sz w:val="22"/>
          <w:szCs w:val="22"/>
        </w:rPr>
      </w:pPr>
      <w:r>
        <w:rPr>
          <w:rFonts w:ascii="Arial" w:hAnsi="Arial" w:cs="Arial"/>
          <w:sz w:val="22"/>
          <w:szCs w:val="22"/>
        </w:rPr>
        <w:t xml:space="preserve">Llama la atención que el Departamento no distribuye 11 docentes con funciones de apoyo, pero distribuye 8 docentes orientadores adicionales a los viabilizados. Se le recuerda a la Entidad Territorial que no es posible reemplazar este tipo de cargos dado que cumplen funciones completamente diferentes dentro del sector, como lo estipula el Artículo 2.4.6.3.3. del Decreto 1075 de 2015. </w:t>
      </w:r>
    </w:p>
    <w:p w14:paraId="42C11E91" w14:textId="77777777" w:rsidR="00DA7276" w:rsidRDefault="00DA7276" w:rsidP="008F6530">
      <w:pPr>
        <w:rPr>
          <w:rFonts w:ascii="Arial" w:hAnsi="Arial" w:cs="Arial"/>
          <w:sz w:val="22"/>
          <w:szCs w:val="22"/>
        </w:rPr>
      </w:pPr>
    </w:p>
    <w:p w14:paraId="05BE7A72" w14:textId="77777777" w:rsidR="00DA7276" w:rsidRDefault="00DA7276" w:rsidP="008F6530">
      <w:pPr>
        <w:jc w:val="both"/>
        <w:rPr>
          <w:rFonts w:ascii="Arial" w:hAnsi="Arial" w:cs="Arial"/>
          <w:sz w:val="22"/>
          <w:szCs w:val="22"/>
        </w:rPr>
      </w:pPr>
      <w:r>
        <w:rPr>
          <w:rFonts w:ascii="Arial" w:hAnsi="Arial" w:cs="Arial"/>
          <w:sz w:val="22"/>
          <w:szCs w:val="22"/>
        </w:rPr>
        <w:t xml:space="preserve">Adicionalmente, el concepto de </w:t>
      </w:r>
      <w:proofErr w:type="spellStart"/>
      <w:r>
        <w:rPr>
          <w:rFonts w:ascii="Arial" w:hAnsi="Arial" w:cs="Arial"/>
          <w:sz w:val="22"/>
          <w:szCs w:val="22"/>
        </w:rPr>
        <w:t>viabilización</w:t>
      </w:r>
      <w:proofErr w:type="spellEnd"/>
      <w:r>
        <w:rPr>
          <w:rFonts w:ascii="Arial" w:hAnsi="Arial" w:cs="Arial"/>
          <w:sz w:val="22"/>
          <w:szCs w:val="22"/>
        </w:rPr>
        <w:t xml:space="preserve"> de planta indica: </w:t>
      </w:r>
    </w:p>
    <w:p w14:paraId="776C0BC0" w14:textId="77777777" w:rsidR="00DA7276" w:rsidRDefault="00DA7276" w:rsidP="008F6530">
      <w:pPr>
        <w:jc w:val="both"/>
        <w:rPr>
          <w:rFonts w:ascii="Arial" w:hAnsi="Arial" w:cs="Arial"/>
          <w:sz w:val="22"/>
          <w:szCs w:val="22"/>
        </w:rPr>
      </w:pPr>
    </w:p>
    <w:p w14:paraId="070BC8A1" w14:textId="77777777" w:rsidR="00DA7276" w:rsidRPr="008F6530" w:rsidRDefault="008F6530" w:rsidP="008F6530">
      <w:pPr>
        <w:ind w:left="567"/>
        <w:jc w:val="both"/>
        <w:rPr>
          <w:rFonts w:ascii="Arial" w:hAnsi="Arial" w:cs="Arial"/>
          <w:i/>
          <w:iCs/>
          <w:sz w:val="20"/>
          <w:szCs w:val="22"/>
        </w:rPr>
      </w:pPr>
      <w:r>
        <w:rPr>
          <w:rFonts w:ascii="Arial" w:hAnsi="Arial" w:cs="Arial"/>
          <w:i/>
          <w:iCs/>
          <w:sz w:val="20"/>
          <w:szCs w:val="22"/>
        </w:rPr>
        <w:t>“</w:t>
      </w:r>
      <w:r w:rsidR="00DA7276" w:rsidRPr="008F6530">
        <w:rPr>
          <w:rFonts w:ascii="Arial" w:hAnsi="Arial" w:cs="Arial"/>
          <w:i/>
          <w:iCs/>
          <w:sz w:val="20"/>
          <w:szCs w:val="22"/>
        </w:rPr>
        <w:t>Posterior a la expedición del presente concepto los cargos de coordinadores que queden en vacante definitiva no deben ser provistos por la ETC, salvo que se identifique la necesidad del servicio sustentada en un estudio técnico y en el comportamiento de la matrícula oficial. Se precisa que la entidad cuenta con 88 cargos de coordinadores nombrados en propiedad, por lo tanto, el presente concepto viabiliza 88 cargos, de los cuales 10 se deben ir suprimiendo a medida que se genere la vacante, hasta quedar en 78 cargos, en cumplimiento a los parámetros establecidos en el Decreto 1075 de 2015</w:t>
      </w:r>
      <w:r>
        <w:rPr>
          <w:rFonts w:ascii="Arial" w:hAnsi="Arial" w:cs="Arial"/>
          <w:i/>
          <w:iCs/>
          <w:sz w:val="20"/>
          <w:szCs w:val="22"/>
        </w:rPr>
        <w:t>”</w:t>
      </w:r>
      <w:r w:rsidR="00DA7276" w:rsidRPr="008F6530">
        <w:rPr>
          <w:rFonts w:ascii="Arial" w:hAnsi="Arial" w:cs="Arial"/>
          <w:i/>
          <w:iCs/>
          <w:sz w:val="20"/>
          <w:szCs w:val="22"/>
        </w:rPr>
        <w:t>.</w:t>
      </w:r>
    </w:p>
    <w:p w14:paraId="6A1C6FF9" w14:textId="77777777" w:rsidR="00DA7276" w:rsidRDefault="00DA7276" w:rsidP="008F6530">
      <w:pPr>
        <w:jc w:val="both"/>
        <w:rPr>
          <w:rFonts w:ascii="Arial" w:hAnsi="Arial" w:cs="Arial"/>
          <w:sz w:val="20"/>
          <w:szCs w:val="22"/>
        </w:rPr>
      </w:pPr>
    </w:p>
    <w:p w14:paraId="60009918" w14:textId="77777777" w:rsidR="00DA7276" w:rsidRDefault="00DA7276" w:rsidP="008F6530">
      <w:pPr>
        <w:jc w:val="both"/>
        <w:rPr>
          <w:rFonts w:ascii="Arial" w:hAnsi="Arial" w:cs="Arial"/>
          <w:sz w:val="22"/>
          <w:szCs w:val="22"/>
        </w:rPr>
      </w:pPr>
      <w:r>
        <w:rPr>
          <w:rFonts w:ascii="Arial" w:hAnsi="Arial" w:cs="Arial"/>
          <w:sz w:val="22"/>
          <w:szCs w:val="22"/>
        </w:rPr>
        <w:t xml:space="preserve">Por lo cual, el MEN viabiliza 88 cargos de coordinadores puesto que al momento de elaboración del concepto estos cargos estaban nombrados en propiedad, no obstante, deben ir disminuyendo hasta llegar a un total de 78 cargos; así el Ministerio reconoce el exceso de coordinadores vigente; no obstante, la administración departamental distribuye un total de 90 cargos, dos cargos más de los viabilizados. </w:t>
      </w:r>
    </w:p>
    <w:p w14:paraId="11FE0E4E" w14:textId="77777777" w:rsidR="00DA7276" w:rsidRDefault="00DA7276" w:rsidP="008F6530">
      <w:pPr>
        <w:jc w:val="both"/>
        <w:rPr>
          <w:rFonts w:ascii="Arial" w:hAnsi="Arial" w:cs="Arial"/>
          <w:sz w:val="22"/>
          <w:szCs w:val="22"/>
        </w:rPr>
      </w:pPr>
    </w:p>
    <w:p w14:paraId="5A777EFB" w14:textId="77777777" w:rsidR="00DA7276" w:rsidRDefault="00DA7276" w:rsidP="008F6530">
      <w:pPr>
        <w:jc w:val="both"/>
        <w:rPr>
          <w:rFonts w:ascii="Arial" w:hAnsi="Arial" w:cs="Arial"/>
          <w:sz w:val="22"/>
          <w:szCs w:val="22"/>
        </w:rPr>
      </w:pPr>
      <w:r>
        <w:rPr>
          <w:rFonts w:ascii="Arial" w:hAnsi="Arial" w:cs="Arial"/>
          <w:sz w:val="22"/>
          <w:szCs w:val="22"/>
        </w:rPr>
        <w:t>Se le recuerda al Departamento de Quindío lo indicado en el artículo 2.4.6.2.4. del Decreto 1075 de 2015: “</w:t>
      </w:r>
      <w:r>
        <w:rPr>
          <w:rFonts w:ascii="Arial" w:hAnsi="Arial" w:cs="Arial"/>
          <w:i/>
          <w:sz w:val="22"/>
          <w:szCs w:val="22"/>
        </w:rPr>
        <w:t xml:space="preserve">En caso de que una entidad territorial provea cargos que excedan de la planta organizada conjuntamente por la Nación y la entidad territorial, </w:t>
      </w:r>
      <w:r>
        <w:rPr>
          <w:rFonts w:ascii="Arial" w:hAnsi="Arial" w:cs="Arial"/>
          <w:i/>
          <w:sz w:val="22"/>
          <w:szCs w:val="22"/>
          <w:u w:val="single"/>
        </w:rPr>
        <w:t>tales cargos no podrán ser financiados con recursos del Sistema General de Participaciones</w:t>
      </w:r>
      <w:r>
        <w:rPr>
          <w:rFonts w:ascii="Arial" w:hAnsi="Arial" w:cs="Arial"/>
          <w:i/>
          <w:sz w:val="22"/>
          <w:szCs w:val="22"/>
        </w:rPr>
        <w:t xml:space="preserve"> sin perjuicio de las responsabilidades a que haya lugar.</w:t>
      </w:r>
      <w:r>
        <w:rPr>
          <w:rFonts w:ascii="Arial" w:hAnsi="Arial" w:cs="Arial"/>
          <w:sz w:val="22"/>
          <w:szCs w:val="22"/>
        </w:rPr>
        <w:t xml:space="preserve">”-énfasis propio-. Postura compartida en el Decreto </w:t>
      </w:r>
      <w:r w:rsidR="00BC7BB2">
        <w:rPr>
          <w:rFonts w:ascii="Arial" w:hAnsi="Arial" w:cs="Arial"/>
          <w:sz w:val="22"/>
          <w:szCs w:val="22"/>
        </w:rPr>
        <w:t xml:space="preserve">Departamental </w:t>
      </w:r>
      <w:r>
        <w:rPr>
          <w:rFonts w:ascii="Arial" w:hAnsi="Arial" w:cs="Arial"/>
          <w:sz w:val="22"/>
          <w:szCs w:val="22"/>
        </w:rPr>
        <w:t xml:space="preserve">No. 217 del 14 de marzo de 2022, en el cual el parágrafo del artículo 1, establece: </w:t>
      </w:r>
    </w:p>
    <w:p w14:paraId="354F4950" w14:textId="77777777" w:rsidR="00DA7276" w:rsidRDefault="00DA7276" w:rsidP="008F6530">
      <w:pPr>
        <w:jc w:val="both"/>
        <w:rPr>
          <w:rFonts w:ascii="Arial" w:hAnsi="Arial" w:cs="Arial"/>
          <w:sz w:val="22"/>
          <w:szCs w:val="22"/>
        </w:rPr>
      </w:pPr>
    </w:p>
    <w:p w14:paraId="3DBC4BA4" w14:textId="77777777" w:rsidR="00BC7BB2" w:rsidRDefault="00BC7BB2" w:rsidP="00BC7BB2">
      <w:pPr>
        <w:ind w:left="567"/>
        <w:jc w:val="both"/>
        <w:rPr>
          <w:rFonts w:ascii="Arial" w:hAnsi="Arial" w:cs="Arial"/>
          <w:sz w:val="22"/>
          <w:szCs w:val="22"/>
        </w:rPr>
      </w:pPr>
      <w:r>
        <w:rPr>
          <w:rFonts w:ascii="Arial" w:hAnsi="Arial" w:cs="Arial"/>
          <w:i/>
          <w:iCs/>
          <w:sz w:val="20"/>
          <w:szCs w:val="22"/>
        </w:rPr>
        <w:t>“PARÁGRAFO: Cualquier costo adicional generado por una planta diferente a la viabilizada por el Ministerio de Educación Nacional no será asumida por el Sistema General de Participaciones, de conformidad con el artículo 23 de la Ley 715 de 2001, sino con recursos propios”.</w:t>
      </w:r>
    </w:p>
    <w:p w14:paraId="7BAEBAA6" w14:textId="77777777" w:rsidR="00DA7276" w:rsidRDefault="00DA7276" w:rsidP="008F6530">
      <w:pPr>
        <w:jc w:val="center"/>
        <w:rPr>
          <w:rFonts w:ascii="Arial" w:hAnsi="Arial" w:cs="Arial"/>
          <w:sz w:val="20"/>
          <w:szCs w:val="20"/>
        </w:rPr>
      </w:pPr>
    </w:p>
    <w:p w14:paraId="793B7DF8" w14:textId="77777777" w:rsidR="00DA7276" w:rsidRDefault="00DA7276" w:rsidP="008F6530">
      <w:pPr>
        <w:jc w:val="both"/>
        <w:rPr>
          <w:rFonts w:ascii="Arial" w:hAnsi="Arial" w:cs="Arial"/>
          <w:sz w:val="22"/>
          <w:szCs w:val="20"/>
        </w:rPr>
      </w:pPr>
      <w:r>
        <w:rPr>
          <w:rFonts w:ascii="Arial" w:hAnsi="Arial" w:cs="Arial"/>
          <w:sz w:val="22"/>
          <w:szCs w:val="20"/>
        </w:rPr>
        <w:t xml:space="preserve">No obstante, como se indicó en párrafos anteriores la administración departamental no está cumpliendo con estos lineamientos. </w:t>
      </w:r>
    </w:p>
    <w:p w14:paraId="7A5C831C" w14:textId="77777777" w:rsidR="00DA7276" w:rsidRDefault="00DA7276" w:rsidP="008F6530">
      <w:pPr>
        <w:jc w:val="both"/>
        <w:rPr>
          <w:rFonts w:ascii="Arial" w:hAnsi="Arial" w:cs="Arial"/>
          <w:sz w:val="22"/>
          <w:szCs w:val="20"/>
        </w:rPr>
      </w:pPr>
    </w:p>
    <w:p w14:paraId="4A1EB84A" w14:textId="77777777" w:rsidR="00DA7276" w:rsidRDefault="00DA7276" w:rsidP="008F6530">
      <w:pPr>
        <w:jc w:val="both"/>
        <w:rPr>
          <w:rFonts w:ascii="Arial" w:hAnsi="Arial" w:cs="Arial"/>
          <w:sz w:val="22"/>
          <w:szCs w:val="20"/>
        </w:rPr>
      </w:pPr>
      <w:r>
        <w:rPr>
          <w:rFonts w:ascii="Arial" w:hAnsi="Arial" w:cs="Arial"/>
          <w:sz w:val="22"/>
          <w:szCs w:val="20"/>
        </w:rPr>
        <w:t>Con referencia a la matr</w:t>
      </w:r>
      <w:r w:rsidR="00A969EC">
        <w:rPr>
          <w:rFonts w:ascii="Arial" w:hAnsi="Arial" w:cs="Arial"/>
          <w:sz w:val="22"/>
          <w:szCs w:val="20"/>
        </w:rPr>
        <w:t>í</w:t>
      </w:r>
      <w:r>
        <w:rPr>
          <w:rFonts w:ascii="Arial" w:hAnsi="Arial" w:cs="Arial"/>
          <w:sz w:val="22"/>
          <w:szCs w:val="20"/>
        </w:rPr>
        <w:t xml:space="preserve">cula mínima, el concepto de </w:t>
      </w:r>
      <w:proofErr w:type="spellStart"/>
      <w:r>
        <w:rPr>
          <w:rFonts w:ascii="Arial" w:hAnsi="Arial" w:cs="Arial"/>
          <w:sz w:val="22"/>
          <w:szCs w:val="20"/>
        </w:rPr>
        <w:t>viabilización</w:t>
      </w:r>
      <w:proofErr w:type="spellEnd"/>
      <w:r>
        <w:rPr>
          <w:rFonts w:ascii="Arial" w:hAnsi="Arial" w:cs="Arial"/>
          <w:sz w:val="22"/>
          <w:szCs w:val="20"/>
        </w:rPr>
        <w:t xml:space="preserve"> de planta establece un total de 36.767 estudiantes de grado 0 a 13, más aceleración del aprendizaje (99); por otro </w:t>
      </w:r>
      <w:r>
        <w:rPr>
          <w:rFonts w:ascii="Arial" w:hAnsi="Arial" w:cs="Arial"/>
          <w:sz w:val="22"/>
          <w:szCs w:val="20"/>
        </w:rPr>
        <w:lastRenderedPageBreak/>
        <w:t xml:space="preserve">lado, el anexo 6A a diciembre de 2022 refleja un total de estudiantes atendidos de 36.043, </w:t>
      </w:r>
      <w:r w:rsidR="001C151E">
        <w:rPr>
          <w:rFonts w:ascii="Arial" w:hAnsi="Arial" w:cs="Arial"/>
          <w:sz w:val="22"/>
          <w:szCs w:val="20"/>
        </w:rPr>
        <w:t xml:space="preserve">es decir </w:t>
      </w:r>
      <w:r>
        <w:rPr>
          <w:rFonts w:ascii="Arial" w:hAnsi="Arial" w:cs="Arial"/>
          <w:sz w:val="22"/>
          <w:szCs w:val="20"/>
        </w:rPr>
        <w:t xml:space="preserve">724 </w:t>
      </w:r>
      <w:r w:rsidR="001C151E">
        <w:rPr>
          <w:rFonts w:ascii="Arial" w:hAnsi="Arial" w:cs="Arial"/>
          <w:sz w:val="22"/>
          <w:szCs w:val="20"/>
        </w:rPr>
        <w:t xml:space="preserve">alumnos </w:t>
      </w:r>
      <w:r>
        <w:rPr>
          <w:rFonts w:ascii="Arial" w:hAnsi="Arial" w:cs="Arial"/>
          <w:sz w:val="22"/>
          <w:szCs w:val="20"/>
        </w:rPr>
        <w:t xml:space="preserve">menos de su capacidad. Lo anterior, corresponde a un exceso de 33 docentes (con base en la relación técnica total de 21,90 alumnos por docente). </w:t>
      </w:r>
    </w:p>
    <w:p w14:paraId="1790D71C" w14:textId="77777777" w:rsidR="00DA7276" w:rsidRDefault="00DA7276" w:rsidP="008F6530">
      <w:pPr>
        <w:jc w:val="both"/>
        <w:rPr>
          <w:rFonts w:ascii="Arial" w:hAnsi="Arial" w:cs="Arial"/>
          <w:sz w:val="22"/>
          <w:szCs w:val="20"/>
        </w:rPr>
      </w:pPr>
    </w:p>
    <w:p w14:paraId="2A991A0D" w14:textId="77777777" w:rsidR="00DA7276" w:rsidRDefault="00DA7276" w:rsidP="008F6530">
      <w:pPr>
        <w:jc w:val="both"/>
        <w:rPr>
          <w:rFonts w:ascii="Arial" w:hAnsi="Arial" w:cs="Arial"/>
          <w:sz w:val="22"/>
          <w:szCs w:val="20"/>
        </w:rPr>
      </w:pPr>
      <w:r>
        <w:rPr>
          <w:rFonts w:ascii="Arial" w:hAnsi="Arial" w:cs="Arial"/>
          <w:sz w:val="22"/>
          <w:szCs w:val="20"/>
        </w:rPr>
        <w:t>Frente a la distribución de docentes de aula, se presentan discrepancias significativas dentro de un mismo municipio, como es el caso de Calarcá en donde a la Institución Educativa Instituto de Calarcá se le asignaron un total de 31 docentes de aula para atender a 366 estudiantes (0 a 13 y 99) mientras que, a la Institución Educativa Instituto Tecnológico se le asignaron los mismos docentes, pero para atender una matrícula de 601 estudiantes, 60,89% de más.</w:t>
      </w:r>
    </w:p>
    <w:p w14:paraId="4E892622" w14:textId="77777777" w:rsidR="00DA7276" w:rsidRDefault="00DA7276" w:rsidP="008F6530">
      <w:pPr>
        <w:jc w:val="both"/>
        <w:rPr>
          <w:rFonts w:ascii="Arial" w:hAnsi="Arial" w:cs="Arial"/>
          <w:sz w:val="22"/>
          <w:szCs w:val="20"/>
        </w:rPr>
      </w:pPr>
    </w:p>
    <w:p w14:paraId="7E88D624" w14:textId="77777777" w:rsidR="00DA7276" w:rsidRDefault="00DA7276" w:rsidP="008F6530">
      <w:pPr>
        <w:jc w:val="both"/>
        <w:rPr>
          <w:rFonts w:ascii="Arial" w:hAnsi="Arial" w:cs="Arial"/>
          <w:sz w:val="22"/>
          <w:szCs w:val="20"/>
        </w:rPr>
      </w:pPr>
      <w:r>
        <w:rPr>
          <w:rFonts w:ascii="Arial" w:hAnsi="Arial" w:cs="Arial"/>
          <w:sz w:val="22"/>
          <w:szCs w:val="20"/>
        </w:rPr>
        <w:t xml:space="preserve">Lo anterior se repite en la institución educativa San Rafael, que reportó una matrícula de 498 estudiantes (0 a 13 y 99) y le asignaron un total de 42 docentes, por lo tanto, presentó una relación técnica de 12 estudiantes por docente (498 estudiantes /42 docentes de aula asignados) y dado que esta I.E. se encuentra en una zona rural, la relación técnica aprobada por el MEN </w:t>
      </w:r>
      <w:r w:rsidR="001C151E">
        <w:rPr>
          <w:rFonts w:ascii="Arial" w:hAnsi="Arial" w:cs="Arial"/>
          <w:sz w:val="22"/>
          <w:szCs w:val="20"/>
        </w:rPr>
        <w:t xml:space="preserve">para esta Entidad Territorial </w:t>
      </w:r>
      <w:r>
        <w:rPr>
          <w:rFonts w:ascii="Arial" w:hAnsi="Arial" w:cs="Arial"/>
          <w:sz w:val="22"/>
          <w:szCs w:val="20"/>
        </w:rPr>
        <w:t xml:space="preserve">es de 17. Por otro lado, la institución educativa Ciudadela San Bernardo reportó un total de 1.147 estudiantes y su asignación docente fue de 54 cargos, para una relación técnica de 21 estudiantes por docente, 5 más de los estipulados por el MEN. Dado que las dos instituciones se encuentran en el mismo municipio, la Entidad Territorial cuenta con la capacidad de </w:t>
      </w:r>
      <w:r w:rsidR="00673F12">
        <w:rPr>
          <w:rFonts w:ascii="Arial" w:hAnsi="Arial" w:cs="Arial"/>
          <w:sz w:val="22"/>
          <w:szCs w:val="20"/>
        </w:rPr>
        <w:t>redistribuir</w:t>
      </w:r>
      <w:r>
        <w:rPr>
          <w:rFonts w:ascii="Arial" w:hAnsi="Arial" w:cs="Arial"/>
          <w:sz w:val="22"/>
          <w:szCs w:val="20"/>
        </w:rPr>
        <w:t xml:space="preserve"> los docentes de manera que se compense el exceso de estudiantes en una institución, con la falta de estos en otra, como se enunció </w:t>
      </w:r>
      <w:proofErr w:type="gramStart"/>
      <w:r>
        <w:rPr>
          <w:rFonts w:ascii="Arial" w:hAnsi="Arial" w:cs="Arial"/>
          <w:sz w:val="22"/>
          <w:szCs w:val="20"/>
        </w:rPr>
        <w:t>anteriormente</w:t>
      </w:r>
      <w:proofErr w:type="gramEnd"/>
      <w:r>
        <w:rPr>
          <w:rFonts w:ascii="Arial" w:hAnsi="Arial" w:cs="Arial"/>
          <w:sz w:val="22"/>
          <w:szCs w:val="20"/>
        </w:rPr>
        <w:t xml:space="preserve"> las diferencias eran exactamente 5 para las dos I.E.</w:t>
      </w:r>
    </w:p>
    <w:p w14:paraId="628C2394" w14:textId="77777777" w:rsidR="00DA7276" w:rsidRDefault="00DA7276" w:rsidP="008F6530">
      <w:pPr>
        <w:jc w:val="both"/>
        <w:rPr>
          <w:rFonts w:ascii="Arial" w:hAnsi="Arial" w:cs="Arial"/>
          <w:sz w:val="22"/>
          <w:szCs w:val="20"/>
        </w:rPr>
      </w:pPr>
    </w:p>
    <w:p w14:paraId="353DD263" w14:textId="77777777" w:rsidR="00DA7276" w:rsidRDefault="00DA7276" w:rsidP="008F6530">
      <w:pPr>
        <w:jc w:val="both"/>
        <w:rPr>
          <w:rFonts w:ascii="Arial" w:hAnsi="Arial" w:cs="Arial"/>
          <w:sz w:val="22"/>
          <w:szCs w:val="22"/>
          <w:lang w:val="es-CO"/>
        </w:rPr>
      </w:pPr>
      <w:r>
        <w:rPr>
          <w:rFonts w:ascii="Arial" w:hAnsi="Arial" w:cs="Arial"/>
          <w:sz w:val="22"/>
          <w:szCs w:val="20"/>
        </w:rPr>
        <w:t>Adicionalmente, en cuanto a la distribución de los coordinadores, de manera general se observa un exceso de planta frente a la requerida en el Departamento</w:t>
      </w:r>
      <w:r>
        <w:rPr>
          <w:rFonts w:ascii="Arial" w:hAnsi="Arial" w:cs="Arial"/>
          <w:sz w:val="22"/>
          <w:szCs w:val="22"/>
          <w:lang w:val="es-CO"/>
        </w:rPr>
        <w:t xml:space="preserve"> </w:t>
      </w:r>
      <w:r>
        <w:rPr>
          <w:rFonts w:ascii="Arial" w:hAnsi="Arial" w:cs="Arial"/>
          <w:sz w:val="22"/>
          <w:szCs w:val="20"/>
        </w:rPr>
        <w:t xml:space="preserve">de acuerdo con lo regulado en el artículo </w:t>
      </w:r>
      <w:r>
        <w:rPr>
          <w:rFonts w:ascii="Arial" w:hAnsi="Arial" w:cs="Arial"/>
          <w:sz w:val="22"/>
          <w:szCs w:val="22"/>
          <w:lang w:val="es-CO"/>
        </w:rPr>
        <w:t>2.4.6.1.2.3 del Decreto 1075 del 2015, así la mayor diferencia encontrada entre la norma citada y el decreto de distribución de planta se evidenció en las siguientes instituciones educativas:</w:t>
      </w:r>
    </w:p>
    <w:p w14:paraId="1FBCEFD7" w14:textId="77777777" w:rsidR="00DA7276" w:rsidRDefault="00DA7276" w:rsidP="008F6530">
      <w:pPr>
        <w:jc w:val="both"/>
        <w:rPr>
          <w:rFonts w:ascii="Arial" w:hAnsi="Arial" w:cs="Arial"/>
          <w:sz w:val="22"/>
          <w:szCs w:val="22"/>
          <w:lang w:val="es-CO"/>
        </w:rPr>
      </w:pPr>
    </w:p>
    <w:p w14:paraId="2E49D6B6" w14:textId="77777777" w:rsidR="00DA7276" w:rsidRDefault="00DA7276" w:rsidP="008F6530">
      <w:pPr>
        <w:pStyle w:val="Prrafodelista"/>
        <w:numPr>
          <w:ilvl w:val="0"/>
          <w:numId w:val="16"/>
        </w:numPr>
        <w:ind w:left="426" w:hanging="426"/>
        <w:jc w:val="both"/>
        <w:rPr>
          <w:rFonts w:ascii="Arial" w:hAnsi="Arial" w:cs="Arial"/>
          <w:sz w:val="22"/>
          <w:szCs w:val="20"/>
        </w:rPr>
      </w:pPr>
      <w:r>
        <w:rPr>
          <w:rFonts w:ascii="Arial" w:hAnsi="Arial" w:cs="Arial"/>
          <w:sz w:val="22"/>
          <w:szCs w:val="22"/>
          <w:lang w:val="es-CO"/>
        </w:rPr>
        <w:t>Instituto Calarcá: que reportó en el anexo 6A a diciembre de 2022 una matrícula atendida de 860 estudiantes</w:t>
      </w:r>
      <w:r w:rsidR="001C151E">
        <w:rPr>
          <w:rFonts w:ascii="Arial" w:hAnsi="Arial" w:cs="Arial"/>
          <w:sz w:val="22"/>
          <w:szCs w:val="22"/>
          <w:lang w:val="es-CO"/>
        </w:rPr>
        <w:t xml:space="preserve"> y</w:t>
      </w:r>
      <w:r>
        <w:rPr>
          <w:rFonts w:ascii="Arial" w:hAnsi="Arial" w:cs="Arial"/>
          <w:sz w:val="22"/>
          <w:szCs w:val="22"/>
          <w:lang w:val="es-CO"/>
        </w:rPr>
        <w:t xml:space="preserve"> </w:t>
      </w:r>
      <w:r w:rsidR="001C151E">
        <w:rPr>
          <w:rFonts w:ascii="Arial" w:hAnsi="Arial" w:cs="Arial"/>
          <w:sz w:val="22"/>
          <w:szCs w:val="22"/>
          <w:lang w:val="es-CO"/>
        </w:rPr>
        <w:t xml:space="preserve">de acuerdo con el parámetro técnico </w:t>
      </w:r>
      <w:r>
        <w:rPr>
          <w:rFonts w:ascii="Arial" w:hAnsi="Arial" w:cs="Arial"/>
          <w:sz w:val="22"/>
          <w:szCs w:val="22"/>
          <w:lang w:val="es-CO"/>
        </w:rPr>
        <w:t xml:space="preserve">le corresponde 1 coordinador, pues no posee jornada nocturna ni más de 5 sedes; sin embargo, el Departamento le asignó 3 coordinadores. </w:t>
      </w:r>
    </w:p>
    <w:p w14:paraId="61BEC228" w14:textId="77777777" w:rsidR="00DA7276" w:rsidRDefault="00DA7276" w:rsidP="008F6530">
      <w:pPr>
        <w:pStyle w:val="Prrafodelista"/>
        <w:numPr>
          <w:ilvl w:val="0"/>
          <w:numId w:val="16"/>
        </w:numPr>
        <w:ind w:left="426" w:hanging="426"/>
        <w:jc w:val="both"/>
        <w:rPr>
          <w:rFonts w:ascii="Arial" w:hAnsi="Arial" w:cs="Arial"/>
          <w:sz w:val="22"/>
          <w:szCs w:val="20"/>
        </w:rPr>
      </w:pPr>
      <w:r>
        <w:rPr>
          <w:rFonts w:ascii="Arial" w:hAnsi="Arial" w:cs="Arial"/>
          <w:sz w:val="22"/>
          <w:szCs w:val="22"/>
        </w:rPr>
        <w:t xml:space="preserve">Hojas anchas: que reportó una matrícula de 409 estudiantes, </w:t>
      </w:r>
      <w:r w:rsidR="001C151E">
        <w:rPr>
          <w:rFonts w:ascii="Arial" w:hAnsi="Arial" w:cs="Arial"/>
          <w:sz w:val="22"/>
          <w:szCs w:val="22"/>
        </w:rPr>
        <w:t xml:space="preserve">de acuerdo con el parámetro técnico </w:t>
      </w:r>
      <w:r>
        <w:rPr>
          <w:rFonts w:ascii="Arial" w:hAnsi="Arial" w:cs="Arial"/>
          <w:sz w:val="22"/>
          <w:szCs w:val="22"/>
        </w:rPr>
        <w:t>no tendría asignación de coordinador, pe</w:t>
      </w:r>
      <w:r w:rsidR="001C151E">
        <w:rPr>
          <w:rFonts w:ascii="Arial" w:hAnsi="Arial" w:cs="Arial"/>
          <w:sz w:val="22"/>
          <w:szCs w:val="22"/>
        </w:rPr>
        <w:t xml:space="preserve">se a </w:t>
      </w:r>
      <w:r>
        <w:rPr>
          <w:rFonts w:ascii="Arial" w:hAnsi="Arial" w:cs="Arial"/>
          <w:sz w:val="22"/>
          <w:szCs w:val="22"/>
        </w:rPr>
        <w:t>que presenta la excepción de poseer más de 5 sedes</w:t>
      </w:r>
      <w:r w:rsidR="001C151E">
        <w:rPr>
          <w:rFonts w:ascii="Arial" w:hAnsi="Arial" w:cs="Arial"/>
          <w:sz w:val="22"/>
          <w:szCs w:val="22"/>
        </w:rPr>
        <w:t>, sin contar con al menos 500 estudiantes no</w:t>
      </w:r>
      <w:r>
        <w:rPr>
          <w:rFonts w:ascii="Arial" w:hAnsi="Arial" w:cs="Arial"/>
          <w:sz w:val="22"/>
          <w:szCs w:val="22"/>
        </w:rPr>
        <w:t xml:space="preserve"> tiene la posibilidad de que se le asigne</w:t>
      </w:r>
      <w:r w:rsidR="001C151E">
        <w:rPr>
          <w:rFonts w:ascii="Arial" w:hAnsi="Arial" w:cs="Arial"/>
          <w:sz w:val="22"/>
          <w:szCs w:val="22"/>
        </w:rPr>
        <w:t>n</w:t>
      </w:r>
      <w:r>
        <w:rPr>
          <w:rFonts w:ascii="Arial" w:hAnsi="Arial" w:cs="Arial"/>
          <w:sz w:val="22"/>
          <w:szCs w:val="22"/>
        </w:rPr>
        <w:t xml:space="preserve"> cargo</w:t>
      </w:r>
      <w:r w:rsidR="001C151E">
        <w:rPr>
          <w:rFonts w:ascii="Arial" w:hAnsi="Arial" w:cs="Arial"/>
          <w:sz w:val="22"/>
          <w:szCs w:val="22"/>
        </w:rPr>
        <w:t>s de coordinador</w:t>
      </w:r>
      <w:r>
        <w:rPr>
          <w:rFonts w:ascii="Arial" w:hAnsi="Arial" w:cs="Arial"/>
          <w:sz w:val="22"/>
          <w:szCs w:val="22"/>
        </w:rPr>
        <w:t xml:space="preserve">; no obstante, el Departamento distribuyó 3 coordinadores a esta I.E. </w:t>
      </w:r>
    </w:p>
    <w:p w14:paraId="6E2B61A7" w14:textId="77777777" w:rsidR="00DA7276" w:rsidRDefault="00DA7276" w:rsidP="008F6530">
      <w:pPr>
        <w:jc w:val="both"/>
        <w:rPr>
          <w:rFonts w:ascii="Arial" w:hAnsi="Arial" w:cs="Arial"/>
          <w:sz w:val="22"/>
          <w:szCs w:val="20"/>
        </w:rPr>
      </w:pPr>
    </w:p>
    <w:p w14:paraId="114E3DCE" w14:textId="77777777" w:rsidR="00DA7276" w:rsidRDefault="00DA7276" w:rsidP="008F6530">
      <w:pPr>
        <w:jc w:val="both"/>
        <w:rPr>
          <w:rFonts w:ascii="Arial" w:hAnsi="Arial" w:cs="Arial"/>
          <w:sz w:val="22"/>
          <w:szCs w:val="20"/>
        </w:rPr>
      </w:pPr>
      <w:r>
        <w:rPr>
          <w:rFonts w:ascii="Arial" w:hAnsi="Arial" w:cs="Arial"/>
          <w:sz w:val="22"/>
          <w:szCs w:val="20"/>
        </w:rPr>
        <w:t>Esta misma cantidad de coordinadores (3) les fue asignad</w:t>
      </w:r>
      <w:r w:rsidR="001C151E">
        <w:rPr>
          <w:rFonts w:ascii="Arial" w:hAnsi="Arial" w:cs="Arial"/>
          <w:sz w:val="22"/>
          <w:szCs w:val="20"/>
        </w:rPr>
        <w:t>a</w:t>
      </w:r>
      <w:r>
        <w:rPr>
          <w:rFonts w:ascii="Arial" w:hAnsi="Arial" w:cs="Arial"/>
          <w:sz w:val="22"/>
          <w:szCs w:val="20"/>
        </w:rPr>
        <w:t xml:space="preserve"> a las Instituciones Educativas: Los Fundadores con 1.479 estudiantes, Policarpa Salavarrieta con 1.586 estudiantes, Luis Eduardo Calvo con 956 estudiantes, entre otros; demostrando la divergencia en la asignación de coordinadores y el exceso de estos cargos dentro de la Entidad Territorial. </w:t>
      </w:r>
    </w:p>
    <w:p w14:paraId="01A5BE50" w14:textId="77777777" w:rsidR="00DA7276" w:rsidRDefault="00DA7276" w:rsidP="008F6530">
      <w:pPr>
        <w:jc w:val="both"/>
        <w:rPr>
          <w:rFonts w:ascii="Arial" w:hAnsi="Arial" w:cs="Arial"/>
          <w:sz w:val="22"/>
          <w:szCs w:val="20"/>
        </w:rPr>
      </w:pPr>
    </w:p>
    <w:p w14:paraId="4E82B890" w14:textId="77777777" w:rsidR="00DA7276" w:rsidRDefault="00DA7276" w:rsidP="008F6530">
      <w:pPr>
        <w:jc w:val="both"/>
        <w:rPr>
          <w:rFonts w:ascii="Arial" w:hAnsi="Arial" w:cs="Arial"/>
          <w:sz w:val="22"/>
          <w:szCs w:val="20"/>
        </w:rPr>
      </w:pPr>
      <w:r>
        <w:rPr>
          <w:rFonts w:ascii="Arial" w:hAnsi="Arial" w:cs="Arial"/>
          <w:sz w:val="22"/>
          <w:szCs w:val="20"/>
        </w:rPr>
        <w:t xml:space="preserve">Finalmente, la problemática expuesta previamente permite entrever las dificultades técnicas aún vigentes en el Departamento para la adecuada distribución de su planta, tanto así, que </w:t>
      </w:r>
      <w:r>
        <w:rPr>
          <w:rFonts w:ascii="Arial" w:hAnsi="Arial" w:cs="Arial"/>
          <w:sz w:val="22"/>
          <w:szCs w:val="20"/>
        </w:rPr>
        <w:lastRenderedPageBreak/>
        <w:t xml:space="preserve">no cumple con la expedición oportuna del acto administrativo, problemática que no se había presentado la vigencia anterior. </w:t>
      </w:r>
    </w:p>
    <w:p w14:paraId="07EF3A51" w14:textId="77777777" w:rsidR="00DA7276" w:rsidRDefault="00DA7276" w:rsidP="008F6530">
      <w:pPr>
        <w:jc w:val="both"/>
        <w:rPr>
          <w:rFonts w:ascii="Arial" w:eastAsia="Arial" w:hAnsi="Arial" w:cs="Arial"/>
          <w:sz w:val="22"/>
          <w:szCs w:val="22"/>
          <w:lang w:eastAsia="en-US"/>
        </w:rPr>
      </w:pPr>
    </w:p>
    <w:p w14:paraId="7F9CF7BC" w14:textId="77777777" w:rsidR="00DA7276" w:rsidRDefault="00DA7276" w:rsidP="008F6530">
      <w:pPr>
        <w:pStyle w:val="Textoindependiente"/>
        <w:ind w:left="426" w:right="194" w:hanging="426"/>
        <w:jc w:val="both"/>
        <w:rPr>
          <w:bCs/>
        </w:rPr>
      </w:pPr>
      <w:r>
        <w:rPr>
          <w:b/>
          <w:bCs/>
        </w:rPr>
        <w:t>Evaluación de la actividad:</w:t>
      </w:r>
      <w:r>
        <w:rPr>
          <w:bCs/>
        </w:rPr>
        <w:t xml:space="preserve"> No Cumple. </w:t>
      </w:r>
    </w:p>
    <w:p w14:paraId="43D8DDFC" w14:textId="77777777" w:rsidR="00DA7276" w:rsidRDefault="00DA7276" w:rsidP="008F6530">
      <w:pPr>
        <w:pStyle w:val="Textoindependiente"/>
        <w:ind w:left="426" w:right="194" w:hanging="426"/>
        <w:jc w:val="both"/>
      </w:pPr>
    </w:p>
    <w:p w14:paraId="71C8DB98"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Recomendación</w:t>
      </w:r>
    </w:p>
    <w:p w14:paraId="419D4843" w14:textId="77777777" w:rsidR="00DA7276" w:rsidRDefault="00DA7276" w:rsidP="008F6530">
      <w:pPr>
        <w:rPr>
          <w:lang w:eastAsia="en-US"/>
        </w:rPr>
      </w:pPr>
    </w:p>
    <w:p w14:paraId="49E9F780" w14:textId="77777777" w:rsidR="00DA7276" w:rsidRDefault="00DA7276" w:rsidP="008F6530">
      <w:pPr>
        <w:jc w:val="both"/>
        <w:rPr>
          <w:rFonts w:ascii="Arial" w:hAnsi="Arial" w:cs="Arial"/>
          <w:sz w:val="22"/>
          <w:szCs w:val="22"/>
        </w:rPr>
      </w:pPr>
      <w:r>
        <w:rPr>
          <w:rFonts w:ascii="Arial" w:hAnsi="Arial" w:cs="Arial"/>
          <w:sz w:val="22"/>
          <w:szCs w:val="22"/>
        </w:rPr>
        <w:t>Es de vital importancia que la administración departamental no descuide aspectos relevantes del sector educativo en los cuales no se detectó problemática alguna o por el contrario se evidenció la superación de la misma, es decir, que no reincida en los errores previamente superados, pues pese a que los informes de seguimiento evalúan las actividades por cumplir por parte del Departamento, tienen la capacidad de crear hechos sobrevinientes que generarían la instauración de nuevas actividades dentro del plan de desempeño</w:t>
      </w:r>
      <w:r w:rsidR="001C151E">
        <w:rPr>
          <w:rFonts w:ascii="Arial" w:hAnsi="Arial" w:cs="Arial"/>
          <w:sz w:val="22"/>
          <w:szCs w:val="22"/>
        </w:rPr>
        <w:t>. P</w:t>
      </w:r>
      <w:r>
        <w:rPr>
          <w:rFonts w:ascii="Arial" w:hAnsi="Arial" w:cs="Arial"/>
          <w:sz w:val="22"/>
          <w:szCs w:val="22"/>
        </w:rPr>
        <w:t xml:space="preserve">ara el tema en cuestión, se le recuerda a la administración que el plazo máximo para la emisión del acto administrativo de distribución de planta es la última semana de marzo. </w:t>
      </w:r>
    </w:p>
    <w:p w14:paraId="2FC8B614" w14:textId="77777777" w:rsidR="00DA7276" w:rsidRDefault="00DA7276" w:rsidP="008F6530">
      <w:pPr>
        <w:jc w:val="both"/>
        <w:rPr>
          <w:rFonts w:ascii="Arial" w:hAnsi="Arial" w:cs="Arial"/>
          <w:sz w:val="22"/>
          <w:szCs w:val="22"/>
        </w:rPr>
      </w:pPr>
    </w:p>
    <w:p w14:paraId="41FDE92B" w14:textId="77777777" w:rsidR="00DA7276" w:rsidRDefault="00DA7276" w:rsidP="008F6530">
      <w:pPr>
        <w:jc w:val="both"/>
        <w:rPr>
          <w:rFonts w:ascii="Arial" w:hAnsi="Arial" w:cs="Arial"/>
          <w:sz w:val="22"/>
          <w:szCs w:val="22"/>
        </w:rPr>
      </w:pPr>
      <w:r>
        <w:rPr>
          <w:rFonts w:ascii="Arial" w:hAnsi="Arial" w:cs="Arial"/>
          <w:sz w:val="22"/>
          <w:szCs w:val="22"/>
        </w:rPr>
        <w:t xml:space="preserve">Adicionalmente, en el siguiente informe de seguimiento es responsabilidad del Departamento de Quindío explicar mediante un documento las razones por las cuales distribuyó mayores coordinadores frente a los viabilizados por el MEN y como está haciendo uso de sus docentes de apoyo y orientadores, dadas las inconsistencias encontradas; igualmente, el informe debe incluir el plan de acción que llevará a cabo la administración departamental para cumplir con las condiciones planteadas por el MEN en su concepto de </w:t>
      </w:r>
      <w:proofErr w:type="spellStart"/>
      <w:r>
        <w:rPr>
          <w:rFonts w:ascii="Arial" w:hAnsi="Arial" w:cs="Arial"/>
          <w:sz w:val="22"/>
          <w:szCs w:val="22"/>
        </w:rPr>
        <w:t>viabilización</w:t>
      </w:r>
      <w:proofErr w:type="spellEnd"/>
      <w:r>
        <w:rPr>
          <w:rFonts w:ascii="Arial" w:hAnsi="Arial" w:cs="Arial"/>
          <w:sz w:val="22"/>
          <w:szCs w:val="22"/>
        </w:rPr>
        <w:t xml:space="preserve">, de manera que la distribución de la planta en la vigencia 2024 se realice de acuerdo </w:t>
      </w:r>
      <w:r w:rsidR="001C151E">
        <w:rPr>
          <w:rFonts w:ascii="Arial" w:hAnsi="Arial" w:cs="Arial"/>
          <w:sz w:val="22"/>
          <w:szCs w:val="22"/>
        </w:rPr>
        <w:t>con</w:t>
      </w:r>
      <w:r>
        <w:rPr>
          <w:rFonts w:ascii="Arial" w:hAnsi="Arial" w:cs="Arial"/>
          <w:sz w:val="22"/>
          <w:szCs w:val="22"/>
        </w:rPr>
        <w:t xml:space="preserve"> los parámetros establecidos en la ley, único requisito para el cumplimiento de esta actividad. </w:t>
      </w:r>
    </w:p>
    <w:p w14:paraId="44E6F089" w14:textId="77777777" w:rsidR="00DA7276" w:rsidRDefault="00DA7276" w:rsidP="008F6530"/>
    <w:p w14:paraId="6AA69068" w14:textId="77777777" w:rsidR="00DA7276" w:rsidRPr="001C151E" w:rsidRDefault="00DA7276" w:rsidP="008F6530">
      <w:pPr>
        <w:pStyle w:val="Ttulo3"/>
        <w:spacing w:before="0"/>
        <w:jc w:val="both"/>
        <w:rPr>
          <w:rFonts w:cs="Arial"/>
          <w:b/>
          <w:bCs/>
          <w:szCs w:val="22"/>
        </w:rPr>
      </w:pPr>
      <w:r w:rsidRPr="001C151E">
        <w:rPr>
          <w:rFonts w:ascii="Arial" w:eastAsia="Arial" w:hAnsi="Arial" w:cs="Arial"/>
          <w:b/>
          <w:bCs/>
          <w:i/>
          <w:color w:val="auto"/>
          <w:sz w:val="22"/>
        </w:rPr>
        <w:t>Actividad 2.1.2. Planear, apropiar, comprometer y pagar las obligaciones, por concepto de dotaciones de personal, en las fechas estipuladas en la normatividad vigente.</w:t>
      </w:r>
      <w:r w:rsidRPr="001C151E">
        <w:rPr>
          <w:rFonts w:cs="Arial"/>
          <w:b/>
          <w:bCs/>
          <w:szCs w:val="22"/>
        </w:rPr>
        <w:t xml:space="preserve"> </w:t>
      </w:r>
    </w:p>
    <w:p w14:paraId="12FEE16A" w14:textId="77777777" w:rsidR="00DA7276" w:rsidRDefault="00DA7276" w:rsidP="008F6530">
      <w:pPr>
        <w:jc w:val="both"/>
        <w:rPr>
          <w:rFonts w:ascii="Arial" w:hAnsi="Arial" w:cs="Arial"/>
          <w:sz w:val="22"/>
          <w:szCs w:val="22"/>
        </w:rPr>
      </w:pPr>
    </w:p>
    <w:p w14:paraId="571A6E1B" w14:textId="77777777" w:rsidR="00DA7276" w:rsidRDefault="00DA7276" w:rsidP="008F6530">
      <w:pPr>
        <w:pStyle w:val="Ttulo4"/>
        <w:spacing w:before="0"/>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Productos Esperados</w:t>
      </w:r>
    </w:p>
    <w:p w14:paraId="2BFEF068" w14:textId="77777777" w:rsidR="00DA7276" w:rsidRDefault="00DA7276" w:rsidP="008F6530">
      <w:pPr>
        <w:pStyle w:val="Prrafodelista"/>
        <w:numPr>
          <w:ilvl w:val="0"/>
          <w:numId w:val="17"/>
        </w:numPr>
        <w:ind w:left="426" w:hanging="426"/>
        <w:jc w:val="both"/>
        <w:rPr>
          <w:rFonts w:ascii="Arial" w:hAnsi="Arial" w:cs="Arial"/>
          <w:sz w:val="22"/>
          <w:szCs w:val="22"/>
        </w:rPr>
      </w:pPr>
      <w:r>
        <w:rPr>
          <w:rFonts w:ascii="Arial" w:hAnsi="Arial" w:cs="Arial"/>
          <w:sz w:val="22"/>
          <w:szCs w:val="22"/>
        </w:rPr>
        <w:t xml:space="preserve">Evidencias verificables en </w:t>
      </w:r>
      <w:bookmarkStart w:id="6" w:name="_Int_oP16YHqY"/>
      <w:r>
        <w:rPr>
          <w:rFonts w:ascii="Arial" w:hAnsi="Arial" w:cs="Arial"/>
          <w:sz w:val="22"/>
          <w:szCs w:val="22"/>
        </w:rPr>
        <w:t>SECOP</w:t>
      </w:r>
      <w:bookmarkEnd w:id="6"/>
      <w:r>
        <w:rPr>
          <w:rFonts w:ascii="Arial" w:hAnsi="Arial" w:cs="Arial"/>
          <w:sz w:val="22"/>
          <w:szCs w:val="22"/>
        </w:rPr>
        <w:t xml:space="preserve"> de los procesos adelantados para el suministro de la dotación al personal.</w:t>
      </w:r>
    </w:p>
    <w:p w14:paraId="6E597D27" w14:textId="77777777" w:rsidR="00DA7276" w:rsidRDefault="00DA7276" w:rsidP="008F6530">
      <w:pPr>
        <w:pStyle w:val="Prrafodelista"/>
        <w:numPr>
          <w:ilvl w:val="0"/>
          <w:numId w:val="17"/>
        </w:numPr>
        <w:ind w:left="426" w:hanging="426"/>
        <w:jc w:val="both"/>
        <w:rPr>
          <w:rFonts w:ascii="Arial" w:hAnsi="Arial" w:cs="Arial"/>
          <w:sz w:val="22"/>
          <w:szCs w:val="22"/>
        </w:rPr>
      </w:pPr>
      <w:r>
        <w:rPr>
          <w:rFonts w:ascii="Arial" w:hAnsi="Arial" w:cs="Arial"/>
          <w:sz w:val="22"/>
          <w:szCs w:val="22"/>
        </w:rPr>
        <w:t>Copia de los contratos de dotación</w:t>
      </w:r>
    </w:p>
    <w:p w14:paraId="7A2323EC" w14:textId="77777777" w:rsidR="00DA7276" w:rsidRDefault="00DA7276" w:rsidP="008F6530">
      <w:pPr>
        <w:pStyle w:val="Prrafodelista"/>
        <w:numPr>
          <w:ilvl w:val="0"/>
          <w:numId w:val="17"/>
        </w:numPr>
        <w:ind w:left="426" w:hanging="426"/>
        <w:jc w:val="both"/>
        <w:rPr>
          <w:rFonts w:ascii="Arial" w:hAnsi="Arial" w:cs="Arial"/>
          <w:sz w:val="22"/>
          <w:szCs w:val="22"/>
        </w:rPr>
      </w:pPr>
      <w:r>
        <w:rPr>
          <w:rFonts w:ascii="Arial" w:hAnsi="Arial" w:cs="Arial"/>
          <w:sz w:val="22"/>
          <w:szCs w:val="22"/>
        </w:rPr>
        <w:t>Informes de supervisión o interventoría que reporten la entrega de dotación al personal del sector Educativo en los plazos definidos en la Ley.</w:t>
      </w:r>
    </w:p>
    <w:p w14:paraId="3125FE29" w14:textId="77777777" w:rsidR="00DA7276" w:rsidRDefault="00DA7276" w:rsidP="008F6530">
      <w:pPr>
        <w:pStyle w:val="Prrafodelista"/>
        <w:numPr>
          <w:ilvl w:val="0"/>
          <w:numId w:val="17"/>
        </w:numPr>
        <w:ind w:left="426" w:hanging="426"/>
        <w:jc w:val="both"/>
        <w:rPr>
          <w:rFonts w:ascii="Arial" w:hAnsi="Arial" w:cs="Arial"/>
          <w:sz w:val="22"/>
          <w:szCs w:val="22"/>
        </w:rPr>
      </w:pPr>
      <w:r>
        <w:rPr>
          <w:rFonts w:ascii="Arial" w:hAnsi="Arial" w:cs="Arial"/>
          <w:sz w:val="22"/>
          <w:szCs w:val="22"/>
        </w:rPr>
        <w:t>Certificación de paz y salvo emitida por el responsable de la entidad de la entrega de la dotación, debidamente soportada con las planillas de entrega correspondiente a la vigencia actual y anteriores (si aplica).</w:t>
      </w:r>
    </w:p>
    <w:p w14:paraId="19943441" w14:textId="77777777" w:rsidR="00DA7276" w:rsidRDefault="00DA7276" w:rsidP="008F6530">
      <w:pPr>
        <w:pStyle w:val="Prrafodelista"/>
        <w:jc w:val="both"/>
        <w:rPr>
          <w:rFonts w:ascii="Arial" w:hAnsi="Arial" w:cs="Arial"/>
          <w:sz w:val="22"/>
          <w:szCs w:val="22"/>
        </w:rPr>
      </w:pPr>
    </w:p>
    <w:p w14:paraId="65A54E6B"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 xml:space="preserve">Evaluación </w:t>
      </w:r>
    </w:p>
    <w:p w14:paraId="11BE508A" w14:textId="77777777" w:rsidR="00DA7276" w:rsidRDefault="00DA7276" w:rsidP="008F6530">
      <w:pPr>
        <w:rPr>
          <w:lang w:eastAsia="en-US"/>
        </w:rPr>
      </w:pPr>
    </w:p>
    <w:p w14:paraId="4D2486AA" w14:textId="77777777" w:rsidR="00DA7276" w:rsidRDefault="00DA7276" w:rsidP="008F6530">
      <w:pPr>
        <w:autoSpaceDE w:val="0"/>
        <w:autoSpaceDN w:val="0"/>
        <w:adjustRightInd w:val="0"/>
        <w:jc w:val="both"/>
        <w:rPr>
          <w:rFonts w:ascii="Arial" w:eastAsia="Times New Roman" w:hAnsi="Arial" w:cs="Arial"/>
          <w:sz w:val="22"/>
          <w:szCs w:val="22"/>
          <w:lang w:val="es-CO"/>
        </w:rPr>
      </w:pPr>
      <w:r>
        <w:rPr>
          <w:rFonts w:ascii="Arial" w:eastAsia="Times New Roman" w:hAnsi="Arial" w:cs="Arial"/>
          <w:sz w:val="22"/>
          <w:szCs w:val="22"/>
          <w:lang w:val="es-CO"/>
        </w:rPr>
        <w:t xml:space="preserve">Para la vigencia 2022 se registraron cuatro órdenes de compra remitidas por parte de la Entidad Territorial No. 92009 por valor de $5 millones, No. 92010 por valor de $3,63 millones, No. 92011 por valor de $3,61 millones y No. 92012 por valor de $2,25 millones suscritos por la empresa </w:t>
      </w:r>
      <w:proofErr w:type="spellStart"/>
      <w:r>
        <w:rPr>
          <w:rFonts w:ascii="Arial" w:eastAsia="Times New Roman" w:hAnsi="Arial" w:cs="Arial"/>
          <w:sz w:val="22"/>
          <w:szCs w:val="22"/>
          <w:lang w:val="es-CO"/>
        </w:rPr>
        <w:t>Bacet</w:t>
      </w:r>
      <w:proofErr w:type="spellEnd"/>
      <w:r>
        <w:rPr>
          <w:rFonts w:ascii="Arial" w:eastAsia="Times New Roman" w:hAnsi="Arial" w:cs="Arial"/>
          <w:sz w:val="22"/>
          <w:szCs w:val="22"/>
          <w:lang w:val="es-CO"/>
        </w:rPr>
        <w:t xml:space="preserve"> </w:t>
      </w:r>
      <w:proofErr w:type="spellStart"/>
      <w:r>
        <w:rPr>
          <w:rFonts w:ascii="Arial" w:eastAsia="Times New Roman" w:hAnsi="Arial" w:cs="Arial"/>
          <w:sz w:val="22"/>
          <w:szCs w:val="22"/>
          <w:lang w:val="es-CO"/>
        </w:rPr>
        <w:t>group</w:t>
      </w:r>
      <w:proofErr w:type="spellEnd"/>
      <w:r>
        <w:rPr>
          <w:rFonts w:ascii="Arial" w:eastAsia="Times New Roman" w:hAnsi="Arial" w:cs="Arial"/>
          <w:sz w:val="22"/>
          <w:szCs w:val="22"/>
          <w:lang w:val="es-CO"/>
        </w:rPr>
        <w:t xml:space="preserve"> S.A.S. y emitidas el 17 de junio de 2022. Para la </w:t>
      </w:r>
      <w:r>
        <w:rPr>
          <w:rFonts w:ascii="Arial" w:eastAsia="Times New Roman" w:hAnsi="Arial" w:cs="Arial"/>
          <w:sz w:val="22"/>
          <w:szCs w:val="22"/>
          <w:lang w:val="es-CO"/>
        </w:rPr>
        <w:lastRenderedPageBreak/>
        <w:t xml:space="preserve">misma vigencia, la entidad </w:t>
      </w:r>
      <w:r w:rsidR="00EC440E">
        <w:rPr>
          <w:rFonts w:ascii="Arial" w:eastAsia="Times New Roman" w:hAnsi="Arial" w:cs="Arial"/>
          <w:sz w:val="22"/>
          <w:szCs w:val="22"/>
          <w:lang w:val="es-CO"/>
        </w:rPr>
        <w:t>elaboró</w:t>
      </w:r>
      <w:r>
        <w:rPr>
          <w:rFonts w:ascii="Arial" w:eastAsia="Times New Roman" w:hAnsi="Arial" w:cs="Arial"/>
          <w:sz w:val="22"/>
          <w:szCs w:val="22"/>
          <w:lang w:val="es-CO"/>
        </w:rPr>
        <w:t xml:space="preserve"> treinta y tres (33) actas de entrega de la primera dotación de vestido y labor correspondiente al período de enero a abril del año 2022, entregada al personal docente ubicado en las diferentes Instituciones Educativas del Departamento que devengan menos de dos salarios mínimos y que hayan prestado sus servicios mínimo 3 meses de forma ininterrumpida en la Secretaría de Educación; esta dotación se entregó a través de la Dirección Administrativa y Financiera. </w:t>
      </w:r>
    </w:p>
    <w:p w14:paraId="0D4EFB02" w14:textId="77777777" w:rsidR="00DA7276" w:rsidRDefault="00DA7276" w:rsidP="008F6530">
      <w:pPr>
        <w:autoSpaceDE w:val="0"/>
        <w:autoSpaceDN w:val="0"/>
        <w:adjustRightInd w:val="0"/>
        <w:jc w:val="both"/>
        <w:rPr>
          <w:rFonts w:ascii="Arial" w:eastAsia="Times New Roman" w:hAnsi="Arial" w:cs="Arial"/>
          <w:sz w:val="22"/>
          <w:szCs w:val="22"/>
          <w:lang w:val="es-CO"/>
        </w:rPr>
      </w:pPr>
    </w:p>
    <w:p w14:paraId="2A0027A3" w14:textId="77777777" w:rsidR="00DA7276" w:rsidRDefault="00DA7276" w:rsidP="008F6530">
      <w:pPr>
        <w:autoSpaceDE w:val="0"/>
        <w:autoSpaceDN w:val="0"/>
        <w:adjustRightInd w:val="0"/>
        <w:jc w:val="both"/>
        <w:rPr>
          <w:rFonts w:ascii="Arial" w:eastAsia="Times New Roman" w:hAnsi="Arial" w:cs="Arial"/>
          <w:sz w:val="22"/>
          <w:szCs w:val="22"/>
          <w:lang w:val="es-CO"/>
        </w:rPr>
      </w:pPr>
      <w:r>
        <w:rPr>
          <w:rFonts w:ascii="Arial" w:eastAsia="Times New Roman" w:hAnsi="Arial" w:cs="Arial"/>
          <w:sz w:val="22"/>
          <w:szCs w:val="22"/>
          <w:lang w:val="es-CO"/>
        </w:rPr>
        <w:t xml:space="preserve">Al respecto, el acta de entrega No. 68 evidencia una inconsistencia en cuanto a que no se encuentra firmada por parte del docente Héctor Fabio Marín </w:t>
      </w:r>
      <w:bookmarkStart w:id="7" w:name="_Int_Fcr7ELue"/>
      <w:proofErr w:type="spellStart"/>
      <w:r>
        <w:rPr>
          <w:rFonts w:ascii="Arial" w:eastAsia="Times New Roman" w:hAnsi="Arial" w:cs="Arial"/>
          <w:sz w:val="22"/>
          <w:szCs w:val="22"/>
          <w:lang w:val="es-CO"/>
        </w:rPr>
        <w:t>Marín</w:t>
      </w:r>
      <w:bookmarkEnd w:id="7"/>
      <w:proofErr w:type="spellEnd"/>
      <w:r>
        <w:rPr>
          <w:rFonts w:ascii="Arial" w:eastAsia="Times New Roman" w:hAnsi="Arial" w:cs="Arial"/>
          <w:sz w:val="22"/>
          <w:szCs w:val="22"/>
          <w:lang w:val="es-CO"/>
        </w:rPr>
        <w:t xml:space="preserve"> y se considera una de las dos únicas actas en las cuales se diligenció la fecha de entrega, siendo esta el 02 de septiembre, junto con el acta No. 70 con fecha del 07 de octubre</w:t>
      </w:r>
      <w:r w:rsidR="00E10A03">
        <w:rPr>
          <w:rFonts w:ascii="Arial" w:eastAsia="Times New Roman" w:hAnsi="Arial" w:cs="Arial"/>
          <w:sz w:val="22"/>
          <w:szCs w:val="22"/>
          <w:lang w:val="es-CO"/>
        </w:rPr>
        <w:t>. A</w:t>
      </w:r>
      <w:r>
        <w:rPr>
          <w:rFonts w:ascii="Arial" w:eastAsia="Times New Roman" w:hAnsi="Arial" w:cs="Arial"/>
          <w:sz w:val="22"/>
          <w:szCs w:val="22"/>
          <w:lang w:val="es-CO"/>
        </w:rPr>
        <w:t xml:space="preserve">sí, </w:t>
      </w:r>
      <w:r w:rsidR="00E10A03">
        <w:rPr>
          <w:rFonts w:ascii="Arial" w:eastAsia="Times New Roman" w:hAnsi="Arial" w:cs="Arial"/>
          <w:sz w:val="22"/>
          <w:szCs w:val="22"/>
          <w:lang w:val="es-CO"/>
        </w:rPr>
        <w:t xml:space="preserve">en </w:t>
      </w:r>
      <w:r>
        <w:rPr>
          <w:rFonts w:ascii="Arial" w:eastAsia="Times New Roman" w:hAnsi="Arial" w:cs="Arial"/>
          <w:sz w:val="22"/>
          <w:szCs w:val="22"/>
          <w:lang w:val="es-CO"/>
        </w:rPr>
        <w:t xml:space="preserve">las treinta y un (31) actas restantes no </w:t>
      </w:r>
      <w:r w:rsidR="00E10A03">
        <w:rPr>
          <w:rFonts w:ascii="Arial" w:eastAsia="Times New Roman" w:hAnsi="Arial" w:cs="Arial"/>
          <w:sz w:val="22"/>
          <w:szCs w:val="22"/>
          <w:lang w:val="es-CO"/>
        </w:rPr>
        <w:t xml:space="preserve">se </w:t>
      </w:r>
      <w:r>
        <w:rPr>
          <w:rFonts w:ascii="Arial" w:eastAsia="Times New Roman" w:hAnsi="Arial" w:cs="Arial"/>
          <w:sz w:val="22"/>
          <w:szCs w:val="22"/>
          <w:lang w:val="es-CO"/>
        </w:rPr>
        <w:t xml:space="preserve">observa la fecha de entrega de la primera dotación. No obstante, dado que las órdenes de compra fueron realizadas el 17 de junio, se </w:t>
      </w:r>
      <w:r w:rsidR="00E10A03">
        <w:rPr>
          <w:rFonts w:ascii="Arial" w:eastAsia="Times New Roman" w:hAnsi="Arial" w:cs="Arial"/>
          <w:sz w:val="22"/>
          <w:szCs w:val="22"/>
          <w:lang w:val="es-CO"/>
        </w:rPr>
        <w:t xml:space="preserve">puede </w:t>
      </w:r>
      <w:r>
        <w:rPr>
          <w:rFonts w:ascii="Arial" w:eastAsia="Times New Roman" w:hAnsi="Arial" w:cs="Arial"/>
          <w:sz w:val="22"/>
          <w:szCs w:val="22"/>
          <w:lang w:val="es-CO"/>
        </w:rPr>
        <w:t>constatar la entrega extemporánea de la primera dotación, por lo cual se recuerda a la Entidad Territorial que, de acuerdo con el artículo 2 del Decreto reglamentario 1978 de 1989</w:t>
      </w:r>
      <w:r w:rsidR="00E10A03">
        <w:rPr>
          <w:rFonts w:ascii="Arial" w:eastAsia="Times New Roman" w:hAnsi="Arial" w:cs="Arial"/>
          <w:sz w:val="22"/>
          <w:szCs w:val="22"/>
          <w:lang w:val="es-CO"/>
        </w:rPr>
        <w:t>,</w:t>
      </w:r>
      <w:r>
        <w:rPr>
          <w:rFonts w:ascii="Arial" w:eastAsia="Times New Roman" w:hAnsi="Arial" w:cs="Arial"/>
          <w:sz w:val="22"/>
          <w:szCs w:val="22"/>
          <w:lang w:val="es-CO"/>
        </w:rPr>
        <w:t xml:space="preserve"> el suministro de la dotación deberá hacerse los días 30 de abril, 30 de agosto y 30 de diciembre de cada año. </w:t>
      </w:r>
    </w:p>
    <w:p w14:paraId="62FD5C9F" w14:textId="77777777" w:rsidR="00DA7276" w:rsidRDefault="00DA7276" w:rsidP="008F6530">
      <w:pPr>
        <w:autoSpaceDE w:val="0"/>
        <w:autoSpaceDN w:val="0"/>
        <w:adjustRightInd w:val="0"/>
        <w:jc w:val="both"/>
        <w:rPr>
          <w:rFonts w:ascii="Arial" w:eastAsiaTheme="minorHAnsi" w:hAnsi="Arial" w:cs="Arial"/>
          <w:sz w:val="22"/>
          <w:szCs w:val="22"/>
          <w:lang w:val="es-CO" w:eastAsia="en-US"/>
        </w:rPr>
      </w:pPr>
    </w:p>
    <w:p w14:paraId="2CD739BF" w14:textId="77777777" w:rsidR="00DA7276" w:rsidRDefault="00DA7276" w:rsidP="008F6530">
      <w:pPr>
        <w:autoSpaceDE w:val="0"/>
        <w:autoSpaceDN w:val="0"/>
        <w:adjustRightInd w:val="0"/>
        <w:jc w:val="both"/>
        <w:rPr>
          <w:rFonts w:ascii="Arial" w:eastAsia="Times New Roman" w:hAnsi="Arial" w:cs="Arial"/>
          <w:sz w:val="22"/>
          <w:szCs w:val="22"/>
          <w:lang w:val="es-CO"/>
        </w:rPr>
      </w:pPr>
      <w:r>
        <w:rPr>
          <w:rFonts w:ascii="Arial" w:eastAsia="Times New Roman" w:hAnsi="Arial" w:cs="Arial"/>
          <w:sz w:val="22"/>
          <w:szCs w:val="22"/>
          <w:lang w:val="es-CO"/>
        </w:rPr>
        <w:t xml:space="preserve">Adicionalmente, la administración departamental allegó un oficio del 06 de marzo del 2023, en el cual se indicaba: </w:t>
      </w:r>
      <w:r>
        <w:rPr>
          <w:rFonts w:ascii="Arial" w:eastAsia="Times New Roman" w:hAnsi="Arial" w:cs="Arial"/>
          <w:i/>
          <w:iCs/>
          <w:sz w:val="22"/>
          <w:szCs w:val="22"/>
          <w:lang w:val="es-CO"/>
        </w:rPr>
        <w:t>“la Secretaría de Educación Departamental le correspondía en su condición de empleador y en cumplimiento de la normatividad vigente entregar para el año 2022 tres (3) dotaciones de vestido a 38 docentes que cumplían con las condiciones antes mencionadas y solo entregó una, la correspondiente al período de Enero a Abril de 2022 se hace necesario poner al día esta obligación; Es decir, realizar las respectivas entregas del mes de agosto y diciembre del año 2022.”</w:t>
      </w:r>
      <w:r w:rsidR="008F6530">
        <w:rPr>
          <w:rFonts w:ascii="Arial" w:eastAsia="Times New Roman" w:hAnsi="Arial" w:cs="Arial"/>
          <w:sz w:val="22"/>
          <w:szCs w:val="22"/>
          <w:lang w:val="es-CO"/>
        </w:rPr>
        <w:t xml:space="preserve"> </w:t>
      </w:r>
      <w:r>
        <w:rPr>
          <w:rFonts w:ascii="Arial" w:eastAsia="Times New Roman" w:hAnsi="Arial" w:cs="Arial"/>
          <w:sz w:val="22"/>
          <w:szCs w:val="22"/>
          <w:lang w:val="es-CO"/>
        </w:rPr>
        <w:t xml:space="preserve">Por lo tanto, a la vigencia 2023 el departamento no ha logrado cumplir a cabalidad con la entrega de la dotación del año 2022. </w:t>
      </w:r>
    </w:p>
    <w:p w14:paraId="57CF2323" w14:textId="77777777" w:rsidR="00DA7276" w:rsidRDefault="00DA7276" w:rsidP="008F6530">
      <w:pPr>
        <w:autoSpaceDE w:val="0"/>
        <w:autoSpaceDN w:val="0"/>
        <w:adjustRightInd w:val="0"/>
        <w:jc w:val="both"/>
        <w:rPr>
          <w:rFonts w:ascii="Arial" w:eastAsia="Times New Roman" w:hAnsi="Arial" w:cs="Arial"/>
          <w:sz w:val="22"/>
          <w:szCs w:val="22"/>
          <w:lang w:val="es-CO"/>
        </w:rPr>
      </w:pPr>
    </w:p>
    <w:p w14:paraId="4083CBE2" w14:textId="77777777" w:rsidR="00DA7276" w:rsidRDefault="00DA7276" w:rsidP="008F6530">
      <w:pPr>
        <w:autoSpaceDE w:val="0"/>
        <w:autoSpaceDN w:val="0"/>
        <w:adjustRightInd w:val="0"/>
        <w:jc w:val="both"/>
        <w:rPr>
          <w:rFonts w:ascii="Arial" w:eastAsia="Times New Roman" w:hAnsi="Arial" w:cs="Arial"/>
          <w:sz w:val="22"/>
          <w:szCs w:val="22"/>
          <w:lang w:val="es-CO"/>
        </w:rPr>
      </w:pPr>
      <w:r>
        <w:rPr>
          <w:rFonts w:ascii="Arial" w:eastAsia="Times New Roman" w:hAnsi="Arial" w:cs="Arial"/>
          <w:sz w:val="22"/>
          <w:szCs w:val="22"/>
          <w:lang w:val="es-CO"/>
        </w:rPr>
        <w:t>Por otro lado, la Secretaría de Educación especificó que se debían entregar en la vigencia pasada (2022) la dotación a treinta y ocho (38) docentes vinculados, no obstante, las actas de entrega anteriormente mencionadas solo evidencian la respectiva entrega de las dotaciones a los treinta y tres (33) docentes vinculados, de las cuales un acta no estaba firmada por parte del beneficiario.</w:t>
      </w:r>
    </w:p>
    <w:p w14:paraId="1B317299" w14:textId="77777777" w:rsidR="00DA7276" w:rsidRDefault="00DA7276" w:rsidP="008F6530">
      <w:pPr>
        <w:autoSpaceDE w:val="0"/>
        <w:autoSpaceDN w:val="0"/>
        <w:adjustRightInd w:val="0"/>
        <w:jc w:val="both"/>
        <w:rPr>
          <w:rFonts w:ascii="Arial" w:eastAsia="Times New Roman" w:hAnsi="Arial" w:cs="Arial"/>
          <w:sz w:val="22"/>
          <w:szCs w:val="22"/>
          <w:lang w:val="es-CO"/>
        </w:rPr>
      </w:pPr>
    </w:p>
    <w:p w14:paraId="530614B9" w14:textId="77777777" w:rsidR="00DA7276" w:rsidRDefault="00DA7276" w:rsidP="008F6530">
      <w:pPr>
        <w:autoSpaceDE w:val="0"/>
        <w:autoSpaceDN w:val="0"/>
        <w:adjustRightInd w:val="0"/>
        <w:jc w:val="both"/>
        <w:rPr>
          <w:rFonts w:ascii="Arial" w:eastAsiaTheme="minorHAnsi" w:hAnsi="Arial" w:cs="Arial"/>
          <w:sz w:val="22"/>
          <w:szCs w:val="22"/>
          <w:lang w:val="es-CO" w:eastAsia="en-US"/>
        </w:rPr>
      </w:pPr>
      <w:r>
        <w:rPr>
          <w:rFonts w:ascii="Arial" w:eastAsia="Times New Roman" w:hAnsi="Arial" w:cs="Arial"/>
          <w:sz w:val="22"/>
          <w:szCs w:val="22"/>
          <w:lang w:val="es-CO"/>
        </w:rPr>
        <w:t>Con respecto a la vigencia 2023, la Secretaría de Educación Departamental estimó la entrega correspondiente a tres (3) prendas para 117 funcionaros, de acuerdo con el oficio mencionado anteriormente; no obstante, a la fecha de elaboración de este informe no se cuenta con ningún proceso contractual vigente u órdenes de compra para la adquisición de la dotación, por lo cual, el departamento reincide en la problemática detectada.</w:t>
      </w:r>
    </w:p>
    <w:p w14:paraId="2B55DF71" w14:textId="77777777" w:rsidR="00DA7276" w:rsidRDefault="00DA7276" w:rsidP="008F6530">
      <w:pPr>
        <w:autoSpaceDE w:val="0"/>
        <w:autoSpaceDN w:val="0"/>
        <w:adjustRightInd w:val="0"/>
        <w:jc w:val="both"/>
        <w:rPr>
          <w:rFonts w:ascii="Arial" w:eastAsiaTheme="minorHAnsi" w:hAnsi="Arial" w:cs="Arial"/>
          <w:sz w:val="22"/>
          <w:szCs w:val="22"/>
          <w:lang w:val="es-CO" w:eastAsia="en-US"/>
        </w:rPr>
      </w:pPr>
    </w:p>
    <w:p w14:paraId="1869AA8D" w14:textId="77777777" w:rsidR="00DA7276" w:rsidRDefault="00DA7276" w:rsidP="008F6530">
      <w:pPr>
        <w:jc w:val="both"/>
        <w:rPr>
          <w:rFonts w:ascii="Arial" w:eastAsia="Arial" w:hAnsi="Arial" w:cs="Arial"/>
          <w:sz w:val="22"/>
          <w:szCs w:val="22"/>
        </w:rPr>
      </w:pPr>
      <w:r>
        <w:rPr>
          <w:rFonts w:ascii="Arial" w:eastAsia="Arial" w:hAnsi="Arial" w:cs="Arial"/>
          <w:b/>
          <w:sz w:val="22"/>
          <w:szCs w:val="22"/>
        </w:rPr>
        <w:t>Evaluación de la actividad</w:t>
      </w:r>
      <w:r>
        <w:rPr>
          <w:rFonts w:ascii="Arial" w:eastAsia="Arial" w:hAnsi="Arial" w:cs="Arial"/>
          <w:sz w:val="22"/>
          <w:szCs w:val="22"/>
        </w:rPr>
        <w:t>:</w:t>
      </w:r>
      <w:r>
        <w:rPr>
          <w:rFonts w:ascii="Arial" w:eastAsia="Arial" w:hAnsi="Arial" w:cs="Arial"/>
          <w:b/>
          <w:bCs/>
          <w:sz w:val="22"/>
          <w:szCs w:val="22"/>
        </w:rPr>
        <w:t xml:space="preserve"> </w:t>
      </w:r>
      <w:r>
        <w:rPr>
          <w:rFonts w:ascii="Arial" w:eastAsia="Arial" w:hAnsi="Arial" w:cs="Arial"/>
          <w:sz w:val="22"/>
          <w:szCs w:val="22"/>
        </w:rPr>
        <w:t>No cumple</w:t>
      </w:r>
    </w:p>
    <w:p w14:paraId="28C0950D" w14:textId="77777777" w:rsidR="00DA7276" w:rsidRDefault="00DA7276" w:rsidP="008F6530">
      <w:pPr>
        <w:jc w:val="both"/>
        <w:rPr>
          <w:rFonts w:ascii="Arial" w:hAnsi="Arial" w:cs="Arial"/>
          <w:color w:val="FF0000"/>
          <w:sz w:val="22"/>
          <w:szCs w:val="22"/>
          <w:lang w:eastAsia="en-US"/>
        </w:rPr>
      </w:pPr>
    </w:p>
    <w:p w14:paraId="7F22E58A"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Recomendación</w:t>
      </w:r>
    </w:p>
    <w:p w14:paraId="78CCECD2" w14:textId="77777777" w:rsidR="00DA7276" w:rsidRDefault="00DA7276" w:rsidP="008F6530">
      <w:pPr>
        <w:jc w:val="both"/>
      </w:pPr>
    </w:p>
    <w:p w14:paraId="68A620B5" w14:textId="77777777" w:rsidR="00DA7276" w:rsidRDefault="00DA7276" w:rsidP="008F6530">
      <w:pPr>
        <w:jc w:val="both"/>
        <w:rPr>
          <w:rFonts w:ascii="Arial" w:hAnsi="Arial" w:cs="Arial"/>
          <w:sz w:val="22"/>
          <w:szCs w:val="22"/>
        </w:rPr>
      </w:pPr>
      <w:r>
        <w:rPr>
          <w:rFonts w:ascii="Arial" w:eastAsiaTheme="minorHAnsi" w:hAnsi="Arial" w:cs="Arial"/>
          <w:sz w:val="22"/>
          <w:szCs w:val="22"/>
          <w:lang w:val="es-CO" w:eastAsia="en-US"/>
        </w:rPr>
        <w:t xml:space="preserve">La omisión y falta de planeación contractual de la Entidad Territorial vulnera la Ley 70 de 1988 y el Decreto reglamentario 1978 de 1989 que determina que la dotación deberá reconocerse cada cuatro (4) meses durante la respectiva vigencia fiscal. Así, la Entidad Territorial debe cumplir los elementos estipulados en la ley, la documentación remitida y </w:t>
      </w:r>
      <w:r>
        <w:rPr>
          <w:rFonts w:ascii="Arial" w:eastAsiaTheme="minorHAnsi" w:hAnsi="Arial" w:cs="Arial"/>
          <w:sz w:val="22"/>
          <w:szCs w:val="22"/>
          <w:lang w:val="es-CO" w:eastAsia="en-US"/>
        </w:rPr>
        <w:lastRenderedPageBreak/>
        <w:t xml:space="preserve">sus respectivos productos deben responder a los requerimientos solicitados </w:t>
      </w:r>
      <w:r w:rsidR="00206093">
        <w:rPr>
          <w:rFonts w:ascii="Arial" w:eastAsiaTheme="minorHAnsi" w:hAnsi="Arial" w:cs="Arial"/>
          <w:sz w:val="22"/>
          <w:szCs w:val="22"/>
          <w:lang w:val="es-CO" w:eastAsia="en-US"/>
        </w:rPr>
        <w:t xml:space="preserve">en </w:t>
      </w:r>
      <w:r>
        <w:rPr>
          <w:rFonts w:ascii="Arial" w:eastAsiaTheme="minorHAnsi" w:hAnsi="Arial" w:cs="Arial"/>
          <w:sz w:val="22"/>
          <w:szCs w:val="22"/>
          <w:lang w:val="es-CO" w:eastAsia="en-US"/>
        </w:rPr>
        <w:t>la actividad</w:t>
      </w:r>
      <w:r w:rsidR="00206093">
        <w:rPr>
          <w:rFonts w:ascii="Arial" w:eastAsiaTheme="minorHAnsi" w:hAnsi="Arial" w:cs="Arial"/>
          <w:sz w:val="22"/>
          <w:szCs w:val="22"/>
          <w:lang w:val="es-CO" w:eastAsia="en-US"/>
        </w:rPr>
        <w:t xml:space="preserve"> del Plan de Desempeño</w:t>
      </w:r>
      <w:r>
        <w:rPr>
          <w:rFonts w:ascii="Arial" w:eastAsiaTheme="minorHAnsi" w:hAnsi="Arial" w:cs="Arial"/>
          <w:sz w:val="22"/>
          <w:szCs w:val="22"/>
          <w:lang w:val="es-CO" w:eastAsia="en-US"/>
        </w:rPr>
        <w:t>, sean las e</w:t>
      </w:r>
      <w:r>
        <w:rPr>
          <w:rFonts w:ascii="Arial" w:hAnsi="Arial" w:cs="Arial"/>
          <w:sz w:val="22"/>
          <w:szCs w:val="22"/>
        </w:rPr>
        <w:t>videncias verificables en SECOP de los procesos adelantados para el suministro de la dotación al personal; las copias de los contratos de dotación y también los informes de supervisión o interventoría que reporten la entrega de dotación al personal del sector Educativo en los plazos definidos en la Ley y/u órdenes de compra de la de misma.</w:t>
      </w:r>
    </w:p>
    <w:p w14:paraId="4841B9A9" w14:textId="77777777" w:rsidR="00DA7276" w:rsidRDefault="00DA7276" w:rsidP="008F6530">
      <w:pPr>
        <w:jc w:val="both"/>
        <w:rPr>
          <w:rFonts w:ascii="Arial" w:hAnsi="Arial" w:cs="Arial"/>
          <w:sz w:val="22"/>
          <w:szCs w:val="22"/>
        </w:rPr>
      </w:pPr>
    </w:p>
    <w:p w14:paraId="1C7C768B" w14:textId="77777777" w:rsidR="00DA7276" w:rsidRDefault="00DA7276" w:rsidP="008F6530">
      <w:pPr>
        <w:jc w:val="both"/>
        <w:rPr>
          <w:rFonts w:ascii="Arial" w:hAnsi="Arial" w:cs="Arial"/>
          <w:sz w:val="22"/>
          <w:szCs w:val="22"/>
        </w:rPr>
      </w:pPr>
      <w:r>
        <w:rPr>
          <w:rFonts w:ascii="Arial" w:hAnsi="Arial" w:cs="Arial"/>
          <w:sz w:val="22"/>
          <w:szCs w:val="22"/>
        </w:rPr>
        <w:t>Adicionalmente, se le recuerda a la administración departamental que la norma no determina como requisito para la entrega efectiva de la dotación, conocer el decreto de aumento salarial para la respectiva vigencia, pues si este acto administrativo es emitido con fecha posterior a la primera entrega de la dotación, es obligación del Departamento entregar los bienes a quienes a la fecha (</w:t>
      </w:r>
      <w:r>
        <w:rPr>
          <w:rFonts w:ascii="Arial" w:eastAsia="Times New Roman" w:hAnsi="Arial" w:cs="Arial"/>
          <w:sz w:val="22"/>
          <w:szCs w:val="22"/>
          <w:lang w:val="es-CO"/>
        </w:rPr>
        <w:t xml:space="preserve">30 de abril, 30 de agosto y 30 de diciembre) cumplían con los requisitos para poseer el derecho, sin perjuicio de que una vez emitido el Decreto de aumento salarial lo pierdan, y para la segunda entrega no sean merecedores de los bienes. Por lo cual, desconocer el Decreto de aumento salarial no es justificación para la entrega extemporánea de la dotación. </w:t>
      </w:r>
    </w:p>
    <w:p w14:paraId="6DDC666B" w14:textId="77777777" w:rsidR="00DA7276" w:rsidRDefault="00DA7276" w:rsidP="008F6530">
      <w:pPr>
        <w:jc w:val="both"/>
        <w:rPr>
          <w:rFonts w:ascii="Arial" w:hAnsi="Arial" w:cs="Arial"/>
          <w:sz w:val="22"/>
          <w:szCs w:val="22"/>
        </w:rPr>
      </w:pPr>
    </w:p>
    <w:p w14:paraId="3B52125B" w14:textId="77777777" w:rsidR="00DA7276" w:rsidRDefault="00DA7276" w:rsidP="008F6530">
      <w:pPr>
        <w:jc w:val="both"/>
        <w:rPr>
          <w:rFonts w:ascii="Arial" w:hAnsi="Arial" w:cs="Arial"/>
          <w:sz w:val="22"/>
          <w:szCs w:val="22"/>
        </w:rPr>
      </w:pPr>
      <w:r>
        <w:rPr>
          <w:rStyle w:val="normaltextrun"/>
          <w:rFonts w:ascii="Arial" w:hAnsi="Arial" w:cs="Arial"/>
          <w:color w:val="000000"/>
          <w:sz w:val="22"/>
          <w:szCs w:val="22"/>
          <w:shd w:val="clear" w:color="auto" w:fill="FFFFFF"/>
        </w:rPr>
        <w:t xml:space="preserve">Finalmente, dado que la Entidad Territorial ha venido incumpliendo con la entrega de la dotación en los términos establecidos en la Ley 70 de 1988 y su Decreto reglamentario, la Dirección General de Apoyo Fiscal ha considerado que si el departamento por falta de planeación y administración del recurso para la entrega del calzado y vestuario conforme la ley, genera </w:t>
      </w:r>
      <w:r>
        <w:rPr>
          <w:rStyle w:val="findhit"/>
          <w:rFonts w:ascii="Arial" w:hAnsi="Arial" w:cs="Arial"/>
          <w:color w:val="000000"/>
          <w:sz w:val="22"/>
          <w:szCs w:val="22"/>
          <w:shd w:val="clear" w:color="auto" w:fill="FFFFFF"/>
        </w:rPr>
        <w:t>deuda</w:t>
      </w:r>
      <w:r>
        <w:rPr>
          <w:rStyle w:val="normaltextrun"/>
          <w:rFonts w:ascii="Arial" w:hAnsi="Arial" w:cs="Arial"/>
          <w:color w:val="000000"/>
          <w:sz w:val="22"/>
          <w:szCs w:val="22"/>
          <w:shd w:val="clear" w:color="auto" w:fill="FFFFFF"/>
        </w:rPr>
        <w:t>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r>
        <w:rPr>
          <w:rStyle w:val="eop"/>
          <w:color w:val="000000"/>
          <w:sz w:val="22"/>
          <w:szCs w:val="22"/>
          <w:shd w:val="clear" w:color="auto" w:fill="FFFFFF"/>
        </w:rPr>
        <w:t> </w:t>
      </w:r>
    </w:p>
    <w:p w14:paraId="5696EDB8" w14:textId="77777777" w:rsidR="00DA7276" w:rsidRDefault="00DA7276" w:rsidP="008F6530"/>
    <w:p w14:paraId="772AA2AD"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szCs w:val="22"/>
        </w:rPr>
        <w:t>Categoría 3. Actualización Del DUE (Directorio Único de Establecimientos Educativos)</w:t>
      </w:r>
    </w:p>
    <w:p w14:paraId="39AFCA33" w14:textId="77777777" w:rsidR="00DA7276" w:rsidRDefault="00DA7276" w:rsidP="008F6530">
      <w:pPr>
        <w:jc w:val="both"/>
        <w:rPr>
          <w:rFonts w:ascii="Arial" w:hAnsi="Arial" w:cs="Arial"/>
          <w:sz w:val="22"/>
          <w:szCs w:val="22"/>
          <w:lang w:eastAsia="en-US"/>
        </w:rPr>
      </w:pPr>
    </w:p>
    <w:p w14:paraId="27ECCA0A" w14:textId="77777777" w:rsidR="00DA7276" w:rsidRDefault="00DA7276" w:rsidP="008F6530">
      <w:pPr>
        <w:jc w:val="both"/>
        <w:rPr>
          <w:rFonts w:ascii="Arial" w:hAnsi="Arial" w:cs="Arial"/>
          <w:b/>
          <w:bCs/>
          <w:sz w:val="20"/>
          <w:szCs w:val="22"/>
          <w:lang w:eastAsia="en-US"/>
        </w:rPr>
      </w:pPr>
      <w:r>
        <w:rPr>
          <w:rFonts w:ascii="Arial" w:eastAsia="Arial" w:hAnsi="Arial" w:cs="Arial"/>
          <w:b/>
          <w:sz w:val="22"/>
          <w:lang w:eastAsia="en-US"/>
        </w:rPr>
        <w:t xml:space="preserve">Objetivo 3.1. </w:t>
      </w:r>
      <w:r>
        <w:rPr>
          <w:rFonts w:ascii="Arial" w:eastAsia="Arial" w:hAnsi="Arial" w:cs="Arial"/>
          <w:b/>
          <w:sz w:val="22"/>
        </w:rPr>
        <w:t>Mantener actualizados los sistemas de información del sector, de conformidad con el Directorio Único de Establecimientos educativos del Departamento</w:t>
      </w:r>
      <w:r>
        <w:rPr>
          <w:rFonts w:ascii="Arial" w:hAnsi="Arial" w:cs="Arial"/>
          <w:b/>
          <w:bCs/>
          <w:sz w:val="20"/>
          <w:szCs w:val="22"/>
          <w:lang w:eastAsia="en-US"/>
        </w:rPr>
        <w:t>.</w:t>
      </w:r>
    </w:p>
    <w:p w14:paraId="420FAE5C" w14:textId="77777777" w:rsidR="00DA7276" w:rsidRDefault="00DA7276" w:rsidP="008F6530">
      <w:pPr>
        <w:jc w:val="both"/>
        <w:rPr>
          <w:rFonts w:ascii="Arial" w:hAnsi="Arial" w:cs="Arial"/>
          <w:sz w:val="22"/>
          <w:szCs w:val="22"/>
          <w:lang w:eastAsia="en-US"/>
        </w:rPr>
      </w:pPr>
    </w:p>
    <w:p w14:paraId="6EA0D942" w14:textId="77777777" w:rsidR="00DA7276" w:rsidRPr="00206093" w:rsidRDefault="00DA7276" w:rsidP="008F6530">
      <w:pPr>
        <w:pStyle w:val="Ttulo3"/>
        <w:spacing w:before="0"/>
        <w:jc w:val="both"/>
        <w:rPr>
          <w:rFonts w:ascii="Arial" w:eastAsia="Arial" w:hAnsi="Arial" w:cs="Arial"/>
          <w:b/>
          <w:bCs/>
          <w:i/>
          <w:color w:val="auto"/>
          <w:sz w:val="22"/>
        </w:rPr>
      </w:pPr>
      <w:r w:rsidRPr="00206093">
        <w:rPr>
          <w:rFonts w:ascii="Arial" w:eastAsia="Arial" w:hAnsi="Arial" w:cs="Arial"/>
          <w:b/>
          <w:bCs/>
          <w:i/>
          <w:color w:val="auto"/>
          <w:sz w:val="22"/>
        </w:rPr>
        <w:t>Actividad 3.1.1. Expedir el acto administrativo que define el Directorio Único de Establecimientos Educativos de la entidad territorial, para sincronizar y depurar la información reportada en los sistemas de información del sector.</w:t>
      </w:r>
    </w:p>
    <w:p w14:paraId="2BBBB103" w14:textId="77777777" w:rsidR="00DA7276" w:rsidRDefault="00DA7276" w:rsidP="008F6530">
      <w:pPr>
        <w:jc w:val="both"/>
        <w:rPr>
          <w:rFonts w:ascii="Arial" w:hAnsi="Arial" w:cs="Arial"/>
          <w:sz w:val="22"/>
          <w:szCs w:val="22"/>
          <w:lang w:eastAsia="en-US"/>
        </w:rPr>
      </w:pPr>
    </w:p>
    <w:p w14:paraId="5A8299A1" w14:textId="77777777" w:rsidR="00DA7276" w:rsidRDefault="00DA7276" w:rsidP="008F6530">
      <w:pPr>
        <w:pStyle w:val="Ttulo4"/>
        <w:spacing w:before="0"/>
        <w:jc w:val="both"/>
        <w:rPr>
          <w:rFonts w:ascii="Arial" w:hAnsi="Arial" w:cs="Arial"/>
          <w:sz w:val="22"/>
          <w:szCs w:val="22"/>
          <w:lang w:eastAsia="en-US"/>
        </w:rPr>
      </w:pPr>
      <w:r>
        <w:rPr>
          <w:rFonts w:ascii="Arial" w:eastAsia="MS Mincho" w:hAnsi="Arial" w:cs="Arial"/>
          <w:bCs/>
          <w:i w:val="0"/>
          <w:iCs w:val="0"/>
          <w:color w:val="auto"/>
          <w:sz w:val="22"/>
          <w:szCs w:val="22"/>
          <w:u w:val="single"/>
        </w:rPr>
        <w:t>Productos esperados</w:t>
      </w:r>
    </w:p>
    <w:p w14:paraId="5F4C91A6" w14:textId="77777777" w:rsidR="00DA7276" w:rsidRDefault="00DA7276" w:rsidP="008F6530">
      <w:pPr>
        <w:pStyle w:val="Prrafodelista"/>
        <w:numPr>
          <w:ilvl w:val="0"/>
          <w:numId w:val="18"/>
        </w:numPr>
        <w:ind w:left="426" w:hanging="426"/>
        <w:jc w:val="both"/>
        <w:rPr>
          <w:rFonts w:ascii="Arial" w:hAnsi="Arial" w:cs="Arial"/>
          <w:sz w:val="22"/>
          <w:szCs w:val="22"/>
          <w:lang w:eastAsia="en-US"/>
        </w:rPr>
      </w:pPr>
      <w:r>
        <w:rPr>
          <w:rFonts w:ascii="Arial" w:hAnsi="Arial" w:cs="Arial"/>
          <w:sz w:val="22"/>
          <w:szCs w:val="22"/>
          <w:lang w:eastAsia="en-US"/>
        </w:rPr>
        <w:t>Acto administrativo de definición del Directorio Único de Establecimientos - DUE.</w:t>
      </w:r>
    </w:p>
    <w:p w14:paraId="177C772E" w14:textId="77777777" w:rsidR="00DA7276" w:rsidRDefault="00DA7276" w:rsidP="008F6530">
      <w:pPr>
        <w:pStyle w:val="Prrafodelista"/>
        <w:numPr>
          <w:ilvl w:val="0"/>
          <w:numId w:val="18"/>
        </w:numPr>
        <w:ind w:left="426" w:hanging="426"/>
        <w:jc w:val="both"/>
        <w:rPr>
          <w:rFonts w:ascii="Arial" w:hAnsi="Arial" w:cs="Arial"/>
          <w:sz w:val="22"/>
          <w:szCs w:val="22"/>
          <w:lang w:eastAsia="en-US"/>
        </w:rPr>
      </w:pPr>
      <w:r>
        <w:rPr>
          <w:rFonts w:ascii="Arial" w:hAnsi="Arial" w:cs="Arial"/>
          <w:sz w:val="22"/>
          <w:szCs w:val="22"/>
          <w:lang w:eastAsia="en-US"/>
        </w:rPr>
        <w:t>Reporte generado desde los sistemas de información (SIMAT, HUMANO, SIFSE, SINEB, otros) donde se evidencie la actualización.</w:t>
      </w:r>
    </w:p>
    <w:p w14:paraId="1CF4EC71" w14:textId="77777777" w:rsidR="00DA7276" w:rsidRDefault="00DA7276" w:rsidP="008F6530">
      <w:pPr>
        <w:pStyle w:val="Prrafodelista"/>
        <w:numPr>
          <w:ilvl w:val="0"/>
          <w:numId w:val="18"/>
        </w:numPr>
        <w:ind w:left="426" w:hanging="426"/>
        <w:jc w:val="both"/>
        <w:rPr>
          <w:rFonts w:ascii="Arial" w:hAnsi="Arial" w:cs="Arial"/>
          <w:sz w:val="22"/>
          <w:szCs w:val="22"/>
          <w:lang w:eastAsia="en-US"/>
        </w:rPr>
      </w:pPr>
      <w:r>
        <w:rPr>
          <w:rFonts w:ascii="Arial" w:hAnsi="Arial" w:cs="Arial"/>
          <w:sz w:val="22"/>
          <w:szCs w:val="22"/>
          <w:lang w:eastAsia="en-US"/>
        </w:rPr>
        <w:t>Acto administrativo de distribución de planta.</w:t>
      </w:r>
    </w:p>
    <w:p w14:paraId="7B1F5E86" w14:textId="77777777" w:rsidR="00DA7276" w:rsidRDefault="00DA7276" w:rsidP="008F6530">
      <w:pPr>
        <w:pStyle w:val="Prrafodelista"/>
        <w:numPr>
          <w:ilvl w:val="0"/>
          <w:numId w:val="18"/>
        </w:numPr>
        <w:ind w:left="426" w:hanging="426"/>
        <w:jc w:val="both"/>
        <w:rPr>
          <w:rFonts w:ascii="Arial" w:hAnsi="Arial" w:cs="Arial"/>
          <w:sz w:val="22"/>
          <w:szCs w:val="22"/>
          <w:lang w:eastAsia="en-US"/>
        </w:rPr>
      </w:pPr>
      <w:r>
        <w:rPr>
          <w:rFonts w:ascii="Arial" w:hAnsi="Arial" w:cs="Arial"/>
          <w:sz w:val="22"/>
          <w:szCs w:val="22"/>
          <w:lang w:eastAsia="en-US"/>
        </w:rPr>
        <w:t xml:space="preserve">Reporte comparativo de acto administrativo DUE, Vs. reportes generado desde los sistemas DUE, SIMAT, HUMANO, SIFSE y </w:t>
      </w:r>
      <w:bookmarkStart w:id="8" w:name="_Int_w8HPbZvL"/>
      <w:r>
        <w:rPr>
          <w:rFonts w:ascii="Arial" w:hAnsi="Arial" w:cs="Arial"/>
          <w:sz w:val="22"/>
          <w:szCs w:val="22"/>
          <w:lang w:eastAsia="en-US"/>
        </w:rPr>
        <w:t>FUC</w:t>
      </w:r>
      <w:bookmarkEnd w:id="8"/>
      <w:r>
        <w:rPr>
          <w:rFonts w:ascii="Arial" w:hAnsi="Arial" w:cs="Arial"/>
          <w:sz w:val="22"/>
          <w:szCs w:val="22"/>
          <w:lang w:eastAsia="en-US"/>
        </w:rPr>
        <w:t xml:space="preserve"> en cuanto a los establecimientos educativos oficiales.</w:t>
      </w:r>
    </w:p>
    <w:p w14:paraId="7D7A32B6" w14:textId="77777777" w:rsidR="00DA7276" w:rsidRDefault="00DA7276" w:rsidP="008F6530">
      <w:pPr>
        <w:pStyle w:val="Prrafodelista"/>
        <w:numPr>
          <w:ilvl w:val="0"/>
          <w:numId w:val="18"/>
        </w:numPr>
        <w:ind w:left="426" w:hanging="426"/>
        <w:jc w:val="both"/>
        <w:rPr>
          <w:rFonts w:ascii="Arial" w:hAnsi="Arial" w:cs="Arial"/>
          <w:sz w:val="22"/>
          <w:szCs w:val="22"/>
          <w:lang w:eastAsia="en-US"/>
        </w:rPr>
      </w:pPr>
      <w:r>
        <w:rPr>
          <w:rFonts w:ascii="Arial" w:hAnsi="Arial" w:cs="Arial"/>
          <w:sz w:val="22"/>
          <w:szCs w:val="22"/>
          <w:lang w:eastAsia="en-US"/>
        </w:rPr>
        <w:lastRenderedPageBreak/>
        <w:t>Acto administrativo de distribución de planta.</w:t>
      </w:r>
    </w:p>
    <w:p w14:paraId="53F87005" w14:textId="77777777" w:rsidR="00DA7276" w:rsidRDefault="00DA7276" w:rsidP="008F6530">
      <w:pPr>
        <w:pStyle w:val="Prrafodelista"/>
        <w:ind w:left="360"/>
        <w:jc w:val="both"/>
        <w:rPr>
          <w:rFonts w:ascii="Arial" w:hAnsi="Arial" w:cs="Arial"/>
          <w:sz w:val="22"/>
          <w:szCs w:val="22"/>
          <w:lang w:eastAsia="en-US"/>
        </w:rPr>
      </w:pPr>
    </w:p>
    <w:p w14:paraId="7CEE4C0D"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 xml:space="preserve">Evaluación </w:t>
      </w:r>
    </w:p>
    <w:p w14:paraId="5CE87F90" w14:textId="77777777" w:rsidR="00DA7276" w:rsidRDefault="00DA7276" w:rsidP="008F6530">
      <w:pPr>
        <w:rPr>
          <w:lang w:eastAsia="en-US"/>
        </w:rPr>
      </w:pPr>
    </w:p>
    <w:p w14:paraId="5E72A66E" w14:textId="77777777" w:rsidR="00DA7276" w:rsidRDefault="00DA7276" w:rsidP="008F6530">
      <w:pPr>
        <w:jc w:val="both"/>
        <w:rPr>
          <w:rFonts w:ascii="Arial" w:hAnsi="Arial" w:cs="Arial"/>
          <w:sz w:val="22"/>
          <w:szCs w:val="22"/>
          <w:lang w:eastAsia="en-US"/>
        </w:rPr>
      </w:pPr>
      <w:r>
        <w:rPr>
          <w:rFonts w:ascii="Arial" w:hAnsi="Arial" w:cs="Arial"/>
          <w:sz w:val="22"/>
          <w:szCs w:val="22"/>
          <w:lang w:eastAsia="en-US"/>
        </w:rPr>
        <w:t>La Entidad Territorial remit</w:t>
      </w:r>
      <w:r w:rsidR="00206093">
        <w:rPr>
          <w:rFonts w:ascii="Arial" w:hAnsi="Arial" w:cs="Arial"/>
          <w:sz w:val="22"/>
          <w:szCs w:val="22"/>
          <w:lang w:eastAsia="en-US"/>
        </w:rPr>
        <w:t>ió</w:t>
      </w:r>
      <w:r>
        <w:rPr>
          <w:rFonts w:ascii="Arial" w:hAnsi="Arial" w:cs="Arial"/>
          <w:sz w:val="22"/>
          <w:szCs w:val="22"/>
          <w:lang w:eastAsia="en-US"/>
        </w:rPr>
        <w:t xml:space="preserve"> la Resolución No. 07306 del 01 de marzo de 2022 </w:t>
      </w:r>
      <w:r>
        <w:rPr>
          <w:rFonts w:ascii="Arial" w:hAnsi="Arial" w:cs="Arial"/>
          <w:i/>
          <w:sz w:val="22"/>
          <w:szCs w:val="22"/>
          <w:lang w:eastAsia="en-US"/>
        </w:rPr>
        <w:t xml:space="preserve">“Por medio del cual se actualiza el directorio único de establecimientos educativos oficiales (DUE) del departamento del Quindío vigencia escolar 2022”. </w:t>
      </w:r>
      <w:r>
        <w:rPr>
          <w:rFonts w:ascii="Arial" w:hAnsi="Arial" w:cs="Arial"/>
          <w:sz w:val="22"/>
          <w:szCs w:val="22"/>
          <w:lang w:eastAsia="en-US"/>
        </w:rPr>
        <w:t xml:space="preserve">En esta se establecen un total de 54 instituciones educativas activas en el Departamento en 11 municipios. </w:t>
      </w:r>
    </w:p>
    <w:p w14:paraId="6F67B21C" w14:textId="77777777" w:rsidR="00DA7276" w:rsidRDefault="00DA7276" w:rsidP="008F6530">
      <w:pPr>
        <w:jc w:val="both"/>
        <w:rPr>
          <w:rFonts w:ascii="Arial" w:hAnsi="Arial" w:cs="Arial"/>
          <w:sz w:val="22"/>
          <w:szCs w:val="22"/>
          <w:lang w:eastAsia="en-US"/>
        </w:rPr>
      </w:pPr>
    </w:p>
    <w:p w14:paraId="7828C871" w14:textId="77777777" w:rsidR="00DA7276" w:rsidRDefault="00DA7276" w:rsidP="008F6530">
      <w:pPr>
        <w:jc w:val="both"/>
        <w:rPr>
          <w:rFonts w:ascii="Arial" w:hAnsi="Arial" w:cs="Arial"/>
          <w:sz w:val="22"/>
          <w:szCs w:val="22"/>
        </w:rPr>
      </w:pPr>
      <w:r>
        <w:rPr>
          <w:rFonts w:ascii="Arial" w:hAnsi="Arial" w:cs="Arial"/>
          <w:sz w:val="22"/>
          <w:szCs w:val="22"/>
          <w:lang w:eastAsia="en-US"/>
        </w:rPr>
        <w:t xml:space="preserve">Pese a que las instituciones educativas son consistentes entre la Resolución No. 07306 de 2022, el Decreto </w:t>
      </w:r>
      <w:r>
        <w:rPr>
          <w:rFonts w:ascii="Arial" w:hAnsi="Arial" w:cs="Arial"/>
          <w:sz w:val="22"/>
          <w:szCs w:val="22"/>
        </w:rPr>
        <w:t xml:space="preserve">No. 359 de 2023 –distribución de la planta- y el anexo 6A del SIMAT. Las validaciones realizadas por el Ministerio de Educación Nacional y allegadas a esta dirección mediante los oficios con radicados No. 1-2023-036608 y 1-2023-036593 del 3 de mayo de 2023, se presentan los siguientes errores a octubre del 2022: </w:t>
      </w:r>
    </w:p>
    <w:p w14:paraId="4F9E8306" w14:textId="77777777" w:rsidR="00DA7276" w:rsidRDefault="00DA7276" w:rsidP="008F6530">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08"/>
        <w:gridCol w:w="6532"/>
        <w:gridCol w:w="878"/>
      </w:tblGrid>
      <w:tr w:rsidR="00DA7276" w14:paraId="3F427D4D" w14:textId="77777777" w:rsidTr="008F6530">
        <w:trPr>
          <w:trHeight w:val="20"/>
        </w:trPr>
        <w:tc>
          <w:tcPr>
            <w:tcW w:w="5000" w:type="pct"/>
            <w:gridSpan w:val="3"/>
            <w:tcBorders>
              <w:top w:val="single" w:sz="8" w:space="0" w:color="auto"/>
              <w:left w:val="single" w:sz="8" w:space="0" w:color="auto"/>
              <w:bottom w:val="single" w:sz="4" w:space="0" w:color="auto"/>
              <w:right w:val="single" w:sz="8" w:space="0" w:color="000000"/>
            </w:tcBorders>
            <w:shd w:val="clear" w:color="auto" w:fill="244061"/>
            <w:vAlign w:val="center"/>
            <w:hideMark/>
          </w:tcPr>
          <w:p w14:paraId="0F154D48"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VALIDACIONES DUE POR EL MINISTERIO DE EDUCACIÓN NACIONAL</w:t>
            </w:r>
          </w:p>
        </w:tc>
      </w:tr>
      <w:tr w:rsidR="00DA7276" w14:paraId="64ADAC37" w14:textId="77777777" w:rsidTr="008F6530">
        <w:trPr>
          <w:trHeight w:val="20"/>
        </w:trPr>
        <w:tc>
          <w:tcPr>
            <w:tcW w:w="798"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74CDCB03"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p w14:paraId="15F21C57"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Validación </w:t>
            </w:r>
          </w:p>
        </w:tc>
        <w:tc>
          <w:tcPr>
            <w:tcW w:w="3704"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0435FEF7"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p w14:paraId="2682F68A"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Concepto de la validación </w:t>
            </w:r>
          </w:p>
        </w:tc>
        <w:tc>
          <w:tcPr>
            <w:tcW w:w="498"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0938D770"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No. Datos inválidos </w:t>
            </w:r>
          </w:p>
        </w:tc>
      </w:tr>
      <w:tr w:rsidR="00DA7276" w14:paraId="5AB0C46A" w14:textId="77777777" w:rsidTr="008F6530">
        <w:trPr>
          <w:trHeight w:val="276"/>
        </w:trPr>
        <w:tc>
          <w:tcPr>
            <w:tcW w:w="798" w:type="pct"/>
            <w:vMerge w:val="restart"/>
            <w:tcBorders>
              <w:top w:val="single" w:sz="4" w:space="0" w:color="auto"/>
              <w:left w:val="single" w:sz="8" w:space="0" w:color="auto"/>
              <w:bottom w:val="single" w:sz="8" w:space="0" w:color="000000"/>
              <w:right w:val="single" w:sz="8" w:space="0" w:color="auto"/>
            </w:tcBorders>
            <w:vAlign w:val="center"/>
            <w:hideMark/>
          </w:tcPr>
          <w:p w14:paraId="75B4B39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1 </w:t>
            </w:r>
          </w:p>
        </w:tc>
        <w:tc>
          <w:tcPr>
            <w:tcW w:w="3704" w:type="pct"/>
            <w:vMerge w:val="restart"/>
            <w:tcBorders>
              <w:top w:val="single" w:sz="4" w:space="0" w:color="auto"/>
              <w:left w:val="single" w:sz="8" w:space="0" w:color="auto"/>
              <w:bottom w:val="single" w:sz="8" w:space="0" w:color="000000"/>
              <w:right w:val="single" w:sz="8" w:space="0" w:color="auto"/>
            </w:tcBorders>
            <w:vAlign w:val="center"/>
            <w:hideMark/>
          </w:tcPr>
          <w:p w14:paraId="305A7A21"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las sedes activas en el DUE que no reportan información de matrícula (estudiantes) en SIMAT y/o planta (Docentes y Directivos Docentes) en el sistema HUMANO. </w:t>
            </w:r>
          </w:p>
        </w:tc>
        <w:tc>
          <w:tcPr>
            <w:tcW w:w="498" w:type="pct"/>
            <w:vMerge w:val="restart"/>
            <w:tcBorders>
              <w:top w:val="single" w:sz="4" w:space="0" w:color="auto"/>
              <w:left w:val="single" w:sz="8" w:space="0" w:color="auto"/>
              <w:bottom w:val="single" w:sz="8" w:space="0" w:color="000000"/>
              <w:right w:val="single" w:sz="8" w:space="0" w:color="auto"/>
            </w:tcBorders>
            <w:vAlign w:val="center"/>
            <w:hideMark/>
          </w:tcPr>
          <w:p w14:paraId="1A0C088D"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22</w:t>
            </w:r>
          </w:p>
        </w:tc>
      </w:tr>
      <w:tr w:rsidR="00DA7276" w14:paraId="292108D8" w14:textId="77777777" w:rsidTr="008F6530">
        <w:trPr>
          <w:trHeight w:val="276"/>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4A6C0361"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CCA7728"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6E4A07FB" w14:textId="77777777" w:rsidR="00DA7276" w:rsidRDefault="00DA7276" w:rsidP="008F6530">
            <w:pPr>
              <w:rPr>
                <w:rFonts w:ascii="Arial" w:eastAsia="Times New Roman" w:hAnsi="Arial" w:cs="Arial"/>
                <w:b/>
                <w:bCs/>
                <w:color w:val="000000"/>
                <w:sz w:val="16"/>
                <w:szCs w:val="16"/>
                <w:lang w:val="es-CO" w:eastAsia="es-CO"/>
              </w:rPr>
            </w:pPr>
          </w:p>
        </w:tc>
      </w:tr>
      <w:tr w:rsidR="00DA7276" w14:paraId="31A24E53"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735D063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2 </w:t>
            </w:r>
          </w:p>
        </w:tc>
        <w:tc>
          <w:tcPr>
            <w:tcW w:w="3704" w:type="pct"/>
            <w:vMerge w:val="restart"/>
            <w:tcBorders>
              <w:top w:val="nil"/>
              <w:left w:val="single" w:sz="8" w:space="0" w:color="auto"/>
              <w:bottom w:val="single" w:sz="8" w:space="0" w:color="000000"/>
              <w:right w:val="single" w:sz="8" w:space="0" w:color="auto"/>
            </w:tcBorders>
            <w:vAlign w:val="center"/>
            <w:hideMark/>
          </w:tcPr>
          <w:p w14:paraId="52C4F560"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las sedes activas reportadas tanto en el sistema Humano y en el DUE en donde no coincide la zona o no la reporta </w:t>
            </w:r>
          </w:p>
        </w:tc>
        <w:tc>
          <w:tcPr>
            <w:tcW w:w="498" w:type="pct"/>
            <w:vMerge w:val="restart"/>
            <w:tcBorders>
              <w:top w:val="nil"/>
              <w:left w:val="single" w:sz="8" w:space="0" w:color="auto"/>
              <w:bottom w:val="single" w:sz="8" w:space="0" w:color="000000"/>
              <w:right w:val="single" w:sz="8" w:space="0" w:color="auto"/>
            </w:tcBorders>
            <w:vAlign w:val="center"/>
            <w:hideMark/>
          </w:tcPr>
          <w:p w14:paraId="69064C19"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6389A975"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3AA38791"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E948F1B"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442D8F3" w14:textId="77777777" w:rsidR="00DA7276" w:rsidRDefault="00DA7276" w:rsidP="008F6530">
            <w:pPr>
              <w:rPr>
                <w:rFonts w:ascii="Arial" w:eastAsia="Times New Roman" w:hAnsi="Arial" w:cs="Arial"/>
                <w:b/>
                <w:bCs/>
                <w:color w:val="000000"/>
                <w:sz w:val="16"/>
                <w:szCs w:val="16"/>
                <w:lang w:val="es-CO" w:eastAsia="es-CO"/>
              </w:rPr>
            </w:pPr>
          </w:p>
        </w:tc>
      </w:tr>
      <w:tr w:rsidR="00DA7276" w14:paraId="3EC57A4F"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3336DCC6"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3 </w:t>
            </w:r>
          </w:p>
        </w:tc>
        <w:tc>
          <w:tcPr>
            <w:tcW w:w="3704" w:type="pct"/>
            <w:vMerge w:val="restart"/>
            <w:tcBorders>
              <w:top w:val="nil"/>
              <w:left w:val="single" w:sz="8" w:space="0" w:color="auto"/>
              <w:bottom w:val="single" w:sz="8" w:space="0" w:color="000000"/>
              <w:right w:val="single" w:sz="8" w:space="0" w:color="auto"/>
            </w:tcBorders>
            <w:vAlign w:val="center"/>
            <w:hideMark/>
          </w:tcPr>
          <w:p w14:paraId="5AC067A7"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las sedes activas en el sistema de información DUE que no registran matrícula (Estudiantes) en SIMAT </w:t>
            </w:r>
          </w:p>
        </w:tc>
        <w:tc>
          <w:tcPr>
            <w:tcW w:w="498" w:type="pct"/>
            <w:vMerge w:val="restart"/>
            <w:tcBorders>
              <w:top w:val="nil"/>
              <w:left w:val="single" w:sz="8" w:space="0" w:color="auto"/>
              <w:bottom w:val="single" w:sz="8" w:space="0" w:color="000000"/>
              <w:right w:val="single" w:sz="8" w:space="0" w:color="auto"/>
            </w:tcBorders>
            <w:vAlign w:val="center"/>
            <w:hideMark/>
          </w:tcPr>
          <w:p w14:paraId="225555B3"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w:t>
            </w:r>
          </w:p>
        </w:tc>
      </w:tr>
      <w:tr w:rsidR="00DA7276" w14:paraId="1475DFA3"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38F21113"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985E0B7"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00AAC03" w14:textId="77777777" w:rsidR="00DA7276" w:rsidRDefault="00DA7276" w:rsidP="008F6530">
            <w:pPr>
              <w:rPr>
                <w:rFonts w:ascii="Arial" w:eastAsia="Times New Roman" w:hAnsi="Arial" w:cs="Arial"/>
                <w:b/>
                <w:bCs/>
                <w:color w:val="000000"/>
                <w:sz w:val="16"/>
                <w:szCs w:val="16"/>
                <w:lang w:val="es-CO" w:eastAsia="es-CO"/>
              </w:rPr>
            </w:pPr>
          </w:p>
        </w:tc>
      </w:tr>
      <w:tr w:rsidR="00DA7276" w14:paraId="757403E1"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09111CF3"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4 </w:t>
            </w:r>
          </w:p>
        </w:tc>
        <w:tc>
          <w:tcPr>
            <w:tcW w:w="3704" w:type="pct"/>
            <w:vMerge w:val="restart"/>
            <w:tcBorders>
              <w:top w:val="nil"/>
              <w:left w:val="single" w:sz="8" w:space="0" w:color="auto"/>
              <w:bottom w:val="single" w:sz="8" w:space="0" w:color="000000"/>
              <w:right w:val="single" w:sz="8" w:space="0" w:color="auto"/>
            </w:tcBorders>
            <w:vAlign w:val="center"/>
            <w:hideMark/>
          </w:tcPr>
          <w:p w14:paraId="70905A9C"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las sedes activas en HUMANO que no registran matrícula (Estudiantes) en SIMAT y tienen docentes asignados. </w:t>
            </w:r>
          </w:p>
        </w:tc>
        <w:tc>
          <w:tcPr>
            <w:tcW w:w="498" w:type="pct"/>
            <w:vMerge w:val="restart"/>
            <w:tcBorders>
              <w:top w:val="nil"/>
              <w:left w:val="single" w:sz="8" w:space="0" w:color="auto"/>
              <w:bottom w:val="single" w:sz="8" w:space="0" w:color="000000"/>
              <w:right w:val="single" w:sz="8" w:space="0" w:color="auto"/>
            </w:tcBorders>
            <w:vAlign w:val="center"/>
            <w:hideMark/>
          </w:tcPr>
          <w:p w14:paraId="6CF105AF"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288F602E"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7EC5D1EF"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613C021"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EBE60AB" w14:textId="77777777" w:rsidR="00DA7276" w:rsidRDefault="00DA7276" w:rsidP="008F6530">
            <w:pPr>
              <w:rPr>
                <w:rFonts w:ascii="Arial" w:eastAsia="Times New Roman" w:hAnsi="Arial" w:cs="Arial"/>
                <w:b/>
                <w:bCs/>
                <w:color w:val="000000"/>
                <w:sz w:val="16"/>
                <w:szCs w:val="16"/>
                <w:lang w:val="es-CO" w:eastAsia="es-CO"/>
              </w:rPr>
            </w:pPr>
          </w:p>
        </w:tc>
      </w:tr>
      <w:tr w:rsidR="00DA7276" w14:paraId="5A748E29"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1F69994F"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5 </w:t>
            </w:r>
          </w:p>
        </w:tc>
        <w:tc>
          <w:tcPr>
            <w:tcW w:w="3704" w:type="pct"/>
            <w:vMerge w:val="restart"/>
            <w:tcBorders>
              <w:top w:val="nil"/>
              <w:left w:val="single" w:sz="8" w:space="0" w:color="auto"/>
              <w:bottom w:val="single" w:sz="8" w:space="0" w:color="000000"/>
              <w:right w:val="single" w:sz="8" w:space="0" w:color="auto"/>
            </w:tcBorders>
            <w:vAlign w:val="center"/>
            <w:hideMark/>
          </w:tcPr>
          <w:p w14:paraId="312B21F3"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las sedes activas en el sistema HUMANO que tienen más de un establecimiento educativo asociado </w:t>
            </w:r>
          </w:p>
        </w:tc>
        <w:tc>
          <w:tcPr>
            <w:tcW w:w="498" w:type="pct"/>
            <w:vMerge w:val="restart"/>
            <w:tcBorders>
              <w:top w:val="nil"/>
              <w:left w:val="single" w:sz="8" w:space="0" w:color="auto"/>
              <w:bottom w:val="single" w:sz="8" w:space="0" w:color="000000"/>
              <w:right w:val="single" w:sz="8" w:space="0" w:color="auto"/>
            </w:tcBorders>
            <w:vAlign w:val="center"/>
            <w:hideMark/>
          </w:tcPr>
          <w:p w14:paraId="5EC22E3C"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w:t>
            </w:r>
          </w:p>
        </w:tc>
      </w:tr>
      <w:tr w:rsidR="00DA7276" w14:paraId="5ABE695B"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447E96FB"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772FE17"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18A8935" w14:textId="77777777" w:rsidR="00DA7276" w:rsidRDefault="00DA7276" w:rsidP="008F6530">
            <w:pPr>
              <w:rPr>
                <w:rFonts w:ascii="Arial" w:eastAsia="Times New Roman" w:hAnsi="Arial" w:cs="Arial"/>
                <w:b/>
                <w:bCs/>
                <w:color w:val="000000"/>
                <w:sz w:val="16"/>
                <w:szCs w:val="16"/>
                <w:lang w:val="es-CO" w:eastAsia="es-CO"/>
              </w:rPr>
            </w:pPr>
          </w:p>
        </w:tc>
      </w:tr>
      <w:tr w:rsidR="00DA7276" w14:paraId="4E0EA885"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55DC9D40"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6 </w:t>
            </w:r>
          </w:p>
        </w:tc>
        <w:tc>
          <w:tcPr>
            <w:tcW w:w="3704" w:type="pct"/>
            <w:vMerge w:val="restart"/>
            <w:tcBorders>
              <w:top w:val="nil"/>
              <w:left w:val="single" w:sz="8" w:space="0" w:color="auto"/>
              <w:bottom w:val="single" w:sz="8" w:space="0" w:color="000000"/>
              <w:right w:val="single" w:sz="8" w:space="0" w:color="auto"/>
            </w:tcBorders>
            <w:vAlign w:val="center"/>
            <w:hideMark/>
          </w:tcPr>
          <w:p w14:paraId="0B898E40"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Compara la estructura - código DANE Sede y código DANE Establecimiento - del DUE contra la estructura del código DANE Sede y código DANE Establecimiento – del sistema HUMANO. </w:t>
            </w:r>
          </w:p>
        </w:tc>
        <w:tc>
          <w:tcPr>
            <w:tcW w:w="498" w:type="pct"/>
            <w:vMerge w:val="restart"/>
            <w:tcBorders>
              <w:top w:val="nil"/>
              <w:left w:val="single" w:sz="8" w:space="0" w:color="auto"/>
              <w:bottom w:val="single" w:sz="8" w:space="0" w:color="000000"/>
              <w:right w:val="single" w:sz="8" w:space="0" w:color="auto"/>
            </w:tcBorders>
            <w:vAlign w:val="center"/>
            <w:hideMark/>
          </w:tcPr>
          <w:p w14:paraId="3722D33D"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16338E0B"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2363DC98"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9128ABC"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612E21" w14:textId="77777777" w:rsidR="00DA7276" w:rsidRDefault="00DA7276" w:rsidP="008F6530">
            <w:pPr>
              <w:rPr>
                <w:rFonts w:ascii="Arial" w:eastAsia="Times New Roman" w:hAnsi="Arial" w:cs="Arial"/>
                <w:b/>
                <w:bCs/>
                <w:color w:val="000000"/>
                <w:sz w:val="16"/>
                <w:szCs w:val="16"/>
                <w:lang w:val="es-CO" w:eastAsia="es-CO"/>
              </w:rPr>
            </w:pPr>
          </w:p>
        </w:tc>
      </w:tr>
      <w:tr w:rsidR="00DA7276" w14:paraId="3686B9ED"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52DCFE9B"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7 </w:t>
            </w:r>
          </w:p>
        </w:tc>
        <w:tc>
          <w:tcPr>
            <w:tcW w:w="3704" w:type="pct"/>
            <w:vMerge w:val="restart"/>
            <w:tcBorders>
              <w:top w:val="nil"/>
              <w:left w:val="single" w:sz="8" w:space="0" w:color="auto"/>
              <w:bottom w:val="single" w:sz="8" w:space="0" w:color="000000"/>
              <w:right w:val="single" w:sz="8" w:space="0" w:color="auto"/>
            </w:tcBorders>
            <w:vAlign w:val="center"/>
            <w:hideMark/>
          </w:tcPr>
          <w:p w14:paraId="03206C82"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todas las Sedes activas reportadas en HUMANO que no están registradas en el sistema de identificación de sedes educativas SISE del Departamento Administrativo Nacional de Estadística DANE </w:t>
            </w:r>
          </w:p>
        </w:tc>
        <w:tc>
          <w:tcPr>
            <w:tcW w:w="498" w:type="pct"/>
            <w:vMerge w:val="restart"/>
            <w:tcBorders>
              <w:top w:val="nil"/>
              <w:left w:val="single" w:sz="8" w:space="0" w:color="auto"/>
              <w:bottom w:val="single" w:sz="8" w:space="0" w:color="000000"/>
              <w:right w:val="single" w:sz="8" w:space="0" w:color="auto"/>
            </w:tcBorders>
            <w:vAlign w:val="center"/>
            <w:hideMark/>
          </w:tcPr>
          <w:p w14:paraId="0DEF75CC"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2058CA33"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69978705"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523C76B"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A656B1" w14:textId="77777777" w:rsidR="00DA7276" w:rsidRDefault="00DA7276" w:rsidP="008F6530">
            <w:pPr>
              <w:rPr>
                <w:rFonts w:ascii="Arial" w:eastAsia="Times New Roman" w:hAnsi="Arial" w:cs="Arial"/>
                <w:b/>
                <w:bCs/>
                <w:color w:val="000000"/>
                <w:sz w:val="16"/>
                <w:szCs w:val="16"/>
                <w:lang w:val="es-CO" w:eastAsia="es-CO"/>
              </w:rPr>
            </w:pPr>
          </w:p>
        </w:tc>
      </w:tr>
      <w:tr w:rsidR="00DA7276" w14:paraId="2388E343"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0951D0C9"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8 </w:t>
            </w:r>
          </w:p>
        </w:tc>
        <w:tc>
          <w:tcPr>
            <w:tcW w:w="3704" w:type="pct"/>
            <w:vMerge w:val="restart"/>
            <w:tcBorders>
              <w:top w:val="nil"/>
              <w:left w:val="single" w:sz="8" w:space="0" w:color="auto"/>
              <w:bottom w:val="single" w:sz="8" w:space="0" w:color="000000"/>
              <w:right w:val="single" w:sz="8" w:space="0" w:color="auto"/>
            </w:tcBorders>
            <w:vAlign w:val="center"/>
            <w:hideMark/>
          </w:tcPr>
          <w:p w14:paraId="22C362B9"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Códigos DANE de todas las Sedes activas reportadas en el DUE que no están registradas en el sistema de identificación de sedes educativas SISE del Departamento Administrativo Nacional de Estadística DANE. </w:t>
            </w:r>
          </w:p>
        </w:tc>
        <w:tc>
          <w:tcPr>
            <w:tcW w:w="498" w:type="pct"/>
            <w:vMerge w:val="restart"/>
            <w:tcBorders>
              <w:top w:val="nil"/>
              <w:left w:val="single" w:sz="8" w:space="0" w:color="auto"/>
              <w:bottom w:val="single" w:sz="8" w:space="0" w:color="000000"/>
              <w:right w:val="single" w:sz="8" w:space="0" w:color="auto"/>
            </w:tcBorders>
            <w:vAlign w:val="center"/>
            <w:hideMark/>
          </w:tcPr>
          <w:p w14:paraId="3CAF136C"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2228171D"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558350B0"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9BB577D"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318314D" w14:textId="77777777" w:rsidR="00DA7276" w:rsidRDefault="00DA7276" w:rsidP="008F6530">
            <w:pPr>
              <w:rPr>
                <w:rFonts w:ascii="Arial" w:eastAsia="Times New Roman" w:hAnsi="Arial" w:cs="Arial"/>
                <w:b/>
                <w:bCs/>
                <w:color w:val="000000"/>
                <w:sz w:val="16"/>
                <w:szCs w:val="16"/>
                <w:lang w:val="es-CO" w:eastAsia="es-CO"/>
              </w:rPr>
            </w:pPr>
          </w:p>
        </w:tc>
      </w:tr>
      <w:tr w:rsidR="00DA7276" w14:paraId="4F4D08B0" w14:textId="77777777" w:rsidTr="008F6530">
        <w:trPr>
          <w:trHeight w:val="276"/>
        </w:trPr>
        <w:tc>
          <w:tcPr>
            <w:tcW w:w="798" w:type="pct"/>
            <w:vMerge w:val="restart"/>
            <w:tcBorders>
              <w:top w:val="nil"/>
              <w:left w:val="single" w:sz="8" w:space="0" w:color="auto"/>
              <w:bottom w:val="single" w:sz="8" w:space="0" w:color="000000"/>
              <w:right w:val="single" w:sz="8" w:space="0" w:color="auto"/>
            </w:tcBorders>
            <w:vAlign w:val="center"/>
            <w:hideMark/>
          </w:tcPr>
          <w:p w14:paraId="770B7997" w14:textId="77777777" w:rsidR="00DA7276" w:rsidRDefault="00DA7276" w:rsidP="008F653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VALIDACIÓN 9 </w:t>
            </w:r>
          </w:p>
        </w:tc>
        <w:tc>
          <w:tcPr>
            <w:tcW w:w="3704" w:type="pct"/>
            <w:vMerge w:val="restart"/>
            <w:tcBorders>
              <w:top w:val="nil"/>
              <w:left w:val="single" w:sz="8" w:space="0" w:color="auto"/>
              <w:bottom w:val="single" w:sz="8" w:space="0" w:color="000000"/>
              <w:right w:val="single" w:sz="8" w:space="0" w:color="auto"/>
            </w:tcBorders>
            <w:vAlign w:val="center"/>
            <w:hideMark/>
          </w:tcPr>
          <w:p w14:paraId="0E448FB1" w14:textId="77777777" w:rsidR="00DA7276" w:rsidRDefault="00DA7276" w:rsidP="008F653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Información de las sedes educativas principales activas oficiales que tienen más de un directivo docente asociado en el sistema HUMANO. </w:t>
            </w:r>
          </w:p>
        </w:tc>
        <w:tc>
          <w:tcPr>
            <w:tcW w:w="498" w:type="pct"/>
            <w:vMerge w:val="restart"/>
            <w:tcBorders>
              <w:top w:val="nil"/>
              <w:left w:val="single" w:sz="8" w:space="0" w:color="auto"/>
              <w:bottom w:val="single" w:sz="8" w:space="0" w:color="000000"/>
              <w:right w:val="single" w:sz="8" w:space="0" w:color="auto"/>
            </w:tcBorders>
            <w:vAlign w:val="center"/>
            <w:hideMark/>
          </w:tcPr>
          <w:p w14:paraId="77493A43" w14:textId="77777777" w:rsidR="00DA7276" w:rsidRDefault="00DA7276" w:rsidP="008F653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DA7276" w14:paraId="6DBE38CC" w14:textId="77777777" w:rsidTr="008F6530">
        <w:trPr>
          <w:trHeight w:val="276"/>
        </w:trPr>
        <w:tc>
          <w:tcPr>
            <w:tcW w:w="0" w:type="auto"/>
            <w:vMerge/>
            <w:tcBorders>
              <w:top w:val="nil"/>
              <w:left w:val="single" w:sz="8" w:space="0" w:color="auto"/>
              <w:bottom w:val="single" w:sz="8" w:space="0" w:color="000000"/>
              <w:right w:val="single" w:sz="8" w:space="0" w:color="auto"/>
            </w:tcBorders>
            <w:vAlign w:val="center"/>
            <w:hideMark/>
          </w:tcPr>
          <w:p w14:paraId="59531497"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349B7B9" w14:textId="77777777" w:rsidR="00DA7276" w:rsidRDefault="00DA7276" w:rsidP="008F6530">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E1A305E" w14:textId="77777777" w:rsidR="00DA7276" w:rsidRDefault="00DA7276" w:rsidP="008F6530">
            <w:pPr>
              <w:rPr>
                <w:rFonts w:ascii="Arial" w:eastAsia="Times New Roman" w:hAnsi="Arial" w:cs="Arial"/>
                <w:b/>
                <w:bCs/>
                <w:color w:val="000000"/>
                <w:sz w:val="16"/>
                <w:szCs w:val="16"/>
                <w:lang w:val="es-CO" w:eastAsia="es-CO"/>
              </w:rPr>
            </w:pPr>
          </w:p>
        </w:tc>
      </w:tr>
      <w:tr w:rsidR="00DA7276" w14:paraId="7284C95D" w14:textId="77777777" w:rsidTr="008F6530">
        <w:trPr>
          <w:trHeight w:val="20"/>
        </w:trPr>
        <w:tc>
          <w:tcPr>
            <w:tcW w:w="4502" w:type="pct"/>
            <w:gridSpan w:val="2"/>
            <w:tcBorders>
              <w:top w:val="single" w:sz="8" w:space="0" w:color="auto"/>
              <w:left w:val="single" w:sz="8" w:space="0" w:color="auto"/>
              <w:bottom w:val="single" w:sz="8" w:space="0" w:color="auto"/>
              <w:right w:val="single" w:sz="8" w:space="0" w:color="000000"/>
            </w:tcBorders>
            <w:shd w:val="clear" w:color="auto" w:fill="244061"/>
            <w:vAlign w:val="center"/>
            <w:hideMark/>
          </w:tcPr>
          <w:p w14:paraId="3595E238"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Total </w:t>
            </w:r>
          </w:p>
        </w:tc>
        <w:tc>
          <w:tcPr>
            <w:tcW w:w="498" w:type="pct"/>
            <w:tcBorders>
              <w:top w:val="nil"/>
              <w:left w:val="nil"/>
              <w:bottom w:val="single" w:sz="8" w:space="0" w:color="auto"/>
              <w:right w:val="single" w:sz="8" w:space="0" w:color="auto"/>
            </w:tcBorders>
            <w:shd w:val="clear" w:color="auto" w:fill="244061"/>
            <w:vAlign w:val="center"/>
            <w:hideMark/>
          </w:tcPr>
          <w:p w14:paraId="52145EC7" w14:textId="77777777" w:rsidR="00DA7276" w:rsidRDefault="00DA7276" w:rsidP="008F6530">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47</w:t>
            </w:r>
          </w:p>
        </w:tc>
      </w:tr>
    </w:tbl>
    <w:p w14:paraId="6B2DE327" w14:textId="77777777" w:rsidR="00DA7276" w:rsidRDefault="00DA7276" w:rsidP="008F6530">
      <w:pPr>
        <w:jc w:val="center"/>
        <w:rPr>
          <w:rFonts w:ascii="Arial" w:hAnsi="Arial" w:cs="Arial"/>
          <w:sz w:val="18"/>
        </w:rPr>
      </w:pPr>
      <w:r>
        <w:rPr>
          <w:rFonts w:ascii="Arial" w:hAnsi="Arial" w:cs="Arial"/>
          <w:sz w:val="18"/>
        </w:rPr>
        <w:t>Fuente: Elaboración DAF con información del MEN.</w:t>
      </w:r>
    </w:p>
    <w:p w14:paraId="5A703E6F" w14:textId="77777777" w:rsidR="00DA7276" w:rsidRDefault="00DA7276" w:rsidP="008F6530">
      <w:pPr>
        <w:jc w:val="center"/>
        <w:rPr>
          <w:rFonts w:ascii="Arial" w:hAnsi="Arial" w:cs="Arial"/>
          <w:sz w:val="18"/>
        </w:rPr>
      </w:pPr>
    </w:p>
    <w:p w14:paraId="1F181E7D" w14:textId="77777777" w:rsidR="00DA7276" w:rsidRDefault="00DA7276" w:rsidP="008F6530">
      <w:pPr>
        <w:jc w:val="both"/>
        <w:rPr>
          <w:rFonts w:ascii="Arial" w:hAnsi="Arial" w:cs="Arial"/>
          <w:sz w:val="22"/>
          <w:szCs w:val="22"/>
          <w:lang w:val="es-CO"/>
        </w:rPr>
      </w:pPr>
      <w:r>
        <w:rPr>
          <w:rFonts w:ascii="Arial" w:hAnsi="Arial" w:cs="Arial"/>
          <w:sz w:val="22"/>
          <w:szCs w:val="22"/>
          <w:lang w:eastAsia="en-US"/>
        </w:rPr>
        <w:t xml:space="preserve">Por lo anterior, y reiterando lo indicado en el informe de evaluación anterior, </w:t>
      </w:r>
      <w:r>
        <w:rPr>
          <w:rFonts w:ascii="Arial" w:hAnsi="Arial" w:cs="Arial"/>
          <w:sz w:val="22"/>
          <w:szCs w:val="22"/>
          <w:lang w:val="es-CO"/>
        </w:rPr>
        <w:t xml:space="preserve">se recomienda crear una mesa de trabajo en coordinación con el Ministerio de Educación Nacional en la cual se analicen puntualmente las variables que están presentando problemas, su congruencia con el acto administrativo expedido y corrigiendo las causas que generan el error, de manera que para el siguiente informe de seguimiento del Plan de Desempeño se </w:t>
      </w:r>
      <w:r>
        <w:rPr>
          <w:rFonts w:ascii="Arial" w:hAnsi="Arial" w:cs="Arial"/>
          <w:sz w:val="22"/>
          <w:szCs w:val="22"/>
          <w:lang w:val="es-CO"/>
        </w:rPr>
        <w:lastRenderedPageBreak/>
        <w:t xml:space="preserve">observe una disminución de mínimo el 80% de los datos no validos evidenciados en la tabla anterior, condición necesaria para dar como cumplida esta actividad. </w:t>
      </w:r>
    </w:p>
    <w:p w14:paraId="7B56660B" w14:textId="77777777" w:rsidR="00DA7276" w:rsidRDefault="00DA7276" w:rsidP="008F6530">
      <w:pPr>
        <w:jc w:val="both"/>
        <w:rPr>
          <w:rFonts w:ascii="Arial" w:hAnsi="Arial" w:cs="Arial"/>
          <w:sz w:val="22"/>
          <w:szCs w:val="22"/>
          <w:lang w:val="es-CO" w:eastAsia="en-US"/>
        </w:rPr>
      </w:pPr>
    </w:p>
    <w:p w14:paraId="3C959C86" w14:textId="77777777" w:rsidR="00DA7276" w:rsidRDefault="00DA7276" w:rsidP="008F6530">
      <w:pPr>
        <w:jc w:val="both"/>
        <w:rPr>
          <w:rFonts w:ascii="Arial" w:hAnsi="Arial" w:cs="Arial"/>
          <w:sz w:val="22"/>
          <w:szCs w:val="22"/>
        </w:rPr>
      </w:pPr>
      <w:r>
        <w:rPr>
          <w:rFonts w:ascii="Arial" w:hAnsi="Arial" w:cs="Arial"/>
          <w:b/>
          <w:sz w:val="22"/>
          <w:szCs w:val="22"/>
        </w:rPr>
        <w:t>Evaluación de la actividad:</w:t>
      </w:r>
      <w:r>
        <w:rPr>
          <w:rFonts w:ascii="Arial" w:hAnsi="Arial" w:cs="Arial"/>
          <w:sz w:val="22"/>
          <w:szCs w:val="22"/>
        </w:rPr>
        <w:t xml:space="preserve"> No Cumple.</w:t>
      </w:r>
    </w:p>
    <w:p w14:paraId="52A28324" w14:textId="77777777" w:rsidR="00DA7276" w:rsidRDefault="00DA7276" w:rsidP="008F6530">
      <w:pPr>
        <w:jc w:val="both"/>
        <w:rPr>
          <w:rFonts w:ascii="Arial" w:hAnsi="Arial" w:cs="Arial"/>
          <w:sz w:val="22"/>
          <w:szCs w:val="22"/>
          <w:lang w:eastAsia="en-US"/>
        </w:rPr>
      </w:pPr>
    </w:p>
    <w:p w14:paraId="3F8DDA57"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Recomendación</w:t>
      </w:r>
    </w:p>
    <w:p w14:paraId="3FFE026A" w14:textId="77777777" w:rsidR="00DA7276" w:rsidRDefault="00DA7276" w:rsidP="008F6530">
      <w:pPr>
        <w:rPr>
          <w:lang w:eastAsia="en-US"/>
        </w:rPr>
      </w:pPr>
    </w:p>
    <w:p w14:paraId="0EAF68F0" w14:textId="77777777" w:rsidR="00DA7276" w:rsidRDefault="00DA7276" w:rsidP="008F6530">
      <w:pPr>
        <w:jc w:val="both"/>
        <w:rPr>
          <w:rFonts w:ascii="Arial" w:hAnsi="Arial" w:cs="Arial"/>
          <w:sz w:val="22"/>
          <w:szCs w:val="22"/>
          <w:lang w:val="es-CO"/>
        </w:rPr>
      </w:pPr>
      <w:r>
        <w:rPr>
          <w:rFonts w:ascii="Arial" w:hAnsi="Arial" w:cs="Arial"/>
          <w:sz w:val="22"/>
          <w:szCs w:val="22"/>
          <w:lang w:val="es-CO"/>
        </w:rPr>
        <w:t xml:space="preserve">Pese a que se observa una congruencia entre las diferentes fuentes de información interna dentro del Departamento, las inconsistencias encontradas por el Ministerio de Educación Nacional deben ser evaluadas y corregidas por parte de la administración departamental, garantizando que la integralidad de la información se observe por todos los actores que empleen la información para lo de su competencia. </w:t>
      </w:r>
    </w:p>
    <w:p w14:paraId="7A597D26" w14:textId="77777777" w:rsidR="00DA7276" w:rsidRDefault="00DA7276" w:rsidP="008F6530">
      <w:pPr>
        <w:jc w:val="both"/>
        <w:rPr>
          <w:rFonts w:ascii="Arial" w:hAnsi="Arial" w:cs="Arial"/>
          <w:sz w:val="22"/>
          <w:szCs w:val="22"/>
          <w:lang w:val="es-CO"/>
        </w:rPr>
      </w:pPr>
    </w:p>
    <w:p w14:paraId="56232353" w14:textId="77777777" w:rsidR="00DA7276" w:rsidRDefault="00DA7276" w:rsidP="008F6530">
      <w:pPr>
        <w:jc w:val="both"/>
        <w:rPr>
          <w:rFonts w:ascii="Arial" w:hAnsi="Arial" w:cs="Arial"/>
          <w:sz w:val="22"/>
          <w:szCs w:val="22"/>
          <w:lang w:val="es-CO"/>
        </w:rPr>
      </w:pPr>
      <w:r>
        <w:rPr>
          <w:rFonts w:ascii="Arial" w:hAnsi="Arial" w:cs="Arial"/>
          <w:sz w:val="22"/>
          <w:szCs w:val="22"/>
          <w:lang w:val="es-CO"/>
        </w:rPr>
        <w:t xml:space="preserve">Es de vital importancia que la Entidad Territorial allegue en el próximo seguimiento, actas de las mesas de trabajo llevadas a cabo con el Ministerio de Educación en las cuales se evidencie el trabajo conjunto en pro de depurar las inconsistencias evidenciadas </w:t>
      </w:r>
      <w:proofErr w:type="gramStart"/>
      <w:r>
        <w:rPr>
          <w:rFonts w:ascii="Arial" w:hAnsi="Arial" w:cs="Arial"/>
          <w:sz w:val="22"/>
          <w:szCs w:val="22"/>
          <w:lang w:val="es-CO"/>
        </w:rPr>
        <w:t>e</w:t>
      </w:r>
      <w:proofErr w:type="gramEnd"/>
      <w:r>
        <w:rPr>
          <w:rFonts w:ascii="Arial" w:hAnsi="Arial" w:cs="Arial"/>
          <w:sz w:val="22"/>
          <w:szCs w:val="22"/>
          <w:lang w:val="es-CO"/>
        </w:rPr>
        <w:t xml:space="preserve"> uniformar </w:t>
      </w:r>
      <w:r w:rsidR="00206093">
        <w:rPr>
          <w:rFonts w:ascii="Arial" w:hAnsi="Arial" w:cs="Arial"/>
          <w:sz w:val="22"/>
          <w:szCs w:val="22"/>
          <w:lang w:val="es-CO"/>
        </w:rPr>
        <w:t xml:space="preserve">el reporte de los datos de </w:t>
      </w:r>
      <w:r>
        <w:rPr>
          <w:rFonts w:ascii="Arial" w:hAnsi="Arial" w:cs="Arial"/>
          <w:sz w:val="22"/>
          <w:szCs w:val="22"/>
          <w:lang w:val="es-CO"/>
        </w:rPr>
        <w:t xml:space="preserve">las instituciones educativas en los diferentes sistemas de información. </w:t>
      </w:r>
    </w:p>
    <w:p w14:paraId="1D0EFF32" w14:textId="77777777" w:rsidR="00DA7276" w:rsidRDefault="00DA7276" w:rsidP="008F6530"/>
    <w:p w14:paraId="6360E50C" w14:textId="77777777" w:rsidR="00DA7276" w:rsidRDefault="00DA7276" w:rsidP="008F6530">
      <w:pPr>
        <w:pStyle w:val="Ttulo3"/>
        <w:spacing w:before="0"/>
        <w:jc w:val="both"/>
        <w:rPr>
          <w:rFonts w:cs="Arial"/>
          <w:szCs w:val="22"/>
          <w:u w:val="single"/>
        </w:rPr>
      </w:pPr>
      <w:r>
        <w:rPr>
          <w:rFonts w:ascii="Arial" w:eastAsia="Arial" w:hAnsi="Arial" w:cs="Arial"/>
          <w:b/>
          <w:color w:val="auto"/>
          <w:sz w:val="22"/>
          <w:szCs w:val="22"/>
        </w:rPr>
        <w:t>Categoría 4. Contractual</w:t>
      </w:r>
    </w:p>
    <w:p w14:paraId="173FECEE" w14:textId="77777777" w:rsidR="00DA7276" w:rsidRDefault="00DA7276" w:rsidP="008F6530">
      <w:pPr>
        <w:jc w:val="both"/>
        <w:rPr>
          <w:rFonts w:ascii="Arial" w:hAnsi="Arial" w:cs="Arial"/>
          <w:sz w:val="22"/>
          <w:szCs w:val="22"/>
        </w:rPr>
      </w:pPr>
    </w:p>
    <w:p w14:paraId="0A712BB3" w14:textId="77777777" w:rsidR="00DA7276" w:rsidRDefault="00DA7276" w:rsidP="008F6530">
      <w:pPr>
        <w:pStyle w:val="Ttulo3"/>
        <w:spacing w:before="0"/>
        <w:jc w:val="both"/>
        <w:rPr>
          <w:rFonts w:ascii="Arial" w:eastAsia="Arial" w:hAnsi="Arial" w:cs="Arial"/>
          <w:b/>
          <w:color w:val="auto"/>
          <w:sz w:val="22"/>
        </w:rPr>
      </w:pPr>
      <w:r>
        <w:rPr>
          <w:rFonts w:ascii="Arial" w:eastAsia="Arial" w:hAnsi="Arial" w:cs="Arial"/>
          <w:b/>
          <w:color w:val="auto"/>
          <w:sz w:val="22"/>
        </w:rPr>
        <w:t>Objetivo 4.1. Realizar Una Adecuada, Oportuna y Eficiente Gestión Contractual en Todas Sus Etapas (Planeación, Precontractual, Contractual Y Post Contractual).</w:t>
      </w:r>
    </w:p>
    <w:p w14:paraId="32A61F36" w14:textId="77777777" w:rsidR="00DA7276" w:rsidRDefault="00DA7276" w:rsidP="008F6530">
      <w:pPr>
        <w:rPr>
          <w:rFonts w:ascii="Arial" w:hAnsi="Arial" w:cs="Arial"/>
          <w:sz w:val="22"/>
          <w:szCs w:val="22"/>
        </w:rPr>
      </w:pPr>
    </w:p>
    <w:p w14:paraId="2A082266" w14:textId="77777777" w:rsidR="00DA7276" w:rsidRPr="00206093" w:rsidRDefault="00DA7276" w:rsidP="008F6530">
      <w:pPr>
        <w:pStyle w:val="Ttulo3"/>
        <w:spacing w:before="0"/>
        <w:jc w:val="both"/>
        <w:rPr>
          <w:rFonts w:ascii="Arial" w:eastAsia="Arial" w:hAnsi="Arial" w:cs="Arial"/>
          <w:b/>
          <w:bCs/>
          <w:i/>
          <w:color w:val="auto"/>
          <w:sz w:val="22"/>
        </w:rPr>
      </w:pPr>
      <w:r w:rsidRPr="00206093">
        <w:rPr>
          <w:rFonts w:ascii="Arial" w:eastAsia="Arial" w:hAnsi="Arial" w:cs="Arial"/>
          <w:b/>
          <w:bCs/>
          <w:i/>
          <w:color w:val="auto"/>
          <w:sz w:val="22"/>
        </w:rPr>
        <w:t>Actividad 4.1.1. Publicar en el Sistema Electrónico de Contratación Pública - SECOP la totalidad de los documentos y actos relacionados con el proceso de contratación con criterios de calidad y oportunidad, de conformidad con lo establecido en la normatividad vigente.</w:t>
      </w:r>
    </w:p>
    <w:p w14:paraId="151C7D59" w14:textId="77777777" w:rsidR="00DA7276" w:rsidRDefault="00DA7276" w:rsidP="008F6530">
      <w:pPr>
        <w:jc w:val="both"/>
        <w:rPr>
          <w:rFonts w:ascii="Arial" w:hAnsi="Arial" w:cs="Arial"/>
          <w:sz w:val="22"/>
          <w:szCs w:val="22"/>
        </w:rPr>
      </w:pPr>
    </w:p>
    <w:p w14:paraId="01016E17" w14:textId="77777777" w:rsidR="00DA7276" w:rsidRDefault="00DA7276" w:rsidP="008F6530">
      <w:pPr>
        <w:pStyle w:val="Ttulo4"/>
        <w:spacing w:before="0"/>
        <w:jc w:val="both"/>
        <w:rPr>
          <w:lang w:eastAsia="en-US"/>
        </w:rPr>
      </w:pPr>
      <w:r>
        <w:rPr>
          <w:rFonts w:ascii="Arial" w:eastAsia="Arial" w:hAnsi="Arial" w:cs="Arial"/>
          <w:i w:val="0"/>
          <w:iCs w:val="0"/>
          <w:color w:val="auto"/>
          <w:sz w:val="22"/>
          <w:szCs w:val="22"/>
          <w:u w:val="single"/>
          <w:lang w:eastAsia="en-US"/>
        </w:rPr>
        <w:t>Productos Esperados</w:t>
      </w:r>
    </w:p>
    <w:p w14:paraId="2EE92905" w14:textId="77777777" w:rsidR="00DA7276" w:rsidRDefault="00DA7276" w:rsidP="008F6530">
      <w:pPr>
        <w:pStyle w:val="Prrafodelista"/>
        <w:numPr>
          <w:ilvl w:val="0"/>
          <w:numId w:val="19"/>
        </w:numPr>
        <w:ind w:left="426" w:hanging="426"/>
        <w:jc w:val="both"/>
        <w:rPr>
          <w:rFonts w:ascii="Arial" w:eastAsia="Arial" w:hAnsi="Arial" w:cs="Arial"/>
          <w:sz w:val="22"/>
          <w:szCs w:val="22"/>
        </w:rPr>
      </w:pPr>
      <w:r>
        <w:rPr>
          <w:rFonts w:ascii="Arial" w:eastAsia="Arial" w:hAnsi="Arial" w:cs="Arial"/>
          <w:sz w:val="22"/>
          <w:szCs w:val="22"/>
        </w:rPr>
        <w:t xml:space="preserve">Listado de la totalidad de los contratos del sector Educación incluyendo el </w:t>
      </w:r>
      <w:proofErr w:type="gramStart"/>
      <w:r>
        <w:rPr>
          <w:rFonts w:ascii="Arial" w:eastAsia="Arial" w:hAnsi="Arial" w:cs="Arial"/>
          <w:sz w:val="22"/>
          <w:szCs w:val="22"/>
        </w:rPr>
        <w:t>link</w:t>
      </w:r>
      <w:proofErr w:type="gramEnd"/>
      <w:r>
        <w:rPr>
          <w:rFonts w:ascii="Arial" w:eastAsia="Arial" w:hAnsi="Arial" w:cs="Arial"/>
          <w:sz w:val="22"/>
          <w:szCs w:val="22"/>
        </w:rPr>
        <w:t xml:space="preserve"> o código con el cual se realizó la publicación en el SECOP.</w:t>
      </w:r>
    </w:p>
    <w:p w14:paraId="41D7754A" w14:textId="77777777" w:rsidR="00DA7276" w:rsidRDefault="00DA7276" w:rsidP="008F6530">
      <w:pPr>
        <w:jc w:val="both"/>
        <w:rPr>
          <w:rFonts w:ascii="Arial" w:hAnsi="Arial" w:cs="Arial"/>
          <w:sz w:val="22"/>
          <w:szCs w:val="22"/>
        </w:rPr>
      </w:pPr>
    </w:p>
    <w:p w14:paraId="01BB8060" w14:textId="77777777" w:rsidR="00DA7276" w:rsidRDefault="00DA7276" w:rsidP="008F6530">
      <w:pPr>
        <w:pStyle w:val="Ttulo4"/>
        <w:spacing w:before="0"/>
        <w:jc w:val="both"/>
        <w:rPr>
          <w:rFonts w:ascii="Arial" w:eastAsia="Arial" w:hAnsi="Arial" w:cs="Arial"/>
          <w:i w:val="0"/>
          <w:iCs w:val="0"/>
          <w:color w:val="auto"/>
          <w:sz w:val="22"/>
          <w:szCs w:val="22"/>
          <w:u w:val="single"/>
          <w:lang w:eastAsia="en-US"/>
        </w:rPr>
      </w:pPr>
      <w:r>
        <w:rPr>
          <w:rFonts w:ascii="Arial" w:eastAsia="Arial" w:hAnsi="Arial" w:cs="Arial"/>
          <w:i w:val="0"/>
          <w:iCs w:val="0"/>
          <w:color w:val="auto"/>
          <w:sz w:val="22"/>
          <w:szCs w:val="22"/>
          <w:u w:val="single"/>
          <w:lang w:eastAsia="en-US"/>
        </w:rPr>
        <w:t>Evaluación</w:t>
      </w:r>
    </w:p>
    <w:p w14:paraId="11388EA3" w14:textId="77777777" w:rsidR="00DA7276" w:rsidRDefault="00DA7276" w:rsidP="008F6530"/>
    <w:p w14:paraId="41C4B9B1" w14:textId="77777777" w:rsidR="00DA7276" w:rsidRDefault="00DA7276" w:rsidP="008F6530">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es-ES"/>
        </w:rPr>
        <w:t>El Decreto 1082 de 2015 establece en el artículo 2.2.1.1.1.7.1 que: “</w:t>
      </w:r>
      <w:r>
        <w:rPr>
          <w:rStyle w:val="normaltextrun"/>
          <w:rFonts w:ascii="Arial" w:hAnsi="Arial" w:cs="Arial"/>
          <w:i/>
          <w:iCs/>
          <w:sz w:val="22"/>
          <w:szCs w:val="22"/>
          <w:lang w:val="es-ES"/>
        </w:rPr>
        <w:t>La Entidad Estatal está obligada a publicar en el SECOP los Documentos del Proceso y los actos administrativos del Proceso de Contratación, dentro de los tres (3) días siguientes a su expedición […]</w:t>
      </w:r>
      <w:r>
        <w:rPr>
          <w:rStyle w:val="normaltextrun"/>
          <w:rFonts w:ascii="Arial" w:hAnsi="Arial" w:cs="Arial"/>
          <w:sz w:val="22"/>
          <w:szCs w:val="22"/>
          <w:lang w:val="es-ES"/>
        </w:rPr>
        <w:t>”. De la misma forma, el artículo 2.1.1.2.1.8 del Decreto 1081 de 2015 demanda que, “</w:t>
      </w:r>
      <w:r>
        <w:rPr>
          <w:rStyle w:val="normaltextrun"/>
          <w:rFonts w:ascii="Arial" w:hAnsi="Arial" w:cs="Arial"/>
          <w:i/>
          <w:iCs/>
          <w:sz w:val="22"/>
          <w:szCs w:val="22"/>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Pr>
          <w:rStyle w:val="normaltextrun"/>
          <w:rFonts w:ascii="Arial" w:hAnsi="Arial" w:cs="Arial"/>
          <w:sz w:val="22"/>
          <w:szCs w:val="22"/>
          <w:lang w:val="es-ES"/>
        </w:rPr>
        <w:t>”.</w:t>
      </w:r>
      <w:r>
        <w:rPr>
          <w:rStyle w:val="eop"/>
          <w:rFonts w:eastAsia="Arial"/>
          <w:sz w:val="22"/>
          <w:szCs w:val="22"/>
        </w:rPr>
        <w:t> </w:t>
      </w:r>
    </w:p>
    <w:p w14:paraId="331487CE" w14:textId="77777777" w:rsidR="00DA7276" w:rsidRDefault="00DA7276" w:rsidP="008F6530">
      <w:pPr>
        <w:pStyle w:val="paragraph"/>
        <w:spacing w:before="0" w:beforeAutospacing="0" w:after="0" w:afterAutospacing="0"/>
        <w:jc w:val="both"/>
        <w:textAlignment w:val="baseline"/>
        <w:rPr>
          <w:rFonts w:ascii="Arial" w:hAnsi="Arial" w:cs="Arial"/>
          <w:sz w:val="22"/>
          <w:szCs w:val="22"/>
        </w:rPr>
      </w:pPr>
      <w:r>
        <w:rPr>
          <w:rStyle w:val="eop"/>
          <w:rFonts w:eastAsia="Arial"/>
          <w:sz w:val="22"/>
          <w:szCs w:val="22"/>
        </w:rPr>
        <w:t> </w:t>
      </w:r>
    </w:p>
    <w:p w14:paraId="35AAAEC5" w14:textId="77777777" w:rsidR="00DA7276" w:rsidRDefault="00DA7276" w:rsidP="008F6530">
      <w:pPr>
        <w:jc w:val="both"/>
        <w:rPr>
          <w:rFonts w:ascii="Arial" w:hAnsi="Arial" w:cs="Arial"/>
          <w:b/>
          <w:bCs/>
          <w:sz w:val="22"/>
          <w:szCs w:val="22"/>
          <w:u w:val="single"/>
        </w:rPr>
      </w:pPr>
      <w:r>
        <w:rPr>
          <w:rFonts w:ascii="Arial" w:hAnsi="Arial" w:cs="Arial"/>
          <w:b/>
          <w:bCs/>
          <w:sz w:val="22"/>
          <w:szCs w:val="22"/>
          <w:u w:val="single"/>
        </w:rPr>
        <w:t>Vigencia 2022</w:t>
      </w:r>
    </w:p>
    <w:p w14:paraId="6FFF9999" w14:textId="77777777" w:rsidR="00DA7276" w:rsidRDefault="00DA7276" w:rsidP="008F6530">
      <w:pPr>
        <w:jc w:val="both"/>
        <w:rPr>
          <w:rFonts w:ascii="Arial" w:hAnsi="Arial" w:cs="Arial"/>
          <w:b/>
          <w:bCs/>
          <w:sz w:val="22"/>
          <w:szCs w:val="22"/>
          <w:u w:val="single"/>
        </w:rPr>
      </w:pPr>
    </w:p>
    <w:p w14:paraId="3BB48136" w14:textId="77777777" w:rsidR="00DA7276" w:rsidRDefault="00DA7276" w:rsidP="008F6530">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 xml:space="preserve">Tomando como base el último informe de evaluación del plan de desempeño que se realizó en el año 2022, y el cual fue compartido a la entidad territorial mediante el oficio 2-2022-021965 enviado el 24 de mayo del 2022, se analizaron los mismos contratos enlistados en el documento para esa vigencia </w:t>
      </w:r>
      <w:r w:rsidR="00206093">
        <w:rPr>
          <w:rStyle w:val="normaltextrun"/>
          <w:rFonts w:ascii="Arial" w:hAnsi="Arial" w:cs="Arial"/>
          <w:sz w:val="22"/>
          <w:szCs w:val="22"/>
        </w:rPr>
        <w:t xml:space="preserve">y </w:t>
      </w:r>
      <w:r>
        <w:rPr>
          <w:rStyle w:val="normaltextrun"/>
          <w:rFonts w:ascii="Arial" w:hAnsi="Arial" w:cs="Arial"/>
          <w:sz w:val="22"/>
          <w:szCs w:val="22"/>
        </w:rPr>
        <w:t>encontra</w:t>
      </w:r>
      <w:r w:rsidR="00206093">
        <w:rPr>
          <w:rStyle w:val="normaltextrun"/>
          <w:rFonts w:ascii="Arial" w:hAnsi="Arial" w:cs="Arial"/>
          <w:sz w:val="22"/>
          <w:szCs w:val="22"/>
        </w:rPr>
        <w:t>mos</w:t>
      </w:r>
      <w:r>
        <w:rPr>
          <w:rStyle w:val="normaltextrun"/>
          <w:rFonts w:ascii="Arial" w:hAnsi="Arial" w:cs="Arial"/>
          <w:sz w:val="22"/>
          <w:szCs w:val="22"/>
        </w:rPr>
        <w:t xml:space="preserve"> que el Departamento de Quindío aún no ha publicado los documentos enunciados en su momento, como se muestra a continuación: </w:t>
      </w:r>
    </w:p>
    <w:p w14:paraId="16CDCD8F" w14:textId="77777777" w:rsidR="00DA7276" w:rsidRDefault="00DA7276" w:rsidP="008F6530">
      <w:pPr>
        <w:pStyle w:val="paragraph"/>
        <w:spacing w:before="0" w:beforeAutospacing="0" w:after="0" w:afterAutospacing="0"/>
        <w:jc w:val="both"/>
        <w:textAlignment w:val="baseline"/>
      </w:pPr>
    </w:p>
    <w:p w14:paraId="7053B1BA" w14:textId="77777777" w:rsidR="00DA7276" w:rsidRDefault="00DA7276" w:rsidP="008F6530">
      <w:pPr>
        <w:pStyle w:val="paragraph"/>
        <w:spacing w:before="0" w:beforeAutospacing="0" w:after="0" w:afterAutospacing="0"/>
        <w:jc w:val="both"/>
        <w:textAlignment w:val="baseline"/>
        <w:rPr>
          <w:rStyle w:val="eop"/>
          <w:rFonts w:eastAsia="Arial"/>
        </w:rPr>
      </w:pPr>
      <w:r>
        <w:rPr>
          <w:rStyle w:val="normaltextrun"/>
          <w:rFonts w:ascii="Arial" w:hAnsi="Arial" w:cs="Arial"/>
          <w:b/>
          <w:bCs/>
          <w:sz w:val="22"/>
          <w:szCs w:val="22"/>
        </w:rPr>
        <w:t>Contrato No. EDU010-ARRENDAMIENTO-2022</w:t>
      </w:r>
      <w:r>
        <w:rPr>
          <w:rStyle w:val="normaltextrun"/>
          <w:rFonts w:ascii="Arial" w:hAnsi="Arial" w:cs="Arial"/>
          <w:sz w:val="22"/>
          <w:szCs w:val="22"/>
        </w:rPr>
        <w:t xml:space="preserve"> </w:t>
      </w:r>
      <w:r>
        <w:rPr>
          <w:rStyle w:val="normaltextrun"/>
          <w:rFonts w:ascii="Arial" w:hAnsi="Arial" w:cs="Arial"/>
          <w:b/>
          <w:bCs/>
          <w:sz w:val="22"/>
          <w:szCs w:val="22"/>
        </w:rPr>
        <w:t>del 28 de enero de 2022</w:t>
      </w:r>
      <w:r>
        <w:rPr>
          <w:rStyle w:val="Refdenotaalpie"/>
          <w:rFonts w:ascii="Arial" w:hAnsi="Arial" w:cs="Arial"/>
          <w:b/>
          <w:bCs/>
          <w:sz w:val="22"/>
          <w:szCs w:val="22"/>
        </w:rPr>
        <w:footnoteReference w:id="2"/>
      </w:r>
      <w:r>
        <w:rPr>
          <w:rStyle w:val="normaltextrun"/>
          <w:rFonts w:ascii="Arial" w:hAnsi="Arial" w:cs="Arial"/>
          <w:b/>
          <w:bCs/>
          <w:sz w:val="22"/>
          <w:szCs w:val="22"/>
        </w:rPr>
        <w:t xml:space="preserve">, </w:t>
      </w:r>
      <w:r>
        <w:rPr>
          <w:rStyle w:val="normaltextrun"/>
          <w:rFonts w:ascii="Arial" w:hAnsi="Arial" w:cs="Arial"/>
          <w:sz w:val="22"/>
          <w:szCs w:val="22"/>
        </w:rPr>
        <w:t xml:space="preserve">con objeto </w:t>
      </w:r>
      <w:r>
        <w:rPr>
          <w:rStyle w:val="normaltextrun"/>
          <w:rFonts w:ascii="Arial" w:hAnsi="Arial" w:cs="Arial"/>
          <w:i/>
          <w:iCs/>
          <w:sz w:val="22"/>
          <w:szCs w:val="22"/>
        </w:rPr>
        <w:t>“arrendamiento del bien inmueble ubicado en la calle 7</w:t>
      </w:r>
      <w:r w:rsidR="008F6530">
        <w:rPr>
          <w:rStyle w:val="normaltextrun"/>
          <w:rFonts w:ascii="Arial" w:hAnsi="Arial" w:cs="Arial"/>
          <w:i/>
          <w:iCs/>
          <w:sz w:val="22"/>
          <w:szCs w:val="22"/>
        </w:rPr>
        <w:t xml:space="preserve"> </w:t>
      </w:r>
      <w:r>
        <w:rPr>
          <w:rStyle w:val="normaltextrun"/>
          <w:rFonts w:ascii="Arial" w:hAnsi="Arial" w:cs="Arial"/>
          <w:i/>
          <w:iCs/>
          <w:sz w:val="22"/>
          <w:szCs w:val="22"/>
        </w:rPr>
        <w:t xml:space="preserve">a de Pijao Quindío, de propiedad de la Congregación Misioneras de Santa Teresita del Niño Jesús; como desarrollo de las estrategias de acceso y permanencia dentro del sistema educativo, dirigidas a la población en edad escolaridad (niños, niñas, adolescentes y jóvenes) que residen en los sectores aledaños a dicha institución”, </w:t>
      </w:r>
      <w:r>
        <w:rPr>
          <w:rStyle w:val="normaltextrun"/>
          <w:rFonts w:ascii="Arial" w:hAnsi="Arial" w:cs="Arial"/>
          <w:sz w:val="22"/>
          <w:szCs w:val="22"/>
        </w:rPr>
        <w:t>por un valor de $99.442.350 COP con recursos del SGP- Educación. La entidad incumple su obligación de publicar los siguientes documentos en la plataforma SECOP:</w:t>
      </w:r>
      <w:r w:rsidR="008F6530">
        <w:rPr>
          <w:rStyle w:val="normaltextrun"/>
          <w:rFonts w:ascii="Arial" w:hAnsi="Arial" w:cs="Arial"/>
          <w:sz w:val="22"/>
          <w:szCs w:val="22"/>
        </w:rPr>
        <w:t xml:space="preserve"> </w:t>
      </w:r>
    </w:p>
    <w:p w14:paraId="55D6110C" w14:textId="77777777" w:rsidR="00DA7276" w:rsidRDefault="00DA7276" w:rsidP="008F6530">
      <w:pPr>
        <w:pStyle w:val="paragraph"/>
        <w:spacing w:before="0" w:beforeAutospacing="0" w:after="0" w:afterAutospacing="0"/>
        <w:jc w:val="both"/>
        <w:textAlignment w:val="baseline"/>
        <w:rPr>
          <w:rFonts w:ascii="Arial" w:hAnsi="Arial" w:cs="Arial"/>
        </w:rPr>
      </w:pPr>
    </w:p>
    <w:p w14:paraId="1058E988" w14:textId="77777777" w:rsidR="00DA7276" w:rsidRDefault="00DA7276" w:rsidP="008F6530">
      <w:pPr>
        <w:pStyle w:val="paragraph"/>
        <w:numPr>
          <w:ilvl w:val="0"/>
          <w:numId w:val="20"/>
        </w:numPr>
        <w:tabs>
          <w:tab w:val="clear" w:pos="720"/>
        </w:tabs>
        <w:spacing w:before="0" w:beforeAutospacing="0" w:after="0" w:afterAutospacing="0"/>
        <w:ind w:left="426" w:hanging="426"/>
        <w:jc w:val="both"/>
        <w:textAlignment w:val="baseline"/>
        <w:rPr>
          <w:rFonts w:ascii="Arial" w:hAnsi="Arial" w:cs="Arial"/>
          <w:sz w:val="22"/>
          <w:szCs w:val="22"/>
        </w:rPr>
      </w:pPr>
      <w:r>
        <w:rPr>
          <w:rStyle w:val="normaltextrun"/>
          <w:rFonts w:ascii="Arial" w:hAnsi="Arial" w:cs="Arial"/>
          <w:sz w:val="22"/>
          <w:szCs w:val="22"/>
        </w:rPr>
        <w:t>Informes de actividades</w:t>
      </w:r>
      <w:r>
        <w:rPr>
          <w:rStyle w:val="eop"/>
          <w:rFonts w:eastAsia="Arial"/>
          <w:sz w:val="22"/>
          <w:szCs w:val="22"/>
        </w:rPr>
        <w:t> </w:t>
      </w:r>
    </w:p>
    <w:p w14:paraId="3E03B6A9" w14:textId="77777777" w:rsidR="00DA7276" w:rsidRDefault="00DA7276" w:rsidP="008F6530">
      <w:pPr>
        <w:pStyle w:val="paragraph"/>
        <w:numPr>
          <w:ilvl w:val="0"/>
          <w:numId w:val="21"/>
        </w:numPr>
        <w:tabs>
          <w:tab w:val="clear" w:pos="720"/>
        </w:tabs>
        <w:spacing w:before="0" w:beforeAutospacing="0" w:after="0" w:afterAutospacing="0"/>
        <w:ind w:left="426" w:hanging="426"/>
        <w:jc w:val="both"/>
        <w:textAlignment w:val="baseline"/>
        <w:rPr>
          <w:rFonts w:ascii="Arial" w:hAnsi="Arial" w:cs="Arial"/>
          <w:sz w:val="22"/>
          <w:szCs w:val="22"/>
        </w:rPr>
      </w:pPr>
      <w:r>
        <w:rPr>
          <w:rStyle w:val="normaltextrun"/>
          <w:rFonts w:ascii="Arial" w:hAnsi="Arial" w:cs="Arial"/>
          <w:sz w:val="22"/>
          <w:szCs w:val="22"/>
        </w:rPr>
        <w:t>Actas de supervisión</w:t>
      </w:r>
      <w:r>
        <w:rPr>
          <w:rStyle w:val="eop"/>
          <w:rFonts w:eastAsia="Arial"/>
          <w:sz w:val="22"/>
          <w:szCs w:val="22"/>
        </w:rPr>
        <w:t> </w:t>
      </w:r>
    </w:p>
    <w:p w14:paraId="2F834A56" w14:textId="77777777" w:rsidR="00DA7276" w:rsidRDefault="00DA7276" w:rsidP="008F6530">
      <w:pPr>
        <w:pStyle w:val="paragraph"/>
        <w:spacing w:before="0" w:beforeAutospacing="0" w:after="0" w:afterAutospacing="0"/>
        <w:ind w:left="360"/>
        <w:jc w:val="both"/>
        <w:textAlignment w:val="baseline"/>
        <w:rPr>
          <w:rFonts w:ascii="Arial" w:hAnsi="Arial" w:cs="Arial"/>
          <w:sz w:val="22"/>
          <w:szCs w:val="22"/>
        </w:rPr>
      </w:pPr>
      <w:r>
        <w:rPr>
          <w:rStyle w:val="eop"/>
          <w:rFonts w:eastAsia="Arial"/>
          <w:sz w:val="22"/>
          <w:szCs w:val="22"/>
        </w:rPr>
        <w:t> </w:t>
      </w:r>
    </w:p>
    <w:p w14:paraId="5AC79005" w14:textId="77777777" w:rsidR="00DA7276" w:rsidRDefault="00DA7276" w:rsidP="008F6530">
      <w:pPr>
        <w:pStyle w:val="paragraph"/>
        <w:spacing w:before="0" w:beforeAutospacing="0" w:after="0" w:afterAutospacing="0"/>
        <w:jc w:val="both"/>
        <w:textAlignment w:val="baseline"/>
        <w:rPr>
          <w:rStyle w:val="eop"/>
          <w:rFonts w:eastAsia="Arial"/>
        </w:rPr>
      </w:pPr>
      <w:r>
        <w:rPr>
          <w:rStyle w:val="normaltextrun"/>
          <w:rFonts w:ascii="Arial" w:hAnsi="Arial" w:cs="Arial"/>
          <w:b/>
          <w:bCs/>
          <w:sz w:val="22"/>
          <w:szCs w:val="22"/>
        </w:rPr>
        <w:t>Contrato No. EDU011-ARRENDAMIENTO-2022 del 28 de enero de 2022</w:t>
      </w:r>
      <w:r>
        <w:rPr>
          <w:rStyle w:val="Refdenotaalpie"/>
          <w:rFonts w:ascii="Arial" w:hAnsi="Arial" w:cs="Arial"/>
          <w:b/>
          <w:bCs/>
          <w:sz w:val="22"/>
          <w:szCs w:val="22"/>
        </w:rPr>
        <w:footnoteReference w:id="3"/>
      </w:r>
      <w:r>
        <w:rPr>
          <w:rStyle w:val="normaltextrun"/>
          <w:rFonts w:ascii="Arial" w:hAnsi="Arial" w:cs="Arial"/>
          <w:b/>
          <w:bCs/>
          <w:sz w:val="22"/>
          <w:szCs w:val="22"/>
        </w:rPr>
        <w:t xml:space="preserve">, </w:t>
      </w:r>
      <w:r>
        <w:rPr>
          <w:rStyle w:val="normaltextrun"/>
          <w:rFonts w:ascii="Arial" w:hAnsi="Arial" w:cs="Arial"/>
          <w:sz w:val="22"/>
          <w:szCs w:val="22"/>
        </w:rPr>
        <w:t xml:space="preserve">con objeto </w:t>
      </w:r>
      <w:r>
        <w:rPr>
          <w:rStyle w:val="normaltextrun"/>
          <w:rFonts w:ascii="Arial" w:hAnsi="Arial" w:cs="Arial"/>
          <w:i/>
          <w:iCs/>
          <w:sz w:val="22"/>
          <w:szCs w:val="22"/>
        </w:rPr>
        <w:t xml:space="preserve">“arrendamiento del bien inmueble ubicado en la calle 12 no.9-59 de La Tebaida Quindío de propiedad de la Congregación Misioneras de Santa Teresita del Niño Jesús; como desarrollo de las estrategias de acceso y permanencia dentro del sistema educativo, dirigidas a la población en edad escolaridad (niños, niñas, adolescentes y jóvenes) que residen en los sectores aledaños a dicha institución”, </w:t>
      </w:r>
      <w:r>
        <w:rPr>
          <w:rStyle w:val="normaltextrun"/>
          <w:rFonts w:ascii="Arial" w:hAnsi="Arial" w:cs="Arial"/>
          <w:sz w:val="22"/>
          <w:szCs w:val="22"/>
        </w:rPr>
        <w:t>por un valor de $64.355.310 COP con recursos del SGP- Educación. La entidad incumple su obligación de publicar los siguientes documentos en la plataforma SECOP:</w:t>
      </w:r>
      <w:r w:rsidR="008F6530">
        <w:rPr>
          <w:rStyle w:val="normaltextrun"/>
          <w:rFonts w:ascii="Arial" w:hAnsi="Arial" w:cs="Arial"/>
          <w:sz w:val="22"/>
          <w:szCs w:val="22"/>
        </w:rPr>
        <w:t xml:space="preserve"> </w:t>
      </w:r>
    </w:p>
    <w:p w14:paraId="34ECF44C" w14:textId="77777777" w:rsidR="00DA7276" w:rsidRDefault="00DA7276" w:rsidP="008F6530">
      <w:pPr>
        <w:pStyle w:val="paragraph"/>
        <w:spacing w:before="0" w:beforeAutospacing="0" w:after="0" w:afterAutospacing="0"/>
        <w:jc w:val="both"/>
        <w:textAlignment w:val="baseline"/>
        <w:rPr>
          <w:rFonts w:ascii="Arial" w:hAnsi="Arial" w:cs="Arial"/>
        </w:rPr>
      </w:pPr>
    </w:p>
    <w:p w14:paraId="0164D158"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Pr>
      </w:pPr>
      <w:r>
        <w:rPr>
          <w:rStyle w:val="normaltextrun"/>
          <w:rFonts w:ascii="Arial" w:hAnsi="Arial" w:cs="Arial"/>
          <w:sz w:val="22"/>
          <w:szCs w:val="22"/>
        </w:rPr>
        <w:t>Informes de actividades</w:t>
      </w:r>
      <w:r w:rsidRPr="008F6530">
        <w:rPr>
          <w:rStyle w:val="normaltextrun"/>
          <w:rFonts w:ascii="Arial" w:hAnsi="Arial" w:cs="Arial"/>
        </w:rPr>
        <w:t> </w:t>
      </w:r>
    </w:p>
    <w:p w14:paraId="13BFC642"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Pr>
      </w:pPr>
      <w:r>
        <w:rPr>
          <w:rStyle w:val="normaltextrun"/>
          <w:rFonts w:ascii="Arial" w:hAnsi="Arial" w:cs="Arial"/>
          <w:sz w:val="22"/>
          <w:szCs w:val="22"/>
        </w:rPr>
        <w:t>Actas de supervisión</w:t>
      </w:r>
      <w:r w:rsidRPr="008F6530">
        <w:rPr>
          <w:rStyle w:val="normaltextrun"/>
          <w:rFonts w:ascii="Arial" w:hAnsi="Arial" w:cs="Arial"/>
        </w:rPr>
        <w:t> </w:t>
      </w:r>
    </w:p>
    <w:p w14:paraId="3F2588AD" w14:textId="77777777" w:rsidR="00DA7276" w:rsidRPr="008F6530" w:rsidRDefault="00DA7276" w:rsidP="008F6530">
      <w:pPr>
        <w:pStyle w:val="paragraph"/>
        <w:spacing w:before="0" w:beforeAutospacing="0" w:after="0" w:afterAutospacing="0"/>
        <w:jc w:val="both"/>
        <w:textAlignment w:val="baseline"/>
        <w:rPr>
          <w:rStyle w:val="normaltextrun"/>
        </w:rPr>
      </w:pPr>
    </w:p>
    <w:p w14:paraId="1DF92AC1" w14:textId="77777777" w:rsidR="00DA7276" w:rsidRDefault="00DA7276" w:rsidP="008F6530">
      <w:pPr>
        <w:pStyle w:val="paragraph"/>
        <w:spacing w:before="0" w:beforeAutospacing="0" w:after="0" w:afterAutospacing="0"/>
        <w:jc w:val="both"/>
        <w:textAlignment w:val="baseline"/>
        <w:rPr>
          <w:rStyle w:val="eop"/>
          <w:rFonts w:eastAsia="Arial"/>
        </w:rPr>
      </w:pPr>
      <w:r>
        <w:rPr>
          <w:rStyle w:val="normaltextrun"/>
          <w:rFonts w:ascii="Arial" w:hAnsi="Arial" w:cs="Arial"/>
          <w:b/>
          <w:bCs/>
          <w:sz w:val="22"/>
          <w:szCs w:val="22"/>
        </w:rPr>
        <w:t>Contrato No. EDU881-PSP-2022 del 24 de enero de 2022</w:t>
      </w:r>
      <w:r>
        <w:rPr>
          <w:rStyle w:val="Refdenotaalpie"/>
          <w:rFonts w:ascii="Arial" w:hAnsi="Arial" w:cs="Arial"/>
          <w:b/>
          <w:bCs/>
          <w:sz w:val="22"/>
          <w:szCs w:val="22"/>
        </w:rPr>
        <w:footnoteReference w:id="4"/>
      </w:r>
      <w:r>
        <w:rPr>
          <w:rStyle w:val="normaltextrun"/>
          <w:rFonts w:ascii="Arial" w:hAnsi="Arial" w:cs="Arial"/>
          <w:b/>
          <w:bCs/>
          <w:sz w:val="22"/>
          <w:szCs w:val="22"/>
        </w:rPr>
        <w:t xml:space="preserve">, </w:t>
      </w:r>
      <w:r>
        <w:rPr>
          <w:rStyle w:val="normaltextrun"/>
          <w:rFonts w:ascii="Arial" w:hAnsi="Arial" w:cs="Arial"/>
          <w:sz w:val="22"/>
          <w:szCs w:val="22"/>
        </w:rPr>
        <w:t xml:space="preserve">con objeto </w:t>
      </w:r>
      <w:r>
        <w:rPr>
          <w:rStyle w:val="normaltextrun"/>
          <w:rFonts w:ascii="Arial" w:hAnsi="Arial" w:cs="Arial"/>
          <w:i/>
          <w:iCs/>
          <w:sz w:val="22"/>
          <w:szCs w:val="22"/>
        </w:rPr>
        <w:t xml:space="preserve">“prestación de servicios profesionales de apoyo pedagógico para la atención educativa de la población con discapacidad, capacidades y/o talentos excepcionales de las instituciones educativas oficiales de los once (11) municipios no certificados del departamento del Quindío”, </w:t>
      </w:r>
      <w:r>
        <w:rPr>
          <w:rStyle w:val="normaltextrun"/>
          <w:rFonts w:ascii="Arial" w:hAnsi="Arial" w:cs="Arial"/>
          <w:sz w:val="22"/>
          <w:szCs w:val="22"/>
        </w:rPr>
        <w:t>por un valor de $8.838.270 COP con recursos del SGP- Educación. La entidad incumple su obligación de publicar los siguientes documentos en la plataforma SECOP:</w:t>
      </w:r>
      <w:r w:rsidR="008F6530">
        <w:rPr>
          <w:rStyle w:val="normaltextrun"/>
          <w:rFonts w:ascii="Arial" w:hAnsi="Arial" w:cs="Arial"/>
          <w:sz w:val="22"/>
          <w:szCs w:val="22"/>
        </w:rPr>
        <w:t xml:space="preserve"> </w:t>
      </w:r>
    </w:p>
    <w:p w14:paraId="7AE9FE6F" w14:textId="77777777" w:rsidR="00DA7276" w:rsidRDefault="00DA7276" w:rsidP="008F6530">
      <w:pPr>
        <w:pStyle w:val="paragraph"/>
        <w:spacing w:before="0" w:beforeAutospacing="0" w:after="0" w:afterAutospacing="0"/>
        <w:jc w:val="both"/>
        <w:textAlignment w:val="baseline"/>
        <w:rPr>
          <w:rFonts w:ascii="Arial" w:hAnsi="Arial" w:cs="Arial"/>
        </w:rPr>
      </w:pPr>
    </w:p>
    <w:p w14:paraId="7DD2DDBC" w14:textId="77777777" w:rsidR="00DA7276" w:rsidRDefault="00DA7276" w:rsidP="008F6530">
      <w:pPr>
        <w:pStyle w:val="paragraph"/>
        <w:numPr>
          <w:ilvl w:val="0"/>
          <w:numId w:val="20"/>
        </w:numPr>
        <w:tabs>
          <w:tab w:val="clear" w:pos="720"/>
        </w:tabs>
        <w:spacing w:before="0" w:beforeAutospacing="0" w:after="0" w:afterAutospacing="0"/>
        <w:ind w:left="426" w:hanging="426"/>
        <w:jc w:val="both"/>
        <w:textAlignment w:val="baseline"/>
        <w:rPr>
          <w:rFonts w:ascii="Arial" w:hAnsi="Arial" w:cs="Arial"/>
          <w:sz w:val="22"/>
          <w:szCs w:val="22"/>
        </w:rPr>
      </w:pPr>
      <w:r>
        <w:rPr>
          <w:rStyle w:val="normaltextrun"/>
          <w:rFonts w:ascii="Arial" w:hAnsi="Arial" w:cs="Arial"/>
          <w:sz w:val="22"/>
          <w:szCs w:val="22"/>
        </w:rPr>
        <w:t>Registros Presupuestales</w:t>
      </w:r>
      <w:r>
        <w:rPr>
          <w:rStyle w:val="eop"/>
          <w:rFonts w:eastAsia="Arial"/>
          <w:sz w:val="22"/>
          <w:szCs w:val="22"/>
        </w:rPr>
        <w:t> </w:t>
      </w:r>
    </w:p>
    <w:p w14:paraId="1D91676A" w14:textId="77777777" w:rsidR="00DA7276" w:rsidRDefault="00DA7276" w:rsidP="008F6530">
      <w:pPr>
        <w:pStyle w:val="paragraph"/>
        <w:spacing w:before="0" w:beforeAutospacing="0" w:after="0" w:afterAutospacing="0"/>
        <w:jc w:val="both"/>
        <w:textAlignment w:val="baseline"/>
        <w:rPr>
          <w:rFonts w:ascii="Arial" w:hAnsi="Arial" w:cs="Arial"/>
          <w:sz w:val="22"/>
          <w:szCs w:val="22"/>
        </w:rPr>
      </w:pPr>
      <w:r>
        <w:rPr>
          <w:rStyle w:val="eop"/>
          <w:rFonts w:eastAsia="Arial"/>
          <w:sz w:val="22"/>
          <w:szCs w:val="22"/>
        </w:rPr>
        <w:t> </w:t>
      </w:r>
    </w:p>
    <w:p w14:paraId="6E39198F" w14:textId="77777777" w:rsidR="00DA7276" w:rsidRDefault="00DA7276" w:rsidP="008F6530">
      <w:pPr>
        <w:pStyle w:val="paragraph"/>
        <w:spacing w:before="0" w:beforeAutospacing="0" w:after="0" w:afterAutospacing="0"/>
        <w:jc w:val="both"/>
        <w:textAlignment w:val="baseline"/>
        <w:rPr>
          <w:rStyle w:val="eop"/>
          <w:rFonts w:eastAsia="Arial"/>
        </w:rPr>
      </w:pPr>
      <w:r>
        <w:rPr>
          <w:rStyle w:val="normaltextrun"/>
          <w:rFonts w:ascii="Arial" w:hAnsi="Arial" w:cs="Arial"/>
          <w:b/>
          <w:bCs/>
          <w:sz w:val="22"/>
          <w:szCs w:val="22"/>
        </w:rPr>
        <w:lastRenderedPageBreak/>
        <w:t>Contrato No. EDU924-PSA-2022 del 25 de enero de 2022</w:t>
      </w:r>
      <w:r>
        <w:rPr>
          <w:rStyle w:val="Refdenotaalpie"/>
          <w:rFonts w:ascii="Arial" w:hAnsi="Arial" w:cs="Arial"/>
          <w:sz w:val="22"/>
          <w:szCs w:val="22"/>
        </w:rPr>
        <w:footnoteReference w:id="5"/>
      </w:r>
      <w:r>
        <w:rPr>
          <w:rStyle w:val="normaltextrun"/>
          <w:rFonts w:ascii="Arial" w:hAnsi="Arial" w:cs="Arial"/>
          <w:b/>
          <w:bCs/>
          <w:sz w:val="22"/>
          <w:szCs w:val="22"/>
        </w:rPr>
        <w:t xml:space="preserve">, </w:t>
      </w:r>
      <w:r>
        <w:rPr>
          <w:rStyle w:val="normaltextrun"/>
          <w:rFonts w:ascii="Arial" w:hAnsi="Arial" w:cs="Arial"/>
          <w:sz w:val="22"/>
          <w:szCs w:val="22"/>
        </w:rPr>
        <w:t xml:space="preserve">con objeto </w:t>
      </w:r>
      <w:r>
        <w:rPr>
          <w:rStyle w:val="normaltextrun"/>
          <w:rFonts w:ascii="Arial" w:hAnsi="Arial" w:cs="Arial"/>
          <w:i/>
          <w:iCs/>
          <w:sz w:val="22"/>
          <w:szCs w:val="22"/>
        </w:rPr>
        <w:t xml:space="preserve">“prestación de servicios de apoyo pedagógico para la atención educativa de la población con discapacidad, capacidades y/o talentos excepcionales de las instituciones educativas oficiales de los once (11) municipios no certificados del departamento del Quindío, en el marco de la educación inclusiva”, </w:t>
      </w:r>
      <w:r>
        <w:rPr>
          <w:rStyle w:val="normaltextrun"/>
          <w:rFonts w:ascii="Arial" w:hAnsi="Arial" w:cs="Arial"/>
          <w:sz w:val="22"/>
          <w:szCs w:val="22"/>
        </w:rPr>
        <w:t>por un valor de $8.838.270 COP con recursos del SGP- Educación. La entidad incumple su obligación de publicar los siguientes documentos en la plataforma SECOP:</w:t>
      </w:r>
      <w:r w:rsidR="008F6530">
        <w:rPr>
          <w:rStyle w:val="normaltextrun"/>
          <w:rFonts w:ascii="Arial" w:hAnsi="Arial" w:cs="Arial"/>
          <w:sz w:val="22"/>
          <w:szCs w:val="22"/>
        </w:rPr>
        <w:t xml:space="preserve"> </w:t>
      </w:r>
    </w:p>
    <w:p w14:paraId="1F966ACD" w14:textId="77777777" w:rsidR="00DA7276" w:rsidRDefault="00DA7276" w:rsidP="008F6530">
      <w:pPr>
        <w:pStyle w:val="paragraph"/>
        <w:spacing w:before="0" w:beforeAutospacing="0" w:after="0" w:afterAutospacing="0"/>
        <w:jc w:val="both"/>
        <w:textAlignment w:val="baseline"/>
        <w:rPr>
          <w:rFonts w:ascii="Arial" w:hAnsi="Arial" w:cs="Arial"/>
        </w:rPr>
      </w:pPr>
    </w:p>
    <w:p w14:paraId="688C0B05"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Pr>
      </w:pPr>
      <w:r>
        <w:rPr>
          <w:rStyle w:val="normaltextrun"/>
          <w:rFonts w:ascii="Arial" w:hAnsi="Arial" w:cs="Arial"/>
          <w:sz w:val="22"/>
          <w:szCs w:val="22"/>
        </w:rPr>
        <w:t>Registros Presupuestales</w:t>
      </w:r>
      <w:r w:rsidRPr="008F6530">
        <w:rPr>
          <w:rStyle w:val="normaltextrun"/>
          <w:rFonts w:ascii="Arial" w:hAnsi="Arial" w:cs="Arial"/>
        </w:rPr>
        <w:t> </w:t>
      </w:r>
    </w:p>
    <w:p w14:paraId="5F8FA2C5"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Pr>
      </w:pPr>
      <w:r>
        <w:rPr>
          <w:rStyle w:val="normaltextrun"/>
          <w:rFonts w:ascii="Arial" w:hAnsi="Arial" w:cs="Arial"/>
          <w:sz w:val="22"/>
          <w:szCs w:val="22"/>
        </w:rPr>
        <w:t>Informes de actividades</w:t>
      </w:r>
      <w:r w:rsidRPr="008F6530">
        <w:rPr>
          <w:rStyle w:val="normaltextrun"/>
          <w:rFonts w:ascii="Arial" w:hAnsi="Arial" w:cs="Arial"/>
        </w:rPr>
        <w:t> </w:t>
      </w:r>
    </w:p>
    <w:p w14:paraId="2464453F" w14:textId="77777777" w:rsidR="00DA7276"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eop"/>
          <w:rFonts w:eastAsia="Arial"/>
        </w:rPr>
      </w:pPr>
      <w:r>
        <w:rPr>
          <w:rStyle w:val="normaltextrun"/>
          <w:rFonts w:ascii="Arial" w:hAnsi="Arial" w:cs="Arial"/>
          <w:sz w:val="22"/>
          <w:szCs w:val="22"/>
        </w:rPr>
        <w:t>Actas de supervisión</w:t>
      </w:r>
      <w:r>
        <w:rPr>
          <w:rStyle w:val="eop"/>
          <w:rFonts w:eastAsia="Arial"/>
          <w:sz w:val="22"/>
          <w:szCs w:val="22"/>
        </w:rPr>
        <w:t> </w:t>
      </w:r>
    </w:p>
    <w:p w14:paraId="35C14805" w14:textId="77777777" w:rsidR="00DA7276" w:rsidRDefault="00DA7276" w:rsidP="008F6530">
      <w:pPr>
        <w:jc w:val="both"/>
        <w:rPr>
          <w:rFonts w:ascii="Arial" w:hAnsi="Arial" w:cs="Arial"/>
        </w:rPr>
      </w:pPr>
    </w:p>
    <w:p w14:paraId="52F4C241" w14:textId="77777777" w:rsidR="00DA7276" w:rsidRDefault="00DA7276" w:rsidP="008F6530">
      <w:pPr>
        <w:jc w:val="both"/>
        <w:rPr>
          <w:rStyle w:val="eop"/>
          <w:color w:val="000000"/>
          <w:shd w:val="clear" w:color="auto" w:fill="FFFFFF"/>
        </w:rPr>
      </w:pPr>
      <w:r>
        <w:rPr>
          <w:rFonts w:ascii="Arial" w:hAnsi="Arial" w:cs="Arial"/>
          <w:sz w:val="22"/>
          <w:szCs w:val="22"/>
        </w:rPr>
        <w:t xml:space="preserve">Además de la revisión de los contratos enlistados en el último informe de evaluación del plan de desempeño del año 2022, se llevó a cabo una revisión adicional de contratos de la misma vigencia para identificar si la inconsistencia en la publicación de los debidos documentos en el SECOP persistía en otros procesos contractuales, encontrando que el Departamento del Quindío presenta la misma falla. </w:t>
      </w:r>
      <w:r>
        <w:rPr>
          <w:rStyle w:val="normaltextrun"/>
          <w:rFonts w:ascii="Arial" w:hAnsi="Arial" w:cs="Arial"/>
          <w:color w:val="000000"/>
          <w:sz w:val="22"/>
          <w:szCs w:val="22"/>
          <w:shd w:val="clear" w:color="auto" w:fill="FFFFFF"/>
        </w:rPr>
        <w:t>A continuación, se citan algunos de los casos estudiados:</w:t>
      </w:r>
      <w:r>
        <w:rPr>
          <w:rStyle w:val="eop"/>
          <w:color w:val="000000"/>
          <w:sz w:val="22"/>
          <w:szCs w:val="22"/>
          <w:shd w:val="clear" w:color="auto" w:fill="FFFFFF"/>
        </w:rPr>
        <w:t> </w:t>
      </w:r>
    </w:p>
    <w:p w14:paraId="12CD1AAC" w14:textId="77777777" w:rsidR="00DA7276" w:rsidRDefault="00DA7276" w:rsidP="008F6530">
      <w:pPr>
        <w:jc w:val="both"/>
        <w:rPr>
          <w:rFonts w:ascii="Arial" w:hAnsi="Arial" w:cs="Arial"/>
        </w:rPr>
      </w:pPr>
    </w:p>
    <w:p w14:paraId="6184F0E7" w14:textId="77777777" w:rsidR="00DA7276" w:rsidRDefault="00DA7276" w:rsidP="008F6530">
      <w:pPr>
        <w:jc w:val="both"/>
        <w:rPr>
          <w:rFonts w:ascii="Arial" w:hAnsi="Arial" w:cs="Arial"/>
          <w:sz w:val="22"/>
          <w:szCs w:val="22"/>
        </w:rPr>
      </w:pPr>
      <w:r>
        <w:rPr>
          <w:rFonts w:ascii="Arial" w:hAnsi="Arial" w:cs="Arial"/>
          <w:b/>
          <w:bCs/>
          <w:sz w:val="22"/>
          <w:szCs w:val="22"/>
        </w:rPr>
        <w:t>Contrato No. EDU2726-PSP-2022 del 08 de junio de 2022 (No. Proceso: EDU2726-PSP-</w:t>
      </w:r>
      <w:bookmarkStart w:id="9" w:name="_Int_SYtdu8P4"/>
      <w:r>
        <w:rPr>
          <w:rFonts w:ascii="Arial" w:hAnsi="Arial" w:cs="Arial"/>
          <w:b/>
          <w:bCs/>
          <w:sz w:val="22"/>
          <w:szCs w:val="22"/>
        </w:rPr>
        <w:t>2022)</w:t>
      </w:r>
      <w:r>
        <w:rPr>
          <w:rStyle w:val="Refdenotaalpie"/>
          <w:rFonts w:ascii="Arial" w:hAnsi="Arial" w:cs="Arial"/>
          <w:sz w:val="22"/>
          <w:szCs w:val="22"/>
        </w:rPr>
        <w:footnoteReference w:id="6"/>
      </w:r>
      <w:bookmarkEnd w:id="9"/>
      <w:r>
        <w:rPr>
          <w:rFonts w:ascii="Arial" w:hAnsi="Arial" w:cs="Arial"/>
          <w:sz w:val="22"/>
          <w:szCs w:val="22"/>
        </w:rPr>
        <w:t xml:space="preserve"> con objeto de: “</w:t>
      </w:r>
      <w:r w:rsidR="00206093">
        <w:rPr>
          <w:rFonts w:ascii="Arial" w:hAnsi="Arial" w:cs="Arial"/>
          <w:i/>
          <w:iCs/>
          <w:sz w:val="22"/>
          <w:szCs w:val="22"/>
        </w:rPr>
        <w:t>prestación de servicios profesionales para fortalecer el servicio de monitoreo y seguimiento a la gestión del sector educativo</w:t>
      </w:r>
      <w:r>
        <w:rPr>
          <w:rFonts w:ascii="Arial" w:hAnsi="Arial" w:cs="Arial"/>
          <w:sz w:val="22"/>
          <w:szCs w:val="22"/>
        </w:rPr>
        <w:t xml:space="preserve">”, por valor de $8.655.000 financiados con recursos del SGP. La Entidad </w:t>
      </w:r>
      <w:r w:rsidRPr="008F6530">
        <w:rPr>
          <w:rFonts w:ascii="Arial" w:hAnsi="Arial" w:cs="Arial"/>
          <w:sz w:val="22"/>
          <w:szCs w:val="22"/>
        </w:rPr>
        <w:t>incumple la obligación de publicar los siguientes documentos en la plataforma SECOP:</w:t>
      </w:r>
    </w:p>
    <w:p w14:paraId="441AC581" w14:textId="77777777" w:rsidR="00206093" w:rsidRPr="008F6530" w:rsidRDefault="00206093" w:rsidP="008F6530">
      <w:pPr>
        <w:jc w:val="both"/>
        <w:rPr>
          <w:rFonts w:ascii="Arial" w:hAnsi="Arial" w:cs="Arial"/>
          <w:sz w:val="22"/>
          <w:szCs w:val="22"/>
        </w:rPr>
      </w:pPr>
    </w:p>
    <w:p w14:paraId="5217BBCE"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Fonts w:ascii="Arial" w:hAnsi="Arial" w:cs="Arial"/>
          <w:bCs/>
          <w:sz w:val="22"/>
          <w:szCs w:val="22"/>
        </w:rPr>
      </w:pPr>
      <w:r w:rsidRPr="008F6530">
        <w:rPr>
          <w:rStyle w:val="normaltextrun"/>
          <w:rFonts w:ascii="Arial" w:hAnsi="Arial" w:cs="Arial"/>
          <w:sz w:val="22"/>
          <w:szCs w:val="22"/>
        </w:rPr>
        <w:t>Informes</w:t>
      </w:r>
      <w:r w:rsidRPr="008F6530">
        <w:rPr>
          <w:rFonts w:ascii="Arial" w:hAnsi="Arial" w:cs="Arial"/>
          <w:bCs/>
          <w:sz w:val="22"/>
          <w:szCs w:val="22"/>
        </w:rPr>
        <w:t xml:space="preserve"> de supervisión.</w:t>
      </w:r>
    </w:p>
    <w:p w14:paraId="738CB4C9" w14:textId="77777777" w:rsidR="00DA7276" w:rsidRPr="008F6530" w:rsidRDefault="00DA7276" w:rsidP="008F6530">
      <w:pPr>
        <w:jc w:val="both"/>
        <w:rPr>
          <w:rFonts w:ascii="Arial" w:hAnsi="Arial" w:cs="Arial"/>
          <w:sz w:val="22"/>
          <w:szCs w:val="22"/>
        </w:rPr>
      </w:pPr>
    </w:p>
    <w:p w14:paraId="780072E2" w14:textId="77777777" w:rsidR="00DA7276" w:rsidRPr="008F6530" w:rsidRDefault="00DA7276" w:rsidP="008F6530">
      <w:pPr>
        <w:jc w:val="both"/>
        <w:rPr>
          <w:rFonts w:ascii="Arial" w:hAnsi="Arial" w:cs="Arial"/>
          <w:sz w:val="22"/>
          <w:szCs w:val="22"/>
        </w:rPr>
      </w:pPr>
      <w:r w:rsidRPr="008F6530">
        <w:rPr>
          <w:rFonts w:ascii="Arial" w:hAnsi="Arial" w:cs="Arial"/>
          <w:b/>
          <w:bCs/>
          <w:sz w:val="22"/>
          <w:szCs w:val="22"/>
        </w:rPr>
        <w:t>Contrato No. EDU1713</w:t>
      </w:r>
      <w:r>
        <w:rPr>
          <w:rFonts w:ascii="Arial" w:hAnsi="Arial" w:cs="Arial"/>
          <w:b/>
          <w:bCs/>
          <w:sz w:val="22"/>
          <w:szCs w:val="22"/>
        </w:rPr>
        <w:t xml:space="preserve">-PSP-2022 del 25 de julio de 2022 </w:t>
      </w:r>
      <w:bookmarkStart w:id="10" w:name="_Hlk132961460"/>
      <w:r>
        <w:rPr>
          <w:rFonts w:ascii="Arial" w:hAnsi="Arial" w:cs="Arial"/>
          <w:b/>
          <w:bCs/>
          <w:sz w:val="22"/>
          <w:szCs w:val="22"/>
        </w:rPr>
        <w:t>(No. Proceso: EDU1713-PSP-</w:t>
      </w:r>
      <w:bookmarkStart w:id="11" w:name="_Int_ja3gcCjC"/>
      <w:r>
        <w:rPr>
          <w:rFonts w:ascii="Arial" w:hAnsi="Arial" w:cs="Arial"/>
          <w:b/>
          <w:bCs/>
          <w:sz w:val="22"/>
          <w:szCs w:val="22"/>
        </w:rPr>
        <w:t>2022)</w:t>
      </w:r>
      <w:bookmarkEnd w:id="10"/>
      <w:r>
        <w:rPr>
          <w:rStyle w:val="Refdenotaalpie"/>
          <w:rFonts w:ascii="Arial" w:hAnsi="Arial" w:cs="Arial"/>
        </w:rPr>
        <w:footnoteReference w:id="7"/>
      </w:r>
      <w:bookmarkEnd w:id="11"/>
      <w:r>
        <w:rPr>
          <w:rFonts w:ascii="Arial" w:hAnsi="Arial" w:cs="Arial"/>
          <w:sz w:val="22"/>
          <w:szCs w:val="22"/>
        </w:rPr>
        <w:t>con objeto: “A</w:t>
      </w:r>
      <w:r>
        <w:rPr>
          <w:rFonts w:ascii="Arial" w:hAnsi="Arial" w:cs="Arial"/>
          <w:i/>
          <w:iCs/>
          <w:sz w:val="22"/>
          <w:szCs w:val="22"/>
        </w:rPr>
        <w:t xml:space="preserve">unar </w:t>
      </w:r>
      <w:r w:rsidRPr="008F6530">
        <w:rPr>
          <w:rFonts w:ascii="Arial" w:hAnsi="Arial" w:cs="Arial"/>
          <w:i/>
          <w:iCs/>
          <w:sz w:val="22"/>
          <w:szCs w:val="22"/>
        </w:rPr>
        <w:t>esfuerzos académicos y administrativos para la articulación del nivel de la educación media con la educación superior, para promover la continuidad de los estudiantes en el sistema educativo, dentro del marco del convenio específico interinstitucional 037 de 2016 suscrito entre el departamento del Quindío y la universidad del Quindío</w:t>
      </w:r>
      <w:r w:rsidRPr="008F6530">
        <w:rPr>
          <w:rFonts w:ascii="Arial" w:hAnsi="Arial" w:cs="Arial"/>
          <w:sz w:val="22"/>
          <w:szCs w:val="22"/>
        </w:rPr>
        <w:t>”, por valor de $19.770.048 COP y se identifica como fuente de financiación el SGP. Sin embargo, al revisar los documentos asociados al proceso se evidencia la falta de los siguientes:</w:t>
      </w:r>
    </w:p>
    <w:p w14:paraId="44444FA6" w14:textId="77777777" w:rsidR="00DA7276" w:rsidRPr="008F6530" w:rsidRDefault="00DA7276" w:rsidP="008F6530">
      <w:pPr>
        <w:jc w:val="both"/>
        <w:rPr>
          <w:rFonts w:ascii="Arial" w:hAnsi="Arial" w:cs="Arial"/>
          <w:sz w:val="22"/>
          <w:szCs w:val="22"/>
        </w:rPr>
      </w:pPr>
    </w:p>
    <w:p w14:paraId="0BB05D6A"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Fonts w:ascii="Arial" w:hAnsi="Arial" w:cs="Arial"/>
          <w:sz w:val="22"/>
          <w:szCs w:val="22"/>
        </w:rPr>
      </w:pPr>
      <w:r w:rsidRPr="008F6530">
        <w:rPr>
          <w:rStyle w:val="normaltextrun"/>
          <w:rFonts w:ascii="Arial" w:hAnsi="Arial" w:cs="Arial"/>
          <w:sz w:val="22"/>
          <w:szCs w:val="22"/>
        </w:rPr>
        <w:t>Registro Presupuestal.</w:t>
      </w:r>
    </w:p>
    <w:p w14:paraId="07FC5147"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Fonts w:ascii="Arial" w:hAnsi="Arial" w:cs="Arial"/>
          <w:sz w:val="22"/>
          <w:szCs w:val="22"/>
        </w:rPr>
      </w:pPr>
      <w:r w:rsidRPr="008F6530">
        <w:rPr>
          <w:rStyle w:val="normaltextrun"/>
          <w:rFonts w:ascii="Arial" w:hAnsi="Arial" w:cs="Arial"/>
          <w:sz w:val="22"/>
          <w:szCs w:val="22"/>
        </w:rPr>
        <w:t>Minuta</w:t>
      </w:r>
      <w:r w:rsidRPr="008F6530">
        <w:rPr>
          <w:rFonts w:ascii="Arial" w:hAnsi="Arial" w:cs="Arial"/>
          <w:sz w:val="22"/>
          <w:szCs w:val="22"/>
        </w:rPr>
        <w:t xml:space="preserve"> contractual.</w:t>
      </w:r>
    </w:p>
    <w:p w14:paraId="75C6B2E2" w14:textId="77777777" w:rsidR="00DA7276" w:rsidRPr="008F6530" w:rsidRDefault="00DA7276" w:rsidP="008F6530">
      <w:pPr>
        <w:jc w:val="both"/>
        <w:rPr>
          <w:rFonts w:ascii="Arial" w:hAnsi="Arial" w:cs="Arial"/>
          <w:sz w:val="22"/>
          <w:szCs w:val="22"/>
        </w:rPr>
      </w:pPr>
    </w:p>
    <w:p w14:paraId="62C97ABD" w14:textId="77777777" w:rsidR="00DA7276" w:rsidRPr="008F6530" w:rsidRDefault="00DA7276" w:rsidP="008F6530">
      <w:pPr>
        <w:jc w:val="both"/>
        <w:rPr>
          <w:rFonts w:ascii="Arial" w:hAnsi="Arial" w:cs="Arial"/>
          <w:sz w:val="22"/>
          <w:szCs w:val="22"/>
        </w:rPr>
      </w:pPr>
      <w:r w:rsidRPr="008F6530">
        <w:rPr>
          <w:rFonts w:ascii="Arial" w:hAnsi="Arial" w:cs="Arial"/>
          <w:b/>
          <w:bCs/>
          <w:sz w:val="22"/>
          <w:szCs w:val="22"/>
        </w:rPr>
        <w:t xml:space="preserve">Contrato No. </w:t>
      </w:r>
      <w:bookmarkStart w:id="12" w:name="_Hlk132963354"/>
      <w:r w:rsidRPr="008F6530">
        <w:rPr>
          <w:rFonts w:ascii="Arial" w:hAnsi="Arial" w:cs="Arial"/>
          <w:b/>
          <w:bCs/>
          <w:sz w:val="22"/>
          <w:szCs w:val="22"/>
        </w:rPr>
        <w:t>EDU2559-PSP-2022</w:t>
      </w:r>
      <w:bookmarkEnd w:id="12"/>
      <w:r w:rsidRPr="008F6530">
        <w:rPr>
          <w:rFonts w:ascii="Arial" w:hAnsi="Arial" w:cs="Arial"/>
          <w:b/>
          <w:bCs/>
          <w:sz w:val="22"/>
          <w:szCs w:val="22"/>
        </w:rPr>
        <w:t xml:space="preserve"> del 25 de agosto de 2022 (No. Proceso: EDU2559-PSP-</w:t>
      </w:r>
      <w:bookmarkStart w:id="13" w:name="_Int_zMv0vprF"/>
      <w:r w:rsidRPr="008F6530">
        <w:rPr>
          <w:rFonts w:ascii="Arial" w:hAnsi="Arial" w:cs="Arial"/>
          <w:b/>
          <w:bCs/>
          <w:sz w:val="22"/>
          <w:szCs w:val="22"/>
        </w:rPr>
        <w:t>2022)</w:t>
      </w:r>
      <w:r w:rsidRPr="008F6530">
        <w:rPr>
          <w:rStyle w:val="Refdenotaalpie"/>
          <w:rFonts w:ascii="Arial" w:hAnsi="Arial" w:cs="Arial"/>
          <w:sz w:val="22"/>
          <w:szCs w:val="22"/>
        </w:rPr>
        <w:footnoteReference w:id="8"/>
      </w:r>
      <w:bookmarkEnd w:id="13"/>
      <w:r w:rsidR="00206093">
        <w:rPr>
          <w:rFonts w:ascii="Arial" w:hAnsi="Arial" w:cs="Arial"/>
          <w:b/>
          <w:bCs/>
          <w:sz w:val="22"/>
          <w:szCs w:val="22"/>
        </w:rPr>
        <w:t xml:space="preserve"> </w:t>
      </w:r>
      <w:r w:rsidRPr="008F6530">
        <w:rPr>
          <w:rFonts w:ascii="Arial" w:hAnsi="Arial" w:cs="Arial"/>
          <w:sz w:val="22"/>
          <w:szCs w:val="22"/>
        </w:rPr>
        <w:t xml:space="preserve">con objeto de: </w:t>
      </w:r>
      <w:r w:rsidRPr="008F6530">
        <w:rPr>
          <w:rFonts w:ascii="Arial" w:hAnsi="Arial" w:cs="Arial"/>
          <w:i/>
          <w:iCs/>
          <w:sz w:val="22"/>
          <w:szCs w:val="22"/>
        </w:rPr>
        <w:t xml:space="preserve">“Prestación de servicios profesionales de apoyo pedagógico </w:t>
      </w:r>
      <w:r w:rsidRPr="008F6530">
        <w:rPr>
          <w:rFonts w:ascii="Arial" w:hAnsi="Arial" w:cs="Arial"/>
          <w:i/>
          <w:iCs/>
          <w:sz w:val="22"/>
          <w:szCs w:val="22"/>
        </w:rPr>
        <w:lastRenderedPageBreak/>
        <w:t>para la atención educativa</w:t>
      </w:r>
      <w:r>
        <w:rPr>
          <w:rFonts w:ascii="Arial" w:hAnsi="Arial" w:cs="Arial"/>
          <w:i/>
          <w:iCs/>
          <w:sz w:val="22"/>
          <w:szCs w:val="22"/>
        </w:rPr>
        <w:t xml:space="preserve"> de la población con discapacidad, capacidades y/o talentos excepcionales de las instituciones educativas oficiales de los once (11) municipios no certificados del departamento del Quindío, en el marco de la educación inclusiva” </w:t>
      </w:r>
      <w:r>
        <w:rPr>
          <w:rFonts w:ascii="Arial" w:hAnsi="Arial" w:cs="Arial"/>
          <w:sz w:val="22"/>
          <w:szCs w:val="22"/>
        </w:rPr>
        <w:t xml:space="preserve">por un valor de $11.862.000 COP financiados con SGP y suscrito con el contratista Genny Alejandra Calzada Londoño. El </w:t>
      </w:r>
      <w:r w:rsidRPr="008F6530">
        <w:rPr>
          <w:rFonts w:ascii="Arial" w:hAnsi="Arial" w:cs="Arial"/>
          <w:sz w:val="22"/>
          <w:szCs w:val="22"/>
        </w:rPr>
        <w:t>Departamento incumple su obligación de publicar los siguientes documentos en la plataforma SECOP:</w:t>
      </w:r>
    </w:p>
    <w:p w14:paraId="6676A190" w14:textId="77777777" w:rsidR="00DA7276" w:rsidRPr="008F6530" w:rsidRDefault="00DA7276" w:rsidP="008F6530">
      <w:pPr>
        <w:ind w:left="284"/>
        <w:contextualSpacing/>
        <w:jc w:val="both"/>
        <w:rPr>
          <w:rFonts w:ascii="Arial" w:hAnsi="Arial" w:cs="Arial"/>
          <w:sz w:val="22"/>
          <w:szCs w:val="22"/>
        </w:rPr>
      </w:pPr>
    </w:p>
    <w:p w14:paraId="702109A5"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Fonts w:ascii="Arial" w:hAnsi="Arial" w:cs="Arial"/>
          <w:sz w:val="22"/>
          <w:szCs w:val="22"/>
        </w:rPr>
      </w:pPr>
      <w:r w:rsidRPr="008F6530">
        <w:rPr>
          <w:rStyle w:val="normaltextrun"/>
          <w:rFonts w:ascii="Arial" w:hAnsi="Arial" w:cs="Arial"/>
          <w:sz w:val="22"/>
          <w:szCs w:val="22"/>
        </w:rPr>
        <w:t xml:space="preserve">Registro presupuestal. </w:t>
      </w:r>
    </w:p>
    <w:p w14:paraId="3E7BF434"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Fonts w:ascii="Arial" w:hAnsi="Arial" w:cs="Arial"/>
          <w:sz w:val="22"/>
          <w:szCs w:val="22"/>
        </w:rPr>
      </w:pPr>
      <w:r w:rsidRPr="008F6530">
        <w:rPr>
          <w:rStyle w:val="normaltextrun"/>
          <w:rFonts w:ascii="Arial" w:hAnsi="Arial" w:cs="Arial"/>
          <w:sz w:val="22"/>
          <w:szCs w:val="22"/>
        </w:rPr>
        <w:t xml:space="preserve">Minuta contractual. </w:t>
      </w:r>
    </w:p>
    <w:p w14:paraId="34545312" w14:textId="77777777" w:rsidR="00DA7276" w:rsidRPr="008F6530" w:rsidRDefault="00DA7276" w:rsidP="008F6530">
      <w:pPr>
        <w:pStyle w:val="paragraph"/>
        <w:numPr>
          <w:ilvl w:val="0"/>
          <w:numId w:val="20"/>
        </w:numPr>
        <w:tabs>
          <w:tab w:val="clear" w:pos="720"/>
        </w:tabs>
        <w:spacing w:before="0" w:beforeAutospacing="0" w:after="0" w:afterAutospacing="0"/>
        <w:ind w:left="426" w:hanging="426"/>
        <w:jc w:val="both"/>
        <w:textAlignment w:val="baseline"/>
        <w:rPr>
          <w:rStyle w:val="normaltextrun"/>
          <w:rFonts w:ascii="Arial" w:hAnsi="Arial" w:cs="Arial"/>
          <w:sz w:val="22"/>
          <w:szCs w:val="22"/>
        </w:rPr>
      </w:pPr>
      <w:r w:rsidRPr="008F6530">
        <w:rPr>
          <w:rStyle w:val="normaltextrun"/>
          <w:rFonts w:ascii="Arial" w:hAnsi="Arial" w:cs="Arial"/>
          <w:sz w:val="22"/>
          <w:szCs w:val="22"/>
        </w:rPr>
        <w:t xml:space="preserve">Informes de seguimiento. </w:t>
      </w:r>
    </w:p>
    <w:p w14:paraId="2203ADC3" w14:textId="77777777" w:rsidR="00DA7276" w:rsidRPr="008F6530" w:rsidRDefault="00DA7276" w:rsidP="008F6530">
      <w:pPr>
        <w:pStyle w:val="paragraph"/>
        <w:spacing w:before="0" w:beforeAutospacing="0" w:after="0" w:afterAutospacing="0"/>
        <w:jc w:val="both"/>
        <w:textAlignment w:val="baseline"/>
        <w:rPr>
          <w:rStyle w:val="normaltextrun"/>
          <w:rFonts w:ascii="Arial" w:hAnsi="Arial" w:cs="Arial"/>
          <w:sz w:val="22"/>
          <w:szCs w:val="22"/>
        </w:rPr>
      </w:pPr>
    </w:p>
    <w:p w14:paraId="022DCB9D" w14:textId="77777777" w:rsidR="00DA7276" w:rsidRPr="008F6530" w:rsidRDefault="00DA7276" w:rsidP="008F6530">
      <w:pPr>
        <w:jc w:val="both"/>
        <w:rPr>
          <w:rFonts w:ascii="Arial" w:hAnsi="Arial" w:cs="Arial"/>
          <w:b/>
          <w:bCs/>
          <w:sz w:val="22"/>
          <w:szCs w:val="22"/>
          <w:u w:val="single"/>
        </w:rPr>
      </w:pPr>
      <w:r w:rsidRPr="008F6530">
        <w:rPr>
          <w:rFonts w:ascii="Arial" w:hAnsi="Arial" w:cs="Arial"/>
          <w:b/>
          <w:bCs/>
          <w:sz w:val="22"/>
          <w:szCs w:val="22"/>
          <w:u w:val="single"/>
        </w:rPr>
        <w:t>Vigencia 2023</w:t>
      </w:r>
    </w:p>
    <w:p w14:paraId="31E8FB3C" w14:textId="77777777" w:rsidR="00DA7276" w:rsidRPr="008F6530" w:rsidRDefault="00DA7276" w:rsidP="008F6530">
      <w:pPr>
        <w:ind w:left="360"/>
        <w:contextualSpacing/>
        <w:jc w:val="both"/>
        <w:rPr>
          <w:rFonts w:ascii="Arial" w:hAnsi="Arial" w:cs="Arial"/>
          <w:b/>
          <w:bCs/>
          <w:sz w:val="22"/>
          <w:szCs w:val="22"/>
        </w:rPr>
      </w:pPr>
    </w:p>
    <w:p w14:paraId="51FB054A" w14:textId="77777777" w:rsidR="00DA7276" w:rsidRDefault="00DA7276" w:rsidP="008F6530">
      <w:pPr>
        <w:jc w:val="both"/>
        <w:rPr>
          <w:rFonts w:ascii="Arial" w:hAnsi="Arial" w:cs="Arial"/>
          <w:sz w:val="22"/>
          <w:szCs w:val="22"/>
        </w:rPr>
      </w:pPr>
      <w:r w:rsidRPr="008F6530">
        <w:rPr>
          <w:rFonts w:ascii="Arial" w:hAnsi="Arial" w:cs="Arial"/>
          <w:sz w:val="22"/>
          <w:szCs w:val="22"/>
        </w:rPr>
        <w:t xml:space="preserve">Para la vigencia 2023 se evidencia que para el contrato </w:t>
      </w:r>
      <w:r w:rsidRPr="008F6530">
        <w:rPr>
          <w:rFonts w:ascii="Arial" w:hAnsi="Arial" w:cs="Arial"/>
          <w:b/>
          <w:bCs/>
          <w:sz w:val="22"/>
          <w:szCs w:val="22"/>
        </w:rPr>
        <w:t>No. EDU1213-PSP-2023 del 15 de febrero de 2023 (</w:t>
      </w:r>
      <w:r>
        <w:rPr>
          <w:rFonts w:ascii="Arial" w:hAnsi="Arial" w:cs="Arial"/>
          <w:b/>
          <w:bCs/>
          <w:sz w:val="22"/>
          <w:szCs w:val="22"/>
        </w:rPr>
        <w:t>No. Proceso: EDU1213-PSP-</w:t>
      </w:r>
      <w:bookmarkStart w:id="14" w:name="_Int_a8dQ4UtE"/>
      <w:r>
        <w:rPr>
          <w:rFonts w:ascii="Arial" w:hAnsi="Arial" w:cs="Arial"/>
          <w:b/>
          <w:bCs/>
          <w:sz w:val="22"/>
          <w:szCs w:val="22"/>
        </w:rPr>
        <w:t>2023)</w:t>
      </w:r>
      <w:r>
        <w:rPr>
          <w:rStyle w:val="Refdenotaalpie"/>
          <w:rFonts w:ascii="Arial" w:hAnsi="Arial" w:cs="Arial"/>
        </w:rPr>
        <w:footnoteReference w:id="9"/>
      </w:r>
      <w:bookmarkEnd w:id="14"/>
      <w:r w:rsidR="00206093">
        <w:rPr>
          <w:rFonts w:ascii="Arial" w:hAnsi="Arial" w:cs="Arial"/>
          <w:b/>
          <w:bCs/>
          <w:sz w:val="22"/>
          <w:szCs w:val="22"/>
        </w:rPr>
        <w:t xml:space="preserve">, </w:t>
      </w:r>
      <w:r>
        <w:rPr>
          <w:rFonts w:ascii="Arial" w:hAnsi="Arial" w:cs="Arial"/>
          <w:sz w:val="22"/>
          <w:szCs w:val="22"/>
        </w:rPr>
        <w:t>suscrito con la contratista Genny Alejandra Calzada Londoño por valor de $17.200.000 COP</w:t>
      </w:r>
      <w:r w:rsidR="00206093">
        <w:rPr>
          <w:rFonts w:ascii="Arial" w:hAnsi="Arial" w:cs="Arial"/>
          <w:sz w:val="22"/>
          <w:szCs w:val="22"/>
        </w:rPr>
        <w:t>,</w:t>
      </w:r>
      <w:r>
        <w:rPr>
          <w:rFonts w:ascii="Arial" w:hAnsi="Arial" w:cs="Arial"/>
          <w:sz w:val="22"/>
          <w:szCs w:val="22"/>
        </w:rPr>
        <w:t xml:space="preserve"> para</w:t>
      </w:r>
      <w:r>
        <w:rPr>
          <w:rFonts w:ascii="Arial" w:hAnsi="Arial" w:cs="Arial"/>
          <w:i/>
          <w:iCs/>
          <w:sz w:val="22"/>
          <w:szCs w:val="22"/>
        </w:rPr>
        <w:t xml:space="preserve"> “Prestación de servicios profesionales de apoyo pedagógico para la atención educativa de la población con discapacidad de las instituciones educativas oficiales de los once (11) municipios no certificados del departamento del Quindío, en el marco de la educación inclusiva”</w:t>
      </w:r>
      <w:r>
        <w:rPr>
          <w:rFonts w:ascii="Arial" w:hAnsi="Arial" w:cs="Arial"/>
          <w:sz w:val="22"/>
          <w:szCs w:val="22"/>
        </w:rPr>
        <w:t>, la Entidad incumple la obligación de publicar los siguientes documentos en la plataforma SECOP:</w:t>
      </w:r>
    </w:p>
    <w:p w14:paraId="2606C638" w14:textId="77777777" w:rsidR="00206093" w:rsidRDefault="00206093" w:rsidP="008F6530">
      <w:pPr>
        <w:jc w:val="both"/>
        <w:rPr>
          <w:rFonts w:ascii="Arial" w:hAnsi="Arial" w:cs="Arial"/>
          <w:sz w:val="22"/>
          <w:szCs w:val="22"/>
        </w:rPr>
      </w:pPr>
    </w:p>
    <w:p w14:paraId="6CEF201E"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sz w:val="22"/>
          <w:szCs w:val="22"/>
        </w:rPr>
        <w:t>Registro presupuestal</w:t>
      </w:r>
    </w:p>
    <w:p w14:paraId="2CB00D92"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sz w:val="22"/>
          <w:szCs w:val="22"/>
        </w:rPr>
        <w:t>Informe de actividades</w:t>
      </w:r>
    </w:p>
    <w:p w14:paraId="79055874"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sz w:val="22"/>
          <w:szCs w:val="22"/>
        </w:rPr>
        <w:t>Informe de supervisión</w:t>
      </w:r>
    </w:p>
    <w:p w14:paraId="5D1F3FBE" w14:textId="77777777" w:rsidR="00DA7276" w:rsidRDefault="00DA7276" w:rsidP="008F6530">
      <w:pPr>
        <w:ind w:left="360"/>
        <w:contextualSpacing/>
        <w:jc w:val="both"/>
        <w:rPr>
          <w:rFonts w:ascii="Arial" w:hAnsi="Arial" w:cs="Arial"/>
          <w:sz w:val="22"/>
          <w:szCs w:val="22"/>
        </w:rPr>
      </w:pPr>
    </w:p>
    <w:p w14:paraId="12DD418E" w14:textId="77777777" w:rsidR="00DA7276" w:rsidRDefault="00DA7276" w:rsidP="008F6530">
      <w:pPr>
        <w:jc w:val="both"/>
        <w:rPr>
          <w:rFonts w:ascii="Arial" w:hAnsi="Arial" w:cs="Arial"/>
          <w:sz w:val="22"/>
          <w:szCs w:val="22"/>
        </w:rPr>
      </w:pPr>
      <w:r>
        <w:rPr>
          <w:rFonts w:ascii="Arial" w:hAnsi="Arial" w:cs="Arial"/>
          <w:sz w:val="22"/>
          <w:szCs w:val="22"/>
        </w:rPr>
        <w:t xml:space="preserve">Para la vigencia 2023, en el </w:t>
      </w:r>
      <w:r>
        <w:rPr>
          <w:rFonts w:ascii="Arial" w:hAnsi="Arial" w:cs="Arial"/>
          <w:b/>
          <w:bCs/>
        </w:rPr>
        <w:t>C</w:t>
      </w:r>
      <w:r>
        <w:rPr>
          <w:rFonts w:ascii="Arial" w:hAnsi="Arial" w:cs="Arial"/>
          <w:b/>
          <w:bCs/>
          <w:sz w:val="22"/>
          <w:szCs w:val="22"/>
        </w:rPr>
        <w:t>ontrato</w:t>
      </w:r>
      <w:r>
        <w:rPr>
          <w:rFonts w:ascii="Arial" w:hAnsi="Arial" w:cs="Arial"/>
          <w:sz w:val="22"/>
          <w:szCs w:val="22"/>
        </w:rPr>
        <w:t xml:space="preserve"> </w:t>
      </w:r>
      <w:r>
        <w:rPr>
          <w:rFonts w:ascii="Arial" w:hAnsi="Arial" w:cs="Arial"/>
          <w:b/>
          <w:bCs/>
          <w:sz w:val="22"/>
          <w:szCs w:val="22"/>
        </w:rPr>
        <w:t>No. EDU1425-PSP-2023 del 15 de febrero de 2023 (No. Proceso: EDU1425-PSP-</w:t>
      </w:r>
      <w:bookmarkStart w:id="15" w:name="_Int_DpAJfbcE"/>
      <w:r>
        <w:rPr>
          <w:rFonts w:ascii="Arial" w:hAnsi="Arial" w:cs="Arial"/>
          <w:b/>
          <w:bCs/>
          <w:sz w:val="22"/>
          <w:szCs w:val="22"/>
        </w:rPr>
        <w:t>2023)</w:t>
      </w:r>
      <w:r>
        <w:rPr>
          <w:rStyle w:val="Refdenotaalpie"/>
          <w:rFonts w:ascii="Arial" w:hAnsi="Arial" w:cs="Arial"/>
        </w:rPr>
        <w:footnoteReference w:id="10"/>
      </w:r>
      <w:bookmarkEnd w:id="15"/>
      <w:r w:rsidR="00206093">
        <w:rPr>
          <w:rFonts w:ascii="Arial" w:hAnsi="Arial" w:cs="Arial"/>
          <w:b/>
          <w:bCs/>
          <w:sz w:val="22"/>
          <w:szCs w:val="22"/>
        </w:rPr>
        <w:t xml:space="preserve"> </w:t>
      </w:r>
      <w:r>
        <w:rPr>
          <w:rFonts w:ascii="Arial" w:hAnsi="Arial" w:cs="Arial"/>
          <w:sz w:val="22"/>
          <w:szCs w:val="22"/>
        </w:rPr>
        <w:t xml:space="preserve">con objeto </w:t>
      </w:r>
      <w:r w:rsidR="00206093">
        <w:rPr>
          <w:rFonts w:ascii="Arial" w:hAnsi="Arial" w:cs="Arial"/>
          <w:sz w:val="22"/>
          <w:szCs w:val="22"/>
        </w:rPr>
        <w:t>de</w:t>
      </w:r>
      <w:r>
        <w:rPr>
          <w:rFonts w:ascii="Arial" w:hAnsi="Arial" w:cs="Arial"/>
          <w:sz w:val="22"/>
          <w:szCs w:val="22"/>
        </w:rPr>
        <w:t>: “</w:t>
      </w:r>
      <w:r>
        <w:rPr>
          <w:rFonts w:ascii="Arial" w:hAnsi="Arial" w:cs="Arial"/>
          <w:i/>
          <w:iCs/>
          <w:sz w:val="22"/>
          <w:szCs w:val="22"/>
        </w:rPr>
        <w:t>Prestación de Servicios Profesionales para la atención educativa de los estudiantes con y sin discapacidad que se identifiquen con capacidades y talentos excepcionales de las Instituciones Educativas Oficiales de los 11 Municipios no certificados del Departamento del Quindío, en el marco de la educación inclusiva</w:t>
      </w:r>
      <w:r>
        <w:rPr>
          <w:rFonts w:ascii="Arial" w:hAnsi="Arial" w:cs="Arial"/>
          <w:sz w:val="22"/>
          <w:szCs w:val="22"/>
        </w:rPr>
        <w:t>”</w:t>
      </w:r>
      <w:r w:rsidR="00206093">
        <w:rPr>
          <w:rFonts w:ascii="Arial" w:hAnsi="Arial" w:cs="Arial"/>
          <w:sz w:val="22"/>
          <w:szCs w:val="22"/>
        </w:rPr>
        <w:t>,</w:t>
      </w:r>
      <w:r>
        <w:rPr>
          <w:rFonts w:ascii="Arial" w:hAnsi="Arial" w:cs="Arial"/>
          <w:sz w:val="22"/>
          <w:szCs w:val="22"/>
        </w:rPr>
        <w:t xml:space="preserve"> por $13.760.000 COP, financiado con recursos del SGP. La Entidad incumple la obligación de publicar los siguientes documentos en la plataforma SECOP:</w:t>
      </w:r>
    </w:p>
    <w:p w14:paraId="4D289CC8" w14:textId="77777777" w:rsidR="00206093" w:rsidRDefault="00206093" w:rsidP="008F6530">
      <w:pPr>
        <w:jc w:val="both"/>
        <w:rPr>
          <w:rFonts w:ascii="Arial" w:hAnsi="Arial" w:cs="Arial"/>
          <w:sz w:val="22"/>
          <w:szCs w:val="22"/>
        </w:rPr>
      </w:pPr>
    </w:p>
    <w:p w14:paraId="2A138757"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bCs/>
          <w:sz w:val="22"/>
          <w:szCs w:val="22"/>
        </w:rPr>
        <w:t xml:space="preserve">Registro </w:t>
      </w:r>
      <w:r w:rsidRPr="008F6530">
        <w:rPr>
          <w:rFonts w:ascii="Arial" w:hAnsi="Arial" w:cs="Arial"/>
          <w:sz w:val="22"/>
          <w:szCs w:val="22"/>
        </w:rPr>
        <w:t>presupuestal.</w:t>
      </w:r>
    </w:p>
    <w:p w14:paraId="4A3BD08C"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sz w:val="22"/>
          <w:szCs w:val="22"/>
        </w:rPr>
        <w:t>Informe de actividades</w:t>
      </w:r>
    </w:p>
    <w:p w14:paraId="73BC70AF"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Pr>
          <w:rFonts w:ascii="Arial" w:hAnsi="Arial" w:cs="Arial"/>
          <w:sz w:val="22"/>
          <w:szCs w:val="22"/>
        </w:rPr>
        <w:t>Informe de supervisión</w:t>
      </w:r>
    </w:p>
    <w:p w14:paraId="1F3BE402" w14:textId="77777777" w:rsidR="00DA7276" w:rsidRDefault="00DA7276" w:rsidP="008F6530">
      <w:pPr>
        <w:pStyle w:val="Prrafodelista"/>
        <w:jc w:val="both"/>
        <w:rPr>
          <w:rFonts w:ascii="Arial" w:hAnsi="Arial" w:cs="Arial"/>
          <w:sz w:val="22"/>
          <w:szCs w:val="22"/>
        </w:rPr>
      </w:pPr>
    </w:p>
    <w:p w14:paraId="57A6F312" w14:textId="77777777" w:rsidR="00DA7276" w:rsidRDefault="00DA7276" w:rsidP="008F6530">
      <w:pPr>
        <w:jc w:val="both"/>
        <w:rPr>
          <w:rFonts w:ascii="Arial" w:hAnsi="Arial" w:cs="Arial"/>
          <w:sz w:val="22"/>
          <w:szCs w:val="22"/>
        </w:rPr>
      </w:pPr>
      <w:r>
        <w:rPr>
          <w:rFonts w:ascii="Arial" w:hAnsi="Arial" w:cs="Arial"/>
          <w:sz w:val="22"/>
          <w:szCs w:val="22"/>
        </w:rPr>
        <w:t xml:space="preserve">En el </w:t>
      </w:r>
      <w:r>
        <w:rPr>
          <w:rFonts w:ascii="Arial" w:hAnsi="Arial" w:cs="Arial"/>
          <w:b/>
          <w:bCs/>
        </w:rPr>
        <w:t>C</w:t>
      </w:r>
      <w:r>
        <w:rPr>
          <w:rFonts w:ascii="Arial" w:hAnsi="Arial" w:cs="Arial"/>
          <w:b/>
          <w:bCs/>
          <w:sz w:val="22"/>
          <w:szCs w:val="22"/>
        </w:rPr>
        <w:t>ontrato No. EDU1214-PSP-2023 del 15 de febrero de 2023 (No. Proceso: EDU1214-PSP-2023)</w:t>
      </w:r>
      <w:r>
        <w:rPr>
          <w:rStyle w:val="Refdenotaalpie"/>
          <w:rFonts w:ascii="Arial" w:hAnsi="Arial" w:cs="Arial"/>
        </w:rPr>
        <w:footnoteReference w:id="11"/>
      </w:r>
      <w:r w:rsidR="00206093">
        <w:rPr>
          <w:rFonts w:ascii="Arial" w:hAnsi="Arial" w:cs="Arial"/>
          <w:b/>
          <w:bCs/>
          <w:sz w:val="22"/>
          <w:szCs w:val="22"/>
        </w:rPr>
        <w:t xml:space="preserve"> </w:t>
      </w:r>
      <w:r>
        <w:rPr>
          <w:rFonts w:ascii="Arial" w:hAnsi="Arial" w:cs="Arial"/>
          <w:sz w:val="22"/>
          <w:szCs w:val="22"/>
        </w:rPr>
        <w:t xml:space="preserve">con objeto </w:t>
      </w:r>
      <w:r w:rsidR="00206093">
        <w:rPr>
          <w:rFonts w:ascii="Arial" w:hAnsi="Arial" w:cs="Arial"/>
          <w:sz w:val="22"/>
          <w:szCs w:val="22"/>
        </w:rPr>
        <w:t>de</w:t>
      </w:r>
      <w:r>
        <w:rPr>
          <w:rFonts w:ascii="Arial" w:hAnsi="Arial" w:cs="Arial"/>
          <w:sz w:val="22"/>
          <w:szCs w:val="22"/>
        </w:rPr>
        <w:t>: “</w:t>
      </w:r>
      <w:r>
        <w:rPr>
          <w:rFonts w:ascii="Arial" w:hAnsi="Arial" w:cs="Arial"/>
          <w:i/>
          <w:iCs/>
          <w:sz w:val="22"/>
          <w:szCs w:val="22"/>
        </w:rPr>
        <w:t xml:space="preserve">Prestación de servicios profesionales de apoyo </w:t>
      </w:r>
      <w:r>
        <w:rPr>
          <w:rFonts w:ascii="Arial" w:hAnsi="Arial" w:cs="Arial"/>
          <w:i/>
          <w:iCs/>
          <w:sz w:val="22"/>
          <w:szCs w:val="22"/>
        </w:rPr>
        <w:lastRenderedPageBreak/>
        <w:t>pedagógico para la atención educativa de la población con discapacidad de las instituciones educativas oficiales de los once (11) municipios no certificados del departamento del Quindío, en el marco de la educación inclusiva</w:t>
      </w:r>
      <w:r w:rsidR="00206093">
        <w:rPr>
          <w:rFonts w:ascii="Arial" w:hAnsi="Arial" w:cs="Arial"/>
          <w:i/>
          <w:iCs/>
          <w:sz w:val="22"/>
          <w:szCs w:val="22"/>
        </w:rPr>
        <w:t>,</w:t>
      </w:r>
      <w:r>
        <w:rPr>
          <w:rFonts w:ascii="Arial" w:hAnsi="Arial" w:cs="Arial"/>
          <w:sz w:val="22"/>
          <w:szCs w:val="22"/>
        </w:rPr>
        <w:t>” por $15.480.000 COP, financiado con recursos del SGP. La Entidad incumple la obligación de publicar los siguientes documentos en la plataforma SECOP:</w:t>
      </w:r>
    </w:p>
    <w:p w14:paraId="3AC7EB48" w14:textId="77777777" w:rsidR="00206093" w:rsidRDefault="00206093" w:rsidP="008F6530">
      <w:pPr>
        <w:jc w:val="both"/>
        <w:rPr>
          <w:rFonts w:ascii="Arial" w:hAnsi="Arial" w:cs="Arial"/>
          <w:sz w:val="22"/>
          <w:szCs w:val="22"/>
        </w:rPr>
      </w:pPr>
    </w:p>
    <w:p w14:paraId="2299F8A8"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bCs/>
          <w:sz w:val="22"/>
          <w:szCs w:val="22"/>
        </w:rPr>
      </w:pPr>
      <w:r>
        <w:rPr>
          <w:rFonts w:ascii="Arial" w:hAnsi="Arial" w:cs="Arial"/>
          <w:sz w:val="22"/>
          <w:szCs w:val="22"/>
        </w:rPr>
        <w:t xml:space="preserve">Minuta </w:t>
      </w:r>
      <w:r w:rsidRPr="008F6530">
        <w:rPr>
          <w:rFonts w:ascii="Arial" w:hAnsi="Arial" w:cs="Arial"/>
          <w:bCs/>
          <w:sz w:val="22"/>
          <w:szCs w:val="22"/>
        </w:rPr>
        <w:t>contractual.</w:t>
      </w:r>
    </w:p>
    <w:p w14:paraId="07E51429"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bCs/>
          <w:sz w:val="22"/>
          <w:szCs w:val="22"/>
        </w:rPr>
      </w:pPr>
      <w:r w:rsidRPr="008F6530">
        <w:rPr>
          <w:rFonts w:ascii="Arial" w:hAnsi="Arial" w:cs="Arial"/>
          <w:bCs/>
          <w:sz w:val="22"/>
          <w:szCs w:val="22"/>
        </w:rPr>
        <w:t>Informe de actividades</w:t>
      </w:r>
    </w:p>
    <w:p w14:paraId="7A43152D" w14:textId="77777777" w:rsidR="00DA7276"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bCs/>
          <w:sz w:val="22"/>
          <w:szCs w:val="22"/>
        </w:rPr>
        <w:t xml:space="preserve">Informe de </w:t>
      </w:r>
      <w:r>
        <w:rPr>
          <w:rFonts w:ascii="Arial" w:hAnsi="Arial" w:cs="Arial"/>
          <w:sz w:val="22"/>
          <w:szCs w:val="22"/>
        </w:rPr>
        <w:t>supervisión</w:t>
      </w:r>
    </w:p>
    <w:p w14:paraId="7A904698" w14:textId="77777777" w:rsidR="00DA7276" w:rsidRDefault="00DA7276" w:rsidP="008F6530">
      <w:pPr>
        <w:jc w:val="both"/>
        <w:rPr>
          <w:rFonts w:ascii="Arial" w:eastAsia="Arial" w:hAnsi="Arial" w:cs="Arial"/>
          <w:b/>
          <w:bCs/>
          <w:sz w:val="22"/>
          <w:szCs w:val="22"/>
        </w:rPr>
      </w:pPr>
    </w:p>
    <w:p w14:paraId="0BF1411D" w14:textId="77777777" w:rsidR="00DA7276" w:rsidRDefault="00DA7276" w:rsidP="008F6530">
      <w:pPr>
        <w:jc w:val="both"/>
        <w:rPr>
          <w:rFonts w:ascii="Arial" w:eastAsia="Arial" w:hAnsi="Arial" w:cs="Arial"/>
          <w:sz w:val="22"/>
          <w:szCs w:val="22"/>
        </w:rPr>
      </w:pPr>
      <w:r>
        <w:rPr>
          <w:rFonts w:ascii="Arial" w:eastAsia="Arial" w:hAnsi="Arial" w:cs="Arial"/>
          <w:sz w:val="22"/>
          <w:szCs w:val="22"/>
        </w:rPr>
        <w:t xml:space="preserve">En resumen, </w:t>
      </w:r>
      <w:r w:rsidR="00963646">
        <w:rPr>
          <w:rFonts w:ascii="Arial" w:eastAsia="Arial" w:hAnsi="Arial" w:cs="Arial"/>
          <w:sz w:val="22"/>
          <w:szCs w:val="22"/>
        </w:rPr>
        <w:t xml:space="preserve">este apartado tiene como analizar si se </w:t>
      </w:r>
      <w:r>
        <w:rPr>
          <w:rFonts w:ascii="Arial" w:eastAsia="Arial" w:hAnsi="Arial" w:cs="Arial"/>
          <w:sz w:val="22"/>
          <w:szCs w:val="22"/>
        </w:rPr>
        <w:t>garantiza una adecuada, oportuna y eficiente gestión contractual en todas sus etapas en el sector de la educación en Colombia. En particular, esta actividad busca publicar en el Sistema Electrónico de Contratación Pública (SECOP) todos los documentos y actos relacionados con el proceso de contratación. En esta evaluación se encontró que persiste la falta de publicación de la información necesaria para los contratos analizados en las vigencias 2022 y 2023, incluyendo los contratos que habían sido enunciados anteriormente en otros informes de seguimiento.</w:t>
      </w:r>
    </w:p>
    <w:p w14:paraId="415BADCE" w14:textId="77777777" w:rsidR="00DA7276" w:rsidRDefault="00DA7276" w:rsidP="008F6530">
      <w:pPr>
        <w:jc w:val="both"/>
        <w:rPr>
          <w:rFonts w:ascii="Arial" w:eastAsia="Arial" w:hAnsi="Arial" w:cs="Arial"/>
          <w:sz w:val="22"/>
          <w:szCs w:val="22"/>
        </w:rPr>
      </w:pPr>
    </w:p>
    <w:p w14:paraId="7527A17B" w14:textId="77777777" w:rsidR="00DA7276" w:rsidRDefault="00DA7276" w:rsidP="008F6530">
      <w:pPr>
        <w:jc w:val="both"/>
        <w:rPr>
          <w:rFonts w:ascii="Arial" w:eastAsia="Arial" w:hAnsi="Arial" w:cs="Arial"/>
          <w:sz w:val="22"/>
          <w:szCs w:val="22"/>
        </w:rPr>
      </w:pPr>
      <w:r>
        <w:rPr>
          <w:rFonts w:ascii="Arial" w:eastAsia="Arial" w:hAnsi="Arial" w:cs="Arial"/>
          <w:b/>
          <w:sz w:val="22"/>
          <w:szCs w:val="22"/>
        </w:rPr>
        <w:t>Evaluación de la actividad</w:t>
      </w:r>
      <w:r>
        <w:rPr>
          <w:rFonts w:ascii="Arial" w:eastAsia="Arial" w:hAnsi="Arial" w:cs="Arial"/>
          <w:sz w:val="22"/>
          <w:szCs w:val="22"/>
        </w:rPr>
        <w:t>:</w:t>
      </w:r>
      <w:r>
        <w:rPr>
          <w:rFonts w:ascii="Arial" w:eastAsia="Arial" w:hAnsi="Arial" w:cs="Arial"/>
          <w:b/>
          <w:bCs/>
          <w:sz w:val="22"/>
          <w:szCs w:val="22"/>
        </w:rPr>
        <w:t xml:space="preserve"> </w:t>
      </w:r>
      <w:r>
        <w:rPr>
          <w:rFonts w:ascii="Arial" w:eastAsia="Arial" w:hAnsi="Arial" w:cs="Arial"/>
          <w:sz w:val="22"/>
          <w:szCs w:val="22"/>
        </w:rPr>
        <w:t>No cumple</w:t>
      </w:r>
    </w:p>
    <w:p w14:paraId="0C6AF03C" w14:textId="77777777" w:rsidR="00DA7276" w:rsidRDefault="00DA7276" w:rsidP="008F6530">
      <w:pPr>
        <w:jc w:val="both"/>
        <w:rPr>
          <w:rStyle w:val="normaltextrun"/>
        </w:rPr>
      </w:pPr>
    </w:p>
    <w:p w14:paraId="7D8EEDB5" w14:textId="77777777" w:rsidR="00DA7276" w:rsidRDefault="00DA7276" w:rsidP="008F6530">
      <w:pPr>
        <w:pStyle w:val="Ttulo4"/>
        <w:spacing w:before="0"/>
        <w:rPr>
          <w:i w:val="0"/>
          <w:iCs w:val="0"/>
          <w:color w:val="auto"/>
          <w:u w:val="single"/>
          <w:lang w:val="es-CO" w:eastAsia="es-CO"/>
        </w:rPr>
      </w:pPr>
      <w:r>
        <w:rPr>
          <w:rFonts w:ascii="Arial" w:eastAsia="Arial" w:hAnsi="Arial" w:cs="Arial"/>
          <w:i w:val="0"/>
          <w:iCs w:val="0"/>
          <w:color w:val="auto"/>
          <w:sz w:val="22"/>
          <w:szCs w:val="22"/>
          <w:u w:val="single"/>
          <w:lang w:val="es-CO" w:eastAsia="es-CO"/>
        </w:rPr>
        <w:t>Recomendación</w:t>
      </w:r>
    </w:p>
    <w:p w14:paraId="6F4236A2" w14:textId="77777777" w:rsidR="00DA7276" w:rsidRDefault="00DA7276" w:rsidP="008F6530">
      <w:pPr>
        <w:pStyle w:val="paragraph"/>
        <w:spacing w:before="0" w:beforeAutospacing="0" w:after="0" w:afterAutospacing="0"/>
        <w:jc w:val="both"/>
        <w:textAlignment w:val="baseline"/>
        <w:rPr>
          <w:rStyle w:val="normaltextrun"/>
          <w:b/>
          <w:bCs/>
        </w:rPr>
      </w:pPr>
    </w:p>
    <w:p w14:paraId="5A36C4AF" w14:textId="77777777" w:rsidR="00DA7276" w:rsidRDefault="00DA7276" w:rsidP="008F6530">
      <w:pPr>
        <w:pStyle w:val="paragraph"/>
        <w:spacing w:before="0" w:beforeAutospacing="0" w:after="0" w:afterAutospacing="0"/>
        <w:jc w:val="both"/>
        <w:textAlignment w:val="baseline"/>
        <w:rPr>
          <w:rFonts w:eastAsia="Arial"/>
        </w:rPr>
      </w:pPr>
      <w:r>
        <w:rPr>
          <w:rFonts w:ascii="Arial" w:eastAsia="Arial" w:hAnsi="Arial" w:cs="Arial"/>
          <w:sz w:val="22"/>
          <w:szCs w:val="22"/>
        </w:rPr>
        <w:t xml:space="preserve">Se le recomienda a la Entidad Territorial realizar un informe que dé cuenta de las causas institucionales que no le han permitido superar la problemática detectada, en este se debe enunciar los cargos involucrados en la actividad, así como las acciones y/o estrategias implementadas por parte de la administración territorial para lograr superar esta falencia. </w:t>
      </w:r>
    </w:p>
    <w:p w14:paraId="022453B5" w14:textId="77777777" w:rsidR="00DA7276" w:rsidRDefault="00DA7276" w:rsidP="008F6530">
      <w:pPr>
        <w:pStyle w:val="paragraph"/>
        <w:spacing w:before="0" w:beforeAutospacing="0" w:after="0" w:afterAutospacing="0"/>
        <w:jc w:val="both"/>
        <w:textAlignment w:val="baseline"/>
        <w:rPr>
          <w:rFonts w:ascii="Arial" w:eastAsia="Arial" w:hAnsi="Arial" w:cs="Arial"/>
          <w:sz w:val="22"/>
          <w:szCs w:val="22"/>
        </w:rPr>
      </w:pPr>
    </w:p>
    <w:p w14:paraId="46ABE9F8" w14:textId="77777777" w:rsidR="00DA7276" w:rsidRDefault="00DA7276" w:rsidP="008F6530">
      <w:pPr>
        <w:pStyle w:val="paragraph"/>
        <w:spacing w:before="0" w:beforeAutospacing="0" w:after="0" w:afterAutospacing="0"/>
        <w:jc w:val="both"/>
        <w:textAlignment w:val="baseline"/>
        <w:rPr>
          <w:rStyle w:val="normaltextrun"/>
          <w:rFonts w:eastAsia="Arial"/>
        </w:rPr>
      </w:pPr>
      <w:r>
        <w:rPr>
          <w:rFonts w:ascii="Arial" w:eastAsia="Arial" w:hAnsi="Arial" w:cs="Arial"/>
          <w:sz w:val="22"/>
          <w:szCs w:val="22"/>
        </w:rPr>
        <w:t xml:space="preserve">Adicionalmente, se le recuerda al Departamento de Quindío que es su responsabilidad leer, discutir y socializar los informes que emite esta dirección como seguimiento a la medida preventiva vigente. Estos informes son una herramienta fundamental para identificar fortalezas y debilidades en su gestión, y deben ser tomados en cuenta para hacer los cambios necesarios, implementando las recomendaciones dadas, y así poder cumplir con los objetivos trazados en su plan de desempeño. </w:t>
      </w:r>
    </w:p>
    <w:p w14:paraId="4C3BB72C" w14:textId="77777777" w:rsidR="00DA7276" w:rsidRDefault="00DA7276" w:rsidP="008F6530">
      <w:pPr>
        <w:pStyle w:val="paragraph"/>
        <w:spacing w:before="0" w:beforeAutospacing="0" w:after="0" w:afterAutospacing="0"/>
        <w:jc w:val="both"/>
        <w:rPr>
          <w:rFonts w:eastAsia="Arial"/>
        </w:rPr>
      </w:pPr>
    </w:p>
    <w:p w14:paraId="29EEE8EE"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szCs w:val="22"/>
        </w:rPr>
        <w:t>Categoría 5. Defensa judicial</w:t>
      </w:r>
    </w:p>
    <w:p w14:paraId="4D6AB30C" w14:textId="77777777" w:rsidR="00DA7276" w:rsidRDefault="00DA7276" w:rsidP="008F6530">
      <w:pPr>
        <w:jc w:val="both"/>
      </w:pPr>
      <w:r>
        <w:rPr>
          <w:rFonts w:ascii="Arial" w:eastAsia="Arial" w:hAnsi="Arial" w:cs="Arial"/>
          <w:sz w:val="22"/>
          <w:szCs w:val="22"/>
        </w:rPr>
        <w:t xml:space="preserve"> </w:t>
      </w:r>
    </w:p>
    <w:p w14:paraId="1163C33B" w14:textId="77777777" w:rsidR="00DA7276" w:rsidRDefault="00DA7276" w:rsidP="008F6530">
      <w:pPr>
        <w:pStyle w:val="Ttulo3"/>
        <w:spacing w:before="0"/>
        <w:jc w:val="both"/>
        <w:rPr>
          <w:rFonts w:ascii="Arial" w:eastAsia="Arial" w:hAnsi="Arial" w:cs="Arial"/>
          <w:b/>
          <w:color w:val="auto"/>
          <w:sz w:val="22"/>
          <w:szCs w:val="22"/>
        </w:rPr>
      </w:pPr>
      <w:r>
        <w:rPr>
          <w:rFonts w:ascii="Arial" w:eastAsia="Arial" w:hAnsi="Arial" w:cs="Arial"/>
          <w:b/>
          <w:color w:val="auto"/>
          <w:sz w:val="22"/>
          <w:szCs w:val="22"/>
        </w:rPr>
        <w:t>Objetivo 5.1. Establecer una mejor coordinación entre las oficinas jurídicas, la Secretaría de Hacienda y la Secretaría de Educación de la entidad, con el fin de asumir su defensa jurídica y evitar embargos y medidas cautelares a las cuentas bancarias del SGP-Educación, y, por ende, la afectación en la prestación del servicio.</w:t>
      </w:r>
    </w:p>
    <w:p w14:paraId="3B45692E" w14:textId="77777777" w:rsidR="00DA7276" w:rsidRDefault="00DA7276" w:rsidP="008F6530">
      <w:pPr>
        <w:jc w:val="both"/>
      </w:pPr>
      <w:r>
        <w:rPr>
          <w:rFonts w:eastAsia="Times New Roman"/>
        </w:rPr>
        <w:t xml:space="preserve"> </w:t>
      </w:r>
    </w:p>
    <w:p w14:paraId="70E0CCC5" w14:textId="77777777" w:rsidR="00DA7276" w:rsidRPr="00963646" w:rsidRDefault="00DA7276" w:rsidP="008F6530">
      <w:pPr>
        <w:pStyle w:val="Ttulo3"/>
        <w:spacing w:before="0"/>
        <w:jc w:val="both"/>
        <w:rPr>
          <w:rFonts w:ascii="Arial" w:eastAsia="Arial" w:hAnsi="Arial" w:cs="Arial"/>
          <w:b/>
          <w:bCs/>
          <w:i/>
          <w:color w:val="auto"/>
          <w:sz w:val="22"/>
        </w:rPr>
      </w:pPr>
      <w:r w:rsidRPr="00963646">
        <w:rPr>
          <w:rFonts w:ascii="Arial" w:eastAsia="Arial" w:hAnsi="Arial" w:cs="Arial"/>
          <w:b/>
          <w:bCs/>
          <w:i/>
          <w:color w:val="auto"/>
          <w:sz w:val="22"/>
        </w:rPr>
        <w:t>Actividad 5.1.1. Adelantar los procedimientos necesarios hasta lograr el levantamiento efectivo de las medidas cautelares aplicadas sobre las cuentas del SGP - educación.</w:t>
      </w:r>
    </w:p>
    <w:p w14:paraId="7B1C9135" w14:textId="77777777" w:rsidR="00DA7276" w:rsidRDefault="00DA7276" w:rsidP="008F6530">
      <w:pPr>
        <w:jc w:val="both"/>
      </w:pPr>
      <w:r>
        <w:rPr>
          <w:rFonts w:eastAsia="Times New Roman"/>
        </w:rPr>
        <w:t xml:space="preserve"> </w:t>
      </w:r>
    </w:p>
    <w:p w14:paraId="11FB90F9" w14:textId="77777777" w:rsidR="00DA7276" w:rsidRDefault="00DA7276" w:rsidP="008F6530">
      <w:pPr>
        <w:pStyle w:val="Ttulo4"/>
        <w:spacing w:before="0"/>
        <w:rPr>
          <w:rFonts w:ascii="Arial" w:eastAsia="Times New Roman" w:hAnsi="Arial"/>
          <w:bCs/>
          <w:i w:val="0"/>
          <w:iCs w:val="0"/>
          <w:color w:val="auto"/>
          <w:sz w:val="22"/>
          <w:u w:val="single"/>
          <w:lang w:val="es-CO" w:eastAsia="es-CO"/>
        </w:rPr>
      </w:pPr>
      <w:r>
        <w:rPr>
          <w:rStyle w:val="normaltextrun"/>
          <w:rFonts w:ascii="Arial" w:eastAsia="Times New Roman" w:hAnsi="Arial"/>
          <w:i w:val="0"/>
          <w:iCs w:val="0"/>
          <w:color w:val="auto"/>
          <w:sz w:val="22"/>
          <w:u w:val="single"/>
          <w:lang w:val="es-CO" w:eastAsia="es-CO"/>
        </w:rPr>
        <w:lastRenderedPageBreak/>
        <w:t>Productos Esperados</w:t>
      </w:r>
      <w:r>
        <w:rPr>
          <w:rStyle w:val="normaltextrun"/>
          <w:rFonts w:ascii="Arial" w:eastAsia="Times New Roman" w:hAnsi="Arial"/>
          <w:bCs/>
          <w:i w:val="0"/>
          <w:iCs w:val="0"/>
          <w:color w:val="auto"/>
          <w:sz w:val="22"/>
          <w:u w:val="single"/>
          <w:lang w:val="es-CO" w:eastAsia="es-CO"/>
        </w:rPr>
        <w:t xml:space="preserve"> </w:t>
      </w:r>
    </w:p>
    <w:p w14:paraId="7AF55787"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sz w:val="22"/>
          <w:szCs w:val="22"/>
        </w:rPr>
        <w:t>Levantamiento del proceso del pago de sentencias.</w:t>
      </w:r>
      <w:r w:rsidR="008F6530" w:rsidRPr="008F6530">
        <w:rPr>
          <w:rFonts w:ascii="Arial" w:hAnsi="Arial" w:cs="Arial"/>
          <w:sz w:val="22"/>
          <w:szCs w:val="22"/>
        </w:rPr>
        <w:t xml:space="preserve"> </w:t>
      </w:r>
    </w:p>
    <w:p w14:paraId="312BC34A"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sz w:val="22"/>
          <w:szCs w:val="22"/>
        </w:rPr>
        <w:t>Certificación del levantamiento de las medidas cautelares.</w:t>
      </w:r>
    </w:p>
    <w:p w14:paraId="76EFC16D"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sz w:val="22"/>
          <w:szCs w:val="22"/>
        </w:rPr>
        <w:t>Copias de las solicitudes y de las actuaciones judiciales pertinentes.</w:t>
      </w:r>
    </w:p>
    <w:p w14:paraId="66DC60BD" w14:textId="77777777" w:rsidR="00DA7276" w:rsidRDefault="00DA7276" w:rsidP="008F6530">
      <w:pPr>
        <w:pStyle w:val="Prrafodelista"/>
        <w:numPr>
          <w:ilvl w:val="0"/>
          <w:numId w:val="28"/>
        </w:numPr>
        <w:tabs>
          <w:tab w:val="clear" w:pos="720"/>
        </w:tabs>
        <w:ind w:left="426" w:hanging="426"/>
        <w:jc w:val="both"/>
        <w:rPr>
          <w:rFonts w:ascii="Arial" w:eastAsia="Arial" w:hAnsi="Arial" w:cs="Arial"/>
          <w:sz w:val="22"/>
          <w:szCs w:val="22"/>
        </w:rPr>
      </w:pPr>
      <w:r w:rsidRPr="008F6530">
        <w:rPr>
          <w:rFonts w:ascii="Arial" w:hAnsi="Arial" w:cs="Arial"/>
          <w:sz w:val="22"/>
          <w:szCs w:val="22"/>
        </w:rPr>
        <w:t>Certificación bancaria para cada una de las cuentas en las que se administren recur</w:t>
      </w:r>
      <w:r>
        <w:rPr>
          <w:rFonts w:ascii="Arial" w:eastAsia="Arial" w:hAnsi="Arial" w:cs="Arial"/>
          <w:sz w:val="22"/>
          <w:szCs w:val="22"/>
        </w:rPr>
        <w:t>sos del SGP Educación frente a la existencia de medidas cautelares.</w:t>
      </w:r>
    </w:p>
    <w:p w14:paraId="2F783377" w14:textId="77777777" w:rsidR="00DA7276" w:rsidRDefault="00DA7276" w:rsidP="008F6530">
      <w:pPr>
        <w:pStyle w:val="Prrafodelista"/>
        <w:jc w:val="both"/>
        <w:rPr>
          <w:rFonts w:ascii="Arial" w:eastAsia="Arial" w:hAnsi="Arial" w:cs="Arial"/>
          <w:sz w:val="22"/>
          <w:szCs w:val="22"/>
        </w:rPr>
      </w:pPr>
    </w:p>
    <w:p w14:paraId="315B18EC" w14:textId="77777777" w:rsidR="00DA7276" w:rsidRDefault="00DA7276" w:rsidP="008F6530">
      <w:pPr>
        <w:pStyle w:val="Ttulo4"/>
        <w:spacing w:before="0"/>
        <w:rPr>
          <w:rStyle w:val="normaltextrun"/>
          <w:rFonts w:eastAsia="Times New Roman"/>
          <w:i w:val="0"/>
          <w:iCs w:val="0"/>
          <w:color w:val="auto"/>
          <w:u w:val="single"/>
          <w:lang w:val="es-CO" w:eastAsia="es-CO"/>
        </w:rPr>
      </w:pPr>
      <w:bookmarkStart w:id="16" w:name="_Int_Frf0t4LX"/>
      <w:r>
        <w:rPr>
          <w:rStyle w:val="normaltextrun"/>
          <w:rFonts w:ascii="Arial" w:eastAsia="Times New Roman" w:hAnsi="Arial"/>
          <w:i w:val="0"/>
          <w:iCs w:val="0"/>
          <w:color w:val="auto"/>
          <w:sz w:val="22"/>
          <w:u w:val="single"/>
          <w:lang w:val="es-CO" w:eastAsia="es-CO"/>
        </w:rPr>
        <w:t>Evaluación</w:t>
      </w:r>
      <w:bookmarkEnd w:id="16"/>
    </w:p>
    <w:p w14:paraId="0ED7F486" w14:textId="77777777" w:rsidR="00DA7276" w:rsidRDefault="00DA7276" w:rsidP="008F6530">
      <w:pPr>
        <w:jc w:val="both"/>
      </w:pPr>
      <w:r>
        <w:rPr>
          <w:rFonts w:ascii="Arial" w:eastAsia="Arial" w:hAnsi="Arial" w:cs="Arial"/>
          <w:b/>
          <w:bCs/>
          <w:sz w:val="22"/>
          <w:szCs w:val="22"/>
        </w:rPr>
        <w:t xml:space="preserve"> </w:t>
      </w:r>
    </w:p>
    <w:p w14:paraId="0DCC638B" w14:textId="77777777" w:rsidR="00DA7276" w:rsidRDefault="00DA7276" w:rsidP="008F6530">
      <w:pPr>
        <w:jc w:val="both"/>
      </w:pPr>
      <w:r>
        <w:rPr>
          <w:rFonts w:ascii="Arial" w:eastAsia="Arial" w:hAnsi="Arial" w:cs="Arial"/>
          <w:sz w:val="22"/>
          <w:szCs w:val="22"/>
        </w:rPr>
        <w:t>La Entidad Territorial reportó bajo el radicado No. 1-2023-028525 que actualmente cursan 6 procesos ejecutivos que contienen medidas cautelares sobre las cuentas del Sistema General de Participaciones (SGP) Educación, dos procesos más frente a los reportados para la elaboración del informe de evaluación en la vigencia 2022, que corresponden a: dos radicados en la vigencia 2015 en el Juzgado 1° Administrativo y cuatro radicados en la vigencia 2016 en el Juzgado 2° y 4° Administrativo, como se describe a continuación:</w:t>
      </w:r>
    </w:p>
    <w:p w14:paraId="75137B13" w14:textId="77777777" w:rsidR="00DA7276" w:rsidRDefault="00DA7276" w:rsidP="008F6530">
      <w:pPr>
        <w:jc w:val="both"/>
        <w:rPr>
          <w:rFonts w:ascii="Arial" w:eastAsia="Arial" w:hAnsi="Arial" w:cs="Arial"/>
          <w:sz w:val="22"/>
          <w:szCs w:val="22"/>
        </w:rPr>
      </w:pPr>
    </w:p>
    <w:p w14:paraId="07656EDC" w14:textId="77777777" w:rsidR="00DA7276" w:rsidRDefault="00DA7276" w:rsidP="008F6530">
      <w:pPr>
        <w:jc w:val="center"/>
      </w:pPr>
      <w:r>
        <w:rPr>
          <w:noProof/>
          <w:lang w:val="es-CO" w:eastAsia="es-CO"/>
        </w:rPr>
        <w:drawing>
          <wp:inline distT="0" distB="0" distL="0" distR="0" wp14:anchorId="1126DAE5" wp14:editId="1AA84BF3">
            <wp:extent cx="5648325" cy="2457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4352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2457450"/>
                    </a:xfrm>
                    <a:prstGeom prst="rect">
                      <a:avLst/>
                    </a:prstGeom>
                    <a:noFill/>
                    <a:ln>
                      <a:noFill/>
                    </a:ln>
                  </pic:spPr>
                </pic:pic>
              </a:graphicData>
            </a:graphic>
          </wp:inline>
        </w:drawing>
      </w:r>
      <w:r>
        <w:rPr>
          <w:rFonts w:ascii="Arial" w:eastAsia="Arial" w:hAnsi="Arial" w:cs="Arial"/>
          <w:color w:val="000000" w:themeColor="text1"/>
          <w:sz w:val="16"/>
          <w:szCs w:val="16"/>
        </w:rPr>
        <w:t>Fuente: Informe enviado por la Entidad Territorial.</w:t>
      </w:r>
    </w:p>
    <w:p w14:paraId="595A9136" w14:textId="77777777" w:rsidR="00DA7276" w:rsidRDefault="00DA7276" w:rsidP="008F6530">
      <w:pPr>
        <w:jc w:val="both"/>
      </w:pPr>
      <w:r>
        <w:rPr>
          <w:rFonts w:ascii="Arial" w:eastAsia="Arial" w:hAnsi="Arial" w:cs="Arial"/>
          <w:color w:val="000000" w:themeColor="text1"/>
          <w:sz w:val="22"/>
          <w:szCs w:val="22"/>
        </w:rPr>
        <w:t xml:space="preserve"> </w:t>
      </w:r>
    </w:p>
    <w:p w14:paraId="0281B3AA" w14:textId="77777777" w:rsidR="00DA7276" w:rsidRDefault="00DA7276" w:rsidP="008F6530">
      <w:pPr>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Frente al cuadro enviado por la Entidad Territorial, se resalta el ingreso de procesos nuevos frente al último allegado (informe de seguimiento vigencia 2022), los cuales se relacionan con los siguientes terceros: </w:t>
      </w:r>
    </w:p>
    <w:p w14:paraId="44D63B94" w14:textId="77777777" w:rsidR="00963646" w:rsidRDefault="00963646" w:rsidP="008F6530">
      <w:pPr>
        <w:jc w:val="both"/>
      </w:pPr>
    </w:p>
    <w:p w14:paraId="69B866CB"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sz w:val="22"/>
          <w:szCs w:val="22"/>
        </w:rPr>
        <w:t>Rodrigo Serna Beltrán</w:t>
      </w:r>
    </w:p>
    <w:p w14:paraId="624C7C45" w14:textId="77777777" w:rsidR="00DA7276" w:rsidRPr="008F6530" w:rsidRDefault="00DA7276" w:rsidP="008F6530">
      <w:pPr>
        <w:pStyle w:val="Prrafodelista"/>
        <w:numPr>
          <w:ilvl w:val="0"/>
          <w:numId w:val="28"/>
        </w:numPr>
        <w:tabs>
          <w:tab w:val="clear" w:pos="720"/>
        </w:tabs>
        <w:ind w:left="426" w:hanging="426"/>
        <w:jc w:val="both"/>
        <w:rPr>
          <w:rFonts w:ascii="Arial" w:hAnsi="Arial" w:cs="Arial"/>
          <w:sz w:val="22"/>
          <w:szCs w:val="22"/>
        </w:rPr>
      </w:pPr>
      <w:r w:rsidRPr="008F6530">
        <w:rPr>
          <w:rFonts w:ascii="Arial" w:hAnsi="Arial" w:cs="Arial"/>
          <w:sz w:val="22"/>
          <w:szCs w:val="22"/>
        </w:rPr>
        <w:t>María Rosa Duque Parra</w:t>
      </w:r>
    </w:p>
    <w:p w14:paraId="2B484CF1" w14:textId="77777777" w:rsidR="00DA7276" w:rsidRDefault="00DA7276" w:rsidP="008F6530">
      <w:pPr>
        <w:pStyle w:val="Prrafodelista"/>
        <w:numPr>
          <w:ilvl w:val="0"/>
          <w:numId w:val="28"/>
        </w:numPr>
        <w:tabs>
          <w:tab w:val="clear" w:pos="720"/>
        </w:tabs>
        <w:ind w:left="426" w:hanging="426"/>
        <w:jc w:val="both"/>
        <w:rPr>
          <w:rFonts w:ascii="Arial" w:eastAsia="Arial" w:hAnsi="Arial" w:cs="Arial"/>
          <w:color w:val="000000" w:themeColor="text1"/>
          <w:sz w:val="22"/>
          <w:szCs w:val="22"/>
        </w:rPr>
      </w:pPr>
      <w:r w:rsidRPr="008F6530">
        <w:rPr>
          <w:rFonts w:ascii="Arial" w:hAnsi="Arial" w:cs="Arial"/>
          <w:sz w:val="22"/>
          <w:szCs w:val="22"/>
        </w:rPr>
        <w:t>Celmira</w:t>
      </w:r>
      <w:r>
        <w:rPr>
          <w:rFonts w:ascii="Arial" w:eastAsia="Arial" w:hAnsi="Arial" w:cs="Arial"/>
          <w:color w:val="000000" w:themeColor="text1"/>
          <w:sz w:val="22"/>
          <w:szCs w:val="22"/>
        </w:rPr>
        <w:t xml:space="preserve"> Sánchez de Rincón</w:t>
      </w:r>
    </w:p>
    <w:p w14:paraId="0FBC8648" w14:textId="77777777" w:rsidR="00DA7276" w:rsidRDefault="00DA7276" w:rsidP="008F6530">
      <w:pPr>
        <w:jc w:val="both"/>
      </w:pPr>
      <w:r>
        <w:rPr>
          <w:rFonts w:ascii="Arial" w:eastAsia="Arial" w:hAnsi="Arial" w:cs="Arial"/>
          <w:color w:val="000000" w:themeColor="text1"/>
          <w:sz w:val="22"/>
          <w:szCs w:val="22"/>
        </w:rPr>
        <w:t xml:space="preserve"> </w:t>
      </w:r>
    </w:p>
    <w:p w14:paraId="4E782BA2" w14:textId="77777777" w:rsidR="00DA7276" w:rsidRDefault="00DA7276" w:rsidP="008F6530">
      <w:pPr>
        <w:jc w:val="both"/>
        <w:rPr>
          <w:rFonts w:ascii="Arial" w:eastAsia="Arial" w:hAnsi="Arial" w:cs="Arial"/>
          <w:color w:val="000000" w:themeColor="text1"/>
          <w:sz w:val="22"/>
          <w:szCs w:val="22"/>
        </w:rPr>
      </w:pPr>
      <w:r>
        <w:rPr>
          <w:rFonts w:ascii="Arial" w:eastAsia="Arial" w:hAnsi="Arial" w:cs="Arial"/>
          <w:color w:val="000000" w:themeColor="text1"/>
          <w:sz w:val="22"/>
          <w:szCs w:val="22"/>
        </w:rPr>
        <w:t>Al respecto, la administración departamental no inform</w:t>
      </w:r>
      <w:r w:rsidR="00963646">
        <w:rPr>
          <w:rFonts w:ascii="Arial" w:eastAsia="Arial" w:hAnsi="Arial" w:cs="Arial"/>
          <w:color w:val="000000" w:themeColor="text1"/>
          <w:sz w:val="22"/>
          <w:szCs w:val="22"/>
        </w:rPr>
        <w:t>ó</w:t>
      </w:r>
      <w:r>
        <w:rPr>
          <w:rFonts w:ascii="Arial" w:eastAsia="Arial" w:hAnsi="Arial" w:cs="Arial"/>
          <w:color w:val="000000" w:themeColor="text1"/>
          <w:sz w:val="22"/>
          <w:szCs w:val="22"/>
        </w:rPr>
        <w:t xml:space="preserve"> el motivo de inclusión de estos nuevos procesos, así como tampoco la exclusión del proceso con Carlos Alberto Osuna Londoño (</w:t>
      </w:r>
      <w:proofErr w:type="spellStart"/>
      <w:r>
        <w:rPr>
          <w:rFonts w:ascii="Arial" w:eastAsia="Arial" w:hAnsi="Arial" w:cs="Arial"/>
          <w:color w:val="000000" w:themeColor="text1"/>
          <w:sz w:val="22"/>
          <w:szCs w:val="22"/>
        </w:rPr>
        <w:t>N°</w:t>
      </w:r>
      <w:proofErr w:type="spellEnd"/>
      <w:r>
        <w:rPr>
          <w:rFonts w:ascii="Arial" w:eastAsia="Arial" w:hAnsi="Arial" w:cs="Arial"/>
          <w:color w:val="000000" w:themeColor="text1"/>
          <w:sz w:val="22"/>
          <w:szCs w:val="22"/>
        </w:rPr>
        <w:t xml:space="preserve"> Radicado: 2017-00150), siendo incompleta la información recibida. Adicionalmente, en otro reporte allegado por el Departamento se relacionan 7 terceros, uno más frente al cuadro adjunto previamente, este corresponde a la señora Aleyda Arias Hernández, así: </w:t>
      </w:r>
    </w:p>
    <w:p w14:paraId="732EB785" w14:textId="77777777" w:rsidR="00DA7276" w:rsidRDefault="00DA7276" w:rsidP="008F6530">
      <w:pPr>
        <w:jc w:val="both"/>
      </w:pPr>
      <w:r>
        <w:rPr>
          <w:noProof/>
          <w:lang w:val="es-CO" w:eastAsia="es-CO"/>
        </w:rPr>
        <w:lastRenderedPageBreak/>
        <w:drawing>
          <wp:inline distT="0" distB="0" distL="0" distR="0" wp14:anchorId="45766B10" wp14:editId="6AF63115">
            <wp:extent cx="5610225" cy="30099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3009900"/>
                    </a:xfrm>
                    <a:prstGeom prst="rect">
                      <a:avLst/>
                    </a:prstGeom>
                    <a:noFill/>
                    <a:ln>
                      <a:noFill/>
                    </a:ln>
                  </pic:spPr>
                </pic:pic>
              </a:graphicData>
            </a:graphic>
          </wp:inline>
        </w:drawing>
      </w:r>
    </w:p>
    <w:p w14:paraId="62436911" w14:textId="77777777" w:rsidR="00DA7276" w:rsidRDefault="00DA7276" w:rsidP="008F6530">
      <w:pPr>
        <w:jc w:val="center"/>
      </w:pPr>
      <w:r>
        <w:rPr>
          <w:rFonts w:ascii="Arial" w:eastAsia="Arial" w:hAnsi="Arial" w:cs="Arial"/>
          <w:color w:val="000000" w:themeColor="text1"/>
          <w:sz w:val="22"/>
          <w:szCs w:val="22"/>
        </w:rPr>
        <w:t xml:space="preserve"> </w:t>
      </w:r>
      <w:r>
        <w:rPr>
          <w:rFonts w:ascii="Arial" w:eastAsia="Arial" w:hAnsi="Arial" w:cs="Arial"/>
          <w:color w:val="000000" w:themeColor="text1"/>
          <w:sz w:val="16"/>
          <w:szCs w:val="16"/>
        </w:rPr>
        <w:t>Fuente: Informe enviado por la Entidad Territorial.</w:t>
      </w:r>
    </w:p>
    <w:p w14:paraId="4F22A5D7" w14:textId="77777777" w:rsidR="00DA7276" w:rsidRDefault="00DA7276" w:rsidP="008F6530">
      <w:pPr>
        <w:jc w:val="both"/>
      </w:pPr>
    </w:p>
    <w:p w14:paraId="7F40FBD3" w14:textId="77777777" w:rsidR="00DA7276" w:rsidRDefault="00DA7276" w:rsidP="008F6530">
      <w:pPr>
        <w:jc w:val="both"/>
      </w:pPr>
      <w:r>
        <w:rPr>
          <w:rFonts w:ascii="Arial" w:eastAsia="Arial" w:hAnsi="Arial" w:cs="Arial"/>
          <w:color w:val="000000" w:themeColor="text1"/>
          <w:sz w:val="22"/>
          <w:szCs w:val="22"/>
        </w:rPr>
        <w:t xml:space="preserve">Por lo cual, no es claro para esta Dirección el total de los procesos activos y el valor de </w:t>
      </w:r>
      <w:r w:rsidR="0088505A">
        <w:rPr>
          <w:rFonts w:ascii="Arial" w:eastAsia="Arial" w:hAnsi="Arial" w:cs="Arial"/>
          <w:color w:val="000000" w:themeColor="text1"/>
          <w:sz w:val="22"/>
          <w:szCs w:val="22"/>
        </w:rPr>
        <w:t>estos</w:t>
      </w:r>
      <w:r>
        <w:rPr>
          <w:rFonts w:ascii="Arial" w:eastAsia="Arial" w:hAnsi="Arial" w:cs="Arial"/>
          <w:color w:val="000000" w:themeColor="text1"/>
          <w:sz w:val="22"/>
          <w:szCs w:val="22"/>
        </w:rPr>
        <w:t>, dado que la información enviada por la administración departamental no es congruente, ni guarda relación directa con la adjuntada previamente para otros informes.</w:t>
      </w:r>
      <w:r w:rsidR="008F6530">
        <w:rPr>
          <w:rFonts w:ascii="Arial" w:eastAsia="Arial" w:hAnsi="Arial" w:cs="Arial"/>
          <w:color w:val="000000" w:themeColor="text1"/>
          <w:sz w:val="22"/>
          <w:szCs w:val="22"/>
        </w:rPr>
        <w:t xml:space="preserve"> </w:t>
      </w:r>
    </w:p>
    <w:p w14:paraId="7B09BBDE" w14:textId="77777777" w:rsidR="00DA7276" w:rsidRDefault="00DA7276" w:rsidP="008F6530">
      <w:pPr>
        <w:jc w:val="both"/>
      </w:pPr>
      <w:r>
        <w:rPr>
          <w:rFonts w:ascii="Arial" w:eastAsia="Arial" w:hAnsi="Arial" w:cs="Arial"/>
          <w:color w:val="000000" w:themeColor="text1"/>
          <w:sz w:val="22"/>
          <w:szCs w:val="22"/>
        </w:rPr>
        <w:t xml:space="preserve"> </w:t>
      </w:r>
    </w:p>
    <w:p w14:paraId="3F793B58" w14:textId="77777777" w:rsidR="00DA7276" w:rsidRDefault="00DA7276" w:rsidP="008F6530">
      <w:pPr>
        <w:jc w:val="both"/>
      </w:pPr>
      <w:r>
        <w:rPr>
          <w:rFonts w:ascii="Arial" w:eastAsia="Arial" w:hAnsi="Arial" w:cs="Arial"/>
          <w:color w:val="000000" w:themeColor="text1"/>
          <w:sz w:val="22"/>
          <w:szCs w:val="22"/>
        </w:rPr>
        <w:t>Anudado a lo anterior, la Entidad Territorial no suministró certificaciones de levantamiento del proceso del pago de sentencias, oficios de levantamiento de medidas cautelares, y tampoco copias de las solicitudes y/o de las actuaciones judiciales pertinentes. Esta situación puede generar problemas e inconvenientes para el cumplimiento de las obligaciones legales con los demandantes y la rapidez en obtener la terminación del proceso ejecutivo.</w:t>
      </w:r>
    </w:p>
    <w:p w14:paraId="28E67703" w14:textId="77777777" w:rsidR="00DA7276" w:rsidRDefault="00DA7276" w:rsidP="008F6530">
      <w:pPr>
        <w:jc w:val="both"/>
      </w:pPr>
      <w:r>
        <w:rPr>
          <w:rFonts w:ascii="Arial" w:eastAsia="Arial" w:hAnsi="Arial" w:cs="Arial"/>
          <w:color w:val="000000" w:themeColor="text1"/>
          <w:sz w:val="22"/>
          <w:szCs w:val="22"/>
        </w:rPr>
        <w:t xml:space="preserve"> </w:t>
      </w:r>
    </w:p>
    <w:p w14:paraId="2C7071FA" w14:textId="77777777" w:rsidR="00DA7276" w:rsidRDefault="00DA7276" w:rsidP="008F6530">
      <w:pPr>
        <w:jc w:val="both"/>
        <w:rPr>
          <w:rFonts w:ascii="Arial" w:eastAsia="Arial" w:hAnsi="Arial" w:cs="Arial"/>
          <w:sz w:val="22"/>
          <w:szCs w:val="22"/>
        </w:rPr>
      </w:pPr>
      <w:r>
        <w:rPr>
          <w:rFonts w:ascii="Arial" w:eastAsia="Arial" w:hAnsi="Arial" w:cs="Arial"/>
          <w:sz w:val="22"/>
          <w:szCs w:val="22"/>
        </w:rPr>
        <w:t>Como ejemplo de lo anterior, se realizó una consulta pública en la página web</w:t>
      </w:r>
      <w:r w:rsidR="008F6530">
        <w:rPr>
          <w:rFonts w:ascii="Arial" w:eastAsia="Arial" w:hAnsi="Arial" w:cs="Arial"/>
          <w:sz w:val="22"/>
          <w:szCs w:val="22"/>
        </w:rPr>
        <w:t xml:space="preserve"> </w:t>
      </w:r>
      <w:hyperlink r:id="rId17" w:history="1">
        <w:r>
          <w:rPr>
            <w:rStyle w:val="Hipervnculo"/>
            <w:rFonts w:ascii="Arial" w:eastAsia="Arial" w:hAnsi="Arial" w:cs="Arial"/>
            <w:sz w:val="22"/>
            <w:szCs w:val="22"/>
            <w:lang w:val="es-CO"/>
          </w:rPr>
          <w:t>https://consultaprocesos.ramajudicial.gov.co/Procesos/Bienvenida</w:t>
        </w:r>
      </w:hyperlink>
      <w:r>
        <w:rPr>
          <w:rFonts w:ascii="Arial" w:eastAsia="Arial" w:hAnsi="Arial" w:cs="Arial"/>
          <w:sz w:val="22"/>
          <w:szCs w:val="22"/>
        </w:rPr>
        <w:t xml:space="preserve"> de uno de los procesos relacionados dentro del cuadro reportado, donde se evidencia que en el radicado 2016-00320 del Juzgado 2° Administrativo, el Departamento de Quindío cumplió con el pago total de la obligación</w:t>
      </w:r>
      <w:r w:rsidR="00963646">
        <w:rPr>
          <w:rFonts w:ascii="Arial" w:eastAsia="Arial" w:hAnsi="Arial" w:cs="Arial"/>
          <w:sz w:val="22"/>
          <w:szCs w:val="22"/>
        </w:rPr>
        <w:t>. S</w:t>
      </w:r>
      <w:r>
        <w:rPr>
          <w:rFonts w:ascii="Arial" w:eastAsia="Arial" w:hAnsi="Arial" w:cs="Arial"/>
          <w:sz w:val="22"/>
          <w:szCs w:val="22"/>
        </w:rPr>
        <w:t>in embargo</w:t>
      </w:r>
      <w:r w:rsidR="00963646">
        <w:rPr>
          <w:rFonts w:ascii="Arial" w:eastAsia="Arial" w:hAnsi="Arial" w:cs="Arial"/>
          <w:sz w:val="22"/>
          <w:szCs w:val="22"/>
        </w:rPr>
        <w:t>,</w:t>
      </w:r>
      <w:r>
        <w:rPr>
          <w:rFonts w:ascii="Arial" w:eastAsia="Arial" w:hAnsi="Arial" w:cs="Arial"/>
          <w:sz w:val="22"/>
          <w:szCs w:val="22"/>
        </w:rPr>
        <w:t xml:space="preserve"> existen remanentes que no se encuentran reportados en la descripción de los procesos ejecutivos, teniendo como consecuencia la imposibilidad del levantamiento de las medidas cautelares, como se muestra en el Auto que termina proceso por pago proferido por el juzgado y notificado por estado de fecha 26 de octubre de 2021</w:t>
      </w:r>
      <w:r w:rsidR="00963646">
        <w:rPr>
          <w:rFonts w:ascii="Arial" w:eastAsia="Arial" w:hAnsi="Arial" w:cs="Arial"/>
          <w:sz w:val="22"/>
          <w:szCs w:val="22"/>
        </w:rPr>
        <w:t>, así:</w:t>
      </w:r>
    </w:p>
    <w:p w14:paraId="70D14D06" w14:textId="77777777" w:rsidR="00963646" w:rsidRDefault="00963646" w:rsidP="008F6530">
      <w:pPr>
        <w:jc w:val="both"/>
        <w:rPr>
          <w:rFonts w:ascii="Arial" w:eastAsia="Arial" w:hAnsi="Arial" w:cs="Arial"/>
          <w:sz w:val="22"/>
          <w:szCs w:val="22"/>
        </w:rPr>
      </w:pPr>
    </w:p>
    <w:p w14:paraId="2884CAC7" w14:textId="77777777" w:rsidR="00963646" w:rsidRDefault="00963646" w:rsidP="00963646">
      <w:pPr>
        <w:ind w:left="567"/>
        <w:jc w:val="both"/>
        <w:rPr>
          <w:rFonts w:ascii="Arial" w:eastAsia="Arial" w:hAnsi="Arial" w:cs="Arial"/>
          <w:b/>
          <w:bCs/>
          <w:i/>
          <w:iCs/>
          <w:sz w:val="18"/>
          <w:szCs w:val="18"/>
        </w:rPr>
      </w:pPr>
      <w:r>
        <w:rPr>
          <w:rFonts w:ascii="Arial" w:eastAsia="Arial" w:hAnsi="Arial" w:cs="Arial"/>
          <w:b/>
          <w:bCs/>
          <w:i/>
          <w:iCs/>
          <w:sz w:val="18"/>
          <w:szCs w:val="18"/>
        </w:rPr>
        <w:t>“</w:t>
      </w:r>
      <w:r w:rsidRPr="00963646">
        <w:rPr>
          <w:rFonts w:ascii="Arial" w:eastAsia="Arial" w:hAnsi="Arial" w:cs="Arial"/>
          <w:b/>
          <w:bCs/>
          <w:i/>
          <w:iCs/>
          <w:sz w:val="18"/>
          <w:szCs w:val="18"/>
        </w:rPr>
        <w:t>RESUELVE:</w:t>
      </w:r>
    </w:p>
    <w:p w14:paraId="096407D7" w14:textId="77777777" w:rsidR="00963646" w:rsidRDefault="00963646" w:rsidP="00963646">
      <w:pPr>
        <w:ind w:left="567"/>
        <w:jc w:val="both"/>
        <w:rPr>
          <w:rFonts w:ascii="Arial" w:eastAsia="Arial" w:hAnsi="Arial" w:cs="Arial"/>
          <w:i/>
          <w:iCs/>
          <w:sz w:val="18"/>
          <w:szCs w:val="18"/>
        </w:rPr>
      </w:pPr>
      <w:r>
        <w:rPr>
          <w:rFonts w:ascii="Arial" w:eastAsia="Arial" w:hAnsi="Arial" w:cs="Arial"/>
          <w:b/>
          <w:bCs/>
          <w:i/>
          <w:iCs/>
          <w:sz w:val="18"/>
          <w:szCs w:val="18"/>
        </w:rPr>
        <w:t>PRIMERO: DECRETAR</w:t>
      </w:r>
      <w:r>
        <w:rPr>
          <w:rFonts w:ascii="Arial" w:eastAsia="Arial" w:hAnsi="Arial" w:cs="Arial"/>
          <w:i/>
          <w:iCs/>
          <w:sz w:val="18"/>
          <w:szCs w:val="18"/>
        </w:rPr>
        <w:t xml:space="preserve"> la terminación por pago total de la obligación del proceso ejecutivo promovido por la señora Luz Enid Guevara Aguirre en contra del Departamento del Quindío, atendiendo las consideraciones anotadas en este proveído.</w:t>
      </w:r>
    </w:p>
    <w:p w14:paraId="5D8D8AE3" w14:textId="77777777" w:rsidR="00963646" w:rsidRDefault="00963646" w:rsidP="00963646">
      <w:pPr>
        <w:ind w:left="567"/>
        <w:jc w:val="both"/>
        <w:rPr>
          <w:rFonts w:ascii="Arial" w:eastAsia="Arial" w:hAnsi="Arial" w:cs="Arial"/>
          <w:b/>
          <w:bCs/>
          <w:i/>
          <w:iCs/>
          <w:sz w:val="18"/>
          <w:szCs w:val="18"/>
        </w:rPr>
      </w:pPr>
      <w:r>
        <w:rPr>
          <w:rFonts w:ascii="Arial" w:eastAsia="Arial" w:hAnsi="Arial" w:cs="Arial"/>
          <w:b/>
          <w:bCs/>
          <w:i/>
          <w:iCs/>
          <w:sz w:val="18"/>
          <w:szCs w:val="18"/>
        </w:rPr>
        <w:t>(…)</w:t>
      </w:r>
    </w:p>
    <w:p w14:paraId="1A1600C2" w14:textId="77777777" w:rsidR="00963646" w:rsidRPr="00963646" w:rsidRDefault="00963646" w:rsidP="00963646">
      <w:pPr>
        <w:ind w:left="567"/>
        <w:jc w:val="both"/>
        <w:rPr>
          <w:i/>
          <w:iCs/>
          <w:sz w:val="18"/>
          <w:szCs w:val="18"/>
        </w:rPr>
      </w:pPr>
      <w:r>
        <w:rPr>
          <w:rFonts w:ascii="Arial" w:eastAsia="Arial" w:hAnsi="Arial" w:cs="Arial"/>
          <w:b/>
          <w:bCs/>
          <w:i/>
          <w:iCs/>
          <w:sz w:val="18"/>
          <w:szCs w:val="18"/>
        </w:rPr>
        <w:t xml:space="preserve">QUINTO: CONVERTIR </w:t>
      </w:r>
      <w:r>
        <w:rPr>
          <w:rFonts w:ascii="Arial" w:eastAsia="Arial" w:hAnsi="Arial" w:cs="Arial"/>
          <w:i/>
          <w:iCs/>
          <w:sz w:val="18"/>
          <w:szCs w:val="18"/>
        </w:rPr>
        <w:t xml:space="preserve">los títulos de depósito judicial números 454010000426538 por valor de $1’443.791, 4501000049988 por valor de $929.726 y 454010000504068 por valor de $32’562.000 a </w:t>
      </w:r>
      <w:r>
        <w:rPr>
          <w:rFonts w:ascii="Arial" w:eastAsia="Arial" w:hAnsi="Arial" w:cs="Arial"/>
          <w:i/>
          <w:iCs/>
          <w:sz w:val="18"/>
          <w:szCs w:val="18"/>
        </w:rPr>
        <w:lastRenderedPageBreak/>
        <w:t xml:space="preserve">órdenes del proceso de radicación interna 63001-33-33-003-2016-00383-00 que se tramita en el Juzgado Tercero Administrativo Oral del Circuito de Armenia, </w:t>
      </w:r>
      <w:proofErr w:type="gramStart"/>
      <w:r>
        <w:rPr>
          <w:rFonts w:ascii="Arial" w:eastAsia="Arial" w:hAnsi="Arial" w:cs="Arial"/>
          <w:i/>
          <w:iCs/>
          <w:sz w:val="18"/>
          <w:szCs w:val="18"/>
        </w:rPr>
        <w:t>en virtud a</w:t>
      </w:r>
      <w:proofErr w:type="gramEnd"/>
      <w:r>
        <w:rPr>
          <w:rFonts w:ascii="Arial" w:eastAsia="Arial" w:hAnsi="Arial" w:cs="Arial"/>
          <w:i/>
          <w:iCs/>
          <w:sz w:val="18"/>
          <w:szCs w:val="18"/>
        </w:rPr>
        <w:t xml:space="preserve"> la efectividad de la medida de embargo de remanentes decretada por ese Despacho”.</w:t>
      </w:r>
      <w:r>
        <w:rPr>
          <w:rStyle w:val="Refdenotaalpie"/>
          <w:rFonts w:ascii="Arial" w:eastAsia="Arial" w:hAnsi="Arial" w:cs="Arial"/>
          <w:i/>
          <w:iCs/>
          <w:sz w:val="18"/>
          <w:szCs w:val="18"/>
        </w:rPr>
        <w:footnoteReference w:id="12"/>
      </w:r>
    </w:p>
    <w:p w14:paraId="5927C13B" w14:textId="77777777" w:rsidR="00DA7276" w:rsidRDefault="00DA7276" w:rsidP="008F6530">
      <w:pPr>
        <w:jc w:val="both"/>
      </w:pPr>
    </w:p>
    <w:p w14:paraId="652CDB75" w14:textId="77777777" w:rsidR="00DA7276" w:rsidRDefault="00DA7276" w:rsidP="008F6530">
      <w:pPr>
        <w:jc w:val="both"/>
        <w:rPr>
          <w:rFonts w:ascii="Arial" w:eastAsia="Arial" w:hAnsi="Arial" w:cs="Arial"/>
          <w:sz w:val="22"/>
          <w:szCs w:val="22"/>
        </w:rPr>
      </w:pPr>
      <w:r>
        <w:rPr>
          <w:rFonts w:ascii="Arial" w:eastAsia="Arial" w:hAnsi="Arial" w:cs="Arial"/>
          <w:sz w:val="22"/>
          <w:szCs w:val="22"/>
        </w:rPr>
        <w:t>Pese a que en el Auto mencionado se evidencia que esta obligación se encuentra pagada, la Entidad Territorial no aport</w:t>
      </w:r>
      <w:r w:rsidR="00963646">
        <w:rPr>
          <w:rFonts w:ascii="Arial" w:eastAsia="Arial" w:hAnsi="Arial" w:cs="Arial"/>
          <w:sz w:val="22"/>
          <w:szCs w:val="22"/>
        </w:rPr>
        <w:t>ó</w:t>
      </w:r>
      <w:r>
        <w:rPr>
          <w:rFonts w:ascii="Arial" w:eastAsia="Arial" w:hAnsi="Arial" w:cs="Arial"/>
          <w:sz w:val="22"/>
          <w:szCs w:val="22"/>
        </w:rPr>
        <w:t xml:space="preserve"> evidencia como esta para dar un soporte de terminación del proceso ejecutivo, ni se actualiz</w:t>
      </w:r>
      <w:r w:rsidR="00963646">
        <w:rPr>
          <w:rFonts w:ascii="Arial" w:eastAsia="Arial" w:hAnsi="Arial" w:cs="Arial"/>
          <w:sz w:val="22"/>
          <w:szCs w:val="22"/>
        </w:rPr>
        <w:t>ó</w:t>
      </w:r>
      <w:r>
        <w:rPr>
          <w:rFonts w:ascii="Arial" w:eastAsia="Arial" w:hAnsi="Arial" w:cs="Arial"/>
          <w:sz w:val="22"/>
          <w:szCs w:val="22"/>
        </w:rPr>
        <w:t xml:space="preserve"> el cuadro allegado a esta Dirección, por lo que no es posible observar la gestión administrativa hecha por el Departamento del Quindío para el cumplimiento de esta actividad del plan de desempeño. </w:t>
      </w:r>
    </w:p>
    <w:p w14:paraId="04EC0E58" w14:textId="77777777" w:rsidR="00DA7276" w:rsidRDefault="00DA7276" w:rsidP="008F6530">
      <w:pPr>
        <w:jc w:val="both"/>
        <w:rPr>
          <w:rFonts w:ascii="Arial" w:eastAsia="Arial" w:hAnsi="Arial" w:cs="Arial"/>
          <w:sz w:val="22"/>
          <w:szCs w:val="22"/>
        </w:rPr>
      </w:pPr>
    </w:p>
    <w:p w14:paraId="6EEEFC97" w14:textId="77777777" w:rsidR="00DA7276" w:rsidRDefault="00DA7276" w:rsidP="008F6530">
      <w:pPr>
        <w:jc w:val="both"/>
        <w:rPr>
          <w:rFonts w:ascii="Arial" w:hAnsi="Arial" w:cs="Arial"/>
          <w:sz w:val="22"/>
          <w:szCs w:val="22"/>
          <w:lang w:val="es-CO"/>
        </w:rPr>
      </w:pPr>
      <w:r>
        <w:rPr>
          <w:rFonts w:ascii="Arial" w:eastAsia="Arial" w:hAnsi="Arial" w:cs="Arial"/>
          <w:sz w:val="22"/>
          <w:szCs w:val="22"/>
        </w:rPr>
        <w:t>Adicionalmente, en el informe de seguimiento de la vigencia 2022 se enunció: “</w:t>
      </w:r>
      <w:r>
        <w:rPr>
          <w:rFonts w:ascii="Arial" w:hAnsi="Arial" w:cs="Arial"/>
          <w:i/>
          <w:sz w:val="22"/>
          <w:szCs w:val="22"/>
          <w:lang w:val="es-CO"/>
        </w:rPr>
        <w:t>La Entidad Territorial reportó, bajo el radicado No. 1-2021-081547, que actualmente tiene procesos ejecutivos de embargos sobre las cuentas del Sistema General de Participaciones (SGP) Educación que corresponden: dos radicados en la vigencia del 2015 en el Juzgado 1° Administrativo por $78 millones y el otro por $16 millones; un radicado en el año 2016 en el Juzgado 2° Administrativo con un valor de $19 millones, y el último radicado en la vigencia de 2017 también en el Juzgado 2° Administrativo por $1 millón”</w:t>
      </w:r>
      <w:r w:rsidR="00586084">
        <w:rPr>
          <w:rFonts w:ascii="Arial" w:hAnsi="Arial" w:cs="Arial"/>
          <w:i/>
          <w:sz w:val="22"/>
          <w:szCs w:val="22"/>
          <w:lang w:val="es-CO"/>
        </w:rPr>
        <w:t>,</w:t>
      </w:r>
      <w:r>
        <w:rPr>
          <w:rFonts w:ascii="Arial" w:hAnsi="Arial" w:cs="Arial"/>
          <w:i/>
          <w:sz w:val="22"/>
          <w:szCs w:val="22"/>
          <w:lang w:val="es-CO"/>
        </w:rPr>
        <w:t xml:space="preserve"> </w:t>
      </w:r>
      <w:r>
        <w:rPr>
          <w:rFonts w:ascii="Arial" w:hAnsi="Arial" w:cs="Arial"/>
          <w:sz w:val="22"/>
          <w:szCs w:val="22"/>
          <w:lang w:val="es-CO"/>
        </w:rPr>
        <w:t xml:space="preserve">lo cual da un total de $114 millones de pesos embargados. </w:t>
      </w:r>
    </w:p>
    <w:p w14:paraId="615D16A7" w14:textId="77777777" w:rsidR="00DA7276" w:rsidRDefault="00DA7276" w:rsidP="008F6530">
      <w:pPr>
        <w:jc w:val="both"/>
        <w:rPr>
          <w:rFonts w:ascii="Arial" w:hAnsi="Arial" w:cs="Arial"/>
          <w:sz w:val="22"/>
          <w:szCs w:val="22"/>
          <w:lang w:val="es-CO"/>
        </w:rPr>
      </w:pPr>
    </w:p>
    <w:p w14:paraId="4B3AF0CA" w14:textId="77777777" w:rsidR="00DA7276" w:rsidRDefault="00DA7276" w:rsidP="008F6530">
      <w:pPr>
        <w:jc w:val="both"/>
        <w:rPr>
          <w:rFonts w:ascii="Arial" w:hAnsi="Arial" w:cs="Arial"/>
          <w:sz w:val="22"/>
          <w:szCs w:val="22"/>
          <w:lang w:val="es-CO"/>
        </w:rPr>
      </w:pPr>
      <w:r>
        <w:rPr>
          <w:rFonts w:ascii="Arial" w:hAnsi="Arial" w:cs="Arial"/>
          <w:sz w:val="22"/>
          <w:szCs w:val="22"/>
          <w:lang w:val="es-CO"/>
        </w:rPr>
        <w:t>Sin embargo, en el acta de cierre fiscal de la vigencia 2022 enviad</w:t>
      </w:r>
      <w:r w:rsidR="00586084">
        <w:rPr>
          <w:rFonts w:ascii="Arial" w:hAnsi="Arial" w:cs="Arial"/>
          <w:sz w:val="22"/>
          <w:szCs w:val="22"/>
          <w:lang w:val="es-CO"/>
        </w:rPr>
        <w:t>a</w:t>
      </w:r>
      <w:r>
        <w:rPr>
          <w:rFonts w:ascii="Arial" w:hAnsi="Arial" w:cs="Arial"/>
          <w:sz w:val="22"/>
          <w:szCs w:val="22"/>
          <w:lang w:val="es-CO"/>
        </w:rPr>
        <w:t xml:space="preserve"> por el Departamento mediante el radicado No. 1-2023-024872 del 24 de marzo de 2023, se indic</w:t>
      </w:r>
      <w:r w:rsidR="00586084">
        <w:rPr>
          <w:rFonts w:ascii="Arial" w:hAnsi="Arial" w:cs="Arial"/>
          <w:sz w:val="22"/>
          <w:szCs w:val="22"/>
          <w:lang w:val="es-CO"/>
        </w:rPr>
        <w:t>ó</w:t>
      </w:r>
      <w:r>
        <w:rPr>
          <w:rFonts w:ascii="Arial" w:hAnsi="Arial" w:cs="Arial"/>
          <w:sz w:val="22"/>
          <w:szCs w:val="22"/>
          <w:lang w:val="es-CO"/>
        </w:rPr>
        <w:t xml:space="preserve"> que los embargos suman alrededor de $116 millones, así: </w:t>
      </w:r>
    </w:p>
    <w:p w14:paraId="2F345358" w14:textId="77777777" w:rsidR="00586084" w:rsidRDefault="00586084" w:rsidP="008F6530">
      <w:pPr>
        <w:jc w:val="both"/>
        <w:rPr>
          <w:rFonts w:ascii="Arial" w:hAnsi="Arial" w:cs="Arial"/>
          <w:sz w:val="22"/>
          <w:szCs w:val="22"/>
          <w:lang w:val="es-CO"/>
        </w:rPr>
      </w:pPr>
    </w:p>
    <w:p w14:paraId="056E2845" w14:textId="77777777" w:rsidR="00586084" w:rsidRDefault="00586084" w:rsidP="00586084">
      <w:pPr>
        <w:ind w:left="567"/>
        <w:jc w:val="both"/>
        <w:rPr>
          <w:rFonts w:ascii="Arial" w:hAnsi="Arial" w:cs="Arial"/>
          <w:i/>
          <w:iCs/>
          <w:sz w:val="18"/>
          <w:szCs w:val="18"/>
          <w:lang w:val="es-CO"/>
        </w:rPr>
      </w:pPr>
      <w:r>
        <w:rPr>
          <w:rFonts w:ascii="Arial" w:hAnsi="Arial" w:cs="Arial"/>
          <w:i/>
          <w:iCs/>
          <w:sz w:val="18"/>
          <w:szCs w:val="18"/>
          <w:lang w:val="es-CO"/>
        </w:rPr>
        <w:t>“Embargos aplicados por $115.811.865.59</w:t>
      </w:r>
    </w:p>
    <w:p w14:paraId="6E0B959D" w14:textId="77777777" w:rsidR="00586084" w:rsidRDefault="00586084" w:rsidP="00586084">
      <w:pPr>
        <w:ind w:left="567"/>
        <w:jc w:val="both"/>
        <w:rPr>
          <w:rFonts w:ascii="Arial" w:hAnsi="Arial" w:cs="Arial"/>
          <w:i/>
          <w:iCs/>
          <w:sz w:val="18"/>
          <w:szCs w:val="18"/>
          <w:lang w:val="es-CO"/>
        </w:rPr>
      </w:pPr>
    </w:p>
    <w:p w14:paraId="4D778ADD" w14:textId="77777777" w:rsidR="00586084" w:rsidRDefault="00586084" w:rsidP="00586084">
      <w:pPr>
        <w:ind w:left="567"/>
        <w:jc w:val="both"/>
        <w:rPr>
          <w:rFonts w:ascii="Arial" w:hAnsi="Arial" w:cs="Arial"/>
          <w:i/>
          <w:iCs/>
          <w:sz w:val="18"/>
          <w:szCs w:val="18"/>
          <w:lang w:val="es-CO"/>
        </w:rPr>
      </w:pPr>
      <w:r>
        <w:rPr>
          <w:rFonts w:ascii="Arial" w:hAnsi="Arial" w:cs="Arial"/>
          <w:i/>
          <w:iCs/>
          <w:sz w:val="18"/>
          <w:szCs w:val="18"/>
          <w:lang w:val="es-CO"/>
        </w:rPr>
        <w:t>Esta cifra corresponde a los embargos aplicados a las cuentas bancarias donde se administraban los recursos del SGP y que fueron realizados durante la vigencia2016. Se indica la importancia de hacer seguimiento a las gestiones realizadas por parte de la oficina Asesora Jurídica de la Secretaría de Educación, con el fin de recuperar dichas cifras.</w:t>
      </w:r>
    </w:p>
    <w:p w14:paraId="7E173099" w14:textId="77777777" w:rsidR="00586084" w:rsidRPr="00586084" w:rsidRDefault="00586084" w:rsidP="00586084">
      <w:pPr>
        <w:ind w:left="567"/>
        <w:jc w:val="both"/>
        <w:rPr>
          <w:rFonts w:ascii="Arial" w:hAnsi="Arial" w:cs="Arial"/>
          <w:i/>
          <w:iCs/>
          <w:sz w:val="18"/>
          <w:szCs w:val="18"/>
          <w:lang w:val="es-CO"/>
        </w:rPr>
      </w:pPr>
      <w:r>
        <w:rPr>
          <w:rFonts w:ascii="Arial" w:hAnsi="Arial" w:cs="Arial"/>
          <w:i/>
          <w:iCs/>
          <w:sz w:val="18"/>
          <w:szCs w:val="18"/>
          <w:lang w:val="es-CO"/>
        </w:rPr>
        <w:t>Soporte: Certificación de la Tesorera General del Departamento”.</w:t>
      </w:r>
    </w:p>
    <w:p w14:paraId="5AB0687F" w14:textId="77777777" w:rsidR="00DA7276" w:rsidRDefault="00DA7276" w:rsidP="008F6530">
      <w:pPr>
        <w:jc w:val="both"/>
        <w:rPr>
          <w:rFonts w:ascii="Arial" w:hAnsi="Arial" w:cs="Arial"/>
          <w:sz w:val="22"/>
          <w:szCs w:val="22"/>
          <w:lang w:val="es-CO"/>
        </w:rPr>
      </w:pPr>
    </w:p>
    <w:p w14:paraId="3CA5C759" w14:textId="77777777" w:rsidR="00DA7276" w:rsidRDefault="00DA7276" w:rsidP="008F6530">
      <w:pPr>
        <w:jc w:val="both"/>
      </w:pPr>
      <w:r>
        <w:rPr>
          <w:rFonts w:ascii="Arial" w:eastAsia="Arial" w:hAnsi="Arial" w:cs="Arial"/>
          <w:sz w:val="22"/>
          <w:szCs w:val="22"/>
        </w:rPr>
        <w:t>Por lo anterior, se solicita al Departamento dar claridad en los procesos y enviar la documentación pertinente, de manera que demuestre real diligencia por parte de la administración frente al levantamiento de los embargos vigentes y el valor actualizado de los mismos, solicitud expresada desde el informe de evaluación del año 2022.</w:t>
      </w:r>
    </w:p>
    <w:p w14:paraId="3EDD7ACC" w14:textId="77777777" w:rsidR="00DA7276" w:rsidRDefault="00DA7276" w:rsidP="008F6530">
      <w:pPr>
        <w:jc w:val="both"/>
      </w:pPr>
      <w:r>
        <w:rPr>
          <w:rFonts w:ascii="Arial" w:eastAsia="Arial" w:hAnsi="Arial" w:cs="Arial"/>
          <w:b/>
          <w:bCs/>
          <w:sz w:val="22"/>
          <w:szCs w:val="22"/>
        </w:rPr>
        <w:t xml:space="preserve"> </w:t>
      </w:r>
    </w:p>
    <w:p w14:paraId="51BCB94D" w14:textId="77777777" w:rsidR="00DA7276" w:rsidRDefault="00DA7276" w:rsidP="008F6530">
      <w:pPr>
        <w:jc w:val="both"/>
      </w:pPr>
      <w:r>
        <w:rPr>
          <w:rFonts w:ascii="Arial" w:eastAsia="Arial" w:hAnsi="Arial" w:cs="Arial"/>
          <w:b/>
          <w:bCs/>
          <w:sz w:val="22"/>
          <w:szCs w:val="22"/>
        </w:rPr>
        <w:t>Evaluación de la actividad</w:t>
      </w:r>
      <w:r>
        <w:rPr>
          <w:rFonts w:ascii="Arial" w:eastAsia="Arial" w:hAnsi="Arial" w:cs="Arial"/>
          <w:sz w:val="22"/>
          <w:szCs w:val="22"/>
        </w:rPr>
        <w:t>:</w:t>
      </w:r>
      <w:r>
        <w:rPr>
          <w:rFonts w:ascii="Arial" w:eastAsia="Arial" w:hAnsi="Arial" w:cs="Arial"/>
          <w:b/>
          <w:bCs/>
          <w:sz w:val="22"/>
          <w:szCs w:val="22"/>
        </w:rPr>
        <w:t xml:space="preserve"> </w:t>
      </w:r>
      <w:r>
        <w:rPr>
          <w:rFonts w:ascii="Arial" w:eastAsia="Arial" w:hAnsi="Arial" w:cs="Arial"/>
          <w:sz w:val="22"/>
          <w:szCs w:val="22"/>
        </w:rPr>
        <w:t>No cumple</w:t>
      </w:r>
    </w:p>
    <w:p w14:paraId="501DACF7" w14:textId="77777777" w:rsidR="00DA7276" w:rsidRDefault="00DA7276" w:rsidP="008F6530">
      <w:pPr>
        <w:jc w:val="both"/>
      </w:pPr>
      <w:r>
        <w:rPr>
          <w:rFonts w:ascii="Arial" w:eastAsia="Arial" w:hAnsi="Arial" w:cs="Arial"/>
          <w:sz w:val="22"/>
          <w:szCs w:val="22"/>
        </w:rPr>
        <w:t xml:space="preserve"> </w:t>
      </w:r>
    </w:p>
    <w:p w14:paraId="1D817273" w14:textId="77777777" w:rsidR="00DA7276" w:rsidRDefault="00DA7276" w:rsidP="008F6530">
      <w:pPr>
        <w:pStyle w:val="Ttulo4"/>
        <w:spacing w:before="0"/>
        <w:rPr>
          <w:rStyle w:val="normaltextrun"/>
          <w:rFonts w:ascii="Arial" w:eastAsia="Times New Roman" w:hAnsi="Arial"/>
          <w:i w:val="0"/>
          <w:iCs w:val="0"/>
          <w:color w:val="auto"/>
          <w:sz w:val="22"/>
          <w:u w:val="single"/>
          <w:lang w:val="es-CO" w:eastAsia="es-CO"/>
        </w:rPr>
      </w:pPr>
      <w:r>
        <w:rPr>
          <w:rStyle w:val="normaltextrun"/>
          <w:rFonts w:ascii="Arial" w:eastAsia="Times New Roman" w:hAnsi="Arial"/>
          <w:i w:val="0"/>
          <w:iCs w:val="0"/>
          <w:color w:val="auto"/>
          <w:sz w:val="22"/>
          <w:u w:val="single"/>
          <w:lang w:val="es-CO" w:eastAsia="es-CO"/>
        </w:rPr>
        <w:t>Recomendación</w:t>
      </w:r>
    </w:p>
    <w:p w14:paraId="0A105CC7" w14:textId="77777777" w:rsidR="00DA7276" w:rsidRDefault="00DA7276" w:rsidP="008F6530"/>
    <w:p w14:paraId="30C3FE35" w14:textId="77777777" w:rsidR="00DA7276" w:rsidRDefault="00DA7276" w:rsidP="008F6530">
      <w:pPr>
        <w:jc w:val="both"/>
      </w:pPr>
      <w:r>
        <w:rPr>
          <w:rFonts w:ascii="Arial" w:eastAsia="Arial" w:hAnsi="Arial" w:cs="Arial"/>
          <w:sz w:val="22"/>
          <w:szCs w:val="22"/>
        </w:rPr>
        <w:t xml:space="preserve">Se le recomienda a la Entidad Territorial realizar un informe actualizado, detallado y preciso de cada uno de los procesos ejecutivos, que dé cuenta del monto total embargado incluyendo los remanentes, pretensiones de la demanda, liquidación del crédito y estado del proceso, para lograr avanzar en el levantamiento de las medidas cautelares con eficacia y economía procesal. De igual manera, se solicita el envío de las actas de las mesas de trabajo que serán llevadas a cabo, en las cuales se informe a esta Dirección sobre los cambios en los procesos anteriormente enlistados y/o la terminación de </w:t>
      </w:r>
      <w:proofErr w:type="gramStart"/>
      <w:r>
        <w:rPr>
          <w:rFonts w:ascii="Arial" w:eastAsia="Arial" w:hAnsi="Arial" w:cs="Arial"/>
          <w:sz w:val="22"/>
          <w:szCs w:val="22"/>
        </w:rPr>
        <w:t>los mismos</w:t>
      </w:r>
      <w:proofErr w:type="gramEnd"/>
      <w:r>
        <w:rPr>
          <w:rFonts w:ascii="Arial" w:eastAsia="Arial" w:hAnsi="Arial" w:cs="Arial"/>
          <w:sz w:val="22"/>
          <w:szCs w:val="22"/>
        </w:rPr>
        <w:t xml:space="preserve">, de </w:t>
      </w:r>
      <w:r>
        <w:rPr>
          <w:rFonts w:ascii="Arial" w:eastAsia="Arial" w:hAnsi="Arial" w:cs="Arial"/>
          <w:sz w:val="22"/>
          <w:szCs w:val="22"/>
        </w:rPr>
        <w:lastRenderedPageBreak/>
        <w:t xml:space="preserve">manera que se pueda realizar un verdadero seguimiento a cada una de las acciones judiciales y por ende la gestión o no de la Entidad Territorial frente a las mismas. </w:t>
      </w:r>
    </w:p>
    <w:p w14:paraId="69FC0EC5" w14:textId="77777777" w:rsidR="00DA7276" w:rsidRDefault="00DA7276" w:rsidP="008F6530">
      <w:pPr>
        <w:jc w:val="both"/>
      </w:pPr>
      <w:r>
        <w:rPr>
          <w:rFonts w:ascii="Arial" w:eastAsia="Arial" w:hAnsi="Arial" w:cs="Arial"/>
          <w:sz w:val="22"/>
          <w:szCs w:val="22"/>
        </w:rPr>
        <w:t xml:space="preserve"> </w:t>
      </w:r>
    </w:p>
    <w:p w14:paraId="05CF7B67" w14:textId="77777777" w:rsidR="00DA7276" w:rsidRDefault="00DA7276" w:rsidP="008F6530">
      <w:pPr>
        <w:jc w:val="both"/>
      </w:pPr>
      <w:r>
        <w:rPr>
          <w:rFonts w:ascii="Arial" w:eastAsia="Arial" w:hAnsi="Arial" w:cs="Arial"/>
          <w:sz w:val="22"/>
          <w:szCs w:val="22"/>
        </w:rPr>
        <w:t xml:space="preserve">Adicionalmente, es responsabilidad de la Entidad Territorial implementar las sugerencias realizadas por esta Dirección en los diferentes informes que evalúan el cumplimiento de las actividades contenidas en el plan de desempeño, mostrando una real disposición para la superación de </w:t>
      </w:r>
      <w:proofErr w:type="gramStart"/>
      <w:r>
        <w:rPr>
          <w:rFonts w:ascii="Arial" w:eastAsia="Arial" w:hAnsi="Arial" w:cs="Arial"/>
          <w:sz w:val="22"/>
          <w:szCs w:val="22"/>
        </w:rPr>
        <w:t>las mismas</w:t>
      </w:r>
      <w:proofErr w:type="gramEnd"/>
      <w:r>
        <w:rPr>
          <w:rFonts w:ascii="Arial" w:eastAsia="Arial" w:hAnsi="Arial" w:cs="Arial"/>
          <w:sz w:val="22"/>
          <w:szCs w:val="22"/>
        </w:rPr>
        <w:t xml:space="preserve"> y un compromiso por parte del personal en aquellas que le competen. Lo anterior, dado que las evidencias allegadas no permiten dar cuenta de la implementación de las sugerencias hechas en el informe de evaluación del año 2022.</w:t>
      </w:r>
    </w:p>
    <w:p w14:paraId="03BDDE1C" w14:textId="77777777" w:rsidR="00DA7276" w:rsidRDefault="00DA7276" w:rsidP="008F6530">
      <w:pPr>
        <w:jc w:val="both"/>
        <w:rPr>
          <w:rFonts w:ascii="Arial" w:hAnsi="Arial" w:cs="Arial"/>
          <w:sz w:val="22"/>
          <w:szCs w:val="22"/>
        </w:rPr>
      </w:pPr>
    </w:p>
    <w:p w14:paraId="25FE9AC9" w14:textId="77777777" w:rsidR="00DA7276" w:rsidRDefault="00DA7276" w:rsidP="008F6530">
      <w:pPr>
        <w:pStyle w:val="Ttulo1"/>
        <w:numPr>
          <w:ilvl w:val="0"/>
          <w:numId w:val="8"/>
        </w:numPr>
      </w:pPr>
      <w:r>
        <w:t>Conclusiones y</w:t>
      </w:r>
      <w:r>
        <w:rPr>
          <w:spacing w:val="-4"/>
        </w:rPr>
        <w:t xml:space="preserve"> </w:t>
      </w:r>
      <w:r>
        <w:t>recomendaciones</w:t>
      </w:r>
    </w:p>
    <w:p w14:paraId="3384D6DB" w14:textId="77777777" w:rsidR="00DA7276" w:rsidRDefault="00DA7276" w:rsidP="008F6530">
      <w:pPr>
        <w:pStyle w:val="Textoindependiente"/>
        <w:jc w:val="both"/>
        <w:rPr>
          <w:b/>
        </w:rPr>
      </w:pPr>
    </w:p>
    <w:p w14:paraId="0A334E21" w14:textId="77777777" w:rsidR="00DA7276" w:rsidRDefault="00DA7276" w:rsidP="008F6530">
      <w:pPr>
        <w:pStyle w:val="Textoindependiente"/>
        <w:ind w:right="134"/>
        <w:jc w:val="both"/>
      </w:pPr>
      <w:r>
        <w:t xml:space="preserve">Como resultado de la evaluación se concluye que las 9 actividades a cargo de la Administración Territorial tienen un cumplimiento del 22,22% (2 actividades). Se observó un excelente trabajo en la explicación sobre las diferencias en la información </w:t>
      </w:r>
      <w:proofErr w:type="spellStart"/>
      <w:r>
        <w:t>tesoral</w:t>
      </w:r>
      <w:proofErr w:type="spellEnd"/>
      <w:r>
        <w:t xml:space="preserve"> y presupuestal desde la vigencia 2012, así como la congruencia en la incorporación en el ingreso y ejecución en el gasto de los recursos del SGP en Educación CSF, SSF y recursos del balance, realizando toda la cadena presupuestal, contable y de tesorería, teniendo en cuenta la normatividad vigente. </w:t>
      </w:r>
    </w:p>
    <w:p w14:paraId="6D48EECC" w14:textId="77777777" w:rsidR="00DA7276" w:rsidRDefault="00DA7276" w:rsidP="008F6530">
      <w:pPr>
        <w:pStyle w:val="Textoindependiente"/>
        <w:ind w:right="134"/>
        <w:jc w:val="both"/>
      </w:pPr>
    </w:p>
    <w:p w14:paraId="21FE0BC3" w14:textId="77777777" w:rsidR="00DA7276" w:rsidRDefault="00DA7276" w:rsidP="008F6530">
      <w:pPr>
        <w:pStyle w:val="Textoindependiente"/>
        <w:ind w:right="134"/>
        <w:jc w:val="both"/>
      </w:pPr>
      <w:r>
        <w:t xml:space="preserve">Sin embargo, el Departamento de Quindío aún presenta debilidades relacionadas con el adecuado reporte de la información en los sistemas CUIPO, FUT y SECOP, reinversión de recursos al sector educativo, distribución adecuada de la planta, entrega oportuna de la dotación, congruencia en su DUE y diligencia en el levantamiento de las medidas cautelares vigentes. </w:t>
      </w:r>
    </w:p>
    <w:p w14:paraId="2A15F0DD" w14:textId="77777777" w:rsidR="00DA7276" w:rsidRDefault="00DA7276" w:rsidP="008F6530">
      <w:pPr>
        <w:pStyle w:val="Textoindependiente"/>
        <w:ind w:right="134"/>
        <w:jc w:val="both"/>
      </w:pPr>
    </w:p>
    <w:p w14:paraId="26C60A88" w14:textId="77777777" w:rsidR="00DA7276" w:rsidRDefault="00DA7276" w:rsidP="008F6530">
      <w:pPr>
        <w:pStyle w:val="Textoindependiente"/>
        <w:ind w:right="134"/>
        <w:jc w:val="both"/>
        <w:rPr>
          <w:lang w:val="es-CO"/>
        </w:rPr>
      </w:pPr>
      <w:r>
        <w:t xml:space="preserve">Finalmente, puesto que aún falta el cumplimento de 6 actividades por parte del Departamento de Quindío se recomienda continuar con la medida preventiva, hasta tanto se demuestre la superación de las debilidades que dieron origen a estas. </w:t>
      </w:r>
    </w:p>
    <w:p w14:paraId="168EB862" w14:textId="77777777" w:rsidR="00DA7276" w:rsidRDefault="00DA7276" w:rsidP="008F6530">
      <w:pPr>
        <w:pStyle w:val="Textoindependiente"/>
        <w:ind w:right="49"/>
        <w:jc w:val="both"/>
        <w:rPr>
          <w:lang w:val="es-CO"/>
        </w:rPr>
      </w:pPr>
    </w:p>
    <w:p w14:paraId="7C444B2F" w14:textId="77777777" w:rsidR="00DA7276" w:rsidRDefault="00DA7276" w:rsidP="008F6530">
      <w:pPr>
        <w:ind w:right="5577"/>
        <w:rPr>
          <w:rFonts w:ascii="Arial" w:hAnsi="Arial" w:cs="Arial"/>
          <w:sz w:val="16"/>
          <w:szCs w:val="16"/>
          <w:lang w:val="es-CO"/>
        </w:rPr>
      </w:pPr>
      <w:r>
        <w:rPr>
          <w:rFonts w:ascii="Arial" w:hAnsi="Arial" w:cs="Arial"/>
          <w:b/>
          <w:sz w:val="16"/>
          <w:szCs w:val="16"/>
          <w:lang w:val="es-CO"/>
        </w:rPr>
        <w:t xml:space="preserve">Aprobó: </w:t>
      </w:r>
      <w:r>
        <w:rPr>
          <w:rFonts w:ascii="Arial" w:hAnsi="Arial" w:cs="Arial"/>
          <w:sz w:val="16"/>
          <w:szCs w:val="16"/>
          <w:lang w:val="es-CO"/>
        </w:rPr>
        <w:t xml:space="preserve">Fernando Olivera Villanueva </w:t>
      </w:r>
    </w:p>
    <w:p w14:paraId="63054421" w14:textId="77777777" w:rsidR="00DA7276" w:rsidRDefault="00DA7276" w:rsidP="008F6530">
      <w:pPr>
        <w:ind w:right="6272"/>
        <w:rPr>
          <w:rFonts w:ascii="Arial" w:hAnsi="Arial" w:cs="Arial"/>
          <w:sz w:val="16"/>
          <w:szCs w:val="16"/>
          <w:lang w:val="es-CO"/>
        </w:rPr>
      </w:pPr>
      <w:r>
        <w:rPr>
          <w:rFonts w:ascii="Arial" w:hAnsi="Arial" w:cs="Arial"/>
          <w:b/>
          <w:sz w:val="16"/>
          <w:szCs w:val="16"/>
          <w:lang w:val="es-CO"/>
        </w:rPr>
        <w:t xml:space="preserve">Revisión Jurídica: </w:t>
      </w:r>
      <w:r>
        <w:rPr>
          <w:rFonts w:ascii="Arial" w:hAnsi="Arial" w:cs="Arial"/>
          <w:sz w:val="16"/>
          <w:szCs w:val="16"/>
          <w:lang w:val="es-CO"/>
        </w:rPr>
        <w:t xml:space="preserve">Carlos Ariza. </w:t>
      </w:r>
      <w:r>
        <w:rPr>
          <w:rFonts w:ascii="Arial" w:hAnsi="Arial" w:cs="Arial"/>
          <w:b/>
          <w:sz w:val="16"/>
          <w:szCs w:val="16"/>
          <w:lang w:val="es-CO"/>
        </w:rPr>
        <w:t xml:space="preserve">Revisión Técnica: </w:t>
      </w:r>
      <w:r>
        <w:rPr>
          <w:rFonts w:ascii="Arial" w:hAnsi="Arial" w:cs="Arial"/>
          <w:sz w:val="16"/>
          <w:szCs w:val="16"/>
          <w:lang w:val="es-CO"/>
        </w:rPr>
        <w:t>Liz Rey</w:t>
      </w:r>
    </w:p>
    <w:p w14:paraId="5C13A225" w14:textId="77777777" w:rsidR="00DA7276" w:rsidRDefault="00DA7276" w:rsidP="008F6530">
      <w:pPr>
        <w:ind w:right="6272"/>
        <w:rPr>
          <w:rFonts w:ascii="Arial" w:hAnsi="Arial" w:cs="Arial"/>
          <w:sz w:val="16"/>
          <w:szCs w:val="16"/>
          <w:lang w:val="es-CO"/>
        </w:rPr>
      </w:pPr>
      <w:r>
        <w:rPr>
          <w:rFonts w:ascii="Arial" w:hAnsi="Arial" w:cs="Arial"/>
          <w:b/>
          <w:sz w:val="16"/>
          <w:szCs w:val="16"/>
          <w:lang w:val="es-CO"/>
        </w:rPr>
        <w:t xml:space="preserve">Elaboró: </w:t>
      </w:r>
      <w:r>
        <w:rPr>
          <w:rFonts w:ascii="Arial" w:hAnsi="Arial" w:cs="Arial"/>
          <w:sz w:val="16"/>
          <w:szCs w:val="16"/>
          <w:lang w:val="es-CO"/>
        </w:rPr>
        <w:t>Yesika Sánchez</w:t>
      </w:r>
    </w:p>
    <w:p w14:paraId="78403E74" w14:textId="77777777" w:rsidR="00F01F75" w:rsidRPr="00DA7276" w:rsidRDefault="00F01F75" w:rsidP="008F6530"/>
    <w:sectPr w:rsidR="00F01F75" w:rsidRPr="00DA7276" w:rsidSect="004E432F">
      <w:headerReference w:type="default" r:id="rId18"/>
      <w:footerReference w:type="default" r:id="rId19"/>
      <w:headerReference w:type="first" r:id="rId20"/>
      <w:footerReference w:type="first" r:id="rId21"/>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BCE3" w14:textId="77777777" w:rsidR="00371E63" w:rsidRDefault="00371E63" w:rsidP="00F71345">
      <w:r>
        <w:separator/>
      </w:r>
    </w:p>
  </w:endnote>
  <w:endnote w:type="continuationSeparator" w:id="0">
    <w:p w14:paraId="3BAA9397" w14:textId="77777777" w:rsidR="00371E63" w:rsidRDefault="00371E6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AFE7" w14:textId="77777777" w:rsidR="00F01F75" w:rsidRPr="00F01F75" w:rsidRDefault="00F0677B" w:rsidP="00F01F75">
    <w:pPr>
      <w:pStyle w:val="Piedepgina"/>
    </w:pPr>
    <w:r>
      <w:rPr>
        <w:rFonts w:ascii="Times New Roman" w:hAnsi="Times New Roman" w:cs="Times New Roman"/>
        <w:noProof/>
        <w:sz w:val="24"/>
        <w:szCs w:val="24"/>
        <w:lang w:eastAsia="es-CO"/>
      </w:rPr>
      <w:pict w14:anchorId="347766D1">
        <v:shapetype id="_x0000_t202" coordsize="21600,21600" o:spt="202" path="m,l,21600r21600,l21600,xe">
          <v:stroke joinstyle="miter"/>
          <v:path gradientshapeok="t" o:connecttype="rect"/>
        </v:shapetype>
        <v:shape id="Cuadro de texto 2" o:spid="_x0000_s1026" type="#_x0000_t202" style="position:absolute;margin-left:-5.25pt;margin-top:-45.75pt;width:474.75pt;height:9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v:textbox>
            <w:txbxContent>
              <w:p w14:paraId="72C863D7" w14:textId="77777777" w:rsidR="00C14804" w:rsidRDefault="00C14804" w:rsidP="00C14804">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0CAB2499" w14:textId="77777777" w:rsidR="00C14804" w:rsidRDefault="00C14804" w:rsidP="00C14804">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1CA7ADDE" w14:textId="77777777" w:rsidR="00C14804" w:rsidRDefault="00C14804" w:rsidP="00C14804">
                <w:pPr>
                  <w:spacing w:line="276" w:lineRule="auto"/>
                  <w:jc w:val="both"/>
                  <w:rPr>
                    <w:rFonts w:ascii="Helvetica" w:hAnsi="Helvetica"/>
                    <w:sz w:val="20"/>
                    <w:szCs w:val="20"/>
                  </w:rPr>
                </w:pPr>
                <w:r>
                  <w:rPr>
                    <w:rFonts w:ascii="Helvetica" w:hAnsi="Helvetica"/>
                    <w:sz w:val="20"/>
                    <w:szCs w:val="20"/>
                  </w:rPr>
                  <w:t>Dirección: Carrera 8 No. 6C- 38, Bogotá D.C., Colombia</w:t>
                </w:r>
              </w:p>
              <w:p w14:paraId="67C5DE89" w14:textId="77777777" w:rsidR="00C14804" w:rsidRDefault="00C14804" w:rsidP="00C14804">
                <w:pPr>
                  <w:spacing w:line="276" w:lineRule="auto"/>
                  <w:jc w:val="both"/>
                  <w:rPr>
                    <w:rFonts w:ascii="Helvetica" w:hAnsi="Helvetica"/>
                    <w:sz w:val="20"/>
                    <w:szCs w:val="20"/>
                  </w:rPr>
                </w:pPr>
                <w:r>
                  <w:rPr>
                    <w:rFonts w:ascii="Helvetica" w:hAnsi="Helvetica"/>
                    <w:sz w:val="20"/>
                    <w:szCs w:val="20"/>
                  </w:rPr>
                  <w:t>Conmutador: (+57) 601 3811700 - 602 1270</w:t>
                </w:r>
              </w:p>
              <w:p w14:paraId="2CF71326" w14:textId="77777777" w:rsidR="00C14804" w:rsidRDefault="00C14804" w:rsidP="00C14804">
                <w:pPr>
                  <w:spacing w:line="276" w:lineRule="auto"/>
                  <w:jc w:val="both"/>
                  <w:rPr>
                    <w:rFonts w:ascii="Helvetica" w:hAnsi="Helvetica"/>
                    <w:sz w:val="20"/>
                    <w:szCs w:val="20"/>
                  </w:rPr>
                </w:pPr>
                <w:r>
                  <w:rPr>
                    <w:rFonts w:ascii="Helvetica" w:hAnsi="Helvetica"/>
                    <w:sz w:val="20"/>
                    <w:szCs w:val="20"/>
                  </w:rPr>
                  <w:t>Línea Gratuita: (+57) 01 8000 910071</w:t>
                </w:r>
              </w:p>
              <w:p w14:paraId="1DA6696E" w14:textId="77777777" w:rsidR="00C14804" w:rsidRDefault="00C14804" w:rsidP="00C14804">
                <w:pPr>
                  <w:spacing w:line="276" w:lineRule="auto"/>
                  <w:jc w:val="both"/>
                  <w:rPr>
                    <w:rFonts w:ascii="Helvetica" w:hAnsi="Helvetica"/>
                    <w:sz w:val="20"/>
                    <w:szCs w:val="20"/>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8303" w14:textId="77777777" w:rsidR="00F01F75" w:rsidRPr="00F01F75" w:rsidRDefault="00F0677B" w:rsidP="00F01F75">
    <w:pPr>
      <w:pStyle w:val="Piedepgina"/>
    </w:pPr>
    <w:r>
      <w:rPr>
        <w:rFonts w:ascii="Times New Roman" w:hAnsi="Times New Roman" w:cs="Times New Roman"/>
        <w:noProof/>
        <w:sz w:val="24"/>
        <w:szCs w:val="24"/>
        <w:lang w:eastAsia="es-CO"/>
      </w:rPr>
      <w:pict w14:anchorId="704A31ED">
        <v:shapetype id="_x0000_t202" coordsize="21600,21600" o:spt="202" path="m,l,21600r21600,l21600,xe">
          <v:stroke joinstyle="miter"/>
          <v:path gradientshapeok="t" o:connecttype="rect"/>
        </v:shapetype>
        <v:shape id="Cuadro de texto 1223101586" o:spid="_x0000_s1025" type="#_x0000_t202" style="position:absolute;margin-left:-3.75pt;margin-top:-45.7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" filled="f" stroked="f" strokeweight=".5pt">
          <v:textbox>
            <w:txbxContent>
              <w:p w14:paraId="466E80DF" w14:textId="77777777" w:rsidR="00C14804" w:rsidRDefault="00C14804" w:rsidP="00C14804">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1852D7E3" w14:textId="77777777" w:rsidR="00C14804" w:rsidRDefault="00C14804" w:rsidP="00C14804">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3D30D005" w14:textId="77777777" w:rsidR="00C14804" w:rsidRDefault="00C14804" w:rsidP="00C14804">
                <w:pPr>
                  <w:spacing w:line="276" w:lineRule="auto"/>
                  <w:jc w:val="both"/>
                  <w:rPr>
                    <w:rFonts w:ascii="Helvetica" w:hAnsi="Helvetica"/>
                    <w:sz w:val="20"/>
                    <w:szCs w:val="20"/>
                  </w:rPr>
                </w:pPr>
                <w:r>
                  <w:rPr>
                    <w:rFonts w:ascii="Helvetica" w:hAnsi="Helvetica"/>
                    <w:sz w:val="20"/>
                    <w:szCs w:val="20"/>
                  </w:rPr>
                  <w:t>Dirección: Carrera 8 No. 6C- 38, Bogotá D.C., Colombia</w:t>
                </w:r>
              </w:p>
              <w:p w14:paraId="14A91E45" w14:textId="77777777" w:rsidR="00C14804" w:rsidRDefault="00C14804" w:rsidP="00C14804">
                <w:pPr>
                  <w:spacing w:line="276" w:lineRule="auto"/>
                  <w:jc w:val="both"/>
                  <w:rPr>
                    <w:rFonts w:ascii="Helvetica" w:hAnsi="Helvetica"/>
                    <w:sz w:val="20"/>
                    <w:szCs w:val="20"/>
                  </w:rPr>
                </w:pPr>
                <w:r>
                  <w:rPr>
                    <w:rFonts w:ascii="Helvetica" w:hAnsi="Helvetica"/>
                    <w:sz w:val="20"/>
                    <w:szCs w:val="20"/>
                  </w:rPr>
                  <w:t>Conmutador: (+57) 601 3811700 - 602 1270</w:t>
                </w:r>
              </w:p>
              <w:p w14:paraId="36FAF75D" w14:textId="77777777" w:rsidR="00C14804" w:rsidRDefault="00C14804" w:rsidP="00C14804">
                <w:pPr>
                  <w:spacing w:line="276" w:lineRule="auto"/>
                  <w:jc w:val="both"/>
                  <w:rPr>
                    <w:rFonts w:ascii="Helvetica" w:hAnsi="Helvetica"/>
                    <w:sz w:val="20"/>
                    <w:szCs w:val="20"/>
                  </w:rPr>
                </w:pPr>
                <w:r>
                  <w:rPr>
                    <w:rFonts w:ascii="Helvetica" w:hAnsi="Helvetica"/>
                    <w:sz w:val="20"/>
                    <w:szCs w:val="20"/>
                  </w:rPr>
                  <w:t>Línea Gratuita: (+57) 01 8000 910071</w:t>
                </w:r>
              </w:p>
              <w:p w14:paraId="54F06A66" w14:textId="77777777" w:rsidR="00C14804" w:rsidRDefault="00C14804" w:rsidP="00C14804">
                <w:pPr>
                  <w:spacing w:line="276" w:lineRule="auto"/>
                  <w:jc w:val="both"/>
                  <w:rPr>
                    <w:rFonts w:ascii="Helvetica" w:hAnsi="Helvetica"/>
                    <w:sz w:val="20"/>
                    <w:szCs w:val="20"/>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DE88" w14:textId="77777777" w:rsidR="00371E63" w:rsidRDefault="00371E63" w:rsidP="00F71345">
      <w:r>
        <w:separator/>
      </w:r>
    </w:p>
  </w:footnote>
  <w:footnote w:type="continuationSeparator" w:id="0">
    <w:p w14:paraId="77E85EBE" w14:textId="77777777" w:rsidR="00371E63" w:rsidRDefault="00371E63" w:rsidP="00F71345">
      <w:r>
        <w:continuationSeparator/>
      </w:r>
    </w:p>
  </w:footnote>
  <w:footnote w:id="1">
    <w:p w14:paraId="696A3F9D" w14:textId="77777777" w:rsidR="00DA7276" w:rsidRDefault="00DA7276" w:rsidP="00DA7276">
      <w:pPr>
        <w:pStyle w:val="Textonotapie"/>
        <w:jc w:val="both"/>
        <w:rPr>
          <w:lang w:val="es-CO"/>
        </w:rPr>
      </w:pPr>
      <w:r>
        <w:rPr>
          <w:rStyle w:val="Refdenotaalpie"/>
        </w:rPr>
        <w:footnoteRef/>
      </w:r>
      <w:r>
        <w:t xml:space="preserve"> </w:t>
      </w:r>
      <w:r>
        <w:rPr>
          <w:lang w:val="es-CO"/>
        </w:rPr>
        <w:t xml:space="preserve">Se obtiene de la suma del superávit acumulado de la vigencia anterior, menos el recurso de balance recaudado en la vigencia, más el superávit obtenido en la vigencia. </w:t>
      </w:r>
    </w:p>
  </w:footnote>
  <w:footnote w:id="2">
    <w:p w14:paraId="2C17673E" w14:textId="77777777" w:rsidR="00DA7276" w:rsidRDefault="00DA7276" w:rsidP="00DA7276">
      <w:pPr>
        <w:pStyle w:val="Textonotapie"/>
        <w:rPr>
          <w:sz w:val="16"/>
          <w:szCs w:val="16"/>
        </w:rPr>
      </w:pPr>
      <w:r>
        <w:rPr>
          <w:rStyle w:val="Refdenotaalpie"/>
          <w:sz w:val="16"/>
          <w:szCs w:val="16"/>
        </w:rPr>
        <w:footnoteRef/>
      </w:r>
      <w:r>
        <w:rPr>
          <w:sz w:val="16"/>
          <w:szCs w:val="16"/>
        </w:rPr>
        <w:t>https://community.secop.gov.co/Public/Tendering/OpportunityDetail/Index?noticeUID=CO1.NTC.2787404&amp;isFromPublicArea=True&amp;isModal=true&amp;asPopupView=true</w:t>
      </w:r>
    </w:p>
  </w:footnote>
  <w:footnote w:id="3">
    <w:p w14:paraId="18E07D02" w14:textId="77777777" w:rsidR="00DA7276" w:rsidRDefault="00DA7276" w:rsidP="00DA7276">
      <w:pPr>
        <w:pStyle w:val="Textonotapie"/>
        <w:rPr>
          <w:sz w:val="16"/>
          <w:szCs w:val="16"/>
        </w:rPr>
      </w:pPr>
      <w:r>
        <w:rPr>
          <w:rStyle w:val="Refdenotaalpie"/>
          <w:sz w:val="16"/>
          <w:szCs w:val="16"/>
        </w:rPr>
        <w:footnoteRef/>
      </w:r>
      <w:r>
        <w:rPr>
          <w:sz w:val="16"/>
          <w:szCs w:val="16"/>
        </w:rPr>
        <w:t>https://community.secop.gov.co/Public/Tendering/OpportunityDetail/Index?noticeUID=CO1.NTC.2787369&amp;isFromPublicArea=True&amp;isModal=true&amp;asPopupView=true</w:t>
      </w:r>
    </w:p>
  </w:footnote>
  <w:footnote w:id="4">
    <w:p w14:paraId="77287424" w14:textId="77777777" w:rsidR="00DA7276" w:rsidRDefault="00DA7276" w:rsidP="00DA7276">
      <w:pPr>
        <w:pStyle w:val="Textonotapie"/>
        <w:rPr>
          <w:sz w:val="16"/>
          <w:szCs w:val="16"/>
        </w:rPr>
      </w:pPr>
      <w:r>
        <w:rPr>
          <w:rStyle w:val="Refdenotaalpie"/>
          <w:sz w:val="16"/>
          <w:szCs w:val="16"/>
        </w:rPr>
        <w:footnoteRef/>
      </w:r>
      <w:r>
        <w:rPr>
          <w:sz w:val="16"/>
          <w:szCs w:val="16"/>
        </w:rPr>
        <w:t xml:space="preserve">https://community.secop.gov.co/Public/Tendering/OpportunityDetail/Index?noticeUID=CO1.NTC.2696361&amp;isFromPublicArea=True&amp;isModal=true&amp;asPopupView=true </w:t>
      </w:r>
    </w:p>
  </w:footnote>
  <w:footnote w:id="5">
    <w:p w14:paraId="65FC6EAE" w14:textId="77777777" w:rsidR="00DA7276" w:rsidRDefault="00DA7276" w:rsidP="00DA7276">
      <w:pPr>
        <w:pStyle w:val="Textonotapie"/>
        <w:rPr>
          <w:sz w:val="16"/>
          <w:szCs w:val="16"/>
        </w:rPr>
      </w:pPr>
      <w:r>
        <w:rPr>
          <w:rStyle w:val="Refdenotaalpie"/>
          <w:sz w:val="16"/>
          <w:szCs w:val="16"/>
        </w:rPr>
        <w:footnoteRef/>
      </w:r>
      <w:r>
        <w:rPr>
          <w:sz w:val="16"/>
          <w:szCs w:val="16"/>
        </w:rPr>
        <w:t>https://community.secop.gov.co/Public/Tendering/OpportunityDetail/Index?noticeUID=CO1.NTC.2700824&amp;isFromPublicArea=True&amp;isModal=true&amp;asPopupView=true</w:t>
      </w:r>
    </w:p>
  </w:footnote>
  <w:footnote w:id="6">
    <w:p w14:paraId="202EEEBE" w14:textId="77777777" w:rsidR="00DA7276" w:rsidRDefault="00DA7276" w:rsidP="00DA7276">
      <w:pPr>
        <w:pStyle w:val="Textonotapie"/>
        <w:rPr>
          <w:sz w:val="16"/>
          <w:szCs w:val="16"/>
        </w:rPr>
      </w:pPr>
      <w:r>
        <w:rPr>
          <w:rStyle w:val="Refdenotaalpie"/>
          <w:sz w:val="16"/>
          <w:szCs w:val="16"/>
        </w:rPr>
        <w:footnoteRef/>
      </w:r>
      <w:r>
        <w:rPr>
          <w:sz w:val="16"/>
          <w:szCs w:val="16"/>
        </w:rPr>
        <w:t>https://community.secop.gov.co/Public/Tendering/OpportunityDetail/Index?noticeUID=CO1.NTC.3258215&amp;isFromPublicArea=True&amp;isModal=true&amp;asPopupView=true</w:t>
      </w:r>
    </w:p>
  </w:footnote>
  <w:footnote w:id="7">
    <w:p w14:paraId="4389A738" w14:textId="77777777" w:rsidR="00DA7276" w:rsidRDefault="00DA7276" w:rsidP="00DA7276">
      <w:pPr>
        <w:pStyle w:val="Textonotapie"/>
      </w:pPr>
      <w:r>
        <w:rPr>
          <w:rStyle w:val="Refdenotaalpie"/>
        </w:rPr>
        <w:footnoteRef/>
      </w:r>
      <w:r>
        <w:rPr>
          <w:sz w:val="16"/>
          <w:szCs w:val="16"/>
        </w:rPr>
        <w:t>https://community.secop.gov.co/Public/Tendering/OpportunityDetail/Index?noticeUID=CO1.NTC.3065869&amp;isFromPublicArea=True&amp;isModal=true&amp;asPopupView=true</w:t>
      </w:r>
    </w:p>
  </w:footnote>
  <w:footnote w:id="8">
    <w:p w14:paraId="12E0F207" w14:textId="77777777" w:rsidR="00DA7276" w:rsidRDefault="00DA7276" w:rsidP="00DA7276">
      <w:pPr>
        <w:pStyle w:val="Textonotapie"/>
      </w:pPr>
      <w:r>
        <w:rPr>
          <w:rStyle w:val="Refdenotaalpie"/>
        </w:rPr>
        <w:footnoteRef/>
      </w:r>
      <w:r>
        <w:rPr>
          <w:sz w:val="16"/>
          <w:szCs w:val="16"/>
        </w:rPr>
        <w:t>https://community.secop.gov.co/Public/Tendering/OpportunityDetail/Index?noticeUID=CO1.NTC.3196131&amp;isFromPublicArea=True&amp;isModal=true&amp;asPopupView=true</w:t>
      </w:r>
    </w:p>
  </w:footnote>
  <w:footnote w:id="9">
    <w:p w14:paraId="5AB1B27C" w14:textId="77777777" w:rsidR="00DA7276" w:rsidRDefault="00DA7276" w:rsidP="00DA7276">
      <w:pPr>
        <w:pStyle w:val="Textonotapie"/>
      </w:pPr>
      <w:r>
        <w:rPr>
          <w:rStyle w:val="Refdenotaalpie"/>
        </w:rPr>
        <w:footnoteRef/>
      </w:r>
      <w:r>
        <w:rPr>
          <w:sz w:val="16"/>
          <w:szCs w:val="16"/>
        </w:rPr>
        <w:t>https://community.secop.gov.co/Public/Tendering/OpportunityDetail/Index?noticeUID=CO1.NTC.4008565&amp;isFromPublicArea=True&amp;isModal=true&amp;asPopupView=true</w:t>
      </w:r>
      <w:r>
        <w:t xml:space="preserve"> </w:t>
      </w:r>
    </w:p>
  </w:footnote>
  <w:footnote w:id="10">
    <w:p w14:paraId="6E1924DF" w14:textId="77777777" w:rsidR="00DA7276" w:rsidRDefault="00DA7276" w:rsidP="00DA7276">
      <w:pPr>
        <w:pStyle w:val="Textonotapie"/>
        <w:rPr>
          <w:sz w:val="16"/>
          <w:szCs w:val="16"/>
        </w:rPr>
      </w:pPr>
      <w:r>
        <w:rPr>
          <w:rStyle w:val="Refdenotaalpie"/>
          <w:sz w:val="16"/>
          <w:szCs w:val="16"/>
        </w:rPr>
        <w:footnoteRef/>
      </w:r>
      <w:r>
        <w:rPr>
          <w:rFonts w:eastAsia="Times New Roman"/>
          <w:sz w:val="16"/>
          <w:szCs w:val="16"/>
          <w:lang w:eastAsia="es-CO"/>
        </w:rPr>
        <w:t>https://community.secop.gov.co/Public/Tendering/OpportunityDetail/Index?noticeUID=CO1.NTC.4086373&amp;isFromPublicArea=True&amp;isModal=true&amp;asPopupView=true</w:t>
      </w:r>
      <w:r>
        <w:rPr>
          <w:sz w:val="16"/>
          <w:szCs w:val="16"/>
        </w:rPr>
        <w:t xml:space="preserve"> </w:t>
      </w:r>
    </w:p>
  </w:footnote>
  <w:footnote w:id="11">
    <w:p w14:paraId="55A87972" w14:textId="77777777" w:rsidR="00DA7276" w:rsidRDefault="00DA7276" w:rsidP="00DA7276">
      <w:pPr>
        <w:pStyle w:val="Textonotapie"/>
      </w:pPr>
      <w:r>
        <w:rPr>
          <w:rStyle w:val="Refdenotaalpie"/>
          <w:sz w:val="16"/>
          <w:szCs w:val="16"/>
        </w:rPr>
        <w:footnoteRef/>
      </w:r>
      <w:r>
        <w:rPr>
          <w:rFonts w:eastAsia="Times New Roman"/>
          <w:sz w:val="16"/>
          <w:szCs w:val="16"/>
          <w:lang w:val="es-CO" w:eastAsia="es-CO"/>
        </w:rPr>
        <w:t>https://community.secop.gov.co/Public/Tendering/OpportunityDetail/Index?noticeUID=CO1.NTC.4011947&amp;isFromPublicArea=True&amp;isModal=true&amp;asPopupView=true</w:t>
      </w:r>
      <w:r>
        <w:t xml:space="preserve"> </w:t>
      </w:r>
    </w:p>
  </w:footnote>
  <w:footnote w:id="12">
    <w:p w14:paraId="3B47DCC3" w14:textId="77777777" w:rsidR="00963646" w:rsidRPr="00963646" w:rsidRDefault="00963646">
      <w:pPr>
        <w:pStyle w:val="Textonotapie"/>
        <w:rPr>
          <w:sz w:val="16"/>
          <w:szCs w:val="16"/>
          <w:lang w:val="es-CO"/>
        </w:rPr>
      </w:pPr>
      <w:r w:rsidRPr="00963646">
        <w:rPr>
          <w:rStyle w:val="Refdenotaalpie"/>
          <w:sz w:val="16"/>
          <w:szCs w:val="16"/>
        </w:rPr>
        <w:footnoteRef/>
      </w:r>
      <w:r w:rsidRPr="00963646">
        <w:rPr>
          <w:sz w:val="16"/>
          <w:szCs w:val="16"/>
        </w:rPr>
        <w:t xml:space="preserve"> </w:t>
      </w:r>
      <w:r w:rsidRPr="00963646">
        <w:rPr>
          <w:sz w:val="16"/>
          <w:szCs w:val="16"/>
          <w:lang w:val="es-CO"/>
        </w:rPr>
        <w:t>Fuente: Consulta de procesos Rama Judicial.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013B" w14:textId="77777777" w:rsidR="00F01F75" w:rsidRPr="00F01F75" w:rsidRDefault="00C14804" w:rsidP="00F01F75">
    <w:pPr>
      <w:pStyle w:val="Encabezado"/>
      <w:rPr>
        <w:rFonts w:ascii="Arial" w:hAnsi="Arial" w:cs="Arial"/>
        <w:sz w:val="16"/>
        <w:szCs w:val="16"/>
      </w:rPr>
    </w:pPr>
    <w:r>
      <w:rPr>
        <w:noProof/>
        <w:lang w:eastAsia="es-CO"/>
      </w:rPr>
      <w:drawing>
        <wp:inline distT="0" distB="0" distL="0" distR="0" wp14:anchorId="0BB2B66E" wp14:editId="620D54B4">
          <wp:extent cx="5612130" cy="904875"/>
          <wp:effectExtent l="0" t="0" r="0" b="0"/>
          <wp:docPr id="4" name="Imagen 4" descr="Imagen que contiene Rectángulo&#10;&#10;Descripción generada automáticamente"/>
          <wp:cNvGraphicFramePr/>
          <a:graphic xmlns:a="http://schemas.openxmlformats.org/drawingml/2006/main">
            <a:graphicData uri="http://schemas.openxmlformats.org/drawingml/2006/picture">
              <pic:pic xmlns:pic="http://schemas.openxmlformats.org/drawingml/2006/picture">
                <pic:nvPicPr>
                  <pic:cNvPr id="30" name="Imagen 30" descr="Imagen que contiene Rectángulo&#10;&#10;Descripción generada automáticamente"/>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612130" cy="904875"/>
                  </a:xfrm>
                  <a:prstGeom prst="rect">
                    <a:avLst/>
                  </a:prstGeom>
                  <a:noFill/>
                  <a:ln>
                    <a:noFill/>
                  </a:ln>
                  <a:extLst>
                    <a:ext uri="{53640926-AAD7-44D8-BBD7-CCE9431645EC}">
                      <a14:shadowObscured xmlns:a14="http://schemas.microsoft.com/office/drawing/2010/main"/>
                    </a:ext>
                  </a:extLst>
                </pic:spPr>
              </pic:pic>
            </a:graphicData>
          </a:graphic>
        </wp:inline>
      </w:drawing>
    </w:r>
    <w:r w:rsidR="00F01F75" w:rsidRPr="00F01F75">
      <w:rPr>
        <w:rFonts w:ascii="Arial" w:hAnsi="Arial" w:cs="Arial"/>
        <w:sz w:val="16"/>
        <w:szCs w:val="16"/>
      </w:rPr>
      <w:t>Continuación oficio</w:t>
    </w:r>
    <w:r w:rsidR="008F6530">
      <w:rPr>
        <w:rFonts w:ascii="Arial" w:hAnsi="Arial" w:cs="Arial"/>
        <w:sz w:val="16"/>
        <w:szCs w:val="16"/>
      </w:rPr>
      <w:t xml:space="preserve"> </w:t>
    </w:r>
    <w:r w:rsidR="001F7009">
      <w:rPr>
        <w:rFonts w:ascii="Arial" w:hAnsi="Arial" w:cs="Arial"/>
        <w:sz w:val="16"/>
        <w:szCs w:val="16"/>
      </w:rPr>
      <w:tab/>
    </w:r>
    <w:r w:rsidR="00736096">
      <w:rPr>
        <w:rFonts w:ascii="Arial" w:hAnsi="Arial" w:cs="Arial"/>
        <w:sz w:val="16"/>
        <w:szCs w:val="16"/>
      </w:rPr>
      <w:tab/>
    </w:r>
    <w:r w:rsidR="00F01F75" w:rsidRPr="00F01F75">
      <w:rPr>
        <w:rFonts w:ascii="Arial" w:hAnsi="Arial" w:cs="Arial"/>
        <w:sz w:val="16"/>
        <w:szCs w:val="16"/>
      </w:rPr>
      <w:t xml:space="preserve">Página </w:t>
    </w:r>
    <w:r w:rsidR="00F01F75" w:rsidRPr="00F01F75">
      <w:rPr>
        <w:rStyle w:val="Nmerodepgina"/>
        <w:rFonts w:ascii="Arial" w:hAnsi="Arial" w:cs="Arial"/>
        <w:sz w:val="16"/>
        <w:szCs w:val="16"/>
      </w:rPr>
      <w:fldChar w:fldCharType="begin"/>
    </w:r>
    <w:r w:rsidR="00F01F75" w:rsidRPr="00F01F75">
      <w:rPr>
        <w:rStyle w:val="Nmerodepgina"/>
        <w:rFonts w:ascii="Arial" w:hAnsi="Arial" w:cs="Arial"/>
        <w:sz w:val="16"/>
        <w:szCs w:val="16"/>
      </w:rPr>
      <w:instrText xml:space="preserve"> PAGE </w:instrText>
    </w:r>
    <w:r w:rsidR="00F01F75" w:rsidRPr="00F01F75">
      <w:rPr>
        <w:rStyle w:val="Nmerodepgina"/>
        <w:rFonts w:ascii="Arial" w:hAnsi="Arial" w:cs="Arial"/>
        <w:sz w:val="16"/>
        <w:szCs w:val="16"/>
      </w:rPr>
      <w:fldChar w:fldCharType="separate"/>
    </w:r>
    <w:r>
      <w:rPr>
        <w:rStyle w:val="Nmerodepgina"/>
        <w:rFonts w:ascii="Arial" w:hAnsi="Arial" w:cs="Arial"/>
        <w:noProof/>
        <w:sz w:val="16"/>
        <w:szCs w:val="16"/>
      </w:rPr>
      <w:t>40</w:t>
    </w:r>
    <w:r w:rsidR="00F01F75" w:rsidRPr="00F01F75">
      <w:rPr>
        <w:rStyle w:val="Nmerodepgina"/>
        <w:rFonts w:ascii="Arial" w:hAnsi="Arial" w:cs="Arial"/>
        <w:sz w:val="16"/>
        <w:szCs w:val="16"/>
      </w:rPr>
      <w:fldChar w:fldCharType="end"/>
    </w:r>
    <w:r w:rsidR="00F01F75" w:rsidRPr="00F01F75">
      <w:rPr>
        <w:rStyle w:val="Nmerodepgina"/>
        <w:rFonts w:ascii="Arial" w:hAnsi="Arial" w:cs="Arial"/>
        <w:sz w:val="16"/>
        <w:szCs w:val="16"/>
      </w:rPr>
      <w:t xml:space="preserve"> de </w:t>
    </w:r>
    <w:r w:rsidR="00F01F75" w:rsidRPr="00F01F75">
      <w:rPr>
        <w:rStyle w:val="Nmerodepgina"/>
        <w:rFonts w:ascii="Arial" w:hAnsi="Arial" w:cs="Arial"/>
        <w:sz w:val="16"/>
        <w:szCs w:val="16"/>
      </w:rPr>
      <w:fldChar w:fldCharType="begin"/>
    </w:r>
    <w:r w:rsidR="00F01F75" w:rsidRPr="00F01F75">
      <w:rPr>
        <w:rStyle w:val="Nmerodepgina"/>
        <w:rFonts w:ascii="Arial" w:hAnsi="Arial" w:cs="Arial"/>
        <w:sz w:val="16"/>
        <w:szCs w:val="16"/>
      </w:rPr>
      <w:instrText xml:space="preserve"> NUMPAGES </w:instrText>
    </w:r>
    <w:r w:rsidR="00F01F75" w:rsidRPr="00F01F75">
      <w:rPr>
        <w:rStyle w:val="Nmerodepgina"/>
        <w:rFonts w:ascii="Arial" w:hAnsi="Arial" w:cs="Arial"/>
        <w:sz w:val="16"/>
        <w:szCs w:val="16"/>
      </w:rPr>
      <w:fldChar w:fldCharType="separate"/>
    </w:r>
    <w:r>
      <w:rPr>
        <w:rStyle w:val="Nmerodepgina"/>
        <w:rFonts w:ascii="Arial" w:hAnsi="Arial" w:cs="Arial"/>
        <w:noProof/>
        <w:sz w:val="16"/>
        <w:szCs w:val="16"/>
      </w:rPr>
      <w:t>40</w:t>
    </w:r>
    <w:r w:rsidR="00F01F75" w:rsidRPr="00F01F75">
      <w:rPr>
        <w:rStyle w:val="Nmerodepgina"/>
        <w:rFonts w:ascii="Arial" w:hAnsi="Arial" w:cs="Arial"/>
        <w:sz w:val="16"/>
        <w:szCs w:val="16"/>
      </w:rPr>
      <w:fldChar w:fldCharType="end"/>
    </w:r>
  </w:p>
  <w:p w14:paraId="3AA8F9AB" w14:textId="77777777" w:rsidR="00F01F75" w:rsidRPr="00F01F75" w:rsidRDefault="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851D" w14:textId="77777777" w:rsidR="00F01F75" w:rsidRDefault="00C14804" w:rsidP="001339E2">
    <w:pPr>
      <w:pStyle w:val="Encabezado"/>
      <w:jc w:val="right"/>
    </w:pPr>
    <w:r>
      <w:rPr>
        <w:noProof/>
        <w:lang w:eastAsia="es-CO"/>
      </w:rPr>
      <w:drawing>
        <wp:inline distT="0" distB="0" distL="0" distR="0" wp14:anchorId="63B02934" wp14:editId="7829A274">
          <wp:extent cx="5612130" cy="904875"/>
          <wp:effectExtent l="0" t="0" r="0" b="0"/>
          <wp:docPr id="30" name="Imagen 30" descr="Imagen que contiene Rectángulo&#10;&#10;Descripción generada automáticamente"/>
          <wp:cNvGraphicFramePr/>
          <a:graphic xmlns:a="http://schemas.openxmlformats.org/drawingml/2006/main">
            <a:graphicData uri="http://schemas.openxmlformats.org/drawingml/2006/picture">
              <pic:pic xmlns:pic="http://schemas.openxmlformats.org/drawingml/2006/picture">
                <pic:nvPicPr>
                  <pic:cNvPr id="30" name="Imagen 30" descr="Imagen que contiene Rectángulo&#10;&#10;Descripción generada automáticamente"/>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612130" cy="9048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592"/>
    <w:multiLevelType w:val="multilevel"/>
    <w:tmpl w:val="76D2D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2D52"/>
    <w:multiLevelType w:val="hybridMultilevel"/>
    <w:tmpl w:val="7E282236"/>
    <w:lvl w:ilvl="0" w:tplc="BEA075E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9E70BDA"/>
    <w:multiLevelType w:val="hybridMultilevel"/>
    <w:tmpl w:val="DA2C5876"/>
    <w:lvl w:ilvl="0" w:tplc="BEA075EA">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70679A"/>
    <w:multiLevelType w:val="multilevel"/>
    <w:tmpl w:val="B95EC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7C8DAA"/>
    <w:multiLevelType w:val="hybridMultilevel"/>
    <w:tmpl w:val="1A6A95AA"/>
    <w:lvl w:ilvl="0" w:tplc="0F3E3114">
      <w:start w:val="1"/>
      <w:numFmt w:val="bullet"/>
      <w:lvlText w:val="·"/>
      <w:lvlJc w:val="left"/>
      <w:pPr>
        <w:ind w:left="720" w:hanging="360"/>
      </w:pPr>
      <w:rPr>
        <w:rFonts w:ascii="Symbol" w:hAnsi="Symbol" w:hint="default"/>
      </w:rPr>
    </w:lvl>
    <w:lvl w:ilvl="1" w:tplc="5B30A18A">
      <w:start w:val="1"/>
      <w:numFmt w:val="bullet"/>
      <w:lvlText w:val="o"/>
      <w:lvlJc w:val="left"/>
      <w:pPr>
        <w:ind w:left="1440" w:hanging="360"/>
      </w:pPr>
      <w:rPr>
        <w:rFonts w:ascii="Courier New" w:hAnsi="Courier New" w:cs="Times New Roman" w:hint="default"/>
      </w:rPr>
    </w:lvl>
    <w:lvl w:ilvl="2" w:tplc="D8804A0C">
      <w:start w:val="1"/>
      <w:numFmt w:val="bullet"/>
      <w:lvlText w:val=""/>
      <w:lvlJc w:val="left"/>
      <w:pPr>
        <w:ind w:left="2160" w:hanging="360"/>
      </w:pPr>
      <w:rPr>
        <w:rFonts w:ascii="Wingdings" w:hAnsi="Wingdings" w:hint="default"/>
      </w:rPr>
    </w:lvl>
    <w:lvl w:ilvl="3" w:tplc="12FA4814">
      <w:start w:val="1"/>
      <w:numFmt w:val="bullet"/>
      <w:lvlText w:val=""/>
      <w:lvlJc w:val="left"/>
      <w:pPr>
        <w:ind w:left="2880" w:hanging="360"/>
      </w:pPr>
      <w:rPr>
        <w:rFonts w:ascii="Symbol" w:hAnsi="Symbol" w:hint="default"/>
      </w:rPr>
    </w:lvl>
    <w:lvl w:ilvl="4" w:tplc="8F4A7F96">
      <w:start w:val="1"/>
      <w:numFmt w:val="bullet"/>
      <w:lvlText w:val="o"/>
      <w:lvlJc w:val="left"/>
      <w:pPr>
        <w:ind w:left="3600" w:hanging="360"/>
      </w:pPr>
      <w:rPr>
        <w:rFonts w:ascii="Courier New" w:hAnsi="Courier New" w:cs="Times New Roman" w:hint="default"/>
      </w:rPr>
    </w:lvl>
    <w:lvl w:ilvl="5" w:tplc="12A8FFA4">
      <w:start w:val="1"/>
      <w:numFmt w:val="bullet"/>
      <w:lvlText w:val=""/>
      <w:lvlJc w:val="left"/>
      <w:pPr>
        <w:ind w:left="4320" w:hanging="360"/>
      </w:pPr>
      <w:rPr>
        <w:rFonts w:ascii="Wingdings" w:hAnsi="Wingdings" w:hint="default"/>
      </w:rPr>
    </w:lvl>
    <w:lvl w:ilvl="6" w:tplc="DCDA3372">
      <w:start w:val="1"/>
      <w:numFmt w:val="bullet"/>
      <w:lvlText w:val=""/>
      <w:lvlJc w:val="left"/>
      <w:pPr>
        <w:ind w:left="5040" w:hanging="360"/>
      </w:pPr>
      <w:rPr>
        <w:rFonts w:ascii="Symbol" w:hAnsi="Symbol" w:hint="default"/>
      </w:rPr>
    </w:lvl>
    <w:lvl w:ilvl="7" w:tplc="0A18A85E">
      <w:start w:val="1"/>
      <w:numFmt w:val="bullet"/>
      <w:lvlText w:val="o"/>
      <w:lvlJc w:val="left"/>
      <w:pPr>
        <w:ind w:left="5760" w:hanging="360"/>
      </w:pPr>
      <w:rPr>
        <w:rFonts w:ascii="Courier New" w:hAnsi="Courier New" w:cs="Times New Roman" w:hint="default"/>
      </w:rPr>
    </w:lvl>
    <w:lvl w:ilvl="8" w:tplc="97F4F90C">
      <w:start w:val="1"/>
      <w:numFmt w:val="bullet"/>
      <w:lvlText w:val=""/>
      <w:lvlJc w:val="left"/>
      <w:pPr>
        <w:ind w:left="6480" w:hanging="360"/>
      </w:pPr>
      <w:rPr>
        <w:rFonts w:ascii="Wingdings" w:hAnsi="Wingdings" w:hint="default"/>
      </w:rPr>
    </w:lvl>
  </w:abstractNum>
  <w:abstractNum w:abstractNumId="7" w15:restartNumberingAfterBreak="0">
    <w:nsid w:val="220D1157"/>
    <w:multiLevelType w:val="hybridMultilevel"/>
    <w:tmpl w:val="3C60A1E6"/>
    <w:lvl w:ilvl="0" w:tplc="240A0001">
      <w:start w:val="1"/>
      <w:numFmt w:val="bullet"/>
      <w:lvlText w:val=""/>
      <w:lvlJc w:val="left"/>
      <w:pPr>
        <w:ind w:left="720" w:hanging="360"/>
      </w:pPr>
      <w:rPr>
        <w:rFonts w:ascii="Symbol" w:hAnsi="Symbol" w:hint="default"/>
      </w:rPr>
    </w:lvl>
    <w:lvl w:ilvl="1" w:tplc="FFFFFFFF">
      <w:start w:val="3"/>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A6659A"/>
    <w:multiLevelType w:val="hybridMultilevel"/>
    <w:tmpl w:val="2D04395A"/>
    <w:lvl w:ilvl="0" w:tplc="5F1ACDEA">
      <w:start w:val="1"/>
      <w:numFmt w:val="upperRoman"/>
      <w:lvlText w:val="%1."/>
      <w:lvlJc w:val="left"/>
      <w:pPr>
        <w:ind w:left="1146" w:hanging="72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9"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2048B"/>
    <w:multiLevelType w:val="hybridMultilevel"/>
    <w:tmpl w:val="E21012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2DE858BD"/>
    <w:multiLevelType w:val="hybridMultilevel"/>
    <w:tmpl w:val="09623CE0"/>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2" w15:restartNumberingAfterBreak="0">
    <w:nsid w:val="2DF545A3"/>
    <w:multiLevelType w:val="multilevel"/>
    <w:tmpl w:val="76D2D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3"/>
        </w:tabs>
        <w:ind w:left="643"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664746"/>
    <w:multiLevelType w:val="hybridMultilevel"/>
    <w:tmpl w:val="35B6E4D2"/>
    <w:lvl w:ilvl="0" w:tplc="F1AAB2F4">
      <w:start w:val="1"/>
      <w:numFmt w:val="decimal"/>
      <w:lvlText w:val="(%1)"/>
      <w:lvlJc w:val="left"/>
      <w:pPr>
        <w:ind w:left="786" w:hanging="360"/>
      </w:pPr>
      <w:rPr>
        <w:color w:val="FF0000"/>
      </w:r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4" w15:restartNumberingAfterBreak="0">
    <w:nsid w:val="2FC968E2"/>
    <w:multiLevelType w:val="hybridMultilevel"/>
    <w:tmpl w:val="24820BAA"/>
    <w:lvl w:ilvl="0" w:tplc="BEA075EA">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0C07B95"/>
    <w:multiLevelType w:val="hybridMultilevel"/>
    <w:tmpl w:val="D17E5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281004"/>
    <w:multiLevelType w:val="multilevel"/>
    <w:tmpl w:val="76D2D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E172B"/>
    <w:multiLevelType w:val="hybridMultilevel"/>
    <w:tmpl w:val="E4F88E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64E692F"/>
    <w:multiLevelType w:val="hybridMultilevel"/>
    <w:tmpl w:val="D940EB60"/>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9" w15:restartNumberingAfterBreak="0">
    <w:nsid w:val="504283E0"/>
    <w:multiLevelType w:val="hybridMultilevel"/>
    <w:tmpl w:val="746EFB90"/>
    <w:lvl w:ilvl="0" w:tplc="5BB46E60">
      <w:start w:val="1"/>
      <w:numFmt w:val="bullet"/>
      <w:lvlText w:val="·"/>
      <w:lvlJc w:val="left"/>
      <w:pPr>
        <w:ind w:left="720" w:hanging="360"/>
      </w:pPr>
      <w:rPr>
        <w:rFonts w:ascii="Symbol" w:hAnsi="Symbol" w:hint="default"/>
      </w:rPr>
    </w:lvl>
    <w:lvl w:ilvl="1" w:tplc="FB76644C">
      <w:start w:val="1"/>
      <w:numFmt w:val="bullet"/>
      <w:lvlText w:val="o"/>
      <w:lvlJc w:val="left"/>
      <w:pPr>
        <w:ind w:left="1440" w:hanging="360"/>
      </w:pPr>
      <w:rPr>
        <w:rFonts w:ascii="Courier New" w:hAnsi="Courier New" w:cs="Times New Roman" w:hint="default"/>
      </w:rPr>
    </w:lvl>
    <w:lvl w:ilvl="2" w:tplc="280000B2">
      <w:start w:val="1"/>
      <w:numFmt w:val="bullet"/>
      <w:lvlText w:val=""/>
      <w:lvlJc w:val="left"/>
      <w:pPr>
        <w:ind w:left="2160" w:hanging="360"/>
      </w:pPr>
      <w:rPr>
        <w:rFonts w:ascii="Wingdings" w:hAnsi="Wingdings" w:hint="default"/>
      </w:rPr>
    </w:lvl>
    <w:lvl w:ilvl="3" w:tplc="F328DA5E">
      <w:start w:val="1"/>
      <w:numFmt w:val="bullet"/>
      <w:lvlText w:val=""/>
      <w:lvlJc w:val="left"/>
      <w:pPr>
        <w:ind w:left="2880" w:hanging="360"/>
      </w:pPr>
      <w:rPr>
        <w:rFonts w:ascii="Symbol" w:hAnsi="Symbol" w:hint="default"/>
      </w:rPr>
    </w:lvl>
    <w:lvl w:ilvl="4" w:tplc="0BAE5724">
      <w:start w:val="1"/>
      <w:numFmt w:val="bullet"/>
      <w:lvlText w:val="o"/>
      <w:lvlJc w:val="left"/>
      <w:pPr>
        <w:ind w:left="3600" w:hanging="360"/>
      </w:pPr>
      <w:rPr>
        <w:rFonts w:ascii="Courier New" w:hAnsi="Courier New" w:cs="Times New Roman" w:hint="default"/>
      </w:rPr>
    </w:lvl>
    <w:lvl w:ilvl="5" w:tplc="76564290">
      <w:start w:val="1"/>
      <w:numFmt w:val="bullet"/>
      <w:lvlText w:val=""/>
      <w:lvlJc w:val="left"/>
      <w:pPr>
        <w:ind w:left="4320" w:hanging="360"/>
      </w:pPr>
      <w:rPr>
        <w:rFonts w:ascii="Wingdings" w:hAnsi="Wingdings" w:hint="default"/>
      </w:rPr>
    </w:lvl>
    <w:lvl w:ilvl="6" w:tplc="E4CC0F64">
      <w:start w:val="1"/>
      <w:numFmt w:val="bullet"/>
      <w:lvlText w:val=""/>
      <w:lvlJc w:val="left"/>
      <w:pPr>
        <w:ind w:left="5040" w:hanging="360"/>
      </w:pPr>
      <w:rPr>
        <w:rFonts w:ascii="Symbol" w:hAnsi="Symbol" w:hint="default"/>
      </w:rPr>
    </w:lvl>
    <w:lvl w:ilvl="7" w:tplc="EA2E670A">
      <w:start w:val="1"/>
      <w:numFmt w:val="bullet"/>
      <w:lvlText w:val="o"/>
      <w:lvlJc w:val="left"/>
      <w:pPr>
        <w:ind w:left="5760" w:hanging="360"/>
      </w:pPr>
      <w:rPr>
        <w:rFonts w:ascii="Courier New" w:hAnsi="Courier New" w:cs="Times New Roman" w:hint="default"/>
      </w:rPr>
    </w:lvl>
    <w:lvl w:ilvl="8" w:tplc="6868C91E">
      <w:start w:val="1"/>
      <w:numFmt w:val="bullet"/>
      <w:lvlText w:val=""/>
      <w:lvlJc w:val="left"/>
      <w:pPr>
        <w:ind w:left="6480" w:hanging="360"/>
      </w:pPr>
      <w:rPr>
        <w:rFonts w:ascii="Wingdings" w:hAnsi="Wingdings" w:hint="default"/>
      </w:rPr>
    </w:lvl>
  </w:abstractNum>
  <w:abstractNum w:abstractNumId="20"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B32E5F"/>
    <w:multiLevelType w:val="hybridMultilevel"/>
    <w:tmpl w:val="49022B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AB47C4D"/>
    <w:multiLevelType w:val="multilevel"/>
    <w:tmpl w:val="76D2D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3"/>
        </w:tabs>
        <w:ind w:left="643"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C619E4"/>
    <w:multiLevelType w:val="hybridMultilevel"/>
    <w:tmpl w:val="F0A45B1C"/>
    <w:lvl w:ilvl="0" w:tplc="BEA075EA">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5F2841D5"/>
    <w:multiLevelType w:val="hybridMultilevel"/>
    <w:tmpl w:val="722468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FC6772"/>
    <w:multiLevelType w:val="hybridMultilevel"/>
    <w:tmpl w:val="BD8C1662"/>
    <w:lvl w:ilvl="0" w:tplc="240A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28" w15:restartNumberingAfterBreak="0">
    <w:nsid w:val="78437C78"/>
    <w:multiLevelType w:val="multilevel"/>
    <w:tmpl w:val="BF501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6945497">
    <w:abstractNumId w:val="5"/>
  </w:num>
  <w:num w:numId="2" w16cid:durableId="1386223914">
    <w:abstractNumId w:val="29"/>
  </w:num>
  <w:num w:numId="3" w16cid:durableId="1983080035">
    <w:abstractNumId w:val="9"/>
  </w:num>
  <w:num w:numId="4" w16cid:durableId="624239367">
    <w:abstractNumId w:val="25"/>
  </w:num>
  <w:num w:numId="5" w16cid:durableId="1388070277">
    <w:abstractNumId w:val="3"/>
  </w:num>
  <w:num w:numId="6" w16cid:durableId="1863935783">
    <w:abstractNumId w:val="26"/>
  </w:num>
  <w:num w:numId="7" w16cid:durableId="787551803">
    <w:abstractNumId w:val="20"/>
  </w:num>
  <w:num w:numId="8" w16cid:durableId="172683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947450">
    <w:abstractNumId w:val="15"/>
  </w:num>
  <w:num w:numId="10" w16cid:durableId="388766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3159002">
    <w:abstractNumId w:val="24"/>
  </w:num>
  <w:num w:numId="12" w16cid:durableId="1886211525">
    <w:abstractNumId w:val="18"/>
  </w:num>
  <w:num w:numId="13" w16cid:durableId="2002153568">
    <w:abstractNumId w:val="1"/>
  </w:num>
  <w:num w:numId="14" w16cid:durableId="309601810">
    <w:abstractNumId w:val="21"/>
  </w:num>
  <w:num w:numId="15" w16cid:durableId="625350675">
    <w:abstractNumId w:val="23"/>
  </w:num>
  <w:num w:numId="16" w16cid:durableId="1448574437">
    <w:abstractNumId w:val="17"/>
  </w:num>
  <w:num w:numId="17" w16cid:durableId="283927376">
    <w:abstractNumId w:val="10"/>
  </w:num>
  <w:num w:numId="18" w16cid:durableId="18799676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6485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0748581">
    <w:abstractNumId w:val="28"/>
  </w:num>
  <w:num w:numId="21" w16cid:durableId="2060208027">
    <w:abstractNumId w:val="4"/>
  </w:num>
  <w:num w:numId="22" w16cid:durableId="1538733818">
    <w:abstractNumId w:val="16"/>
  </w:num>
  <w:num w:numId="23" w16cid:durableId="1192261396">
    <w:abstractNumId w:val="22"/>
  </w:num>
  <w:num w:numId="24" w16cid:durableId="1207260233">
    <w:abstractNumId w:val="12"/>
  </w:num>
  <w:num w:numId="25" w16cid:durableId="202180431">
    <w:abstractNumId w:val="27"/>
  </w:num>
  <w:num w:numId="26" w16cid:durableId="346295227">
    <w:abstractNumId w:val="7"/>
  </w:num>
  <w:num w:numId="27" w16cid:durableId="1646936567">
    <w:abstractNumId w:val="11"/>
  </w:num>
  <w:num w:numId="28" w16cid:durableId="85074823">
    <w:abstractNumId w:val="0"/>
  </w:num>
  <w:num w:numId="29" w16cid:durableId="786124414">
    <w:abstractNumId w:val="6"/>
  </w:num>
  <w:num w:numId="30" w16cid:durableId="54593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73A1F"/>
    <w:rsid w:val="000877D1"/>
    <w:rsid w:val="000B3FBC"/>
    <w:rsid w:val="0011263A"/>
    <w:rsid w:val="001339E2"/>
    <w:rsid w:val="0013472A"/>
    <w:rsid w:val="00153C65"/>
    <w:rsid w:val="001976D2"/>
    <w:rsid w:val="001C151E"/>
    <w:rsid w:val="001F7009"/>
    <w:rsid w:val="0020161D"/>
    <w:rsid w:val="00206093"/>
    <w:rsid w:val="0022264A"/>
    <w:rsid w:val="0024487B"/>
    <w:rsid w:val="002530E1"/>
    <w:rsid w:val="00275497"/>
    <w:rsid w:val="00291346"/>
    <w:rsid w:val="002A6351"/>
    <w:rsid w:val="002B2E03"/>
    <w:rsid w:val="002C4777"/>
    <w:rsid w:val="00301568"/>
    <w:rsid w:val="0033289D"/>
    <w:rsid w:val="0034312A"/>
    <w:rsid w:val="00371E63"/>
    <w:rsid w:val="003B4DD5"/>
    <w:rsid w:val="003C6D25"/>
    <w:rsid w:val="003D798F"/>
    <w:rsid w:val="003E632D"/>
    <w:rsid w:val="00410C94"/>
    <w:rsid w:val="00416E2A"/>
    <w:rsid w:val="0044344C"/>
    <w:rsid w:val="00452CAE"/>
    <w:rsid w:val="00472DB8"/>
    <w:rsid w:val="00473B82"/>
    <w:rsid w:val="004A2D09"/>
    <w:rsid w:val="004B16C1"/>
    <w:rsid w:val="004B180A"/>
    <w:rsid w:val="004E432F"/>
    <w:rsid w:val="004E7B18"/>
    <w:rsid w:val="00504C0C"/>
    <w:rsid w:val="00561999"/>
    <w:rsid w:val="00586084"/>
    <w:rsid w:val="005A2825"/>
    <w:rsid w:val="005A3FE8"/>
    <w:rsid w:val="005B2D9A"/>
    <w:rsid w:val="005C6301"/>
    <w:rsid w:val="005D5A29"/>
    <w:rsid w:val="005E0FD6"/>
    <w:rsid w:val="005E1133"/>
    <w:rsid w:val="006252FE"/>
    <w:rsid w:val="00625FC7"/>
    <w:rsid w:val="0063188F"/>
    <w:rsid w:val="0064384B"/>
    <w:rsid w:val="00655982"/>
    <w:rsid w:val="00673F12"/>
    <w:rsid w:val="00687E5C"/>
    <w:rsid w:val="006A29E0"/>
    <w:rsid w:val="006A732B"/>
    <w:rsid w:val="006C2B4A"/>
    <w:rsid w:val="006E18DB"/>
    <w:rsid w:val="00700DAA"/>
    <w:rsid w:val="00702037"/>
    <w:rsid w:val="00732F49"/>
    <w:rsid w:val="00736096"/>
    <w:rsid w:val="00774DC9"/>
    <w:rsid w:val="007760F2"/>
    <w:rsid w:val="007D7427"/>
    <w:rsid w:val="00804184"/>
    <w:rsid w:val="00833FB0"/>
    <w:rsid w:val="00843C41"/>
    <w:rsid w:val="008540DC"/>
    <w:rsid w:val="00862A45"/>
    <w:rsid w:val="00870E09"/>
    <w:rsid w:val="00874628"/>
    <w:rsid w:val="0088505A"/>
    <w:rsid w:val="008956D2"/>
    <w:rsid w:val="008A2D0E"/>
    <w:rsid w:val="008C0DAB"/>
    <w:rsid w:val="008C705B"/>
    <w:rsid w:val="008D27A6"/>
    <w:rsid w:val="008E06D8"/>
    <w:rsid w:val="008F6530"/>
    <w:rsid w:val="00931D87"/>
    <w:rsid w:val="0093266E"/>
    <w:rsid w:val="00963646"/>
    <w:rsid w:val="00993794"/>
    <w:rsid w:val="00996E4F"/>
    <w:rsid w:val="009A14D9"/>
    <w:rsid w:val="009B5813"/>
    <w:rsid w:val="009C57BA"/>
    <w:rsid w:val="009F1853"/>
    <w:rsid w:val="00A45C91"/>
    <w:rsid w:val="00A82889"/>
    <w:rsid w:val="00A969EC"/>
    <w:rsid w:val="00AD0830"/>
    <w:rsid w:val="00B038F3"/>
    <w:rsid w:val="00B12358"/>
    <w:rsid w:val="00B22F0D"/>
    <w:rsid w:val="00B317EF"/>
    <w:rsid w:val="00B44184"/>
    <w:rsid w:val="00B51957"/>
    <w:rsid w:val="00B55E28"/>
    <w:rsid w:val="00B74688"/>
    <w:rsid w:val="00B81855"/>
    <w:rsid w:val="00BB5205"/>
    <w:rsid w:val="00BC1762"/>
    <w:rsid w:val="00BC7BB2"/>
    <w:rsid w:val="00BD357D"/>
    <w:rsid w:val="00BE440E"/>
    <w:rsid w:val="00C14804"/>
    <w:rsid w:val="00C30590"/>
    <w:rsid w:val="00C447A9"/>
    <w:rsid w:val="00C668DD"/>
    <w:rsid w:val="00CA5028"/>
    <w:rsid w:val="00CB6DA2"/>
    <w:rsid w:val="00D2162C"/>
    <w:rsid w:val="00D4148C"/>
    <w:rsid w:val="00D45F04"/>
    <w:rsid w:val="00D64160"/>
    <w:rsid w:val="00DA7276"/>
    <w:rsid w:val="00DC25D3"/>
    <w:rsid w:val="00DD3C5C"/>
    <w:rsid w:val="00DD4C14"/>
    <w:rsid w:val="00DF13EB"/>
    <w:rsid w:val="00E10A03"/>
    <w:rsid w:val="00E21211"/>
    <w:rsid w:val="00E34341"/>
    <w:rsid w:val="00E543C2"/>
    <w:rsid w:val="00E61E67"/>
    <w:rsid w:val="00E81E8B"/>
    <w:rsid w:val="00E962A5"/>
    <w:rsid w:val="00E97BFD"/>
    <w:rsid w:val="00EA0E54"/>
    <w:rsid w:val="00EB5584"/>
    <w:rsid w:val="00EC440E"/>
    <w:rsid w:val="00EE231F"/>
    <w:rsid w:val="00EF523B"/>
    <w:rsid w:val="00F01F75"/>
    <w:rsid w:val="00F04D0A"/>
    <w:rsid w:val="00F0677B"/>
    <w:rsid w:val="00F12AF4"/>
    <w:rsid w:val="00F17232"/>
    <w:rsid w:val="00F229AE"/>
    <w:rsid w:val="00F621BA"/>
    <w:rsid w:val="00F65748"/>
    <w:rsid w:val="00F7067D"/>
    <w:rsid w:val="00F71345"/>
    <w:rsid w:val="00F970D0"/>
    <w:rsid w:val="00FA21F2"/>
    <w:rsid w:val="00FB58C7"/>
    <w:rsid w:val="00FC4A32"/>
    <w:rsid w:val="00FD2CD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822D"/>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DA7276"/>
    <w:pPr>
      <w:widowControl w:val="0"/>
      <w:autoSpaceDE w:val="0"/>
      <w:autoSpaceDN w:val="0"/>
      <w:ind w:left="102"/>
      <w:outlineLvl w:val="0"/>
    </w:pPr>
    <w:rPr>
      <w:rFonts w:ascii="Arial" w:eastAsia="Arial" w:hAnsi="Arial" w:cs="Arial"/>
      <w:b/>
      <w:bCs/>
      <w:sz w:val="22"/>
      <w:szCs w:val="22"/>
      <w:lang w:eastAsia="en-US"/>
    </w:rPr>
  </w:style>
  <w:style w:type="paragraph" w:styleId="Ttulo2">
    <w:name w:val="heading 2"/>
    <w:basedOn w:val="Normal"/>
    <w:next w:val="Normal"/>
    <w:link w:val="Ttulo2Car"/>
    <w:uiPriority w:val="9"/>
    <w:semiHidden/>
    <w:unhideWhenUsed/>
    <w:qFormat/>
    <w:rsid w:val="00DA7276"/>
    <w:pPr>
      <w:keepNext/>
      <w:keepLines/>
      <w:widowControl w:val="0"/>
      <w:autoSpaceDE w:val="0"/>
      <w:autoSpaceDN w:val="0"/>
      <w:spacing w:before="40"/>
      <w:outlineLvl w:val="1"/>
    </w:pPr>
    <w:rPr>
      <w:rFonts w:ascii="Arial" w:eastAsiaTheme="majorEastAsia" w:hAnsi="Arial" w:cstheme="majorBidi"/>
      <w:b/>
      <w:sz w:val="22"/>
      <w:szCs w:val="26"/>
      <w:lang w:eastAsia="en-US"/>
    </w:rPr>
  </w:style>
  <w:style w:type="paragraph" w:styleId="Ttulo3">
    <w:name w:val="heading 3"/>
    <w:basedOn w:val="Normal"/>
    <w:next w:val="Normal"/>
    <w:link w:val="Ttulo3Car"/>
    <w:uiPriority w:val="9"/>
    <w:semiHidden/>
    <w:unhideWhenUsed/>
    <w:qFormat/>
    <w:rsid w:val="00DA7276"/>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ar"/>
    <w:uiPriority w:val="9"/>
    <w:semiHidden/>
    <w:unhideWhenUsed/>
    <w:qFormat/>
    <w:rsid w:val="00DA7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1Car">
    <w:name w:val="Título 1 Car"/>
    <w:basedOn w:val="Fuentedeprrafopredeter"/>
    <w:link w:val="Ttulo1"/>
    <w:uiPriority w:val="9"/>
    <w:rsid w:val="00DA7276"/>
    <w:rPr>
      <w:rFonts w:ascii="Arial" w:eastAsia="Arial" w:hAnsi="Arial" w:cs="Arial"/>
      <w:b/>
      <w:bCs/>
      <w:lang w:val="es-ES"/>
    </w:rPr>
  </w:style>
  <w:style w:type="character" w:customStyle="1" w:styleId="Ttulo2Car">
    <w:name w:val="Título 2 Car"/>
    <w:basedOn w:val="Fuentedeprrafopredeter"/>
    <w:link w:val="Ttulo2"/>
    <w:uiPriority w:val="9"/>
    <w:semiHidden/>
    <w:rsid w:val="00DA7276"/>
    <w:rPr>
      <w:rFonts w:ascii="Arial" w:eastAsiaTheme="majorEastAsia" w:hAnsi="Arial" w:cstheme="majorBidi"/>
      <w:b/>
      <w:szCs w:val="26"/>
      <w:lang w:val="es-ES"/>
    </w:rPr>
  </w:style>
  <w:style w:type="character" w:customStyle="1" w:styleId="Ttulo3Car">
    <w:name w:val="Título 3 Car"/>
    <w:basedOn w:val="Fuentedeprrafopredeter"/>
    <w:link w:val="Ttulo3"/>
    <w:uiPriority w:val="9"/>
    <w:semiHidden/>
    <w:rsid w:val="00DA7276"/>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DA7276"/>
    <w:rPr>
      <w:rFonts w:asciiTheme="majorHAnsi" w:eastAsiaTheme="majorEastAsia" w:hAnsiTheme="majorHAnsi" w:cstheme="majorBidi"/>
      <w:i/>
      <w:iCs/>
      <w:color w:val="365F91" w:themeColor="accent1" w:themeShade="BF"/>
      <w:sz w:val="24"/>
      <w:szCs w:val="24"/>
      <w:lang w:val="es-ES" w:eastAsia="es-ES"/>
    </w:rPr>
  </w:style>
  <w:style w:type="character" w:styleId="Hipervnculovisitado">
    <w:name w:val="FollowedHyperlink"/>
    <w:basedOn w:val="Fuentedeprrafopredeter"/>
    <w:uiPriority w:val="99"/>
    <w:semiHidden/>
    <w:unhideWhenUsed/>
    <w:rsid w:val="00DA7276"/>
    <w:rPr>
      <w:color w:val="800080" w:themeColor="followedHyperlink"/>
      <w:u w:val="single"/>
    </w:rPr>
  </w:style>
  <w:style w:type="character" w:styleId="nfasis">
    <w:name w:val="Emphasis"/>
    <w:basedOn w:val="Fuentedeprrafopredeter"/>
    <w:uiPriority w:val="20"/>
    <w:qFormat/>
    <w:rsid w:val="00DA7276"/>
    <w:rPr>
      <w:rFonts w:ascii="Times New Roman" w:hAnsi="Times New Roman" w:cs="Times New Roman" w:hint="default"/>
      <w:i/>
      <w:iCs/>
    </w:rPr>
  </w:style>
  <w:style w:type="paragraph" w:customStyle="1" w:styleId="msonormal0">
    <w:name w:val="msonormal"/>
    <w:basedOn w:val="Normal"/>
    <w:uiPriority w:val="99"/>
    <w:rsid w:val="00DA7276"/>
    <w:pPr>
      <w:spacing w:before="100" w:beforeAutospacing="1" w:after="100" w:afterAutospacing="1"/>
    </w:pPr>
    <w:rPr>
      <w:rFonts w:eastAsia="Times New Roman"/>
      <w:lang w:val="en-US" w:eastAsia="en-US"/>
    </w:rPr>
  </w:style>
  <w:style w:type="paragraph" w:styleId="NormalWeb">
    <w:name w:val="Normal (Web)"/>
    <w:basedOn w:val="Normal"/>
    <w:uiPriority w:val="99"/>
    <w:semiHidden/>
    <w:unhideWhenUsed/>
    <w:rsid w:val="00DA7276"/>
    <w:pPr>
      <w:spacing w:before="100" w:beforeAutospacing="1" w:after="100" w:afterAutospacing="1"/>
    </w:pPr>
    <w:rPr>
      <w:rFonts w:eastAsia="Times New Roman"/>
      <w:lang w:val="en-US" w:eastAsia="en-US"/>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semiHidden/>
    <w:locked/>
    <w:rsid w:val="00DA7276"/>
    <w:rPr>
      <w:rFonts w:ascii="Arial" w:eastAsia="Arial" w:hAnsi="Arial" w:cs="Arial"/>
      <w:sz w:val="20"/>
      <w:szCs w:val="20"/>
      <w:lang w:val="es-ES"/>
    </w:rPr>
  </w:style>
  <w:style w:type="paragraph" w:styleId="Textonotapie">
    <w:name w:val="footnote text"/>
    <w:aliases w:val="Ref. de nota al pie1,Footnote Text Char,Footnote Text Char Char Char Char,Footnote Text Char Char Char Char Char Char Char Char,FA Fu"/>
    <w:basedOn w:val="Normal"/>
    <w:link w:val="TextonotapieCar"/>
    <w:semiHidden/>
    <w:unhideWhenUsed/>
    <w:rsid w:val="00DA7276"/>
    <w:pPr>
      <w:widowControl w:val="0"/>
      <w:autoSpaceDE w:val="0"/>
      <w:autoSpaceDN w:val="0"/>
    </w:pPr>
    <w:rPr>
      <w:rFonts w:ascii="Arial" w:eastAsia="Arial" w:hAnsi="Arial" w:cs="Arial"/>
      <w:sz w:val="20"/>
      <w:szCs w:val="20"/>
      <w:lang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semiHidden/>
    <w:rsid w:val="00DA7276"/>
    <w:rPr>
      <w:rFonts w:ascii="Times New Roman" w:eastAsia="MS Mincho" w:hAnsi="Times New Roman" w:cs="Times New Roman"/>
      <w:sz w:val="20"/>
      <w:szCs w:val="20"/>
      <w:lang w:val="es-ES" w:eastAsia="es-ES"/>
    </w:rPr>
  </w:style>
  <w:style w:type="paragraph" w:styleId="Textocomentario">
    <w:name w:val="annotation text"/>
    <w:basedOn w:val="Normal"/>
    <w:link w:val="TextocomentarioCar"/>
    <w:uiPriority w:val="99"/>
    <w:unhideWhenUsed/>
    <w:rsid w:val="00DA7276"/>
    <w:rPr>
      <w:sz w:val="20"/>
      <w:szCs w:val="20"/>
    </w:rPr>
  </w:style>
  <w:style w:type="character" w:customStyle="1" w:styleId="TextocomentarioCar">
    <w:name w:val="Texto comentario Car"/>
    <w:basedOn w:val="Fuentedeprrafopredeter"/>
    <w:link w:val="Textocomentario"/>
    <w:uiPriority w:val="99"/>
    <w:rsid w:val="00DA7276"/>
    <w:rPr>
      <w:rFonts w:ascii="Times New Roman" w:eastAsia="MS Mincho" w:hAnsi="Times New Roman" w:cs="Times New Roman"/>
      <w:sz w:val="20"/>
      <w:szCs w:val="20"/>
      <w:lang w:val="es-ES" w:eastAsia="es-ES"/>
    </w:rPr>
  </w:style>
  <w:style w:type="paragraph" w:styleId="Textoindependiente">
    <w:name w:val="Body Text"/>
    <w:basedOn w:val="Normal"/>
    <w:link w:val="TextoindependienteCar"/>
    <w:uiPriority w:val="1"/>
    <w:semiHidden/>
    <w:unhideWhenUsed/>
    <w:qFormat/>
    <w:rsid w:val="00DA7276"/>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semiHidden/>
    <w:rsid w:val="00DA7276"/>
    <w:rPr>
      <w:rFonts w:ascii="Arial" w:eastAsia="Arial" w:hAnsi="Arial" w:cs="Arial"/>
      <w:lang w:val="es-ES"/>
    </w:rPr>
  </w:style>
  <w:style w:type="character" w:customStyle="1" w:styleId="SubttuloCar1">
    <w:name w:val="Subtítulo Car1"/>
    <w:aliases w:val="Tablas Car1"/>
    <w:basedOn w:val="Fuentedeprrafopredeter"/>
    <w:uiPriority w:val="11"/>
    <w:rsid w:val="00DA7276"/>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DA7276"/>
    <w:pPr>
      <w:widowControl w:val="0"/>
      <w:autoSpaceDE w:val="0"/>
      <w:autoSpaceDN w:val="0"/>
      <w:spacing w:after="120" w:line="480" w:lineRule="auto"/>
    </w:pPr>
    <w:rPr>
      <w:rFonts w:ascii="Arial" w:eastAsia="Arial" w:hAnsi="Arial" w:cs="Arial"/>
      <w:sz w:val="22"/>
      <w:szCs w:val="22"/>
      <w:lang w:eastAsia="en-US"/>
    </w:rPr>
  </w:style>
  <w:style w:type="character" w:customStyle="1" w:styleId="Textoindependiente2Car">
    <w:name w:val="Texto independiente 2 Car"/>
    <w:basedOn w:val="Fuentedeprrafopredeter"/>
    <w:link w:val="Textoindependiente2"/>
    <w:uiPriority w:val="99"/>
    <w:semiHidden/>
    <w:rsid w:val="00DA7276"/>
    <w:rPr>
      <w:rFonts w:ascii="Arial" w:eastAsia="Arial" w:hAnsi="Arial" w:cs="Arial"/>
      <w:lang w:val="es-ES"/>
    </w:rPr>
  </w:style>
  <w:style w:type="paragraph" w:styleId="Asuntodelcomentario">
    <w:name w:val="annotation subject"/>
    <w:basedOn w:val="Textocomentario"/>
    <w:next w:val="Textocomentario"/>
    <w:link w:val="AsuntodelcomentarioCar"/>
    <w:uiPriority w:val="99"/>
    <w:semiHidden/>
    <w:unhideWhenUsed/>
    <w:rsid w:val="00DA7276"/>
    <w:rPr>
      <w:b/>
      <w:bCs/>
    </w:rPr>
  </w:style>
  <w:style w:type="character" w:customStyle="1" w:styleId="AsuntodelcomentarioCar">
    <w:name w:val="Asunto del comentario Car"/>
    <w:basedOn w:val="TextocomentarioCar"/>
    <w:link w:val="Asuntodelcomentario"/>
    <w:uiPriority w:val="99"/>
    <w:semiHidden/>
    <w:rsid w:val="00DA7276"/>
    <w:rPr>
      <w:rFonts w:ascii="Times New Roman" w:eastAsia="MS Mincho" w:hAnsi="Times New Roman" w:cs="Times New Roman"/>
      <w:b/>
      <w:bCs/>
      <w:sz w:val="20"/>
      <w:szCs w:val="20"/>
      <w:lang w:val="es-ES" w:eastAsia="es-ES"/>
    </w:rPr>
  </w:style>
  <w:style w:type="character" w:customStyle="1" w:styleId="SinespaciadoCar">
    <w:name w:val="Sin espaciado Car"/>
    <w:aliases w:val="Subtitulo Car"/>
    <w:basedOn w:val="Fuentedeprrafopredeter"/>
    <w:link w:val="Sinespaciado"/>
    <w:uiPriority w:val="1"/>
    <w:locked/>
    <w:rsid w:val="00DA7276"/>
  </w:style>
  <w:style w:type="paragraph" w:styleId="Sinespaciado">
    <w:name w:val="No Spacing"/>
    <w:aliases w:val="Subtitulo"/>
    <w:link w:val="SinespaciadoCar"/>
    <w:uiPriority w:val="1"/>
    <w:qFormat/>
    <w:rsid w:val="00DA7276"/>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DA7276"/>
    <w:rPr>
      <w:rFonts w:ascii="Times New Roman" w:eastAsia="MS Mincho" w:hAnsi="Times New Roman" w:cs="Times New Roman"/>
      <w:sz w:val="24"/>
      <w:szCs w:val="24"/>
      <w:lang w:val="es-ES" w:eastAsia="es-ES"/>
    </w:rPr>
  </w:style>
  <w:style w:type="paragraph" w:customStyle="1" w:styleId="Prrafodelista1">
    <w:name w:val="Párrafo de lista1"/>
    <w:uiPriority w:val="99"/>
    <w:rsid w:val="00DA7276"/>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DA7276"/>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DA7276"/>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DA7276"/>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DA7276"/>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DA7276"/>
    <w:pPr>
      <w:ind w:left="720"/>
    </w:pPr>
    <w:rPr>
      <w:rFonts w:ascii="Times New Roman" w:eastAsia="ヒラギノ角ゴ Pro W3" w:hAnsi="Times New Roman" w:cs="Times New Roman"/>
      <w:color w:val="000000"/>
      <w:sz w:val="24"/>
      <w:szCs w:val="20"/>
      <w:lang w:val="es-ES_tradnl" w:eastAsia="es-CO"/>
    </w:rPr>
  </w:style>
  <w:style w:type="paragraph" w:customStyle="1" w:styleId="TableParagraph">
    <w:name w:val="Table Paragraph"/>
    <w:basedOn w:val="Normal"/>
    <w:uiPriority w:val="1"/>
    <w:qFormat/>
    <w:rsid w:val="00DA7276"/>
    <w:pPr>
      <w:widowControl w:val="0"/>
      <w:autoSpaceDE w:val="0"/>
      <w:autoSpaceDN w:val="0"/>
      <w:jc w:val="right"/>
    </w:pPr>
    <w:rPr>
      <w:rFonts w:ascii="Arial" w:eastAsia="Arial" w:hAnsi="Arial" w:cs="Arial"/>
      <w:sz w:val="22"/>
      <w:szCs w:val="22"/>
      <w:lang w:eastAsia="en-US"/>
    </w:rPr>
  </w:style>
  <w:style w:type="paragraph" w:customStyle="1" w:styleId="xxmsonormal">
    <w:name w:val="x_xmsonormal"/>
    <w:basedOn w:val="Normal"/>
    <w:uiPriority w:val="99"/>
    <w:rsid w:val="00DA7276"/>
    <w:rPr>
      <w:rFonts w:ascii="Calibri" w:eastAsiaTheme="minorHAnsi" w:hAnsi="Calibri"/>
      <w:sz w:val="22"/>
      <w:szCs w:val="22"/>
      <w:lang w:val="es-CO" w:eastAsia="es-CO"/>
    </w:rPr>
  </w:style>
  <w:style w:type="paragraph" w:customStyle="1" w:styleId="Default">
    <w:name w:val="Default"/>
    <w:uiPriority w:val="99"/>
    <w:rsid w:val="00DA7276"/>
    <w:pPr>
      <w:autoSpaceDE w:val="0"/>
      <w:autoSpaceDN w:val="0"/>
      <w:adjustRightInd w:val="0"/>
    </w:pPr>
    <w:rPr>
      <w:rFonts w:ascii="Calibri" w:hAnsi="Calibri" w:cs="Calibri"/>
      <w:color w:val="000000"/>
      <w:sz w:val="24"/>
      <w:szCs w:val="24"/>
      <w:lang w:val="en-US"/>
    </w:rPr>
  </w:style>
  <w:style w:type="paragraph" w:customStyle="1" w:styleId="paragraph">
    <w:name w:val="paragraph"/>
    <w:basedOn w:val="Normal"/>
    <w:uiPriority w:val="99"/>
    <w:rsid w:val="00DA7276"/>
    <w:pPr>
      <w:spacing w:before="100" w:beforeAutospacing="1" w:after="100" w:afterAutospacing="1"/>
    </w:pPr>
    <w:rPr>
      <w:rFonts w:eastAsia="Times New Roman"/>
      <w:lang w:val="es-CO" w:eastAsia="es-CO"/>
    </w:rPr>
  </w:style>
  <w:style w:type="paragraph" w:customStyle="1" w:styleId="xmsonormal">
    <w:name w:val="x_msonormal"/>
    <w:basedOn w:val="Normal"/>
    <w:uiPriority w:val="99"/>
    <w:rsid w:val="00DA7276"/>
    <w:rPr>
      <w:rFonts w:ascii="Calibri" w:eastAsiaTheme="minorHAnsi" w:hAnsi="Calibri" w:cs="Calibri"/>
      <w:sz w:val="22"/>
      <w:szCs w:val="22"/>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semiHidden/>
    <w:unhideWhenUsed/>
    <w:qFormat/>
    <w:rsid w:val="00DA7276"/>
    <w:rPr>
      <w:vertAlign w:val="superscript"/>
    </w:rPr>
  </w:style>
  <w:style w:type="character" w:styleId="Refdecomentario">
    <w:name w:val="annotation reference"/>
    <w:basedOn w:val="Fuentedeprrafopredeter"/>
    <w:uiPriority w:val="99"/>
    <w:semiHidden/>
    <w:unhideWhenUsed/>
    <w:rsid w:val="00DA7276"/>
    <w:rPr>
      <w:sz w:val="16"/>
      <w:szCs w:val="16"/>
    </w:rPr>
  </w:style>
  <w:style w:type="character" w:customStyle="1" w:styleId="normaltextrun">
    <w:name w:val="normaltextrun"/>
    <w:basedOn w:val="Fuentedeprrafopredeter"/>
    <w:rsid w:val="00DA7276"/>
  </w:style>
  <w:style w:type="character" w:customStyle="1" w:styleId="eop">
    <w:name w:val="eop"/>
    <w:basedOn w:val="Fuentedeprrafopredeter"/>
    <w:rsid w:val="00DA7276"/>
  </w:style>
  <w:style w:type="character" w:customStyle="1" w:styleId="Mencinsinresolver1">
    <w:name w:val="Mención sin resolver1"/>
    <w:basedOn w:val="Fuentedeprrafopredeter"/>
    <w:uiPriority w:val="99"/>
    <w:semiHidden/>
    <w:rsid w:val="00DA7276"/>
    <w:rPr>
      <w:color w:val="605E5C"/>
      <w:shd w:val="clear" w:color="auto" w:fill="E1DFDD"/>
    </w:rPr>
  </w:style>
  <w:style w:type="character" w:customStyle="1" w:styleId="findhit">
    <w:name w:val="findhit"/>
    <w:basedOn w:val="Fuentedeprrafopredeter"/>
    <w:rsid w:val="00DA7276"/>
  </w:style>
  <w:style w:type="table" w:styleId="Tablaconcuadrcula1clara">
    <w:name w:val="Grid Table 1 Light"/>
    <w:basedOn w:val="Tablanormal"/>
    <w:uiPriority w:val="46"/>
    <w:rsid w:val="00DA7276"/>
    <w:pPr>
      <w:widowControl w:val="0"/>
      <w:autoSpaceDE w:val="0"/>
      <w:autoSpaceDN w:val="0"/>
    </w:pPr>
    <w:rPr>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DA7276"/>
    <w:pPr>
      <w:widowControl w:val="0"/>
      <w:autoSpaceDE w:val="0"/>
      <w:autoSpaceDN w:val="0"/>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DA7276"/>
    <w:pPr>
      <w:widowControl w:val="0"/>
      <w:autoSpaceDE w:val="0"/>
      <w:autoSpaceDN w:val="0"/>
    </w:pPr>
    <w:rPr>
      <w:color w:val="000000" w:themeColor="text1"/>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DA7276"/>
    <w:pPr>
      <w:widowControl w:val="0"/>
      <w:autoSpaceDE w:val="0"/>
      <w:autoSpaceDN w:val="0"/>
    </w:pPr>
    <w:rPr>
      <w:lang w:val="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Normal">
    <w:name w:val="Table Normal"/>
    <w:uiPriority w:val="2"/>
    <w:semiHidden/>
    <w:qFormat/>
    <w:rsid w:val="00DA7276"/>
    <w:pPr>
      <w:widowControl w:val="0"/>
      <w:autoSpaceDE w:val="0"/>
      <w:autoSpaceDN w:val="0"/>
    </w:pPr>
    <w:rPr>
      <w:lang w:val="en-US"/>
    </w:rPr>
    <w:tblPr>
      <w:tblCellMar>
        <w:top w:w="0" w:type="dxa"/>
        <w:left w:w="0" w:type="dxa"/>
        <w:bottom w:w="0" w:type="dxa"/>
        <w:right w:w="0" w:type="dxa"/>
      </w:tblCellMar>
    </w:tblPr>
  </w:style>
  <w:style w:type="paragraph" w:styleId="Revisin">
    <w:name w:val="Revision"/>
    <w:hidden/>
    <w:uiPriority w:val="99"/>
    <w:semiHidden/>
    <w:rsid w:val="000B3FBC"/>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28709">
      <w:bodyDiv w:val="1"/>
      <w:marLeft w:val="0"/>
      <w:marRight w:val="0"/>
      <w:marTop w:val="0"/>
      <w:marBottom w:val="0"/>
      <w:divBdr>
        <w:top w:val="none" w:sz="0" w:space="0" w:color="auto"/>
        <w:left w:val="none" w:sz="0" w:space="0" w:color="auto"/>
        <w:bottom w:val="none" w:sz="0" w:space="0" w:color="auto"/>
        <w:right w:val="none" w:sz="0" w:space="0" w:color="auto"/>
      </w:divBdr>
    </w:div>
    <w:div w:id="17595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consultaprocesos.ramajudicial.gov.co/Procesos/Bienvenid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yksan/Downloads/COMPARATIVO%20CIERRES%20TESORERIA%20QUINDIO%202012%202022%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26ACCE-9F57-40A7-BD03-EDE20F91A40F}"/>
</file>

<file path=customXml/itemProps2.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3.xml><?xml version="1.0" encoding="utf-8"?>
<ds:datastoreItem xmlns:ds="http://schemas.openxmlformats.org/officeDocument/2006/customXml" ds:itemID="{F049D4F2-5B5B-4213-887E-43F145F31A9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193EFF50-D46A-43E1-97BB-C7CA6A9B77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38</Pages>
  <Words>16299</Words>
  <Characters>89649</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105737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cp:lastModifiedBy>
  <cp:revision>2</cp:revision>
  <cp:lastPrinted>2015-01-16T15:21:00Z</cp:lastPrinted>
  <dcterms:created xsi:type="dcterms:W3CDTF">2023-10-14T09:39:00Z</dcterms:created>
  <dcterms:modified xsi:type="dcterms:W3CDTF">2023-10-14T09:39:00Z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