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4059" w14:textId="77777777" w:rsidR="00EF5D6B" w:rsidRPr="00761DA0" w:rsidRDefault="00EF5D6B" w:rsidP="00D00168">
      <w:pPr>
        <w:pStyle w:val="Sinespaciado"/>
        <w:jc w:val="center"/>
        <w:rPr>
          <w:rFonts w:ascii="Arial" w:hAnsi="Arial" w:cs="Arial"/>
          <w:b/>
        </w:rPr>
      </w:pPr>
      <w:r w:rsidRPr="00761DA0">
        <w:rPr>
          <w:rFonts w:ascii="Arial" w:hAnsi="Arial" w:cs="Arial"/>
          <w:b/>
        </w:rPr>
        <w:t xml:space="preserve">INFORME DE </w:t>
      </w:r>
      <w:r w:rsidR="00D70F1B">
        <w:rPr>
          <w:rFonts w:ascii="Arial" w:hAnsi="Arial" w:cs="Arial"/>
          <w:b/>
        </w:rPr>
        <w:t>SEGUIMIENTO</w:t>
      </w:r>
    </w:p>
    <w:p w14:paraId="0A504936" w14:textId="77777777" w:rsidR="00EF5D6B" w:rsidRPr="00761DA0" w:rsidRDefault="00EF5D6B" w:rsidP="00D00168">
      <w:pPr>
        <w:jc w:val="both"/>
        <w:rPr>
          <w:rFonts w:ascii="Arial" w:eastAsiaTheme="minorHAnsi" w:hAnsi="Arial" w:cs="Arial"/>
          <w:b/>
          <w:sz w:val="22"/>
          <w:szCs w:val="22"/>
          <w:lang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EF5D6B" w:rsidRPr="00761DA0" w14:paraId="32A2E306" w14:textId="77777777" w:rsidTr="00EF5D6B">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45155CE8" w14:textId="77777777" w:rsidR="00EF5D6B" w:rsidRPr="00761DA0" w:rsidRDefault="00EF5D6B" w:rsidP="00D00168">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5F9A0446" w14:textId="77777777" w:rsidR="00EF5D6B" w:rsidRPr="00761DA0" w:rsidRDefault="00E11EA4" w:rsidP="00D00168">
            <w:pPr>
              <w:pStyle w:val="NormalWeb"/>
              <w:spacing w:before="0" w:beforeAutospacing="0" w:after="0"/>
              <w:jc w:val="both"/>
              <w:rPr>
                <w:rFonts w:ascii="Arial" w:hAnsi="Arial" w:cs="Arial"/>
                <w:b/>
                <w:bCs/>
                <w:sz w:val="22"/>
                <w:szCs w:val="22"/>
                <w:lang w:val="es-CO"/>
              </w:rPr>
            </w:pPr>
            <w:bookmarkStart w:id="0" w:name="numexpcompartido"/>
            <w:bookmarkEnd w:id="0"/>
            <w:r>
              <w:rPr>
                <w:rFonts w:ascii="Arial" w:hAnsi="Arial" w:cs="Arial"/>
                <w:b/>
                <w:bCs/>
                <w:sz w:val="22"/>
                <w:szCs w:val="22"/>
                <w:lang w:val="es-CO"/>
              </w:rPr>
              <w:t>11/2018/D028-PREDI</w:t>
            </w:r>
          </w:p>
        </w:tc>
      </w:tr>
      <w:tr w:rsidR="00EF5D6B" w:rsidRPr="00761DA0" w14:paraId="5D876C39"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2DEC1EBE" w14:textId="77777777" w:rsidR="00EF5D6B" w:rsidRPr="00761DA0" w:rsidRDefault="00EF5D6B" w:rsidP="00D00168">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6643664" w14:textId="77777777" w:rsidR="00EF5D6B" w:rsidRPr="00761DA0" w:rsidRDefault="00E11EA4" w:rsidP="00D00168">
            <w:pPr>
              <w:pStyle w:val="NormalWeb"/>
              <w:spacing w:before="0" w:beforeAutospacing="0" w:after="0"/>
              <w:jc w:val="both"/>
              <w:rPr>
                <w:rFonts w:ascii="Arial" w:hAnsi="Arial" w:cs="Arial"/>
                <w:b/>
                <w:bCs/>
                <w:sz w:val="22"/>
                <w:szCs w:val="22"/>
                <w:lang w:val="es-CO"/>
              </w:rPr>
            </w:pPr>
            <w:bookmarkStart w:id="1" w:name="cmbsector"/>
            <w:bookmarkEnd w:id="1"/>
            <w:r>
              <w:rPr>
                <w:rFonts w:ascii="Arial" w:hAnsi="Arial" w:cs="Arial"/>
                <w:b/>
                <w:bCs/>
                <w:sz w:val="22"/>
                <w:szCs w:val="22"/>
                <w:lang w:val="es-CO"/>
              </w:rPr>
              <w:t xml:space="preserve">Educación </w:t>
            </w:r>
          </w:p>
        </w:tc>
      </w:tr>
      <w:tr w:rsidR="00EF5D6B" w:rsidRPr="00761DA0" w14:paraId="626BE2F2"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2F4FB501" w14:textId="77777777" w:rsidR="00EF5D6B" w:rsidRPr="00761DA0" w:rsidRDefault="00EF5D6B" w:rsidP="00D00168">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FDFA93A" w14:textId="77777777" w:rsidR="00EF5D6B" w:rsidRPr="00761DA0" w:rsidRDefault="00E11EA4" w:rsidP="00D00168">
            <w:pPr>
              <w:jc w:val="both"/>
              <w:rPr>
                <w:rFonts w:ascii="Arial" w:hAnsi="Arial" w:cs="Arial"/>
                <w:b/>
                <w:sz w:val="22"/>
                <w:szCs w:val="22"/>
              </w:rPr>
            </w:pPr>
            <w:bookmarkStart w:id="2" w:name="cmbtipoentidad"/>
            <w:bookmarkEnd w:id="2"/>
            <w:r>
              <w:rPr>
                <w:rFonts w:ascii="Arial" w:hAnsi="Arial" w:cs="Arial"/>
                <w:b/>
                <w:sz w:val="22"/>
                <w:szCs w:val="22"/>
              </w:rPr>
              <w:t>Departamento</w:t>
            </w:r>
          </w:p>
        </w:tc>
      </w:tr>
      <w:tr w:rsidR="00EF5D6B" w:rsidRPr="00761DA0" w14:paraId="042FC014" w14:textId="77777777" w:rsidTr="00EF5D6B">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5FEE45B0" w14:textId="77777777" w:rsidR="00EF5D6B" w:rsidRPr="00761DA0" w:rsidRDefault="00EF5D6B" w:rsidP="00D00168">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52F460BB" w14:textId="77777777" w:rsidR="00EF5D6B" w:rsidRPr="00761DA0" w:rsidRDefault="00E11EA4" w:rsidP="00D00168">
            <w:pPr>
              <w:tabs>
                <w:tab w:val="left" w:pos="1305"/>
              </w:tabs>
              <w:jc w:val="both"/>
              <w:rPr>
                <w:rFonts w:ascii="Arial" w:hAnsi="Arial" w:cs="Arial"/>
                <w:b/>
                <w:sz w:val="22"/>
                <w:szCs w:val="22"/>
              </w:rPr>
            </w:pPr>
            <w:bookmarkStart w:id="3" w:name="cmbresguardo"/>
            <w:bookmarkStart w:id="4" w:name="deptoymuni"/>
            <w:bookmarkEnd w:id="3"/>
            <w:bookmarkEnd w:id="4"/>
            <w:r>
              <w:rPr>
                <w:rFonts w:ascii="Arial" w:hAnsi="Arial" w:cs="Arial"/>
                <w:b/>
                <w:sz w:val="22"/>
                <w:szCs w:val="22"/>
              </w:rPr>
              <w:t>Vaupés</w:t>
            </w:r>
          </w:p>
        </w:tc>
      </w:tr>
    </w:tbl>
    <w:p w14:paraId="36E86016" w14:textId="77777777" w:rsidR="00EF5D6B" w:rsidRDefault="00EF5D6B" w:rsidP="00D00168">
      <w:pPr>
        <w:jc w:val="both"/>
        <w:rPr>
          <w:rFonts w:ascii="Arial" w:hAnsi="Arial" w:cs="Arial"/>
          <w:sz w:val="22"/>
          <w:szCs w:val="22"/>
        </w:rPr>
      </w:pPr>
    </w:p>
    <w:p w14:paraId="0BBAF4E7" w14:textId="77777777" w:rsidR="00D70F1B" w:rsidRDefault="00D70F1B" w:rsidP="00D00168">
      <w:pPr>
        <w:jc w:val="both"/>
        <w:rPr>
          <w:rFonts w:ascii="Arial" w:hAnsi="Arial" w:cs="Arial"/>
          <w:sz w:val="22"/>
          <w:szCs w:val="22"/>
        </w:rPr>
      </w:pPr>
      <w:r>
        <w:rPr>
          <w:rFonts w:ascii="Arial" w:hAnsi="Arial" w:cs="Arial"/>
          <w:sz w:val="22"/>
          <w:szCs w:val="22"/>
        </w:rPr>
        <w:t xml:space="preserve">Período de Evaluación: De </w:t>
      </w:r>
      <w:r w:rsidR="0057006E">
        <w:rPr>
          <w:rFonts w:ascii="Arial" w:hAnsi="Arial" w:cs="Arial"/>
          <w:sz w:val="22"/>
          <w:szCs w:val="22"/>
        </w:rPr>
        <w:t>8 de septiembre de 2021 a 30 de septiembre de 2022.</w:t>
      </w:r>
    </w:p>
    <w:p w14:paraId="1E51EB48" w14:textId="77777777" w:rsidR="00AA2C59" w:rsidRPr="00761DA0" w:rsidRDefault="00AA2C59" w:rsidP="00D00168">
      <w:pPr>
        <w:jc w:val="both"/>
        <w:rPr>
          <w:rFonts w:ascii="Arial" w:hAnsi="Arial" w:cs="Arial"/>
          <w:sz w:val="22"/>
          <w:szCs w:val="22"/>
        </w:rPr>
      </w:pPr>
    </w:p>
    <w:p w14:paraId="47BBE6D2" w14:textId="77777777" w:rsidR="00EF5D6B" w:rsidRPr="00761DA0" w:rsidRDefault="00EF5D6B" w:rsidP="00D00168">
      <w:pPr>
        <w:pStyle w:val="Ttulo1"/>
        <w:numPr>
          <w:ilvl w:val="0"/>
          <w:numId w:val="1"/>
        </w:numPr>
        <w:spacing w:before="0"/>
        <w:ind w:left="426" w:hanging="284"/>
        <w:jc w:val="both"/>
        <w:rPr>
          <w:rFonts w:ascii="Arial" w:hAnsi="Arial" w:cs="Arial"/>
          <w:b/>
          <w:color w:val="auto"/>
          <w:sz w:val="22"/>
          <w:szCs w:val="22"/>
          <w:lang w:val="es-CO"/>
        </w:rPr>
      </w:pPr>
      <w:r w:rsidRPr="00761DA0">
        <w:rPr>
          <w:rFonts w:ascii="Arial" w:hAnsi="Arial" w:cs="Arial"/>
          <w:b/>
          <w:color w:val="auto"/>
          <w:sz w:val="22"/>
          <w:szCs w:val="22"/>
          <w:lang w:val="es-CO"/>
        </w:rPr>
        <w:t xml:space="preserve">ANTECEDENTES </w:t>
      </w:r>
    </w:p>
    <w:p w14:paraId="0E92F2F0" w14:textId="77777777" w:rsidR="00EF5D6B" w:rsidRPr="00761DA0" w:rsidRDefault="00EF5D6B" w:rsidP="00D00168">
      <w:pPr>
        <w:jc w:val="both"/>
        <w:rPr>
          <w:rFonts w:ascii="Arial" w:hAnsi="Arial" w:cs="Arial"/>
          <w:sz w:val="22"/>
          <w:szCs w:val="22"/>
        </w:rPr>
      </w:pPr>
    </w:p>
    <w:p w14:paraId="367EA333" w14:textId="77777777" w:rsidR="0057006E" w:rsidRPr="00F83ACC" w:rsidRDefault="0057006E" w:rsidP="00D00168">
      <w:pPr>
        <w:ind w:right="70"/>
        <w:jc w:val="both"/>
        <w:rPr>
          <w:rFonts w:ascii="Arial" w:eastAsia="Arial" w:hAnsi="Arial" w:cs="Arial"/>
          <w:color w:val="000000" w:themeColor="text1"/>
          <w:sz w:val="22"/>
          <w:szCs w:val="22"/>
        </w:rPr>
      </w:pPr>
      <w:r w:rsidRPr="00F83ACC">
        <w:rPr>
          <w:rFonts w:ascii="Arial" w:hAnsi="Arial" w:cs="Arial"/>
          <w:color w:val="000000" w:themeColor="text1"/>
          <w:spacing w:val="2"/>
          <w:sz w:val="22"/>
          <w:szCs w:val="22"/>
        </w:rPr>
        <w:t xml:space="preserve">El </w:t>
      </w:r>
      <w:r w:rsidRPr="00F83ACC">
        <w:rPr>
          <w:rFonts w:ascii="Arial" w:eastAsia="Arial" w:hAnsi="Arial" w:cs="Arial"/>
          <w:color w:val="000000" w:themeColor="text1"/>
          <w:spacing w:val="1"/>
          <w:sz w:val="22"/>
          <w:szCs w:val="22"/>
        </w:rPr>
        <w:t>D</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par</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V</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p</w:t>
      </w:r>
      <w:r w:rsidRPr="00F83ACC">
        <w:rPr>
          <w:rFonts w:ascii="Arial" w:eastAsia="Arial" w:hAnsi="Arial" w:cs="Arial"/>
          <w:color w:val="000000" w:themeColor="text1"/>
          <w:sz w:val="22"/>
          <w:szCs w:val="22"/>
        </w:rPr>
        <w:t xml:space="preserve">és </w:t>
      </w:r>
      <w:r w:rsidRPr="00F83ACC">
        <w:rPr>
          <w:rFonts w:ascii="Arial" w:eastAsia="Arial" w:hAnsi="Arial" w:cs="Arial"/>
          <w:color w:val="000000" w:themeColor="text1"/>
          <w:spacing w:val="-1"/>
          <w:sz w:val="22"/>
          <w:szCs w:val="22"/>
        </w:rPr>
        <w:t>f</w:t>
      </w:r>
      <w:r w:rsidRPr="00F83ACC">
        <w:rPr>
          <w:rFonts w:ascii="Arial" w:eastAsia="Arial" w:hAnsi="Arial" w:cs="Arial"/>
          <w:color w:val="000000" w:themeColor="text1"/>
          <w:sz w:val="22"/>
          <w:szCs w:val="22"/>
        </w:rPr>
        <w:t>ue p</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ori</w:t>
      </w:r>
      <w:r w:rsidRPr="00F83ACC">
        <w:rPr>
          <w:rFonts w:ascii="Arial" w:eastAsia="Arial" w:hAnsi="Arial" w:cs="Arial"/>
          <w:color w:val="000000" w:themeColor="text1"/>
          <w:spacing w:val="-2"/>
          <w:sz w:val="22"/>
          <w:szCs w:val="22"/>
        </w:rPr>
        <w:t>z</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o por</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D</w:t>
      </w:r>
      <w:r w:rsidRPr="00F83ACC">
        <w:rPr>
          <w:rFonts w:ascii="Arial" w:eastAsia="Arial" w:hAnsi="Arial" w:cs="Arial"/>
          <w:color w:val="000000" w:themeColor="text1"/>
          <w:spacing w:val="-1"/>
          <w:sz w:val="22"/>
          <w:szCs w:val="22"/>
        </w:rPr>
        <w:t>ir</w:t>
      </w:r>
      <w:r w:rsidRPr="00F83ACC">
        <w:rPr>
          <w:rFonts w:ascii="Arial" w:eastAsia="Arial" w:hAnsi="Arial" w:cs="Arial"/>
          <w:color w:val="000000" w:themeColor="text1"/>
          <w:sz w:val="22"/>
          <w:szCs w:val="22"/>
        </w:rPr>
        <w:t>ecc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 xml:space="preserve">ón </w:t>
      </w:r>
      <w:r w:rsidRPr="00F83ACC">
        <w:rPr>
          <w:rFonts w:ascii="Arial" w:eastAsia="Arial" w:hAnsi="Arial" w:cs="Arial"/>
          <w:color w:val="000000" w:themeColor="text1"/>
          <w:spacing w:val="-1"/>
          <w:sz w:val="22"/>
          <w:szCs w:val="22"/>
        </w:rPr>
        <w:t>G</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er</w:t>
      </w:r>
      <w:r w:rsidRPr="00F83ACC">
        <w:rPr>
          <w:rFonts w:ascii="Arial" w:eastAsia="Arial" w:hAnsi="Arial" w:cs="Arial"/>
          <w:color w:val="000000" w:themeColor="text1"/>
          <w:spacing w:val="-3"/>
          <w:sz w:val="22"/>
          <w:szCs w:val="22"/>
        </w:rPr>
        <w:t>a</w:t>
      </w:r>
      <w:r w:rsidRPr="00F83ACC">
        <w:rPr>
          <w:rFonts w:ascii="Arial" w:eastAsia="Arial" w:hAnsi="Arial" w:cs="Arial"/>
          <w:color w:val="000000" w:themeColor="text1"/>
          <w:sz w:val="22"/>
          <w:szCs w:val="22"/>
        </w:rPr>
        <w:t>l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Apo</w:t>
      </w:r>
      <w:r w:rsidRPr="00F83ACC">
        <w:rPr>
          <w:rFonts w:ascii="Arial" w:eastAsia="Arial" w:hAnsi="Arial" w:cs="Arial"/>
          <w:color w:val="000000" w:themeColor="text1"/>
          <w:spacing w:val="-2"/>
          <w:sz w:val="22"/>
          <w:szCs w:val="22"/>
        </w:rPr>
        <w:t>y</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F</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s</w:t>
      </w:r>
      <w:r w:rsidRPr="00F83ACC">
        <w:rPr>
          <w:rFonts w:ascii="Arial" w:eastAsia="Arial" w:hAnsi="Arial" w:cs="Arial"/>
          <w:color w:val="000000" w:themeColor="text1"/>
          <w:sz w:val="22"/>
          <w:szCs w:val="22"/>
        </w:rPr>
        <w:t>cal</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para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ap</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ar</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s ac</w:t>
      </w:r>
      <w:r w:rsidRPr="00F83ACC">
        <w:rPr>
          <w:rFonts w:ascii="Arial" w:eastAsia="Arial" w:hAnsi="Arial" w:cs="Arial"/>
          <w:color w:val="000000" w:themeColor="text1"/>
          <w:spacing w:val="-3"/>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es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gu</w:t>
      </w:r>
      <w:r w:rsidRPr="00F83ACC">
        <w:rPr>
          <w:rFonts w:ascii="Arial" w:eastAsia="Arial" w:hAnsi="Arial" w:cs="Arial"/>
          <w:color w:val="000000" w:themeColor="text1"/>
          <w:spacing w:val="-1"/>
          <w:sz w:val="22"/>
          <w:szCs w:val="22"/>
        </w:rPr>
        <w:t>im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y</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con</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ol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soc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ad</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g</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oreo,</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2"/>
          <w:sz w:val="22"/>
          <w:szCs w:val="22"/>
        </w:rPr>
        <w:t>s</w:t>
      </w:r>
      <w:r w:rsidRPr="00F83ACC">
        <w:rPr>
          <w:rFonts w:ascii="Arial" w:eastAsia="Arial" w:hAnsi="Arial" w:cs="Arial"/>
          <w:color w:val="000000" w:themeColor="text1"/>
          <w:sz w:val="22"/>
          <w:szCs w:val="22"/>
        </w:rPr>
        <w:t>eg</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y</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con</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ol</w:t>
      </w:r>
      <w:r w:rsidRPr="00F83ACC">
        <w:rPr>
          <w:rFonts w:ascii="Arial" w:eastAsia="Arial" w:hAnsi="Arial" w:cs="Arial"/>
          <w:color w:val="000000" w:themeColor="text1"/>
          <w:spacing w:val="-2"/>
          <w:sz w:val="22"/>
          <w:szCs w:val="22"/>
        </w:rPr>
        <w:t xml:space="preserve"> a</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uso</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3"/>
          <w:sz w:val="22"/>
          <w:szCs w:val="22"/>
        </w:rPr>
        <w:t xml:space="preserve"> 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ursos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el 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G</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er</w:t>
      </w:r>
      <w:r w:rsidRPr="00F83ACC">
        <w:rPr>
          <w:rFonts w:ascii="Arial" w:eastAsia="Arial" w:hAnsi="Arial" w:cs="Arial"/>
          <w:color w:val="000000" w:themeColor="text1"/>
          <w:spacing w:val="-3"/>
          <w:sz w:val="22"/>
          <w:szCs w:val="22"/>
        </w:rPr>
        <w:t>a</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 Par</w:t>
      </w:r>
      <w:r w:rsidRPr="00F83ACC">
        <w:rPr>
          <w:rFonts w:ascii="Arial" w:eastAsia="Arial" w:hAnsi="Arial" w:cs="Arial"/>
          <w:color w:val="000000" w:themeColor="text1"/>
          <w:spacing w:val="-2"/>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3"/>
          <w:sz w:val="22"/>
          <w:szCs w:val="22"/>
        </w:rPr>
        <w:t>o</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as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D</w:t>
      </w:r>
      <w:r w:rsidRPr="00F83ACC">
        <w:rPr>
          <w:rFonts w:ascii="Arial" w:eastAsia="Arial" w:hAnsi="Arial" w:cs="Arial"/>
          <w:color w:val="000000" w:themeColor="text1"/>
          <w:sz w:val="22"/>
          <w:szCs w:val="22"/>
        </w:rPr>
        <w:t>ec</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028</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2</w:t>
      </w:r>
      <w:r w:rsidRPr="00F83ACC">
        <w:rPr>
          <w:rFonts w:ascii="Arial" w:eastAsia="Arial" w:hAnsi="Arial" w:cs="Arial"/>
          <w:color w:val="000000" w:themeColor="text1"/>
          <w:sz w:val="22"/>
          <w:szCs w:val="22"/>
        </w:rPr>
        <w:t>008</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y sus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g</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ar</w:t>
      </w:r>
      <w:r w:rsidRPr="00F83ACC">
        <w:rPr>
          <w:rFonts w:ascii="Arial" w:eastAsia="Arial" w:hAnsi="Arial" w:cs="Arial"/>
          <w:color w:val="000000" w:themeColor="text1"/>
          <w:spacing w:val="-2"/>
          <w:sz w:val="22"/>
          <w:szCs w:val="22"/>
        </w:rPr>
        <w:t>i</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s</w:t>
      </w:r>
      <w:r w:rsidRPr="00F83ACC">
        <w:rPr>
          <w:rFonts w:ascii="Arial" w:eastAsia="Arial" w:hAnsi="Arial" w:cs="Arial"/>
          <w:color w:val="000000" w:themeColor="text1"/>
          <w:sz w:val="22"/>
          <w:szCs w:val="22"/>
        </w:rPr>
        <w:t>,</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 xml:space="preserve">por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cu</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2"/>
          <w:sz w:val="22"/>
          <w:szCs w:val="22"/>
        </w:rPr>
        <w:t xml:space="preserve">se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ea</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z</w:t>
      </w:r>
      <w:r w:rsidRPr="00F83ACC">
        <w:rPr>
          <w:rFonts w:ascii="Arial" w:eastAsia="Arial" w:hAnsi="Arial" w:cs="Arial"/>
          <w:color w:val="000000" w:themeColor="text1"/>
          <w:sz w:val="22"/>
          <w:szCs w:val="22"/>
        </w:rPr>
        <w:t>ó una</w:t>
      </w:r>
      <w:r w:rsidRPr="00F83ACC">
        <w:rPr>
          <w:rFonts w:ascii="Arial" w:hAnsi="Arial" w:cs="Arial"/>
          <w:color w:val="000000" w:themeColor="text1"/>
          <w:spacing w:val="2"/>
          <w:sz w:val="22"/>
          <w:szCs w:val="22"/>
        </w:rPr>
        <w:t xml:space="preserve"> </w:t>
      </w:r>
      <w:r w:rsidRPr="00F83ACC">
        <w:rPr>
          <w:rFonts w:ascii="Arial" w:eastAsia="Arial" w:hAnsi="Arial" w:cs="Arial"/>
          <w:color w:val="000000" w:themeColor="text1"/>
          <w:spacing w:val="-3"/>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 xml:space="preserve">a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 xml:space="preserve">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eco</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oc</w:t>
      </w:r>
      <w:r w:rsidRPr="00F83ACC">
        <w:rPr>
          <w:rFonts w:ascii="Arial" w:eastAsia="Arial" w:hAnsi="Arial" w:cs="Arial"/>
          <w:color w:val="000000" w:themeColor="text1"/>
          <w:spacing w:val="-1"/>
          <w:sz w:val="22"/>
          <w:szCs w:val="22"/>
        </w:rPr>
        <w:t>im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ns</w:t>
      </w:r>
      <w:r w:rsidRPr="00F83ACC">
        <w:rPr>
          <w:rFonts w:ascii="Arial" w:eastAsia="Arial" w:hAnsi="Arial" w:cs="Arial"/>
          <w:color w:val="000000" w:themeColor="text1"/>
          <w:spacing w:val="-3"/>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uc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on</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l en diciembre de 2013.</w:t>
      </w:r>
    </w:p>
    <w:p w14:paraId="3347B657" w14:textId="77777777" w:rsidR="0057006E" w:rsidRPr="00F83ACC" w:rsidRDefault="0057006E" w:rsidP="00D00168">
      <w:pPr>
        <w:ind w:right="70"/>
        <w:jc w:val="both"/>
        <w:rPr>
          <w:rFonts w:ascii="Arial" w:eastAsia="Arial" w:hAnsi="Arial" w:cs="Arial"/>
          <w:color w:val="000000" w:themeColor="text1"/>
          <w:sz w:val="22"/>
          <w:szCs w:val="22"/>
        </w:rPr>
      </w:pPr>
    </w:p>
    <w:p w14:paraId="612B0723" w14:textId="77777777" w:rsidR="0057006E" w:rsidRPr="00F83ACC" w:rsidRDefault="0057006E" w:rsidP="00D00168">
      <w:pPr>
        <w:ind w:right="70"/>
        <w:jc w:val="both"/>
        <w:rPr>
          <w:rFonts w:ascii="Arial" w:eastAsia="Arial" w:hAnsi="Arial" w:cs="Arial"/>
          <w:color w:val="000000" w:themeColor="text1"/>
          <w:sz w:val="22"/>
          <w:szCs w:val="22"/>
        </w:rPr>
      </w:pPr>
      <w:r w:rsidRPr="00F83ACC">
        <w:rPr>
          <w:rFonts w:ascii="Arial" w:eastAsia="Arial" w:hAnsi="Arial" w:cs="Arial"/>
          <w:color w:val="000000" w:themeColor="text1"/>
          <w:spacing w:val="1"/>
          <w:sz w:val="22"/>
          <w:szCs w:val="22"/>
        </w:rPr>
        <w:t>C</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ado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 xml:space="preserve">de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z w:val="22"/>
          <w:szCs w:val="22"/>
        </w:rPr>
        <w:t>ac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pacing w:val="1"/>
          <w:sz w:val="22"/>
          <w:szCs w:val="22"/>
        </w:rPr>
        <w:t>li</w:t>
      </w:r>
      <w:r w:rsidRPr="00F83ACC">
        <w:rPr>
          <w:rFonts w:ascii="Arial" w:eastAsia="Arial" w:hAnsi="Arial" w:cs="Arial"/>
          <w:color w:val="000000" w:themeColor="text1"/>
          <w:spacing w:val="-2"/>
          <w:sz w:val="22"/>
          <w:szCs w:val="22"/>
        </w:rPr>
        <w:t>z</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z w:val="22"/>
          <w:szCs w:val="22"/>
        </w:rPr>
        <w:t>ecc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G</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eral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p</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y</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F</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al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ó</w:t>
      </w:r>
      <w:r w:rsidRPr="00F83ACC">
        <w:rPr>
          <w:rFonts w:ascii="Arial" w:eastAsia="Arial" w:hAnsi="Arial" w:cs="Arial"/>
          <w:color w:val="000000" w:themeColor="text1"/>
          <w:spacing w:val="7"/>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 adop</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ar</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w:t>
      </w:r>
      <w:r w:rsidRPr="00F83ACC">
        <w:rPr>
          <w:rFonts w:ascii="Arial" w:eastAsia="Arial" w:hAnsi="Arial" w:cs="Arial"/>
          <w:color w:val="000000" w:themeColor="text1"/>
          <w:spacing w:val="3"/>
          <w:sz w:val="22"/>
          <w:szCs w:val="22"/>
        </w:rPr>
        <w:t xml:space="preserve"> </w:t>
      </w:r>
      <w:r>
        <w:rPr>
          <w:rFonts w:ascii="Arial" w:eastAsia="Arial" w:hAnsi="Arial" w:cs="Arial"/>
          <w:color w:val="000000" w:themeColor="text1"/>
          <w:spacing w:val="3"/>
          <w:sz w:val="22"/>
          <w:szCs w:val="22"/>
        </w:rPr>
        <w:t xml:space="preserve">preventiva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des</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2"/>
          <w:sz w:val="22"/>
          <w:szCs w:val="22"/>
        </w:rPr>
        <w:t>eñ</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deb</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que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ex</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tí</w:t>
      </w:r>
      <w:r w:rsidRPr="00F83ACC">
        <w:rPr>
          <w:rFonts w:ascii="Arial" w:eastAsia="Arial" w:hAnsi="Arial" w:cs="Arial"/>
          <w:color w:val="000000" w:themeColor="text1"/>
          <w:sz w:val="22"/>
          <w:szCs w:val="22"/>
        </w:rPr>
        <w:t>an</w:t>
      </w:r>
      <w:r w:rsidRPr="00F83ACC">
        <w:rPr>
          <w:rFonts w:ascii="Arial" w:eastAsia="Arial" w:hAnsi="Arial" w:cs="Arial"/>
          <w:color w:val="000000" w:themeColor="text1"/>
          <w:spacing w:val="7"/>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ua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z w:val="22"/>
          <w:szCs w:val="22"/>
        </w:rPr>
        <w:t>nes</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z w:val="22"/>
          <w:szCs w:val="22"/>
        </w:rPr>
        <w:t>q</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podr</w:t>
      </w:r>
      <w:r w:rsidRPr="00F83ACC">
        <w:rPr>
          <w:rFonts w:ascii="Arial" w:eastAsia="Arial" w:hAnsi="Arial" w:cs="Arial"/>
          <w:color w:val="000000" w:themeColor="text1"/>
          <w:spacing w:val="-1"/>
          <w:sz w:val="22"/>
          <w:szCs w:val="22"/>
        </w:rPr>
        <w:t>í</w:t>
      </w:r>
      <w:r w:rsidRPr="00F83ACC">
        <w:rPr>
          <w:rFonts w:ascii="Arial" w:eastAsia="Arial" w:hAnsi="Arial" w:cs="Arial"/>
          <w:color w:val="000000" w:themeColor="text1"/>
          <w:sz w:val="22"/>
          <w:szCs w:val="22"/>
        </w:rPr>
        <w:t>an poner</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 xml:space="preserve">en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g</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 pres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ser</w:t>
      </w:r>
      <w:r w:rsidRPr="00F83ACC">
        <w:rPr>
          <w:rFonts w:ascii="Arial" w:eastAsia="Arial" w:hAnsi="Arial" w:cs="Arial"/>
          <w:color w:val="000000" w:themeColor="text1"/>
          <w:spacing w:val="-3"/>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2"/>
          <w:sz w:val="22"/>
          <w:szCs w:val="22"/>
        </w:rPr>
        <w:t>co</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6"/>
          <w:sz w:val="22"/>
          <w:szCs w:val="22"/>
        </w:rPr>
        <w:t>l</w:t>
      </w:r>
      <w:r w:rsidRPr="00F83ACC">
        <w:rPr>
          <w:rFonts w:ascii="Arial" w:eastAsia="Arial" w:hAnsi="Arial" w:cs="Arial"/>
          <w:color w:val="000000" w:themeColor="text1"/>
          <w:spacing w:val="-1"/>
          <w:sz w:val="22"/>
          <w:szCs w:val="22"/>
        </w:rPr>
        <w:t>im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 xml:space="preserve">en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z w:val="22"/>
          <w:szCs w:val="22"/>
        </w:rPr>
        <w:t>por</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ad</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y ca</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dad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p</w:t>
      </w:r>
      <w:r w:rsidRPr="00F83ACC">
        <w:rPr>
          <w:rFonts w:ascii="Arial" w:eastAsia="Arial" w:hAnsi="Arial" w:cs="Arial"/>
          <w:color w:val="000000" w:themeColor="text1"/>
          <w:sz w:val="22"/>
          <w:szCs w:val="22"/>
        </w:rPr>
        <w:t>or</w:t>
      </w:r>
      <w:r w:rsidRPr="00F83ACC">
        <w:rPr>
          <w:rFonts w:ascii="Arial" w:eastAsia="Arial" w:hAnsi="Arial" w:cs="Arial"/>
          <w:color w:val="000000" w:themeColor="text1"/>
          <w:spacing w:val="-2"/>
          <w:sz w:val="22"/>
          <w:szCs w:val="22"/>
        </w:rPr>
        <w:t>t</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 xml:space="preserve">e </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pacing w:val="1"/>
          <w:sz w:val="22"/>
          <w:szCs w:val="22"/>
        </w:rPr>
        <w:t>f</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2"/>
          <w:sz w:val="22"/>
          <w:szCs w:val="22"/>
        </w:rPr>
        <w:t>F</w:t>
      </w:r>
      <w:r w:rsidRPr="00F83ACC">
        <w:rPr>
          <w:rFonts w:ascii="Arial" w:eastAsia="Arial" w:hAnsi="Arial" w:cs="Arial"/>
          <w:color w:val="000000" w:themeColor="text1"/>
          <w:spacing w:val="1"/>
          <w:sz w:val="22"/>
          <w:szCs w:val="22"/>
        </w:rPr>
        <w:t>U</w:t>
      </w:r>
      <w:r w:rsidRPr="00F83ACC">
        <w:rPr>
          <w:rFonts w:ascii="Arial" w:eastAsia="Arial" w:hAnsi="Arial" w:cs="Arial"/>
          <w:color w:val="000000" w:themeColor="text1"/>
          <w:sz w:val="22"/>
          <w:szCs w:val="22"/>
        </w:rPr>
        <w:t>T</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y al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IM</w:t>
      </w:r>
      <w:r w:rsidRPr="00F83ACC">
        <w:rPr>
          <w:rFonts w:ascii="Arial" w:eastAsia="Arial" w:hAnsi="Arial" w:cs="Arial"/>
          <w:color w:val="000000" w:themeColor="text1"/>
          <w:sz w:val="22"/>
          <w:szCs w:val="22"/>
        </w:rPr>
        <w:t>AT,</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el</w:t>
      </w:r>
      <w:r w:rsidRPr="00F83ACC">
        <w:rPr>
          <w:rFonts w:ascii="Arial" w:eastAsia="Arial" w:hAnsi="Arial" w:cs="Arial"/>
          <w:color w:val="000000" w:themeColor="text1"/>
          <w:spacing w:val="1"/>
          <w:sz w:val="22"/>
          <w:szCs w:val="22"/>
        </w:rPr>
        <w:t xml:space="preserve"> fi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an</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 concep</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gas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 xml:space="preserve">on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ecursos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G</w:t>
      </w:r>
      <w:r w:rsidRPr="00F83ACC">
        <w:rPr>
          <w:rFonts w:ascii="Arial" w:eastAsia="Arial" w:hAnsi="Arial" w:cs="Arial"/>
          <w:color w:val="000000" w:themeColor="text1"/>
          <w:sz w:val="22"/>
          <w:szCs w:val="22"/>
        </w:rPr>
        <w:t>P Edu</w:t>
      </w:r>
      <w:r w:rsidRPr="00F83ACC">
        <w:rPr>
          <w:rFonts w:ascii="Arial" w:eastAsia="Arial" w:hAnsi="Arial" w:cs="Arial"/>
          <w:color w:val="000000" w:themeColor="text1"/>
          <w:spacing w:val="-2"/>
          <w:sz w:val="22"/>
          <w:szCs w:val="22"/>
        </w:rPr>
        <w:t>ca</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 xml:space="preserve">n </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ener</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cu</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na</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b</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no</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dad</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gente,</w:t>
      </w:r>
      <w:r w:rsidRPr="00F83ACC">
        <w:rPr>
          <w:rFonts w:ascii="Arial" w:eastAsia="Arial" w:hAnsi="Arial" w:cs="Arial"/>
          <w:color w:val="000000" w:themeColor="text1"/>
          <w:spacing w:val="-7"/>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5"/>
          <w:sz w:val="22"/>
          <w:szCs w:val="22"/>
        </w:rPr>
        <w:t xml:space="preserve"> </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z w:val="22"/>
          <w:szCs w:val="22"/>
        </w:rPr>
        <w:t>b</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5"/>
          <w:sz w:val="22"/>
          <w:szCs w:val="22"/>
        </w:rPr>
        <w:t>c</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l de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ad</w:t>
      </w:r>
      <w:r w:rsidRPr="00F83ACC">
        <w:rPr>
          <w:rFonts w:ascii="Arial" w:eastAsia="Arial" w:hAnsi="Arial" w:cs="Arial"/>
          <w:color w:val="000000" w:themeColor="text1"/>
          <w:spacing w:val="-2"/>
          <w:sz w:val="22"/>
          <w:szCs w:val="22"/>
        </w:rPr>
        <w:t>q</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y</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con</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é</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nos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pacing w:val="1"/>
          <w:sz w:val="22"/>
          <w:szCs w:val="22"/>
        </w:rPr>
        <w:t>li</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por</w:t>
      </w:r>
      <w:r w:rsidRPr="00F83ACC">
        <w:rPr>
          <w:rFonts w:ascii="Arial" w:eastAsia="Arial" w:hAnsi="Arial" w:cs="Arial"/>
          <w:color w:val="000000" w:themeColor="text1"/>
          <w:spacing w:val="1"/>
          <w:sz w:val="22"/>
          <w:szCs w:val="22"/>
        </w:rPr>
        <w:t xml:space="preserve"> l</w:t>
      </w:r>
      <w:r w:rsidRPr="00F83ACC">
        <w:rPr>
          <w:rFonts w:ascii="Arial" w:eastAsia="Arial" w:hAnsi="Arial" w:cs="Arial"/>
          <w:color w:val="000000" w:themeColor="text1"/>
          <w:sz w:val="22"/>
          <w:szCs w:val="22"/>
        </w:rPr>
        <w:t xml:space="preserve">a </w:t>
      </w:r>
      <w:r w:rsidRPr="00F83ACC">
        <w:rPr>
          <w:rFonts w:ascii="Arial" w:eastAsia="Arial" w:hAnsi="Arial" w:cs="Arial"/>
          <w:color w:val="000000" w:themeColor="text1"/>
          <w:spacing w:val="1"/>
          <w:sz w:val="22"/>
          <w:szCs w:val="22"/>
        </w:rPr>
        <w:t>N</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con</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oc</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por</w:t>
      </w:r>
      <w:r w:rsidRPr="00F83ACC">
        <w:rPr>
          <w:rFonts w:ascii="Arial" w:eastAsia="Arial" w:hAnsi="Arial" w:cs="Arial"/>
          <w:color w:val="000000" w:themeColor="text1"/>
          <w:spacing w:val="1"/>
          <w:sz w:val="22"/>
          <w:szCs w:val="22"/>
        </w:rPr>
        <w:t xml:space="preserve"> f</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z w:val="22"/>
          <w:szCs w:val="22"/>
        </w:rPr>
        <w:t>a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no</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gen</w:t>
      </w:r>
      <w:r w:rsidRPr="00F83ACC">
        <w:rPr>
          <w:rFonts w:ascii="Arial" w:eastAsia="Arial" w:hAnsi="Arial" w:cs="Arial"/>
          <w:color w:val="000000" w:themeColor="text1"/>
          <w:spacing w:val="-3"/>
          <w:sz w:val="22"/>
          <w:szCs w:val="22"/>
        </w:rPr>
        <w:t>t</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y</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f</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ad</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su</w:t>
      </w:r>
      <w:r w:rsidRPr="00F83ACC">
        <w:rPr>
          <w:rFonts w:ascii="Arial" w:eastAsia="Arial" w:hAnsi="Arial" w:cs="Arial"/>
          <w:color w:val="000000" w:themeColor="text1"/>
          <w:sz w:val="22"/>
          <w:szCs w:val="22"/>
        </w:rPr>
        <w:t>sc</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p</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y super</w:t>
      </w:r>
      <w:r w:rsidRPr="00F83ACC">
        <w:rPr>
          <w:rFonts w:ascii="Arial" w:eastAsia="Arial" w:hAnsi="Arial" w:cs="Arial"/>
          <w:color w:val="000000" w:themeColor="text1"/>
          <w:spacing w:val="-3"/>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os</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para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ga</w:t>
      </w:r>
      <w:r w:rsidRPr="00F83ACC">
        <w:rPr>
          <w:rFonts w:ascii="Arial" w:eastAsia="Arial" w:hAnsi="Arial" w:cs="Arial"/>
          <w:color w:val="000000" w:themeColor="text1"/>
          <w:spacing w:val="-3"/>
          <w:sz w:val="22"/>
          <w:szCs w:val="22"/>
        </w:rPr>
        <w:t>r</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z</w:t>
      </w:r>
      <w:r w:rsidRPr="00F83ACC">
        <w:rPr>
          <w:rFonts w:ascii="Arial" w:eastAsia="Arial" w:hAnsi="Arial" w:cs="Arial"/>
          <w:color w:val="000000" w:themeColor="text1"/>
          <w:sz w:val="22"/>
          <w:szCs w:val="22"/>
        </w:rPr>
        <w:t>ar</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 pres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el ser</w:t>
      </w:r>
      <w:r w:rsidRPr="00F83ACC">
        <w:rPr>
          <w:rFonts w:ascii="Arial" w:eastAsia="Arial" w:hAnsi="Arial" w:cs="Arial"/>
          <w:color w:val="000000" w:themeColor="text1"/>
          <w:spacing w:val="-3"/>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 xml:space="preserve">o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 edu</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ac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p>
    <w:p w14:paraId="4ABDBA42" w14:textId="77777777" w:rsidR="0057006E" w:rsidRPr="00F83ACC" w:rsidRDefault="0057006E" w:rsidP="00D00168">
      <w:pPr>
        <w:ind w:right="70"/>
        <w:jc w:val="both"/>
        <w:rPr>
          <w:rFonts w:ascii="Arial" w:eastAsia="Arial" w:hAnsi="Arial" w:cs="Arial"/>
          <w:color w:val="000000" w:themeColor="text1"/>
          <w:sz w:val="22"/>
          <w:szCs w:val="22"/>
        </w:rPr>
      </w:pPr>
    </w:p>
    <w:p w14:paraId="6B9F4912" w14:textId="77777777" w:rsidR="0057006E" w:rsidRPr="00F83ACC" w:rsidRDefault="0057006E" w:rsidP="00D00168">
      <w:pPr>
        <w:ind w:right="70"/>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En este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se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adop</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ó la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z w:val="22"/>
          <w:szCs w:val="22"/>
        </w:rPr>
        <w:t>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p</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a</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des</w:t>
      </w:r>
      <w:r w:rsidRPr="00F83ACC">
        <w:rPr>
          <w:rFonts w:ascii="Arial" w:eastAsia="Arial" w:hAnsi="Arial" w:cs="Arial"/>
          <w:color w:val="000000" w:themeColor="text1"/>
          <w:spacing w:val="-2"/>
          <w:sz w:val="22"/>
          <w:szCs w:val="22"/>
        </w:rPr>
        <w:t>e</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pe</w:t>
      </w:r>
      <w:r w:rsidRPr="00F83ACC">
        <w:rPr>
          <w:rFonts w:ascii="Arial" w:eastAsia="Arial" w:hAnsi="Arial" w:cs="Arial"/>
          <w:color w:val="000000" w:themeColor="text1"/>
          <w:spacing w:val="-2"/>
          <w:sz w:val="22"/>
          <w:szCs w:val="22"/>
        </w:rPr>
        <w:t>ñ</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tr</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z w:val="22"/>
          <w:szCs w:val="22"/>
        </w:rPr>
        <w:t>és</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N</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25</w:t>
      </w:r>
      <w:r w:rsidRPr="00F83ACC">
        <w:rPr>
          <w:rFonts w:ascii="Arial" w:eastAsia="Arial" w:hAnsi="Arial" w:cs="Arial"/>
          <w:color w:val="000000" w:themeColor="text1"/>
          <w:spacing w:val="-2"/>
          <w:sz w:val="22"/>
          <w:szCs w:val="22"/>
        </w:rPr>
        <w:t>9</w:t>
      </w:r>
      <w:r w:rsidRPr="00F83ACC">
        <w:rPr>
          <w:rFonts w:ascii="Arial" w:eastAsia="Arial" w:hAnsi="Arial" w:cs="Arial"/>
          <w:color w:val="000000" w:themeColor="text1"/>
          <w:sz w:val="22"/>
          <w:szCs w:val="22"/>
        </w:rPr>
        <w:t>0</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del</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2</w:t>
      </w:r>
      <w:r w:rsidRPr="00F83ACC">
        <w:rPr>
          <w:rFonts w:ascii="Arial" w:eastAsia="Arial" w:hAnsi="Arial" w:cs="Arial"/>
          <w:color w:val="000000" w:themeColor="text1"/>
          <w:sz w:val="22"/>
          <w:szCs w:val="22"/>
        </w:rPr>
        <w:t>4 de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j</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de 20</w:t>
      </w:r>
      <w:r w:rsidRPr="00F83ACC">
        <w:rPr>
          <w:rFonts w:ascii="Arial" w:eastAsia="Arial" w:hAnsi="Arial" w:cs="Arial"/>
          <w:color w:val="000000" w:themeColor="text1"/>
          <w:spacing w:val="-2"/>
          <w:sz w:val="22"/>
          <w:szCs w:val="22"/>
        </w:rPr>
        <w:t>1</w:t>
      </w:r>
      <w:r w:rsidRPr="00F83ACC">
        <w:rPr>
          <w:rFonts w:ascii="Arial" w:eastAsia="Arial" w:hAnsi="Arial" w:cs="Arial"/>
          <w:color w:val="000000" w:themeColor="text1"/>
          <w:sz w:val="22"/>
          <w:szCs w:val="22"/>
        </w:rPr>
        <w:t>4,</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por</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 xml:space="preserve">un </w:t>
      </w:r>
      <w:r w:rsidRPr="00F83ACC">
        <w:rPr>
          <w:rFonts w:ascii="Arial" w:eastAsia="Arial" w:hAnsi="Arial" w:cs="Arial"/>
          <w:color w:val="000000" w:themeColor="text1"/>
          <w:spacing w:val="-2"/>
          <w:sz w:val="22"/>
          <w:szCs w:val="22"/>
        </w:rPr>
        <w:t>p</w:t>
      </w:r>
      <w:r w:rsidRPr="00F83ACC">
        <w:rPr>
          <w:rFonts w:ascii="Arial" w:eastAsia="Arial" w:hAnsi="Arial" w:cs="Arial"/>
          <w:color w:val="000000" w:themeColor="text1"/>
          <w:sz w:val="22"/>
          <w:szCs w:val="22"/>
        </w:rPr>
        <w:t>er</w:t>
      </w:r>
      <w:r w:rsidRPr="00F83ACC">
        <w:rPr>
          <w:rFonts w:ascii="Arial" w:eastAsia="Arial" w:hAnsi="Arial" w:cs="Arial"/>
          <w:color w:val="000000" w:themeColor="text1"/>
          <w:spacing w:val="-2"/>
          <w:sz w:val="22"/>
          <w:szCs w:val="22"/>
        </w:rPr>
        <w:t>í</w:t>
      </w:r>
      <w:r w:rsidRPr="00F83ACC">
        <w:rPr>
          <w:rFonts w:ascii="Arial" w:eastAsia="Arial" w:hAnsi="Arial" w:cs="Arial"/>
          <w:color w:val="000000" w:themeColor="text1"/>
          <w:sz w:val="22"/>
          <w:szCs w:val="22"/>
        </w:rPr>
        <w:t>odo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de 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ec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oc</w:t>
      </w:r>
      <w:r w:rsidRPr="00F83ACC">
        <w:rPr>
          <w:rFonts w:ascii="Arial" w:eastAsia="Arial" w:hAnsi="Arial" w:cs="Arial"/>
          <w:color w:val="000000" w:themeColor="text1"/>
          <w:spacing w:val="-2"/>
          <w:sz w:val="22"/>
          <w:szCs w:val="22"/>
        </w:rPr>
        <w:t>h</w:t>
      </w:r>
      <w:r w:rsidRPr="00F83ACC">
        <w:rPr>
          <w:rFonts w:ascii="Arial" w:eastAsia="Arial" w:hAnsi="Arial" w:cs="Arial"/>
          <w:color w:val="000000" w:themeColor="text1"/>
          <w:sz w:val="22"/>
          <w:szCs w:val="22"/>
        </w:rPr>
        <w:t xml:space="preserve">o (18)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se</w:t>
      </w:r>
      <w:r w:rsidRPr="00F83ACC">
        <w:rPr>
          <w:rFonts w:ascii="Arial" w:eastAsia="Arial" w:hAnsi="Arial" w:cs="Arial"/>
          <w:color w:val="000000" w:themeColor="text1"/>
          <w:sz w:val="22"/>
          <w:szCs w:val="22"/>
        </w:rPr>
        <w:t>s,</w:t>
      </w:r>
      <w:r w:rsidRPr="00F83ACC">
        <w:rPr>
          <w:rFonts w:ascii="Arial" w:eastAsia="Arial" w:hAnsi="Arial" w:cs="Arial"/>
          <w:color w:val="000000" w:themeColor="text1"/>
          <w:spacing w:val="1"/>
          <w:sz w:val="22"/>
          <w:szCs w:val="22"/>
        </w:rPr>
        <w:t xml:space="preserve"> 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z w:val="22"/>
          <w:szCs w:val="22"/>
        </w:rPr>
        <w:t>al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pacing w:val="1"/>
          <w:sz w:val="22"/>
          <w:szCs w:val="22"/>
        </w:rPr>
        <w:t>f</w:t>
      </w:r>
      <w:r w:rsidRPr="00F83ACC">
        <w:rPr>
          <w:rFonts w:ascii="Arial" w:eastAsia="Arial" w:hAnsi="Arial" w:cs="Arial"/>
          <w:color w:val="000000" w:themeColor="text1"/>
          <w:sz w:val="22"/>
          <w:szCs w:val="22"/>
        </w:rPr>
        <w:t>ue apro</w:t>
      </w:r>
      <w:r w:rsidRPr="00F83ACC">
        <w:rPr>
          <w:rFonts w:ascii="Arial" w:eastAsia="Arial" w:hAnsi="Arial" w:cs="Arial"/>
          <w:color w:val="000000" w:themeColor="text1"/>
          <w:spacing w:val="-3"/>
          <w:sz w:val="22"/>
          <w:szCs w:val="22"/>
        </w:rPr>
        <w:t>b</w:t>
      </w:r>
      <w:r w:rsidRPr="00F83ACC">
        <w:rPr>
          <w:rFonts w:ascii="Arial" w:eastAsia="Arial" w:hAnsi="Arial" w:cs="Arial"/>
          <w:color w:val="000000" w:themeColor="text1"/>
          <w:sz w:val="22"/>
          <w:szCs w:val="22"/>
        </w:rPr>
        <w:t>ada</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ed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an</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2"/>
          <w:sz w:val="22"/>
          <w:szCs w:val="22"/>
        </w:rPr>
        <w:t>o</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u</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1"/>
          <w:sz w:val="22"/>
          <w:szCs w:val="22"/>
        </w:rPr>
        <w:t>N</w:t>
      </w:r>
      <w:r w:rsidRPr="00F83ACC">
        <w:rPr>
          <w:rFonts w:ascii="Arial" w:eastAsia="Arial" w:hAnsi="Arial" w:cs="Arial"/>
          <w:color w:val="000000" w:themeColor="text1"/>
          <w:sz w:val="22"/>
          <w:szCs w:val="22"/>
        </w:rPr>
        <w:t>o.</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3892</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el 28 de oc</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ubre</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 2</w:t>
      </w:r>
      <w:r w:rsidRPr="00F83ACC">
        <w:rPr>
          <w:rFonts w:ascii="Arial" w:eastAsia="Arial" w:hAnsi="Arial" w:cs="Arial"/>
          <w:color w:val="000000" w:themeColor="text1"/>
          <w:spacing w:val="-2"/>
          <w:sz w:val="22"/>
          <w:szCs w:val="22"/>
        </w:rPr>
        <w:t>0</w:t>
      </w:r>
      <w:r w:rsidRPr="00F83ACC">
        <w:rPr>
          <w:rFonts w:ascii="Arial" w:eastAsia="Arial" w:hAnsi="Arial" w:cs="Arial"/>
          <w:color w:val="000000" w:themeColor="text1"/>
          <w:sz w:val="22"/>
          <w:szCs w:val="22"/>
        </w:rPr>
        <w:t>14.</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La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ed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 xml:space="preserve">da se </w:t>
      </w:r>
      <w:r w:rsidRPr="00F83ACC">
        <w:rPr>
          <w:rFonts w:ascii="Arial" w:eastAsia="Arial" w:hAnsi="Arial" w:cs="Arial"/>
          <w:color w:val="000000" w:themeColor="text1"/>
          <w:spacing w:val="-2"/>
          <w:sz w:val="22"/>
          <w:szCs w:val="22"/>
        </w:rPr>
        <w:t>ejecutó</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has</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 xml:space="preserve"> </w:t>
      </w:r>
      <w:r w:rsidRPr="00F83ACC">
        <w:rPr>
          <w:rFonts w:ascii="Arial" w:eastAsia="Arial" w:hAnsi="Arial" w:cs="Arial"/>
          <w:color w:val="000000" w:themeColor="text1"/>
          <w:sz w:val="22"/>
          <w:szCs w:val="22"/>
        </w:rPr>
        <w:t>el 5 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m</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2"/>
          <w:sz w:val="22"/>
          <w:szCs w:val="22"/>
        </w:rPr>
        <w:t>y</w:t>
      </w:r>
      <w:r w:rsidRPr="00F83ACC">
        <w:rPr>
          <w:rFonts w:ascii="Arial" w:eastAsia="Arial" w:hAnsi="Arial" w:cs="Arial"/>
          <w:color w:val="000000" w:themeColor="text1"/>
          <w:sz w:val="22"/>
          <w:szCs w:val="22"/>
        </w:rPr>
        <w:t xml:space="preserve">o de </w:t>
      </w:r>
      <w:r w:rsidRPr="00F83ACC">
        <w:rPr>
          <w:rFonts w:ascii="Arial" w:eastAsia="Arial" w:hAnsi="Arial" w:cs="Arial"/>
          <w:color w:val="000000" w:themeColor="text1"/>
          <w:spacing w:val="-2"/>
          <w:sz w:val="22"/>
          <w:szCs w:val="22"/>
        </w:rPr>
        <w:t>2</w:t>
      </w:r>
      <w:r w:rsidRPr="00F83ACC">
        <w:rPr>
          <w:rFonts w:ascii="Arial" w:eastAsia="Arial" w:hAnsi="Arial" w:cs="Arial"/>
          <w:color w:val="000000" w:themeColor="text1"/>
          <w:sz w:val="22"/>
          <w:szCs w:val="22"/>
        </w:rPr>
        <w:t>016.</w:t>
      </w:r>
    </w:p>
    <w:p w14:paraId="58C3223C" w14:textId="77777777" w:rsidR="0057006E" w:rsidRPr="00F83ACC" w:rsidRDefault="0057006E" w:rsidP="00D00168">
      <w:pPr>
        <w:jc w:val="both"/>
        <w:rPr>
          <w:rFonts w:ascii="Arial" w:hAnsi="Arial" w:cs="Arial"/>
          <w:color w:val="000000" w:themeColor="text1"/>
          <w:sz w:val="22"/>
          <w:szCs w:val="22"/>
        </w:rPr>
      </w:pPr>
    </w:p>
    <w:p w14:paraId="51054AD0" w14:textId="77777777" w:rsidR="0057006E" w:rsidRPr="00F83ACC" w:rsidRDefault="0057006E" w:rsidP="00D00168">
      <w:pPr>
        <w:ind w:right="69"/>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La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z w:val="22"/>
          <w:szCs w:val="22"/>
        </w:rPr>
        <w:t>ac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ón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ac</w:t>
      </w:r>
      <w:r w:rsidRPr="00F83ACC">
        <w:rPr>
          <w:rFonts w:ascii="Arial" w:eastAsia="Arial" w:hAnsi="Arial" w:cs="Arial"/>
          <w:color w:val="000000" w:themeColor="text1"/>
          <w:spacing w:val="-1"/>
          <w:sz w:val="22"/>
          <w:szCs w:val="22"/>
        </w:rPr>
        <w:t>t</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v</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w:t>
      </w:r>
      <w:r w:rsidRPr="00F83ACC">
        <w:rPr>
          <w:rFonts w:ascii="Arial" w:eastAsia="Arial" w:hAnsi="Arial" w:cs="Arial"/>
          <w:color w:val="000000" w:themeColor="text1"/>
          <w:spacing w:val="-2"/>
          <w:sz w:val="22"/>
          <w:szCs w:val="22"/>
        </w:rPr>
        <w:t>d</w:t>
      </w:r>
      <w:r w:rsidRPr="00F83ACC">
        <w:rPr>
          <w:rFonts w:ascii="Arial" w:eastAsia="Arial" w:hAnsi="Arial" w:cs="Arial"/>
          <w:color w:val="000000" w:themeColor="text1"/>
          <w:sz w:val="22"/>
          <w:szCs w:val="22"/>
        </w:rPr>
        <w:t>es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2"/>
          <w:sz w:val="22"/>
          <w:szCs w:val="22"/>
        </w:rPr>
        <w:t>u</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z w:val="22"/>
          <w:szCs w:val="22"/>
        </w:rPr>
        <w:t>das</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3"/>
          <w:sz w:val="22"/>
          <w:szCs w:val="22"/>
        </w:rPr>
        <w:t xml:space="preserve"> </w:t>
      </w:r>
      <w:r w:rsidR="00E351AA">
        <w:rPr>
          <w:rFonts w:ascii="Arial" w:eastAsia="Arial" w:hAnsi="Arial" w:cs="Arial"/>
          <w:color w:val="000000" w:themeColor="text1"/>
          <w:spacing w:val="-2"/>
          <w:sz w:val="22"/>
          <w:szCs w:val="22"/>
        </w:rPr>
        <w:t xml:space="preserve">la medida preventiva </w:t>
      </w:r>
      <w:r w:rsidRPr="00F83ACC">
        <w:rPr>
          <w:rFonts w:ascii="Arial" w:eastAsia="Arial" w:hAnsi="Arial" w:cs="Arial"/>
          <w:color w:val="000000" w:themeColor="text1"/>
          <w:spacing w:val="-1"/>
          <w:sz w:val="22"/>
          <w:szCs w:val="22"/>
        </w:rPr>
        <w:t>f</w:t>
      </w:r>
      <w:r w:rsidRPr="00F83ACC">
        <w:rPr>
          <w:rFonts w:ascii="Arial" w:eastAsia="Arial" w:hAnsi="Arial" w:cs="Arial"/>
          <w:color w:val="000000" w:themeColor="text1"/>
          <w:sz w:val="22"/>
          <w:szCs w:val="22"/>
        </w:rPr>
        <w:t xml:space="preserve">ue </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ea</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z</w:t>
      </w:r>
      <w:r w:rsidRPr="00F83ACC">
        <w:rPr>
          <w:rFonts w:ascii="Arial" w:eastAsia="Arial" w:hAnsi="Arial" w:cs="Arial"/>
          <w:color w:val="000000" w:themeColor="text1"/>
          <w:sz w:val="22"/>
          <w:szCs w:val="22"/>
        </w:rPr>
        <w:t>ada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en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abr</w:t>
      </w:r>
      <w:r w:rsidRPr="00F83ACC">
        <w:rPr>
          <w:rFonts w:ascii="Arial" w:eastAsia="Arial" w:hAnsi="Arial" w:cs="Arial"/>
          <w:color w:val="000000" w:themeColor="text1"/>
          <w:spacing w:val="-2"/>
          <w:sz w:val="22"/>
          <w:szCs w:val="22"/>
        </w:rPr>
        <w:t>i</w:t>
      </w:r>
      <w:r w:rsidRPr="00F83ACC">
        <w:rPr>
          <w:rFonts w:ascii="Arial" w:eastAsia="Arial" w:hAnsi="Arial" w:cs="Arial"/>
          <w:color w:val="000000" w:themeColor="text1"/>
          <w:sz w:val="22"/>
          <w:szCs w:val="22"/>
        </w:rPr>
        <w:t>l</w:t>
      </w:r>
      <w:r w:rsidRPr="00F83ACC">
        <w:rPr>
          <w:rFonts w:ascii="Arial" w:eastAsia="Arial" w:hAnsi="Arial" w:cs="Arial"/>
          <w:color w:val="000000" w:themeColor="text1"/>
          <w:spacing w:val="4"/>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z w:val="22"/>
          <w:szCs w:val="22"/>
        </w:rPr>
        <w:t>20</w:t>
      </w:r>
      <w:r w:rsidRPr="00F83ACC">
        <w:rPr>
          <w:rFonts w:ascii="Arial" w:eastAsia="Arial" w:hAnsi="Arial" w:cs="Arial"/>
          <w:color w:val="000000" w:themeColor="text1"/>
          <w:spacing w:val="-2"/>
          <w:sz w:val="22"/>
          <w:szCs w:val="22"/>
        </w:rPr>
        <w:t>1</w:t>
      </w:r>
      <w:r w:rsidRPr="00F83ACC">
        <w:rPr>
          <w:rFonts w:ascii="Arial" w:eastAsia="Arial" w:hAnsi="Arial" w:cs="Arial"/>
          <w:color w:val="000000" w:themeColor="text1"/>
          <w:sz w:val="22"/>
          <w:szCs w:val="22"/>
        </w:rPr>
        <w:t>6, en donde se evidenció el incumplimiento del Plan de Desempeño por parte del Departamento y se identificaron nuevos eventos de riesgo en la prestación del servicio educativo, tales como:</w:t>
      </w:r>
    </w:p>
    <w:p w14:paraId="5313E06F" w14:textId="77777777" w:rsidR="0057006E" w:rsidRPr="00F83ACC" w:rsidRDefault="0057006E" w:rsidP="00D00168">
      <w:pPr>
        <w:ind w:right="69"/>
        <w:jc w:val="both"/>
        <w:rPr>
          <w:rFonts w:ascii="Arial" w:eastAsia="Arial" w:hAnsi="Arial" w:cs="Arial"/>
          <w:color w:val="000000" w:themeColor="text1"/>
          <w:sz w:val="22"/>
          <w:szCs w:val="22"/>
        </w:rPr>
      </w:pPr>
    </w:p>
    <w:p w14:paraId="3C95D81E" w14:textId="77777777" w:rsidR="0057006E" w:rsidRPr="00F83ACC" w:rsidRDefault="0057006E" w:rsidP="00D00168">
      <w:pPr>
        <w:pStyle w:val="Prrafodelista"/>
        <w:numPr>
          <w:ilvl w:val="1"/>
          <w:numId w:val="3"/>
        </w:numPr>
        <w:ind w:left="567" w:right="69" w:hanging="283"/>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Identificación de contratos suscritos en 2015 y 2016 que superan el valor máximo del costo por alumno atendido, establecido por la Nación.</w:t>
      </w:r>
    </w:p>
    <w:p w14:paraId="5B90CFE9" w14:textId="77777777" w:rsidR="0057006E" w:rsidRPr="00F83ACC" w:rsidRDefault="0057006E" w:rsidP="00D00168">
      <w:pPr>
        <w:pStyle w:val="Prrafodelista"/>
        <w:numPr>
          <w:ilvl w:val="1"/>
          <w:numId w:val="3"/>
        </w:numPr>
        <w:ind w:left="567" w:right="69" w:hanging="283"/>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Ausencia de evaluación en los informes de supervisión con respecto a los componentes de la canasta pactada con el contratista, el número de estudiantes atendidos e insumos que deben soportar el pago de los contratos.</w:t>
      </w:r>
    </w:p>
    <w:p w14:paraId="5D8515C1" w14:textId="77777777" w:rsidR="0057006E" w:rsidRPr="00F83ACC" w:rsidRDefault="0057006E" w:rsidP="00D00168">
      <w:pPr>
        <w:pStyle w:val="Prrafodelista"/>
        <w:numPr>
          <w:ilvl w:val="1"/>
          <w:numId w:val="3"/>
        </w:numPr>
        <w:ind w:left="567" w:right="69" w:hanging="283"/>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Superación del monto máximo de gastos administrativos autorizados por la Nación durante la vigencia 2015.</w:t>
      </w:r>
    </w:p>
    <w:p w14:paraId="55A06D78" w14:textId="77777777" w:rsidR="0057006E" w:rsidRPr="00F83ACC" w:rsidRDefault="0057006E" w:rsidP="00D00168">
      <w:pPr>
        <w:pStyle w:val="Prrafodelista"/>
        <w:numPr>
          <w:ilvl w:val="1"/>
          <w:numId w:val="3"/>
        </w:numPr>
        <w:ind w:left="567" w:right="69" w:hanging="283"/>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t>La no entrega oportuna de la dotación al personal del sector educación en las vigencias 2014 y 2015.</w:t>
      </w:r>
    </w:p>
    <w:p w14:paraId="06948511" w14:textId="77777777" w:rsidR="0057006E" w:rsidRPr="00F83ACC" w:rsidRDefault="0057006E" w:rsidP="00D00168">
      <w:pPr>
        <w:pStyle w:val="Prrafodelista"/>
        <w:numPr>
          <w:ilvl w:val="1"/>
          <w:numId w:val="3"/>
        </w:numPr>
        <w:ind w:left="567" w:right="69" w:hanging="283"/>
        <w:jc w:val="both"/>
        <w:rPr>
          <w:rFonts w:ascii="Arial" w:eastAsia="Arial" w:hAnsi="Arial" w:cs="Arial"/>
          <w:color w:val="000000" w:themeColor="text1"/>
          <w:sz w:val="22"/>
          <w:szCs w:val="22"/>
        </w:rPr>
      </w:pPr>
      <w:r w:rsidRPr="00F83ACC">
        <w:rPr>
          <w:rFonts w:ascii="Arial" w:eastAsia="Arial" w:hAnsi="Arial" w:cs="Arial"/>
          <w:color w:val="000000" w:themeColor="text1"/>
          <w:sz w:val="22"/>
          <w:szCs w:val="22"/>
        </w:rPr>
        <w:lastRenderedPageBreak/>
        <w:t>Continuidad de la medida cautelar vigente sobre una cuenta en la que se administran recursos del SGP-Educación.</w:t>
      </w:r>
    </w:p>
    <w:p w14:paraId="0AC182F1" w14:textId="77777777" w:rsidR="0057006E" w:rsidRPr="00F83ACC" w:rsidRDefault="0057006E" w:rsidP="00D00168">
      <w:pPr>
        <w:ind w:right="69"/>
        <w:jc w:val="both"/>
        <w:rPr>
          <w:rFonts w:ascii="Arial" w:eastAsia="Arial" w:hAnsi="Arial" w:cs="Arial"/>
          <w:color w:val="000000" w:themeColor="text1"/>
          <w:sz w:val="22"/>
          <w:szCs w:val="22"/>
        </w:rPr>
      </w:pPr>
    </w:p>
    <w:p w14:paraId="3CC92002" w14:textId="77777777" w:rsidR="0057006E" w:rsidRPr="0057006E" w:rsidRDefault="0057006E" w:rsidP="00D00168">
      <w:pPr>
        <w:ind w:right="69"/>
        <w:jc w:val="both"/>
        <w:rPr>
          <w:rFonts w:ascii="Arial" w:eastAsia="Arial" w:hAnsi="Arial" w:cs="Arial"/>
          <w:color w:val="000000" w:themeColor="text1"/>
          <w:spacing w:val="-3"/>
          <w:sz w:val="22"/>
          <w:szCs w:val="22"/>
        </w:rPr>
      </w:pPr>
      <w:r w:rsidRPr="00F83ACC">
        <w:rPr>
          <w:rFonts w:ascii="Arial" w:eastAsia="Arial" w:hAnsi="Arial" w:cs="Arial"/>
          <w:color w:val="000000" w:themeColor="text1"/>
          <w:spacing w:val="-2"/>
          <w:sz w:val="22"/>
          <w:szCs w:val="22"/>
        </w:rPr>
        <w:t xml:space="preserve">Por consiguiente, </w:t>
      </w:r>
      <w:r w:rsidRPr="00F83ACC">
        <w:rPr>
          <w:rFonts w:ascii="Arial" w:eastAsia="Arial" w:hAnsi="Arial" w:cs="Arial"/>
          <w:color w:val="000000" w:themeColor="text1"/>
          <w:spacing w:val="1"/>
          <w:sz w:val="22"/>
          <w:szCs w:val="22"/>
        </w:rPr>
        <w:t>l</w:t>
      </w:r>
      <w:r w:rsidRPr="00F83ACC">
        <w:rPr>
          <w:rFonts w:ascii="Arial" w:eastAsia="Arial" w:hAnsi="Arial" w:cs="Arial"/>
          <w:color w:val="000000" w:themeColor="text1"/>
          <w:sz w:val="22"/>
          <w:szCs w:val="22"/>
        </w:rPr>
        <w:t>a</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D</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1"/>
          <w:sz w:val="22"/>
          <w:szCs w:val="22"/>
        </w:rPr>
        <w:t>r</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c</w:t>
      </w:r>
      <w:r w:rsidRPr="00F83ACC">
        <w:rPr>
          <w:rFonts w:ascii="Arial" w:eastAsia="Arial" w:hAnsi="Arial" w:cs="Arial"/>
          <w:color w:val="000000" w:themeColor="text1"/>
          <w:sz w:val="22"/>
          <w:szCs w:val="22"/>
        </w:rPr>
        <w:t>c</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ó</w:t>
      </w:r>
      <w:r w:rsidRPr="00F83ACC">
        <w:rPr>
          <w:rFonts w:ascii="Arial" w:eastAsia="Arial" w:hAnsi="Arial" w:cs="Arial"/>
          <w:color w:val="000000" w:themeColor="text1"/>
          <w:sz w:val="22"/>
          <w:szCs w:val="22"/>
        </w:rPr>
        <w:t>n</w:t>
      </w:r>
      <w:r w:rsidRPr="00F83ACC">
        <w:rPr>
          <w:rFonts w:ascii="Arial" w:eastAsia="Arial" w:hAnsi="Arial" w:cs="Arial"/>
          <w:color w:val="000000" w:themeColor="text1"/>
          <w:spacing w:val="3"/>
          <w:sz w:val="22"/>
          <w:szCs w:val="22"/>
        </w:rPr>
        <w:t xml:space="preserve"> </w:t>
      </w:r>
      <w:r w:rsidRPr="00F83ACC">
        <w:rPr>
          <w:rFonts w:ascii="Arial" w:eastAsia="Arial" w:hAnsi="Arial" w:cs="Arial"/>
          <w:color w:val="000000" w:themeColor="text1"/>
          <w:spacing w:val="-1"/>
          <w:sz w:val="22"/>
          <w:szCs w:val="22"/>
        </w:rPr>
        <w:t>G</w:t>
      </w:r>
      <w:r w:rsidRPr="00F83ACC">
        <w:rPr>
          <w:rFonts w:ascii="Arial" w:eastAsia="Arial" w:hAnsi="Arial" w:cs="Arial"/>
          <w:color w:val="000000" w:themeColor="text1"/>
          <w:sz w:val="22"/>
          <w:szCs w:val="22"/>
        </w:rPr>
        <w:t>e</w:t>
      </w:r>
      <w:r w:rsidRPr="00F83ACC">
        <w:rPr>
          <w:rFonts w:ascii="Arial" w:eastAsia="Arial" w:hAnsi="Arial" w:cs="Arial"/>
          <w:color w:val="000000" w:themeColor="text1"/>
          <w:spacing w:val="-2"/>
          <w:sz w:val="22"/>
          <w:szCs w:val="22"/>
        </w:rPr>
        <w:t>n</w:t>
      </w:r>
      <w:r w:rsidRPr="00F83ACC">
        <w:rPr>
          <w:rFonts w:ascii="Arial" w:eastAsia="Arial" w:hAnsi="Arial" w:cs="Arial"/>
          <w:color w:val="000000" w:themeColor="text1"/>
          <w:sz w:val="22"/>
          <w:szCs w:val="22"/>
        </w:rPr>
        <w:t>eral</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de</w:t>
      </w:r>
      <w:r w:rsidRPr="00F83ACC">
        <w:rPr>
          <w:rFonts w:ascii="Arial" w:eastAsia="Arial" w:hAnsi="Arial" w:cs="Arial"/>
          <w:color w:val="000000" w:themeColor="text1"/>
          <w:spacing w:val="1"/>
          <w:sz w:val="22"/>
          <w:szCs w:val="22"/>
        </w:rPr>
        <w:t xml:space="preserve"> </w:t>
      </w:r>
      <w:r w:rsidRPr="00F83ACC">
        <w:rPr>
          <w:rFonts w:ascii="Arial" w:eastAsia="Arial" w:hAnsi="Arial" w:cs="Arial"/>
          <w:color w:val="000000" w:themeColor="text1"/>
          <w:sz w:val="22"/>
          <w:szCs w:val="22"/>
        </w:rPr>
        <w:t>Apo</w:t>
      </w:r>
      <w:r w:rsidRPr="00F83ACC">
        <w:rPr>
          <w:rFonts w:ascii="Arial" w:eastAsia="Arial" w:hAnsi="Arial" w:cs="Arial"/>
          <w:color w:val="000000" w:themeColor="text1"/>
          <w:spacing w:val="-2"/>
          <w:sz w:val="22"/>
          <w:szCs w:val="22"/>
        </w:rPr>
        <w:t>y</w:t>
      </w:r>
      <w:r w:rsidRPr="00F83ACC">
        <w:rPr>
          <w:rFonts w:ascii="Arial" w:eastAsia="Arial" w:hAnsi="Arial" w:cs="Arial"/>
          <w:color w:val="000000" w:themeColor="text1"/>
          <w:sz w:val="22"/>
          <w:szCs w:val="22"/>
        </w:rPr>
        <w:t>o F</w:t>
      </w:r>
      <w:r w:rsidRPr="00F83ACC">
        <w:rPr>
          <w:rFonts w:ascii="Arial" w:eastAsia="Arial" w:hAnsi="Arial" w:cs="Arial"/>
          <w:color w:val="000000" w:themeColor="text1"/>
          <w:spacing w:val="1"/>
          <w:sz w:val="22"/>
          <w:szCs w:val="22"/>
        </w:rPr>
        <w:t>i</w:t>
      </w:r>
      <w:r w:rsidRPr="00F83ACC">
        <w:rPr>
          <w:rFonts w:ascii="Arial" w:eastAsia="Arial" w:hAnsi="Arial" w:cs="Arial"/>
          <w:color w:val="000000" w:themeColor="text1"/>
          <w:spacing w:val="-2"/>
          <w:sz w:val="22"/>
          <w:szCs w:val="22"/>
        </w:rPr>
        <w:t>s</w:t>
      </w:r>
      <w:r w:rsidRPr="00F83ACC">
        <w:rPr>
          <w:rFonts w:ascii="Arial" w:eastAsia="Arial" w:hAnsi="Arial" w:cs="Arial"/>
          <w:color w:val="000000" w:themeColor="text1"/>
          <w:sz w:val="22"/>
          <w:szCs w:val="22"/>
        </w:rPr>
        <w:t>cal</w:t>
      </w:r>
      <w:r w:rsidRPr="00F83ACC">
        <w:rPr>
          <w:rFonts w:ascii="Arial" w:eastAsia="Arial" w:hAnsi="Arial" w:cs="Arial"/>
          <w:color w:val="000000" w:themeColor="text1"/>
          <w:spacing w:val="-11"/>
          <w:sz w:val="22"/>
          <w:szCs w:val="22"/>
        </w:rPr>
        <w:t xml:space="preserve"> </w:t>
      </w:r>
      <w:r w:rsidRPr="00F83ACC">
        <w:rPr>
          <w:rFonts w:ascii="Arial" w:eastAsia="Arial" w:hAnsi="Arial" w:cs="Arial"/>
          <w:color w:val="000000" w:themeColor="text1"/>
          <w:spacing w:val="-3"/>
          <w:sz w:val="22"/>
          <w:szCs w:val="22"/>
        </w:rPr>
        <w:t xml:space="preserve">mediante Resolución No. 1297 del 6 de mayo del 2016 </w:t>
      </w:r>
      <w:r w:rsidRPr="0057006E">
        <w:rPr>
          <w:rFonts w:ascii="Arial" w:eastAsia="Arial" w:hAnsi="Arial" w:cs="Arial"/>
          <w:color w:val="000000" w:themeColor="text1"/>
          <w:spacing w:val="-3"/>
          <w:sz w:val="22"/>
          <w:szCs w:val="22"/>
        </w:rPr>
        <w:t>impuso la medida correctiva de suspensión de giros de los recursos de Calidad Matrícula Oficial, de la participación de educación del Sistema General de Participaciones de las áreas no municipalizadas del Departamento.</w:t>
      </w:r>
    </w:p>
    <w:p w14:paraId="0ADDB902" w14:textId="77777777" w:rsidR="0057006E" w:rsidRPr="0057006E" w:rsidRDefault="0057006E" w:rsidP="00D00168">
      <w:pPr>
        <w:ind w:right="69"/>
        <w:jc w:val="both"/>
        <w:rPr>
          <w:rFonts w:ascii="Arial" w:eastAsia="Arial" w:hAnsi="Arial" w:cs="Arial"/>
          <w:color w:val="000000" w:themeColor="text1"/>
          <w:spacing w:val="-3"/>
          <w:sz w:val="22"/>
          <w:szCs w:val="22"/>
        </w:rPr>
      </w:pPr>
    </w:p>
    <w:p w14:paraId="770F31C1" w14:textId="77777777" w:rsidR="0057006E" w:rsidRPr="0057006E" w:rsidRDefault="0057006E" w:rsidP="00D00168">
      <w:pPr>
        <w:jc w:val="both"/>
        <w:rPr>
          <w:rFonts w:ascii="Arial" w:hAnsi="Arial" w:cs="Arial"/>
          <w:i/>
          <w:color w:val="000000" w:themeColor="text1"/>
          <w:sz w:val="22"/>
          <w:szCs w:val="22"/>
          <w:u w:val="single"/>
        </w:rPr>
      </w:pPr>
      <w:r w:rsidRPr="0057006E">
        <w:rPr>
          <w:rFonts w:ascii="Arial" w:eastAsia="Arial" w:hAnsi="Arial" w:cs="Arial"/>
          <w:color w:val="000000" w:themeColor="text1"/>
          <w:spacing w:val="-2"/>
          <w:sz w:val="22"/>
          <w:szCs w:val="22"/>
        </w:rPr>
        <w:t>En 2018 el Departamento remitió mediante radicado No. 1-2018-032805 del 16 de abril información a la Dirección de Apoyo Fiscal</w:t>
      </w:r>
      <w:r w:rsidR="0058638E">
        <w:rPr>
          <w:rFonts w:ascii="Arial" w:eastAsia="Arial" w:hAnsi="Arial" w:cs="Arial"/>
          <w:color w:val="000000" w:themeColor="text1"/>
          <w:spacing w:val="-2"/>
          <w:sz w:val="22"/>
          <w:szCs w:val="22"/>
        </w:rPr>
        <w:t xml:space="preserve"> para evaluación de la medida correctiva. Como resultado </w:t>
      </w:r>
      <w:r w:rsidRPr="0057006E">
        <w:rPr>
          <w:rFonts w:ascii="Arial" w:eastAsia="Arial" w:hAnsi="Arial" w:cs="Arial"/>
          <w:color w:val="000000" w:themeColor="text1"/>
          <w:spacing w:val="-2"/>
          <w:sz w:val="22"/>
          <w:szCs w:val="22"/>
        </w:rPr>
        <w:t>de</w:t>
      </w:r>
      <w:r w:rsidR="0058638E">
        <w:rPr>
          <w:rFonts w:ascii="Arial" w:eastAsia="Arial" w:hAnsi="Arial" w:cs="Arial"/>
          <w:color w:val="000000" w:themeColor="text1"/>
          <w:spacing w:val="-2"/>
          <w:sz w:val="22"/>
          <w:szCs w:val="22"/>
        </w:rPr>
        <w:t xml:space="preserve">l análisis </w:t>
      </w:r>
      <w:r w:rsidRPr="0057006E">
        <w:rPr>
          <w:rFonts w:ascii="Arial" w:eastAsia="Arial" w:hAnsi="Arial" w:cs="Arial"/>
          <w:color w:val="000000" w:themeColor="text1"/>
          <w:spacing w:val="-2"/>
          <w:sz w:val="22"/>
          <w:szCs w:val="22"/>
        </w:rPr>
        <w:t xml:space="preserve">de dicha </w:t>
      </w:r>
      <w:r w:rsidR="0058638E">
        <w:rPr>
          <w:rFonts w:ascii="Arial" w:eastAsia="Arial" w:hAnsi="Arial" w:cs="Arial"/>
          <w:color w:val="000000" w:themeColor="text1"/>
          <w:spacing w:val="-2"/>
          <w:sz w:val="22"/>
          <w:szCs w:val="22"/>
        </w:rPr>
        <w:t xml:space="preserve">documentación </w:t>
      </w:r>
      <w:r w:rsidRPr="0057006E">
        <w:rPr>
          <w:rFonts w:ascii="Arial" w:eastAsia="Arial" w:hAnsi="Arial" w:cs="Arial"/>
          <w:color w:val="000000" w:themeColor="text1"/>
          <w:spacing w:val="-2"/>
          <w:sz w:val="22"/>
          <w:szCs w:val="22"/>
        </w:rPr>
        <w:t xml:space="preserve">se identificó el </w:t>
      </w:r>
      <w:r w:rsidR="0058638E">
        <w:rPr>
          <w:rFonts w:ascii="Arial" w:eastAsia="Arial" w:hAnsi="Arial" w:cs="Arial"/>
          <w:color w:val="000000" w:themeColor="text1"/>
          <w:spacing w:val="-2"/>
          <w:sz w:val="22"/>
          <w:szCs w:val="22"/>
        </w:rPr>
        <w:t xml:space="preserve">cumplimiento del 78% </w:t>
      </w:r>
      <w:r w:rsidRPr="0057006E">
        <w:rPr>
          <w:rFonts w:ascii="Arial" w:eastAsia="Arial" w:hAnsi="Arial" w:cs="Arial"/>
          <w:color w:val="000000" w:themeColor="text1"/>
          <w:spacing w:val="-2"/>
          <w:sz w:val="22"/>
          <w:szCs w:val="22"/>
        </w:rPr>
        <w:t>del total de actividades contenidas en el plan de desempeño</w:t>
      </w:r>
      <w:r w:rsidRPr="0057006E">
        <w:rPr>
          <w:rFonts w:ascii="Arial" w:hAnsi="Arial" w:cs="Arial"/>
          <w:color w:val="000000" w:themeColor="text1"/>
          <w:sz w:val="22"/>
          <w:szCs w:val="22"/>
        </w:rPr>
        <w:t>.</w:t>
      </w:r>
    </w:p>
    <w:p w14:paraId="1CF4A384" w14:textId="77777777" w:rsidR="0057006E" w:rsidRPr="0057006E" w:rsidRDefault="0057006E" w:rsidP="00D00168">
      <w:pPr>
        <w:ind w:right="69"/>
        <w:jc w:val="both"/>
        <w:rPr>
          <w:rFonts w:ascii="Arial" w:eastAsia="Arial" w:hAnsi="Arial" w:cs="Arial"/>
          <w:color w:val="000000" w:themeColor="text1"/>
          <w:spacing w:val="-2"/>
          <w:sz w:val="22"/>
          <w:szCs w:val="22"/>
        </w:rPr>
      </w:pPr>
    </w:p>
    <w:p w14:paraId="7031AFBB" w14:textId="77777777" w:rsidR="0057006E" w:rsidRPr="00F83ACC" w:rsidRDefault="0057006E" w:rsidP="00D00168">
      <w:pPr>
        <w:ind w:right="69"/>
        <w:jc w:val="both"/>
        <w:rPr>
          <w:rFonts w:ascii="Arial" w:eastAsia="Arial" w:hAnsi="Arial" w:cs="Arial"/>
          <w:color w:val="000000" w:themeColor="text1"/>
          <w:spacing w:val="-2"/>
          <w:sz w:val="22"/>
          <w:szCs w:val="22"/>
        </w:rPr>
      </w:pPr>
      <w:r w:rsidRPr="0057006E">
        <w:rPr>
          <w:rFonts w:ascii="Arial" w:eastAsia="Arial" w:hAnsi="Arial" w:cs="Arial"/>
          <w:color w:val="000000" w:themeColor="text1"/>
          <w:spacing w:val="-2"/>
          <w:sz w:val="22"/>
          <w:szCs w:val="22"/>
        </w:rPr>
        <w:t xml:space="preserve">Por lo anterior, </w:t>
      </w:r>
      <w:r w:rsidR="0058638E">
        <w:rPr>
          <w:rFonts w:ascii="Arial" w:eastAsia="Arial" w:hAnsi="Arial" w:cs="Arial"/>
          <w:color w:val="000000" w:themeColor="text1"/>
          <w:spacing w:val="-2"/>
          <w:sz w:val="22"/>
          <w:szCs w:val="22"/>
        </w:rPr>
        <w:t xml:space="preserve">mediante </w:t>
      </w:r>
      <w:r w:rsidR="0058638E" w:rsidRPr="00F83ACC">
        <w:rPr>
          <w:rFonts w:ascii="Arial" w:eastAsia="Arial" w:hAnsi="Arial" w:cs="Arial"/>
          <w:color w:val="000000" w:themeColor="text1"/>
          <w:spacing w:val="-2"/>
          <w:sz w:val="22"/>
          <w:szCs w:val="22"/>
        </w:rPr>
        <w:t>la Resolución No. 5066 del 20 de diciembre de 2018</w:t>
      </w:r>
      <w:r w:rsidR="0058638E">
        <w:rPr>
          <w:rFonts w:ascii="Arial" w:eastAsia="Arial" w:hAnsi="Arial" w:cs="Arial"/>
          <w:color w:val="000000" w:themeColor="text1"/>
          <w:spacing w:val="-2"/>
          <w:sz w:val="22"/>
          <w:szCs w:val="22"/>
        </w:rPr>
        <w:t xml:space="preserve"> </w:t>
      </w:r>
      <w:r w:rsidRPr="0057006E">
        <w:rPr>
          <w:rFonts w:ascii="Arial" w:hAnsi="Arial" w:cs="Arial"/>
          <w:color w:val="000000" w:themeColor="text1"/>
          <w:sz w:val="22"/>
          <w:szCs w:val="22"/>
        </w:rPr>
        <w:t xml:space="preserve">se </w:t>
      </w:r>
      <w:r w:rsidR="0058638E">
        <w:rPr>
          <w:rFonts w:ascii="Arial" w:hAnsi="Arial" w:cs="Arial"/>
          <w:color w:val="000000" w:themeColor="text1"/>
          <w:sz w:val="22"/>
          <w:szCs w:val="22"/>
        </w:rPr>
        <w:t xml:space="preserve">efectuó </w:t>
      </w:r>
      <w:r w:rsidRPr="0057006E">
        <w:rPr>
          <w:rFonts w:ascii="Arial" w:hAnsi="Arial" w:cs="Arial"/>
          <w:color w:val="000000" w:themeColor="text1"/>
          <w:sz w:val="22"/>
          <w:szCs w:val="22"/>
        </w:rPr>
        <w:t xml:space="preserve">el levantamiento parcial de la medida de suspensión de giros, en un porcentaje equivalente al 78% de los recursos retenidos, </w:t>
      </w:r>
      <w:r w:rsidR="0058638E">
        <w:rPr>
          <w:rFonts w:ascii="Arial" w:hAnsi="Arial" w:cs="Arial"/>
          <w:color w:val="000000" w:themeColor="text1"/>
          <w:sz w:val="22"/>
          <w:szCs w:val="22"/>
        </w:rPr>
        <w:t>mientras que e</w:t>
      </w:r>
      <w:r w:rsidRPr="00F83ACC">
        <w:rPr>
          <w:rFonts w:ascii="Arial" w:hAnsi="Arial" w:cs="Arial"/>
          <w:color w:val="000000" w:themeColor="text1"/>
          <w:sz w:val="22"/>
          <w:szCs w:val="22"/>
        </w:rPr>
        <w:t>l saldo del 22% y los giros subsiguientes continúan suspendidos hasta tanto el Departamento evidencie el cumplimiento de las acciones relativas a la idoneidad en los informes de supervisión y la normalización de la entrega de dotación de vestuario y calzado de labor.</w:t>
      </w:r>
    </w:p>
    <w:p w14:paraId="3D2F7C4A" w14:textId="77777777" w:rsidR="0057006E" w:rsidRPr="00F83ACC" w:rsidRDefault="0057006E" w:rsidP="00D00168">
      <w:pPr>
        <w:tabs>
          <w:tab w:val="left" w:pos="3206"/>
          <w:tab w:val="left" w:pos="6338"/>
        </w:tabs>
        <w:jc w:val="both"/>
        <w:rPr>
          <w:rFonts w:ascii="Arial" w:hAnsi="Arial" w:cs="Arial"/>
          <w:sz w:val="22"/>
          <w:szCs w:val="22"/>
        </w:rPr>
      </w:pPr>
    </w:p>
    <w:p w14:paraId="61BFF753" w14:textId="77777777" w:rsidR="0057006E" w:rsidRPr="00F83ACC" w:rsidRDefault="0057006E" w:rsidP="00D00168">
      <w:pPr>
        <w:jc w:val="both"/>
        <w:rPr>
          <w:rFonts w:ascii="Arial" w:eastAsia="Arial" w:hAnsi="Arial" w:cs="Arial"/>
          <w:sz w:val="22"/>
          <w:szCs w:val="22"/>
          <w:lang w:val="es-MX"/>
        </w:rPr>
      </w:pPr>
      <w:r w:rsidRPr="00F83ACC">
        <w:rPr>
          <w:rFonts w:ascii="Arial" w:hAnsi="Arial" w:cs="Arial"/>
          <w:color w:val="000000" w:themeColor="text1"/>
          <w:sz w:val="22"/>
          <w:szCs w:val="22"/>
        </w:rPr>
        <w:t xml:space="preserve">Ahora bien, </w:t>
      </w:r>
      <w:r w:rsidRPr="00F83ACC">
        <w:rPr>
          <w:rFonts w:ascii="Arial" w:eastAsia="Arial" w:hAnsi="Arial" w:cs="Arial"/>
          <w:sz w:val="22"/>
          <w:szCs w:val="22"/>
          <w:lang w:val="es-MX"/>
        </w:rPr>
        <w:t>producto de la crisis de la pandemia el Ministerio de Educación Nacional, mediante el radicado No. 1-2020-031005 del 20 de abril de 2020 solicitó a esta Dirección el levantamiento de la medida de Suspensión de Giros vigente en el Departamento de Vaupés, de manera que se reali</w:t>
      </w:r>
      <w:r w:rsidR="00A62024">
        <w:rPr>
          <w:rFonts w:ascii="Arial" w:eastAsia="Arial" w:hAnsi="Arial" w:cs="Arial"/>
          <w:sz w:val="22"/>
          <w:szCs w:val="22"/>
          <w:lang w:val="es-MX"/>
        </w:rPr>
        <w:t xml:space="preserve">zara </w:t>
      </w:r>
      <w:r w:rsidRPr="00F83ACC">
        <w:rPr>
          <w:rFonts w:ascii="Arial" w:eastAsia="Arial" w:hAnsi="Arial" w:cs="Arial"/>
          <w:sz w:val="22"/>
          <w:szCs w:val="22"/>
          <w:lang w:val="es-MX"/>
        </w:rPr>
        <w:t xml:space="preserve">el giro de los recursos del criterio de Equidad - Calidad </w:t>
      </w:r>
      <w:r w:rsidRPr="00AC4CB8">
        <w:rPr>
          <w:rFonts w:ascii="Arial" w:hAnsi="Arial" w:cs="Arial"/>
          <w:sz w:val="22"/>
          <w:szCs w:val="22"/>
          <w:lang w:val="es-MX"/>
        </w:rPr>
        <w:t>de forma tal que las entidades c</w:t>
      </w:r>
      <w:r w:rsidR="00A62024">
        <w:rPr>
          <w:rFonts w:ascii="Arial" w:hAnsi="Arial" w:cs="Arial"/>
          <w:sz w:val="22"/>
          <w:szCs w:val="22"/>
          <w:lang w:val="es-MX"/>
        </w:rPr>
        <w:t xml:space="preserve">ontaran </w:t>
      </w:r>
      <w:r w:rsidRPr="00AC4CB8">
        <w:rPr>
          <w:rFonts w:ascii="Arial" w:hAnsi="Arial" w:cs="Arial"/>
          <w:sz w:val="22"/>
          <w:szCs w:val="22"/>
          <w:lang w:val="es-MX"/>
        </w:rPr>
        <w:t>con los recursos que contribuy</w:t>
      </w:r>
      <w:r w:rsidR="00A62024">
        <w:rPr>
          <w:rFonts w:ascii="Arial" w:hAnsi="Arial" w:cs="Arial"/>
          <w:sz w:val="22"/>
          <w:szCs w:val="22"/>
          <w:lang w:val="es-MX"/>
        </w:rPr>
        <w:t>er</w:t>
      </w:r>
      <w:r w:rsidRPr="00AC4CB8">
        <w:rPr>
          <w:rFonts w:ascii="Arial" w:hAnsi="Arial" w:cs="Arial"/>
          <w:sz w:val="22"/>
          <w:szCs w:val="22"/>
          <w:lang w:val="es-MX"/>
        </w:rPr>
        <w:t>an a la protección del derecho fundamental de la educación de niños, niñas y adolescentes para atender las necesidades del sector generadas por el Coronavirus COVID19.</w:t>
      </w:r>
    </w:p>
    <w:p w14:paraId="1C802031" w14:textId="77777777" w:rsidR="0057006E" w:rsidRPr="00F83ACC" w:rsidRDefault="0057006E" w:rsidP="00D00168">
      <w:pPr>
        <w:jc w:val="both"/>
        <w:rPr>
          <w:rFonts w:ascii="Arial" w:eastAsia="Arial" w:hAnsi="Arial" w:cs="Arial"/>
          <w:sz w:val="22"/>
          <w:szCs w:val="22"/>
          <w:lang w:val="es-MX"/>
        </w:rPr>
      </w:pPr>
    </w:p>
    <w:p w14:paraId="7A5FC6FF" w14:textId="77777777" w:rsidR="0057006E" w:rsidRDefault="0057006E" w:rsidP="00D00168">
      <w:pPr>
        <w:jc w:val="both"/>
        <w:rPr>
          <w:rFonts w:ascii="Arial" w:hAnsi="Arial" w:cs="Arial"/>
          <w:sz w:val="22"/>
          <w:szCs w:val="22"/>
          <w:lang w:val="es-MX"/>
        </w:rPr>
      </w:pPr>
      <w:r w:rsidRPr="00F83ACC">
        <w:rPr>
          <w:rFonts w:ascii="Arial" w:eastAsia="Arial" w:hAnsi="Arial" w:cs="Arial"/>
          <w:sz w:val="22"/>
          <w:szCs w:val="22"/>
        </w:rPr>
        <w:t>En virtud de lo anterior,</w:t>
      </w:r>
      <w:r>
        <w:rPr>
          <w:rFonts w:ascii="Arial" w:eastAsia="Arial" w:hAnsi="Arial" w:cs="Arial"/>
          <w:sz w:val="22"/>
          <w:szCs w:val="22"/>
        </w:rPr>
        <w:t xml:space="preserve"> y teniendo en cuenta que el Departamento de Vaupés </w:t>
      </w:r>
      <w:r w:rsidRPr="00AC4CB8">
        <w:rPr>
          <w:rFonts w:ascii="Arial" w:hAnsi="Arial" w:cs="Arial"/>
          <w:sz w:val="22"/>
          <w:szCs w:val="22"/>
          <w:lang w:val="es-MX"/>
        </w:rPr>
        <w:t xml:space="preserve">no había cumplido con las acciones que conducen a la superación de los eventos de riesgo identificados por </w:t>
      </w:r>
      <w:r w:rsidRPr="00F83ACC">
        <w:rPr>
          <w:rFonts w:ascii="Arial" w:eastAsia="Arial" w:hAnsi="Arial" w:cs="Arial"/>
          <w:sz w:val="22"/>
          <w:szCs w:val="22"/>
        </w:rPr>
        <w:t>la Dirección de Apoyo Fiscal</w:t>
      </w:r>
      <w:r>
        <w:rPr>
          <w:rFonts w:ascii="Arial" w:eastAsia="Arial" w:hAnsi="Arial" w:cs="Arial"/>
          <w:sz w:val="22"/>
          <w:szCs w:val="22"/>
        </w:rPr>
        <w:t>,</w:t>
      </w:r>
      <w:r w:rsidRPr="00F83ACC">
        <w:rPr>
          <w:rFonts w:ascii="Arial" w:eastAsia="Arial" w:hAnsi="Arial" w:cs="Arial"/>
          <w:sz w:val="22"/>
          <w:szCs w:val="22"/>
        </w:rPr>
        <w:t xml:space="preserve"> </w:t>
      </w:r>
      <w:r w:rsidR="00A62024">
        <w:rPr>
          <w:rFonts w:ascii="Arial" w:eastAsia="Arial" w:hAnsi="Arial" w:cs="Arial"/>
          <w:sz w:val="22"/>
          <w:szCs w:val="22"/>
        </w:rPr>
        <w:t xml:space="preserve">mediante </w:t>
      </w:r>
      <w:r w:rsidR="00A62024" w:rsidRPr="00AC4CB8">
        <w:rPr>
          <w:rFonts w:ascii="Arial" w:hAnsi="Arial" w:cs="Arial"/>
          <w:sz w:val="22"/>
          <w:szCs w:val="22"/>
          <w:lang w:val="es-MX"/>
        </w:rPr>
        <w:t>la Resolución 1047 del 28 de abril del 2020</w:t>
      </w:r>
      <w:r w:rsidR="00A62024">
        <w:rPr>
          <w:rFonts w:ascii="Arial" w:hAnsi="Arial" w:cs="Arial"/>
          <w:sz w:val="22"/>
          <w:szCs w:val="22"/>
          <w:lang w:val="es-MX"/>
        </w:rPr>
        <w:t xml:space="preserve"> </w:t>
      </w:r>
      <w:r w:rsidRPr="00AC4CB8">
        <w:rPr>
          <w:rFonts w:ascii="Arial" w:hAnsi="Arial" w:cs="Arial"/>
          <w:sz w:val="22"/>
          <w:szCs w:val="22"/>
          <w:lang w:val="es-MX"/>
        </w:rPr>
        <w:t xml:space="preserve">se determinó la procedencia de realizar </w:t>
      </w:r>
      <w:r w:rsidRPr="00F83ACC">
        <w:rPr>
          <w:rFonts w:ascii="Arial" w:eastAsia="Arial" w:hAnsi="Arial" w:cs="Arial"/>
          <w:sz w:val="22"/>
          <w:szCs w:val="22"/>
          <w:lang w:val="es-MX"/>
        </w:rPr>
        <w:t>el levantamiento parcial de la medida correctiva correspondiente a los recursos suspendidos hasta el mes de abril</w:t>
      </w:r>
      <w:r w:rsidR="001F1826">
        <w:rPr>
          <w:rFonts w:ascii="Arial" w:eastAsia="Arial" w:hAnsi="Arial" w:cs="Arial"/>
          <w:sz w:val="22"/>
          <w:szCs w:val="22"/>
          <w:lang w:val="es-MX"/>
        </w:rPr>
        <w:t xml:space="preserve"> </w:t>
      </w:r>
      <w:r w:rsidRPr="00F83ACC">
        <w:rPr>
          <w:rFonts w:ascii="Arial" w:eastAsia="Arial" w:hAnsi="Arial" w:cs="Arial"/>
          <w:sz w:val="22"/>
          <w:szCs w:val="22"/>
          <w:lang w:val="es-MX"/>
        </w:rPr>
        <w:t>de 2020, y mantener la Suspensión sobre los giros subsiguientes, hasta que la Entidad evidencie el cumplimiento total de las actividades establecidas mediante la resolución No. 5066 de 20 de diciembre de 2018</w:t>
      </w:r>
      <w:r>
        <w:rPr>
          <w:rFonts w:ascii="Arial" w:hAnsi="Arial" w:cs="Arial"/>
          <w:sz w:val="22"/>
          <w:szCs w:val="22"/>
          <w:lang w:val="es-MX"/>
        </w:rPr>
        <w:t>.</w:t>
      </w:r>
    </w:p>
    <w:p w14:paraId="4762249D" w14:textId="77777777" w:rsidR="0057006E" w:rsidRDefault="0057006E" w:rsidP="00D00168">
      <w:pPr>
        <w:jc w:val="both"/>
        <w:rPr>
          <w:rFonts w:ascii="Arial" w:hAnsi="Arial" w:cs="Arial"/>
          <w:sz w:val="22"/>
          <w:szCs w:val="22"/>
          <w:lang w:val="es-MX"/>
        </w:rPr>
      </w:pPr>
    </w:p>
    <w:p w14:paraId="1B237E2B" w14:textId="77777777" w:rsidR="0057006E" w:rsidRPr="00F83ACC" w:rsidRDefault="00A62024" w:rsidP="00D00168">
      <w:pPr>
        <w:ind w:right="69"/>
        <w:jc w:val="both"/>
        <w:rPr>
          <w:rFonts w:ascii="Arial" w:eastAsia="Arial" w:hAnsi="Arial" w:cs="Arial"/>
          <w:color w:val="000000" w:themeColor="text1"/>
          <w:spacing w:val="-2"/>
          <w:sz w:val="22"/>
          <w:szCs w:val="22"/>
        </w:rPr>
      </w:pPr>
      <w:r>
        <w:rPr>
          <w:rFonts w:ascii="Arial" w:eastAsia="Arial" w:hAnsi="Arial" w:cs="Arial"/>
          <w:color w:val="000000" w:themeColor="text1"/>
          <w:spacing w:val="-2"/>
          <w:sz w:val="22"/>
          <w:szCs w:val="22"/>
        </w:rPr>
        <w:t xml:space="preserve">En 2021 </w:t>
      </w:r>
      <w:r w:rsidRPr="00A62024">
        <w:rPr>
          <w:rFonts w:ascii="Arial" w:eastAsia="Arial" w:hAnsi="Arial" w:cs="Arial"/>
          <w:color w:val="000000" w:themeColor="text1"/>
          <w:spacing w:val="-2"/>
          <w:sz w:val="22"/>
          <w:szCs w:val="22"/>
        </w:rPr>
        <w:t>se realizó nuevamente la evaluación de la</w:t>
      </w:r>
      <w:r>
        <w:rPr>
          <w:rFonts w:ascii="Arial" w:eastAsia="Arial" w:hAnsi="Arial" w:cs="Arial"/>
          <w:color w:val="000000" w:themeColor="text1"/>
          <w:spacing w:val="-2"/>
          <w:sz w:val="22"/>
          <w:szCs w:val="22"/>
        </w:rPr>
        <w:t xml:space="preserve"> medida correctiva, identificando algunos avances por parte de la Entidad Territorial que infortunadamente no evidenciaron la superación de los eventos de riesgo que le dieron origen. Recientemente, mediante oficio de radicado No. 2-2022-020367 del 16 de mayo de 2022 se solicitó información a la Entidad Territorial para nuevo seguimiento, la cual fue remitida mediante radicado No. 1-</w:t>
      </w:r>
      <w:r w:rsidR="00DD59F7">
        <w:rPr>
          <w:rFonts w:ascii="Arial" w:eastAsia="Arial" w:hAnsi="Arial" w:cs="Arial"/>
          <w:color w:val="000000" w:themeColor="text1"/>
          <w:spacing w:val="-2"/>
          <w:sz w:val="22"/>
          <w:szCs w:val="22"/>
        </w:rPr>
        <w:t>2</w:t>
      </w:r>
      <w:r>
        <w:rPr>
          <w:rFonts w:ascii="Arial" w:eastAsia="Arial" w:hAnsi="Arial" w:cs="Arial"/>
          <w:color w:val="000000" w:themeColor="text1"/>
          <w:spacing w:val="-2"/>
          <w:sz w:val="22"/>
          <w:szCs w:val="22"/>
        </w:rPr>
        <w:t xml:space="preserve">022-043433 del 6 de junio del año en curso, cuyo análisis se presenta a continuación, junto con la revisión de la documentación complementaria suministrada por el Departamento al Ministerio de Educación Nacional durante sus visitas de monitoreo. </w:t>
      </w:r>
    </w:p>
    <w:p w14:paraId="3BABF703" w14:textId="77777777" w:rsidR="001107D5" w:rsidRPr="001107D5" w:rsidRDefault="001107D5" w:rsidP="00D00168">
      <w:pPr>
        <w:jc w:val="both"/>
        <w:rPr>
          <w:rFonts w:ascii="Arial" w:hAnsi="Arial" w:cs="Arial"/>
          <w:sz w:val="22"/>
          <w:szCs w:val="22"/>
        </w:rPr>
      </w:pPr>
    </w:p>
    <w:p w14:paraId="4F2FFB31" w14:textId="77777777" w:rsidR="00C42C28" w:rsidRDefault="00EF5D6B" w:rsidP="00D00168">
      <w:pPr>
        <w:pStyle w:val="Ttulo1"/>
        <w:numPr>
          <w:ilvl w:val="0"/>
          <w:numId w:val="1"/>
        </w:numPr>
        <w:spacing w:before="0"/>
        <w:ind w:left="426" w:hanging="284"/>
        <w:jc w:val="both"/>
        <w:rPr>
          <w:rFonts w:ascii="Arial" w:hAnsi="Arial" w:cs="Arial"/>
          <w:b/>
          <w:color w:val="auto"/>
          <w:sz w:val="22"/>
          <w:szCs w:val="22"/>
          <w:lang w:val="es-CO"/>
        </w:rPr>
      </w:pPr>
      <w:r w:rsidRPr="001107D5">
        <w:rPr>
          <w:rFonts w:ascii="Arial" w:hAnsi="Arial" w:cs="Arial"/>
          <w:b/>
          <w:color w:val="auto"/>
          <w:sz w:val="22"/>
          <w:szCs w:val="22"/>
          <w:lang w:val="es-CO"/>
        </w:rPr>
        <w:lastRenderedPageBreak/>
        <w:t>CARACTERIZACIÓN</w:t>
      </w:r>
      <w:r w:rsidR="001107D5" w:rsidRPr="001107D5">
        <w:rPr>
          <w:rFonts w:ascii="Arial" w:hAnsi="Arial" w:cs="Arial"/>
          <w:b/>
          <w:color w:val="auto"/>
          <w:sz w:val="22"/>
          <w:szCs w:val="22"/>
          <w:lang w:val="es-CO"/>
        </w:rPr>
        <w:t xml:space="preserve"> </w:t>
      </w:r>
    </w:p>
    <w:p w14:paraId="7EC45D1D" w14:textId="77777777" w:rsidR="00C42C28" w:rsidRPr="00C42C28" w:rsidRDefault="00C42C28" w:rsidP="00D00168">
      <w:pPr>
        <w:jc w:val="both"/>
      </w:pPr>
    </w:p>
    <w:p w14:paraId="4E352B54" w14:textId="77777777" w:rsidR="001107D5" w:rsidRPr="001107D5" w:rsidRDefault="00C42C28" w:rsidP="00D00168">
      <w:pPr>
        <w:jc w:val="both"/>
        <w:rPr>
          <w:rFonts w:ascii="Arial" w:hAnsi="Arial" w:cs="Arial"/>
          <w:sz w:val="22"/>
          <w:szCs w:val="22"/>
        </w:rPr>
      </w:pPr>
      <w:r w:rsidRPr="00C42C28">
        <w:rPr>
          <w:noProof/>
        </w:rPr>
        <w:drawing>
          <wp:inline distT="0" distB="0" distL="0" distR="0" wp14:anchorId="2FB7C168" wp14:editId="378390E4">
            <wp:extent cx="5612130" cy="71501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7150100"/>
                    </a:xfrm>
                    <a:prstGeom prst="rect">
                      <a:avLst/>
                    </a:prstGeom>
                    <a:noFill/>
                    <a:ln>
                      <a:noFill/>
                    </a:ln>
                  </pic:spPr>
                </pic:pic>
              </a:graphicData>
            </a:graphic>
          </wp:inline>
        </w:drawing>
      </w:r>
    </w:p>
    <w:p w14:paraId="68CC10DA" w14:textId="77777777" w:rsidR="001107D5" w:rsidRPr="008A0EFD" w:rsidRDefault="001107D5" w:rsidP="00D00168">
      <w:pPr>
        <w:jc w:val="both"/>
        <w:rPr>
          <w:rFonts w:ascii="Arial" w:hAnsi="Arial" w:cs="Arial"/>
          <w:sz w:val="22"/>
          <w:szCs w:val="22"/>
        </w:rPr>
      </w:pPr>
    </w:p>
    <w:p w14:paraId="77AF6524" w14:textId="77777777" w:rsidR="00944CEA" w:rsidRPr="008A0EFD" w:rsidRDefault="001107D5" w:rsidP="00D00168">
      <w:pPr>
        <w:pStyle w:val="Ttulo1"/>
        <w:numPr>
          <w:ilvl w:val="0"/>
          <w:numId w:val="1"/>
        </w:numPr>
        <w:spacing w:before="0"/>
        <w:ind w:left="426" w:hanging="284"/>
        <w:jc w:val="both"/>
        <w:rPr>
          <w:rFonts w:ascii="Arial" w:hAnsi="Arial" w:cs="Arial"/>
          <w:color w:val="auto"/>
          <w:sz w:val="22"/>
          <w:szCs w:val="22"/>
          <w:lang w:val="es-CO"/>
        </w:rPr>
      </w:pPr>
      <w:r w:rsidRPr="008A0EFD">
        <w:rPr>
          <w:rFonts w:ascii="Arial" w:hAnsi="Arial" w:cs="Arial"/>
          <w:b/>
          <w:color w:val="auto"/>
          <w:sz w:val="22"/>
          <w:szCs w:val="22"/>
          <w:lang w:val="es-CO"/>
        </w:rPr>
        <w:t>ANÁLISIS FINANCIERO</w:t>
      </w:r>
      <w:r w:rsidR="00944CEA" w:rsidRPr="008A0EFD">
        <w:rPr>
          <w:rFonts w:ascii="Arial" w:hAnsi="Arial" w:cs="Arial"/>
          <w:b/>
          <w:color w:val="auto"/>
          <w:sz w:val="22"/>
          <w:szCs w:val="22"/>
          <w:lang w:val="es-CO"/>
        </w:rPr>
        <w:t xml:space="preserve"> </w:t>
      </w:r>
    </w:p>
    <w:p w14:paraId="1EC81023" w14:textId="77777777" w:rsidR="00944CEA" w:rsidRPr="008A0EFD" w:rsidRDefault="00944CEA" w:rsidP="00D00168">
      <w:pPr>
        <w:jc w:val="both"/>
        <w:rPr>
          <w:rFonts w:ascii="Arial" w:hAnsi="Arial" w:cs="Arial"/>
          <w:sz w:val="22"/>
          <w:szCs w:val="22"/>
        </w:rPr>
      </w:pPr>
    </w:p>
    <w:p w14:paraId="7C1FE481" w14:textId="77777777" w:rsidR="00EF5D6B" w:rsidRPr="001F1826" w:rsidRDefault="00EF5D6B" w:rsidP="00D00168">
      <w:pPr>
        <w:pStyle w:val="Ttulo2"/>
        <w:spacing w:before="0"/>
        <w:jc w:val="both"/>
        <w:rPr>
          <w:rFonts w:ascii="Arial" w:hAnsi="Arial" w:cs="Arial"/>
          <w:sz w:val="22"/>
          <w:szCs w:val="22"/>
          <w:lang w:val="es-CO"/>
        </w:rPr>
      </w:pPr>
      <w:r w:rsidRPr="001F1826">
        <w:rPr>
          <w:rFonts w:ascii="Arial" w:hAnsi="Arial" w:cs="Arial"/>
          <w:b/>
          <w:color w:val="auto"/>
          <w:sz w:val="22"/>
          <w:szCs w:val="22"/>
          <w:lang w:val="es-CO"/>
        </w:rPr>
        <w:t>Ingresos</w:t>
      </w:r>
      <w:r w:rsidR="00C9264B" w:rsidRPr="001F1826">
        <w:rPr>
          <w:rFonts w:ascii="Arial" w:hAnsi="Arial" w:cs="Arial"/>
          <w:b/>
          <w:color w:val="auto"/>
          <w:sz w:val="22"/>
          <w:szCs w:val="22"/>
          <w:lang w:val="es-CO"/>
        </w:rPr>
        <w:t>.</w:t>
      </w:r>
    </w:p>
    <w:p w14:paraId="6E8E283D" w14:textId="77777777" w:rsidR="001F1826" w:rsidRDefault="001F1826" w:rsidP="00D00168">
      <w:pPr>
        <w:pStyle w:val="Textoindependiente"/>
        <w:spacing w:after="0"/>
        <w:jc w:val="both"/>
        <w:rPr>
          <w:rFonts w:ascii="Arial" w:hAnsi="Arial" w:cs="Arial"/>
          <w:sz w:val="22"/>
          <w:szCs w:val="22"/>
        </w:rPr>
      </w:pPr>
    </w:p>
    <w:p w14:paraId="5EAAA445" w14:textId="77777777" w:rsidR="001F1826" w:rsidRPr="001F1826" w:rsidRDefault="001F1826" w:rsidP="00D00168">
      <w:pPr>
        <w:pStyle w:val="Textoindependiente"/>
        <w:spacing w:after="0"/>
        <w:jc w:val="both"/>
        <w:rPr>
          <w:rFonts w:ascii="Arial" w:hAnsi="Arial" w:cs="Arial"/>
          <w:spacing w:val="-7"/>
          <w:sz w:val="22"/>
          <w:szCs w:val="22"/>
        </w:rPr>
      </w:pPr>
      <w:r w:rsidRPr="001F1826">
        <w:rPr>
          <w:rFonts w:ascii="Arial" w:hAnsi="Arial" w:cs="Arial"/>
          <w:sz w:val="22"/>
          <w:szCs w:val="22"/>
        </w:rPr>
        <w:t xml:space="preserve">En lo financiero, </w:t>
      </w:r>
      <w:r>
        <w:rPr>
          <w:rFonts w:ascii="Arial" w:hAnsi="Arial" w:cs="Arial"/>
          <w:sz w:val="22"/>
          <w:szCs w:val="22"/>
        </w:rPr>
        <w:t xml:space="preserve">durante la </w:t>
      </w:r>
      <w:r w:rsidRPr="001F1826">
        <w:rPr>
          <w:rFonts w:ascii="Arial" w:hAnsi="Arial" w:cs="Arial"/>
          <w:sz w:val="22"/>
          <w:szCs w:val="22"/>
        </w:rPr>
        <w:t>vigencia 202</w:t>
      </w:r>
      <w:r>
        <w:rPr>
          <w:rFonts w:ascii="Arial" w:hAnsi="Arial" w:cs="Arial"/>
          <w:sz w:val="22"/>
          <w:szCs w:val="22"/>
        </w:rPr>
        <w:t xml:space="preserve">1 </w:t>
      </w:r>
      <w:r w:rsidRPr="001F1826">
        <w:rPr>
          <w:rFonts w:ascii="Arial" w:hAnsi="Arial" w:cs="Arial"/>
          <w:spacing w:val="-7"/>
          <w:sz w:val="22"/>
          <w:szCs w:val="22"/>
        </w:rPr>
        <w:t>se asigna</w:t>
      </w:r>
      <w:r>
        <w:rPr>
          <w:rFonts w:ascii="Arial" w:hAnsi="Arial" w:cs="Arial"/>
          <w:spacing w:val="-7"/>
          <w:sz w:val="22"/>
          <w:szCs w:val="22"/>
        </w:rPr>
        <w:t xml:space="preserve">ron </w:t>
      </w:r>
      <w:r w:rsidRPr="001F1826">
        <w:rPr>
          <w:rFonts w:ascii="Arial" w:hAnsi="Arial" w:cs="Arial"/>
          <w:spacing w:val="-7"/>
          <w:sz w:val="22"/>
          <w:szCs w:val="22"/>
        </w:rPr>
        <w:t>$</w:t>
      </w:r>
      <w:r>
        <w:rPr>
          <w:rFonts w:ascii="Arial" w:hAnsi="Arial" w:cs="Arial"/>
          <w:spacing w:val="-7"/>
          <w:sz w:val="22"/>
          <w:szCs w:val="22"/>
        </w:rPr>
        <w:t xml:space="preserve">50.583 </w:t>
      </w:r>
      <w:r w:rsidRPr="001F1826">
        <w:rPr>
          <w:rFonts w:ascii="Arial" w:hAnsi="Arial" w:cs="Arial"/>
          <w:spacing w:val="-7"/>
          <w:sz w:val="22"/>
          <w:szCs w:val="22"/>
        </w:rPr>
        <w:t xml:space="preserve">millones al Departamento de </w:t>
      </w:r>
      <w:r>
        <w:rPr>
          <w:rFonts w:ascii="Arial" w:hAnsi="Arial" w:cs="Arial"/>
          <w:spacing w:val="-7"/>
          <w:sz w:val="22"/>
          <w:szCs w:val="22"/>
        </w:rPr>
        <w:t xml:space="preserve">Vaupés </w:t>
      </w:r>
      <w:r w:rsidRPr="001F1826">
        <w:rPr>
          <w:rFonts w:ascii="Arial" w:hAnsi="Arial" w:cs="Arial"/>
          <w:spacing w:val="-7"/>
          <w:sz w:val="22"/>
          <w:szCs w:val="22"/>
        </w:rPr>
        <w:t xml:space="preserve">del SGP-Educación, </w:t>
      </w:r>
      <w:r>
        <w:rPr>
          <w:rFonts w:ascii="Arial" w:hAnsi="Arial" w:cs="Arial"/>
          <w:spacing w:val="-7"/>
          <w:sz w:val="22"/>
          <w:szCs w:val="22"/>
        </w:rPr>
        <w:t>de los cuales $50.174 millones correspondían al componente de Prestación del Servicio, $98 millones a Cancelaciones de Prestaciones Sociales del Magisterio, $284 millones a Calidad – matrícula oficial y $28 millones a Gratuidad.</w:t>
      </w:r>
      <w:r w:rsidRPr="001F1826">
        <w:rPr>
          <w:rFonts w:ascii="Arial" w:hAnsi="Arial" w:cs="Arial"/>
          <w:spacing w:val="-7"/>
          <w:sz w:val="22"/>
          <w:szCs w:val="22"/>
        </w:rPr>
        <w:t xml:space="preserve"> </w:t>
      </w:r>
    </w:p>
    <w:p w14:paraId="536CCB80" w14:textId="77777777" w:rsidR="00EF5D6B" w:rsidRPr="001F1826" w:rsidRDefault="00EF5D6B" w:rsidP="00D00168">
      <w:pPr>
        <w:jc w:val="both"/>
        <w:rPr>
          <w:rFonts w:ascii="Arial" w:hAnsi="Arial" w:cs="Arial"/>
          <w:sz w:val="22"/>
          <w:szCs w:val="22"/>
        </w:rPr>
      </w:pPr>
    </w:p>
    <w:p w14:paraId="0FC7BE93" w14:textId="77777777" w:rsidR="001F1826" w:rsidRPr="002C4777" w:rsidRDefault="001F1826" w:rsidP="00D00168">
      <w:pPr>
        <w:jc w:val="both"/>
        <w:rPr>
          <w:rFonts w:ascii="Arial" w:hAnsi="Arial" w:cs="Arial"/>
          <w:bCs/>
          <w:sz w:val="22"/>
          <w:szCs w:val="22"/>
          <w:lang w:val="es-ES_tradnl"/>
        </w:rPr>
      </w:pPr>
      <w:r>
        <w:rPr>
          <w:rFonts w:ascii="Arial" w:hAnsi="Arial" w:cs="Arial"/>
          <w:bCs/>
          <w:sz w:val="22"/>
          <w:szCs w:val="22"/>
          <w:lang w:val="es-ES_tradnl"/>
        </w:rPr>
        <w:t>Así, e</w:t>
      </w:r>
      <w:r w:rsidRPr="001F1826">
        <w:rPr>
          <w:rFonts w:ascii="Arial" w:hAnsi="Arial" w:cs="Arial"/>
          <w:bCs/>
          <w:sz w:val="22"/>
          <w:szCs w:val="22"/>
          <w:lang w:val="es-ES_tradnl"/>
        </w:rPr>
        <w:t>n materia de ingresos</w:t>
      </w:r>
      <w:r>
        <w:rPr>
          <w:rFonts w:ascii="Arial" w:hAnsi="Arial" w:cs="Arial"/>
          <w:bCs/>
          <w:sz w:val="22"/>
          <w:szCs w:val="22"/>
          <w:lang w:val="es-ES_tradnl"/>
        </w:rPr>
        <w:t xml:space="preserve"> durante </w:t>
      </w:r>
      <w:r w:rsidRPr="001F1826">
        <w:rPr>
          <w:rFonts w:ascii="Arial" w:hAnsi="Arial" w:cs="Arial"/>
          <w:bCs/>
          <w:sz w:val="22"/>
          <w:szCs w:val="22"/>
          <w:lang w:val="es-ES_tradnl"/>
        </w:rPr>
        <w:t xml:space="preserve">2021 la entidad registró en su ejecución el recaudo de $61.625 </w:t>
      </w:r>
      <w:r w:rsidRPr="002C4777">
        <w:rPr>
          <w:rFonts w:ascii="Arial" w:hAnsi="Arial" w:cs="Arial"/>
          <w:bCs/>
          <w:sz w:val="22"/>
          <w:szCs w:val="22"/>
          <w:lang w:val="es-ES_tradnl"/>
        </w:rPr>
        <w:t>millones asociados al Sistema General de Participaciones, de los cuales $</w:t>
      </w:r>
      <w:r>
        <w:rPr>
          <w:rFonts w:ascii="Arial" w:hAnsi="Arial" w:cs="Arial"/>
          <w:bCs/>
          <w:sz w:val="22"/>
          <w:szCs w:val="22"/>
          <w:lang w:val="es-ES_tradnl"/>
        </w:rPr>
        <w:t xml:space="preserve">50.370 </w:t>
      </w:r>
      <w:r w:rsidRPr="002C4777">
        <w:rPr>
          <w:rFonts w:ascii="Arial" w:hAnsi="Arial" w:cs="Arial"/>
          <w:bCs/>
          <w:sz w:val="22"/>
          <w:szCs w:val="22"/>
          <w:lang w:val="es-ES_tradnl"/>
        </w:rPr>
        <w:t>millones (</w:t>
      </w:r>
      <w:r>
        <w:rPr>
          <w:rFonts w:ascii="Arial" w:hAnsi="Arial" w:cs="Arial"/>
          <w:bCs/>
          <w:sz w:val="22"/>
          <w:szCs w:val="22"/>
          <w:lang w:val="es-ES_tradnl"/>
        </w:rPr>
        <w:t>82</w:t>
      </w:r>
      <w:r w:rsidRPr="002C4777">
        <w:rPr>
          <w:rFonts w:ascii="Arial" w:hAnsi="Arial" w:cs="Arial"/>
          <w:bCs/>
          <w:sz w:val="22"/>
          <w:szCs w:val="22"/>
          <w:lang w:val="es-ES_tradnl"/>
        </w:rPr>
        <w:t>%) correspondían a recursos corrientes y $</w:t>
      </w:r>
      <w:r>
        <w:rPr>
          <w:rFonts w:ascii="Arial" w:hAnsi="Arial" w:cs="Arial"/>
          <w:bCs/>
          <w:sz w:val="22"/>
          <w:szCs w:val="22"/>
          <w:lang w:val="es-ES_tradnl"/>
        </w:rPr>
        <w:t xml:space="preserve">11.255 </w:t>
      </w:r>
      <w:r w:rsidRPr="002C4777">
        <w:rPr>
          <w:rFonts w:ascii="Arial" w:hAnsi="Arial" w:cs="Arial"/>
          <w:bCs/>
          <w:sz w:val="22"/>
          <w:szCs w:val="22"/>
          <w:lang w:val="es-ES_tradnl"/>
        </w:rPr>
        <w:t>millones (</w:t>
      </w:r>
      <w:r>
        <w:rPr>
          <w:rFonts w:ascii="Arial" w:hAnsi="Arial" w:cs="Arial"/>
          <w:bCs/>
          <w:sz w:val="22"/>
          <w:szCs w:val="22"/>
          <w:lang w:val="es-ES_tradnl"/>
        </w:rPr>
        <w:t>18</w:t>
      </w:r>
      <w:r w:rsidRPr="002C4777">
        <w:rPr>
          <w:rFonts w:ascii="Arial" w:hAnsi="Arial" w:cs="Arial"/>
          <w:bCs/>
          <w:sz w:val="22"/>
          <w:szCs w:val="22"/>
          <w:lang w:val="es-ES_tradnl"/>
        </w:rPr>
        <w:t xml:space="preserve"> %) a ingresos de capital. La información de recursos corrientes es consistente con el monto girado del SGP por la Nación al Departamento, así como con la reportada en el FUT por La Entidad Territorial.</w:t>
      </w:r>
    </w:p>
    <w:p w14:paraId="7CE6D568" w14:textId="77777777" w:rsidR="001F1826" w:rsidRDefault="001F1826" w:rsidP="00D00168">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4262"/>
        <w:gridCol w:w="691"/>
        <w:gridCol w:w="691"/>
      </w:tblGrid>
      <w:tr w:rsidR="001F1826" w:rsidRPr="001F1826" w14:paraId="17A47094" w14:textId="77777777" w:rsidTr="001F1826">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244061"/>
            <w:vAlign w:val="center"/>
            <w:hideMark/>
          </w:tcPr>
          <w:p w14:paraId="3E95E5FA"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TABLA1. INGRESOS 2020 y 2021</w:t>
            </w:r>
          </w:p>
        </w:tc>
      </w:tr>
      <w:tr w:rsidR="001F1826" w:rsidRPr="001F1826" w14:paraId="2D18D07F" w14:textId="77777777" w:rsidTr="001F1826">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244061"/>
            <w:vAlign w:val="center"/>
            <w:hideMark/>
          </w:tcPr>
          <w:p w14:paraId="1A7F9F8E"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(MILLONES DE $)</w:t>
            </w:r>
            <w:r w:rsidRPr="001F1826">
              <w:rPr>
                <w:rFonts w:ascii="Arial" w:hAnsi="Arial" w:cs="Arial"/>
                <w:color w:val="FFFFFF"/>
                <w:sz w:val="18"/>
                <w:szCs w:val="18"/>
              </w:rPr>
              <w:t> </w:t>
            </w:r>
            <w:r w:rsidRPr="001F1826">
              <w:rPr>
                <w:rFonts w:ascii="Arial" w:hAnsi="Arial" w:cs="Arial"/>
                <w:color w:val="000000"/>
                <w:sz w:val="18"/>
                <w:szCs w:val="18"/>
              </w:rPr>
              <w:t> </w:t>
            </w:r>
          </w:p>
        </w:tc>
      </w:tr>
      <w:tr w:rsidR="001F1826" w:rsidRPr="001F1826" w14:paraId="1EAA83CC" w14:textId="77777777" w:rsidTr="001F1826">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95B3D7"/>
            <w:vAlign w:val="center"/>
            <w:hideMark/>
          </w:tcPr>
          <w:p w14:paraId="2C035DAC"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Concepto</w:t>
            </w:r>
          </w:p>
        </w:tc>
        <w:tc>
          <w:tcPr>
            <w:tcW w:w="0" w:type="auto"/>
            <w:gridSpan w:val="2"/>
            <w:tcBorders>
              <w:top w:val="single" w:sz="4" w:space="0" w:color="auto"/>
              <w:left w:val="nil"/>
              <w:bottom w:val="single" w:sz="4" w:space="0" w:color="auto"/>
              <w:right w:val="single" w:sz="4" w:space="0" w:color="auto"/>
            </w:tcBorders>
            <w:shd w:val="clear" w:color="000000" w:fill="95B3D7"/>
            <w:vAlign w:val="center"/>
            <w:hideMark/>
          </w:tcPr>
          <w:p w14:paraId="182D588B"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Vigencias</w:t>
            </w:r>
          </w:p>
        </w:tc>
      </w:tr>
      <w:tr w:rsidR="001F1826" w:rsidRPr="001F1826" w14:paraId="68AEDFCD" w14:textId="77777777" w:rsidTr="001F1826">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E8EDE89" w14:textId="77777777" w:rsidR="001F1826" w:rsidRPr="001F1826" w:rsidRDefault="001F1826" w:rsidP="00D00168">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000000" w:fill="95B3D7"/>
            <w:vAlign w:val="center"/>
            <w:hideMark/>
          </w:tcPr>
          <w:p w14:paraId="19FBF4CE"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2020</w:t>
            </w:r>
          </w:p>
        </w:tc>
        <w:tc>
          <w:tcPr>
            <w:tcW w:w="0" w:type="auto"/>
            <w:tcBorders>
              <w:top w:val="nil"/>
              <w:left w:val="nil"/>
              <w:bottom w:val="single" w:sz="4" w:space="0" w:color="auto"/>
              <w:right w:val="single" w:sz="4" w:space="0" w:color="auto"/>
            </w:tcBorders>
            <w:shd w:val="clear" w:color="000000" w:fill="95B3D7"/>
            <w:vAlign w:val="center"/>
            <w:hideMark/>
          </w:tcPr>
          <w:p w14:paraId="71EB3DCD"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2021</w:t>
            </w:r>
          </w:p>
        </w:tc>
      </w:tr>
      <w:tr w:rsidR="001F1826" w:rsidRPr="001F1826" w14:paraId="18EAC01F"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CC9EE8"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Asignación SGP-educación</w:t>
            </w:r>
          </w:p>
        </w:tc>
        <w:tc>
          <w:tcPr>
            <w:tcW w:w="0" w:type="auto"/>
            <w:tcBorders>
              <w:top w:val="nil"/>
              <w:left w:val="nil"/>
              <w:bottom w:val="single" w:sz="4" w:space="0" w:color="auto"/>
              <w:right w:val="single" w:sz="4" w:space="0" w:color="auto"/>
            </w:tcBorders>
            <w:shd w:val="clear" w:color="auto" w:fill="auto"/>
            <w:vAlign w:val="center"/>
            <w:hideMark/>
          </w:tcPr>
          <w:p w14:paraId="1FF8DF2F"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47.751</w:t>
            </w:r>
          </w:p>
        </w:tc>
        <w:tc>
          <w:tcPr>
            <w:tcW w:w="0" w:type="auto"/>
            <w:tcBorders>
              <w:top w:val="nil"/>
              <w:left w:val="nil"/>
              <w:bottom w:val="single" w:sz="4" w:space="0" w:color="auto"/>
              <w:right w:val="single" w:sz="4" w:space="0" w:color="auto"/>
            </w:tcBorders>
            <w:shd w:val="clear" w:color="auto" w:fill="auto"/>
            <w:vAlign w:val="center"/>
            <w:hideMark/>
          </w:tcPr>
          <w:p w14:paraId="2996CAB1"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50.583</w:t>
            </w:r>
          </w:p>
        </w:tc>
      </w:tr>
      <w:tr w:rsidR="001F1826" w:rsidRPr="001F1826" w14:paraId="6FA29EA0"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9143F"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Giro MEN-ET</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2EA6418"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47.684</w:t>
            </w:r>
          </w:p>
        </w:tc>
        <w:tc>
          <w:tcPr>
            <w:tcW w:w="0" w:type="auto"/>
            <w:tcBorders>
              <w:top w:val="nil"/>
              <w:left w:val="nil"/>
              <w:bottom w:val="single" w:sz="4" w:space="0" w:color="auto"/>
              <w:right w:val="single" w:sz="4" w:space="0" w:color="auto"/>
            </w:tcBorders>
            <w:shd w:val="clear" w:color="auto" w:fill="auto"/>
            <w:vAlign w:val="center"/>
            <w:hideMark/>
          </w:tcPr>
          <w:p w14:paraId="150EB0D5"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50.300</w:t>
            </w:r>
          </w:p>
        </w:tc>
      </w:tr>
      <w:tr w:rsidR="001F1826" w:rsidRPr="001F1826" w14:paraId="150FC281"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4CAC4E02"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RECAUDO EJECUCIÓN PRESUPUESTAL</w:t>
            </w:r>
          </w:p>
        </w:tc>
        <w:tc>
          <w:tcPr>
            <w:tcW w:w="0" w:type="auto"/>
            <w:tcBorders>
              <w:top w:val="nil"/>
              <w:left w:val="nil"/>
              <w:bottom w:val="single" w:sz="4" w:space="0" w:color="auto"/>
              <w:right w:val="single" w:sz="4" w:space="0" w:color="auto"/>
            </w:tcBorders>
            <w:shd w:val="clear" w:color="000000" w:fill="95B3D7"/>
            <w:vAlign w:val="center"/>
            <w:hideMark/>
          </w:tcPr>
          <w:p w14:paraId="093977EC"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 </w:t>
            </w:r>
          </w:p>
        </w:tc>
        <w:tc>
          <w:tcPr>
            <w:tcW w:w="0" w:type="auto"/>
            <w:tcBorders>
              <w:top w:val="nil"/>
              <w:left w:val="nil"/>
              <w:bottom w:val="single" w:sz="4" w:space="0" w:color="auto"/>
              <w:right w:val="single" w:sz="4" w:space="0" w:color="auto"/>
            </w:tcBorders>
            <w:shd w:val="clear" w:color="000000" w:fill="95B3D7"/>
            <w:vAlign w:val="center"/>
            <w:hideMark/>
          </w:tcPr>
          <w:p w14:paraId="7CBA605D"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 </w:t>
            </w:r>
          </w:p>
        </w:tc>
      </w:tr>
      <w:tr w:rsidR="001F1826" w:rsidRPr="001F1826" w14:paraId="3F40C908"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8A585F0"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Ingresos Corrientes</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D9D9D9"/>
            <w:vAlign w:val="center"/>
            <w:hideMark/>
          </w:tcPr>
          <w:p w14:paraId="21100F12"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47.684</w:t>
            </w:r>
          </w:p>
        </w:tc>
        <w:tc>
          <w:tcPr>
            <w:tcW w:w="0" w:type="auto"/>
            <w:tcBorders>
              <w:top w:val="nil"/>
              <w:left w:val="nil"/>
              <w:bottom w:val="single" w:sz="4" w:space="0" w:color="auto"/>
              <w:right w:val="single" w:sz="4" w:space="0" w:color="auto"/>
            </w:tcBorders>
            <w:shd w:val="clear" w:color="000000" w:fill="D9D9D9"/>
            <w:vAlign w:val="center"/>
            <w:hideMark/>
          </w:tcPr>
          <w:p w14:paraId="001EF8F0"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50.370</w:t>
            </w:r>
          </w:p>
        </w:tc>
      </w:tr>
      <w:tr w:rsidR="001F1826" w:rsidRPr="001F1826" w14:paraId="54FC8EEF"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D1A71"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Sistema General de Participaciones -Educación</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B9C1D71"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47.684</w:t>
            </w:r>
          </w:p>
        </w:tc>
        <w:tc>
          <w:tcPr>
            <w:tcW w:w="0" w:type="auto"/>
            <w:tcBorders>
              <w:top w:val="nil"/>
              <w:left w:val="nil"/>
              <w:bottom w:val="single" w:sz="4" w:space="0" w:color="auto"/>
              <w:right w:val="single" w:sz="4" w:space="0" w:color="auto"/>
            </w:tcBorders>
            <w:shd w:val="clear" w:color="auto" w:fill="auto"/>
            <w:vAlign w:val="center"/>
            <w:hideMark/>
          </w:tcPr>
          <w:p w14:paraId="2F226154"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50.272</w:t>
            </w:r>
          </w:p>
        </w:tc>
      </w:tr>
      <w:tr w:rsidR="001F1826" w:rsidRPr="001F1826" w14:paraId="0A2AC30E"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4423C"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Prestación de servicios</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66DE8B6"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47.157</w:t>
            </w:r>
          </w:p>
        </w:tc>
        <w:tc>
          <w:tcPr>
            <w:tcW w:w="0" w:type="auto"/>
            <w:tcBorders>
              <w:top w:val="nil"/>
              <w:left w:val="nil"/>
              <w:bottom w:val="single" w:sz="4" w:space="0" w:color="auto"/>
              <w:right w:val="single" w:sz="4" w:space="0" w:color="auto"/>
            </w:tcBorders>
            <w:shd w:val="clear" w:color="auto" w:fill="auto"/>
            <w:vAlign w:val="center"/>
            <w:hideMark/>
          </w:tcPr>
          <w:p w14:paraId="51858421"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50.174</w:t>
            </w:r>
          </w:p>
        </w:tc>
      </w:tr>
      <w:tr w:rsidR="001F1826" w:rsidRPr="001F1826" w14:paraId="01ED63A6"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899421"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Con Situación de Fondos </w:t>
            </w:r>
          </w:p>
        </w:tc>
        <w:tc>
          <w:tcPr>
            <w:tcW w:w="0" w:type="auto"/>
            <w:tcBorders>
              <w:top w:val="nil"/>
              <w:left w:val="nil"/>
              <w:bottom w:val="single" w:sz="4" w:space="0" w:color="auto"/>
              <w:right w:val="single" w:sz="4" w:space="0" w:color="auto"/>
            </w:tcBorders>
            <w:shd w:val="clear" w:color="auto" w:fill="auto"/>
            <w:vAlign w:val="center"/>
            <w:hideMark/>
          </w:tcPr>
          <w:p w14:paraId="2A0477A1"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43.820</w:t>
            </w:r>
          </w:p>
        </w:tc>
        <w:tc>
          <w:tcPr>
            <w:tcW w:w="0" w:type="auto"/>
            <w:tcBorders>
              <w:top w:val="nil"/>
              <w:left w:val="nil"/>
              <w:bottom w:val="single" w:sz="4" w:space="0" w:color="auto"/>
              <w:right w:val="single" w:sz="4" w:space="0" w:color="auto"/>
            </w:tcBorders>
            <w:shd w:val="clear" w:color="auto" w:fill="auto"/>
            <w:vAlign w:val="center"/>
            <w:hideMark/>
          </w:tcPr>
          <w:p w14:paraId="086E1377"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47.582</w:t>
            </w:r>
          </w:p>
        </w:tc>
      </w:tr>
      <w:tr w:rsidR="001F1826" w:rsidRPr="001F1826" w14:paraId="5C88FE61"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47940"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Sin Situación de Fondos </w:t>
            </w:r>
          </w:p>
        </w:tc>
        <w:tc>
          <w:tcPr>
            <w:tcW w:w="0" w:type="auto"/>
            <w:tcBorders>
              <w:top w:val="nil"/>
              <w:left w:val="nil"/>
              <w:bottom w:val="single" w:sz="4" w:space="0" w:color="auto"/>
              <w:right w:val="single" w:sz="4" w:space="0" w:color="auto"/>
            </w:tcBorders>
            <w:shd w:val="clear" w:color="auto" w:fill="auto"/>
            <w:vAlign w:val="center"/>
            <w:hideMark/>
          </w:tcPr>
          <w:p w14:paraId="2B7C4A98"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3.337</w:t>
            </w:r>
          </w:p>
        </w:tc>
        <w:tc>
          <w:tcPr>
            <w:tcW w:w="0" w:type="auto"/>
            <w:tcBorders>
              <w:top w:val="nil"/>
              <w:left w:val="nil"/>
              <w:bottom w:val="single" w:sz="4" w:space="0" w:color="auto"/>
              <w:right w:val="single" w:sz="4" w:space="0" w:color="auto"/>
            </w:tcBorders>
            <w:shd w:val="clear" w:color="auto" w:fill="auto"/>
            <w:vAlign w:val="center"/>
            <w:hideMark/>
          </w:tcPr>
          <w:p w14:paraId="5A46787B"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2.592</w:t>
            </w:r>
          </w:p>
        </w:tc>
      </w:tr>
      <w:tr w:rsidR="001F1826" w:rsidRPr="001F1826" w14:paraId="31E29E8A"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3C2C8"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Cancelaciones</w:t>
            </w:r>
          </w:p>
        </w:tc>
        <w:tc>
          <w:tcPr>
            <w:tcW w:w="0" w:type="auto"/>
            <w:tcBorders>
              <w:top w:val="nil"/>
              <w:left w:val="nil"/>
              <w:bottom w:val="single" w:sz="4" w:space="0" w:color="auto"/>
              <w:right w:val="single" w:sz="4" w:space="0" w:color="auto"/>
            </w:tcBorders>
            <w:shd w:val="clear" w:color="auto" w:fill="auto"/>
            <w:vAlign w:val="center"/>
            <w:hideMark/>
          </w:tcPr>
          <w:p w14:paraId="55A42994"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111</w:t>
            </w:r>
          </w:p>
        </w:tc>
        <w:tc>
          <w:tcPr>
            <w:tcW w:w="0" w:type="auto"/>
            <w:tcBorders>
              <w:top w:val="nil"/>
              <w:left w:val="nil"/>
              <w:bottom w:val="single" w:sz="4" w:space="0" w:color="auto"/>
              <w:right w:val="single" w:sz="4" w:space="0" w:color="auto"/>
            </w:tcBorders>
            <w:shd w:val="clear" w:color="auto" w:fill="auto"/>
            <w:vAlign w:val="center"/>
            <w:hideMark/>
          </w:tcPr>
          <w:p w14:paraId="15DBF214"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98</w:t>
            </w:r>
          </w:p>
        </w:tc>
      </w:tr>
      <w:tr w:rsidR="001F1826" w:rsidRPr="001F1826" w14:paraId="6D3AE8AB"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8F397"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Calidad</w:t>
            </w:r>
          </w:p>
        </w:tc>
        <w:tc>
          <w:tcPr>
            <w:tcW w:w="0" w:type="auto"/>
            <w:tcBorders>
              <w:top w:val="nil"/>
              <w:left w:val="nil"/>
              <w:bottom w:val="single" w:sz="4" w:space="0" w:color="auto"/>
              <w:right w:val="single" w:sz="4" w:space="0" w:color="auto"/>
            </w:tcBorders>
            <w:shd w:val="clear" w:color="auto" w:fill="auto"/>
            <w:vAlign w:val="center"/>
            <w:hideMark/>
          </w:tcPr>
          <w:p w14:paraId="4CD5D16E"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416</w:t>
            </w:r>
          </w:p>
        </w:tc>
        <w:tc>
          <w:tcPr>
            <w:tcW w:w="0" w:type="auto"/>
            <w:tcBorders>
              <w:top w:val="nil"/>
              <w:left w:val="nil"/>
              <w:bottom w:val="single" w:sz="4" w:space="0" w:color="auto"/>
              <w:right w:val="single" w:sz="4" w:space="0" w:color="auto"/>
            </w:tcBorders>
            <w:shd w:val="clear" w:color="auto" w:fill="auto"/>
            <w:vAlign w:val="center"/>
            <w:hideMark/>
          </w:tcPr>
          <w:p w14:paraId="41D0402D"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 </w:t>
            </w:r>
          </w:p>
        </w:tc>
      </w:tr>
      <w:tr w:rsidR="001F1826" w:rsidRPr="001F1826" w14:paraId="272006D9"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7FCDEA9"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INGRESOS DE CAPITAL</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D9D9D9"/>
            <w:vAlign w:val="center"/>
            <w:hideMark/>
          </w:tcPr>
          <w:p w14:paraId="0AF6BAA9"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4.146</w:t>
            </w:r>
          </w:p>
        </w:tc>
        <w:tc>
          <w:tcPr>
            <w:tcW w:w="0" w:type="auto"/>
            <w:tcBorders>
              <w:top w:val="nil"/>
              <w:left w:val="nil"/>
              <w:bottom w:val="single" w:sz="4" w:space="0" w:color="auto"/>
              <w:right w:val="single" w:sz="4" w:space="0" w:color="auto"/>
            </w:tcBorders>
            <w:shd w:val="clear" w:color="000000" w:fill="D9D9D9"/>
            <w:vAlign w:val="center"/>
            <w:hideMark/>
          </w:tcPr>
          <w:p w14:paraId="3663A0E3"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11.255</w:t>
            </w:r>
          </w:p>
        </w:tc>
      </w:tr>
      <w:tr w:rsidR="001F1826" w:rsidRPr="001F1826" w14:paraId="25243672"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37945"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Rendimientos Financieros</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A3FF5A8"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195</w:t>
            </w:r>
          </w:p>
        </w:tc>
        <w:tc>
          <w:tcPr>
            <w:tcW w:w="0" w:type="auto"/>
            <w:tcBorders>
              <w:top w:val="nil"/>
              <w:left w:val="nil"/>
              <w:bottom w:val="single" w:sz="4" w:space="0" w:color="auto"/>
              <w:right w:val="single" w:sz="4" w:space="0" w:color="auto"/>
            </w:tcBorders>
            <w:shd w:val="clear" w:color="auto" w:fill="auto"/>
            <w:vAlign w:val="center"/>
            <w:hideMark/>
          </w:tcPr>
          <w:p w14:paraId="52BFDA3D"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499,8</w:t>
            </w:r>
          </w:p>
        </w:tc>
      </w:tr>
      <w:tr w:rsidR="001F1826" w:rsidRPr="001F1826" w14:paraId="3C3AB84D"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9768C"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Recursos del Balance </w:t>
            </w:r>
            <w:r w:rsidRPr="001F1826">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255CF79"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3.951</w:t>
            </w:r>
          </w:p>
        </w:tc>
        <w:tc>
          <w:tcPr>
            <w:tcW w:w="0" w:type="auto"/>
            <w:tcBorders>
              <w:top w:val="nil"/>
              <w:left w:val="nil"/>
              <w:bottom w:val="single" w:sz="4" w:space="0" w:color="auto"/>
              <w:right w:val="single" w:sz="4" w:space="0" w:color="auto"/>
            </w:tcBorders>
            <w:shd w:val="clear" w:color="auto" w:fill="auto"/>
            <w:vAlign w:val="center"/>
            <w:hideMark/>
          </w:tcPr>
          <w:p w14:paraId="01051D1E"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10.755</w:t>
            </w:r>
          </w:p>
        </w:tc>
      </w:tr>
      <w:tr w:rsidR="001F1826" w:rsidRPr="001F1826" w14:paraId="61FDB337"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D48DA"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Superávit fiscal </w:t>
            </w:r>
          </w:p>
        </w:tc>
        <w:tc>
          <w:tcPr>
            <w:tcW w:w="0" w:type="auto"/>
            <w:tcBorders>
              <w:top w:val="nil"/>
              <w:left w:val="nil"/>
              <w:bottom w:val="single" w:sz="4" w:space="0" w:color="auto"/>
              <w:right w:val="single" w:sz="4" w:space="0" w:color="auto"/>
            </w:tcBorders>
            <w:shd w:val="clear" w:color="auto" w:fill="auto"/>
            <w:vAlign w:val="center"/>
            <w:hideMark/>
          </w:tcPr>
          <w:p w14:paraId="7FA0A131"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3.951</w:t>
            </w:r>
          </w:p>
        </w:tc>
        <w:tc>
          <w:tcPr>
            <w:tcW w:w="0" w:type="auto"/>
            <w:tcBorders>
              <w:top w:val="nil"/>
              <w:left w:val="nil"/>
              <w:bottom w:val="single" w:sz="4" w:space="0" w:color="auto"/>
              <w:right w:val="single" w:sz="4" w:space="0" w:color="auto"/>
            </w:tcBorders>
            <w:shd w:val="clear" w:color="auto" w:fill="auto"/>
            <w:vAlign w:val="center"/>
            <w:hideMark/>
          </w:tcPr>
          <w:p w14:paraId="5054D860"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10.755</w:t>
            </w:r>
          </w:p>
        </w:tc>
      </w:tr>
      <w:tr w:rsidR="001F1826" w:rsidRPr="001F1826" w14:paraId="49F9A5B8"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124BD"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Cancelación de reserva</w:t>
            </w:r>
          </w:p>
        </w:tc>
        <w:tc>
          <w:tcPr>
            <w:tcW w:w="0" w:type="auto"/>
            <w:tcBorders>
              <w:top w:val="nil"/>
              <w:left w:val="nil"/>
              <w:bottom w:val="single" w:sz="4" w:space="0" w:color="auto"/>
              <w:right w:val="single" w:sz="4" w:space="0" w:color="auto"/>
            </w:tcBorders>
            <w:shd w:val="clear" w:color="auto" w:fill="auto"/>
            <w:vAlign w:val="center"/>
            <w:hideMark/>
          </w:tcPr>
          <w:p w14:paraId="5E7B45BE"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A2F771F"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r>
      <w:tr w:rsidR="001F1826" w:rsidRPr="001F1826" w14:paraId="3470DF8F"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76C4C" w14:textId="77777777" w:rsidR="001F1826" w:rsidRPr="001F1826" w:rsidRDefault="001F1826" w:rsidP="00D00168">
            <w:pPr>
              <w:rPr>
                <w:rFonts w:ascii="Arial" w:hAnsi="Arial" w:cs="Arial"/>
                <w:b/>
                <w:bCs/>
                <w:color w:val="000000"/>
                <w:sz w:val="18"/>
                <w:szCs w:val="18"/>
              </w:rPr>
            </w:pPr>
            <w:r w:rsidRPr="001F1826">
              <w:rPr>
                <w:rFonts w:ascii="Arial" w:hAnsi="Arial" w:cs="Arial"/>
                <w:b/>
                <w:bCs/>
                <w:color w:val="000000"/>
                <w:sz w:val="18"/>
                <w:szCs w:val="18"/>
              </w:rPr>
              <w:t>Reintegros</w:t>
            </w:r>
          </w:p>
        </w:tc>
        <w:tc>
          <w:tcPr>
            <w:tcW w:w="0" w:type="auto"/>
            <w:tcBorders>
              <w:top w:val="nil"/>
              <w:left w:val="nil"/>
              <w:bottom w:val="single" w:sz="4" w:space="0" w:color="auto"/>
              <w:right w:val="single" w:sz="4" w:space="0" w:color="auto"/>
            </w:tcBorders>
            <w:shd w:val="clear" w:color="auto" w:fill="auto"/>
            <w:vAlign w:val="center"/>
            <w:hideMark/>
          </w:tcPr>
          <w:p w14:paraId="79E25B06"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7BCAF6F4"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r>
      <w:tr w:rsidR="001F1826" w:rsidRPr="001F1826" w14:paraId="22C0E60C" w14:textId="77777777" w:rsidTr="001F1826">
        <w:trPr>
          <w:trHeight w:val="20"/>
          <w:jc w:val="center"/>
        </w:trPr>
        <w:tc>
          <w:tcPr>
            <w:tcW w:w="0" w:type="auto"/>
            <w:tcBorders>
              <w:top w:val="nil"/>
              <w:left w:val="single" w:sz="4" w:space="0" w:color="auto"/>
              <w:bottom w:val="single" w:sz="4" w:space="0" w:color="auto"/>
              <w:right w:val="single" w:sz="4" w:space="0" w:color="auto"/>
            </w:tcBorders>
            <w:shd w:val="clear" w:color="000000" w:fill="244061"/>
            <w:vAlign w:val="center"/>
            <w:hideMark/>
          </w:tcPr>
          <w:p w14:paraId="693D4099" w14:textId="77777777" w:rsidR="001F1826" w:rsidRPr="001F1826" w:rsidRDefault="001F1826" w:rsidP="00D00168">
            <w:pPr>
              <w:jc w:val="both"/>
              <w:rPr>
                <w:rFonts w:ascii="Arial" w:hAnsi="Arial" w:cs="Arial"/>
                <w:b/>
                <w:bCs/>
                <w:color w:val="FFFFFF"/>
                <w:sz w:val="18"/>
                <w:szCs w:val="18"/>
              </w:rPr>
            </w:pPr>
            <w:r w:rsidRPr="001F1826">
              <w:rPr>
                <w:rFonts w:ascii="Arial" w:hAnsi="Arial" w:cs="Arial"/>
                <w:b/>
                <w:bCs/>
                <w:color w:val="FFFFFF"/>
                <w:sz w:val="18"/>
                <w:szCs w:val="18"/>
              </w:rPr>
              <w:t>INGRESOS TOTALES</w:t>
            </w:r>
            <w:r w:rsidRPr="001F1826">
              <w:rPr>
                <w:rFonts w:ascii="Arial" w:hAnsi="Arial" w:cs="Arial"/>
                <w:color w:val="FFFFFF"/>
                <w:sz w:val="18"/>
                <w:szCs w:val="18"/>
              </w:rPr>
              <w:t> </w:t>
            </w:r>
          </w:p>
        </w:tc>
        <w:tc>
          <w:tcPr>
            <w:tcW w:w="0" w:type="auto"/>
            <w:tcBorders>
              <w:top w:val="nil"/>
              <w:left w:val="nil"/>
              <w:bottom w:val="single" w:sz="4" w:space="0" w:color="auto"/>
              <w:right w:val="single" w:sz="4" w:space="0" w:color="auto"/>
            </w:tcBorders>
            <w:shd w:val="clear" w:color="000000" w:fill="244061"/>
            <w:vAlign w:val="center"/>
            <w:hideMark/>
          </w:tcPr>
          <w:p w14:paraId="6DE40AA4"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51.830</w:t>
            </w:r>
          </w:p>
        </w:tc>
        <w:tc>
          <w:tcPr>
            <w:tcW w:w="0" w:type="auto"/>
            <w:tcBorders>
              <w:top w:val="nil"/>
              <w:left w:val="nil"/>
              <w:bottom w:val="single" w:sz="4" w:space="0" w:color="auto"/>
              <w:right w:val="single" w:sz="4" w:space="0" w:color="auto"/>
            </w:tcBorders>
            <w:shd w:val="clear" w:color="000000" w:fill="244061"/>
            <w:vAlign w:val="center"/>
            <w:hideMark/>
          </w:tcPr>
          <w:p w14:paraId="60792658"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61.625</w:t>
            </w:r>
          </w:p>
        </w:tc>
      </w:tr>
    </w:tbl>
    <w:p w14:paraId="5D46194C" w14:textId="77777777" w:rsidR="001F1826" w:rsidRDefault="001F1826" w:rsidP="00D00168">
      <w:pPr>
        <w:jc w:val="center"/>
        <w:rPr>
          <w:rFonts w:ascii="Arial" w:hAnsi="Arial" w:cs="Arial"/>
          <w:sz w:val="16"/>
          <w:szCs w:val="16"/>
        </w:rPr>
      </w:pPr>
      <w:r>
        <w:rPr>
          <w:rFonts w:ascii="Arial" w:hAnsi="Arial" w:cs="Arial"/>
          <w:sz w:val="16"/>
          <w:szCs w:val="16"/>
        </w:rPr>
        <w:t>Fuente: Información reportada por la Entidad Territorial en la Categoría de Ingresos del FUT a 31 de diciembre de 2020 y de 2021</w:t>
      </w:r>
    </w:p>
    <w:p w14:paraId="654568A0" w14:textId="77777777" w:rsidR="001F1826" w:rsidRDefault="001F1826" w:rsidP="00D00168">
      <w:pPr>
        <w:jc w:val="both"/>
        <w:rPr>
          <w:rFonts w:ascii="Arial" w:hAnsi="Arial" w:cs="Arial"/>
          <w:sz w:val="22"/>
          <w:szCs w:val="22"/>
        </w:rPr>
      </w:pPr>
    </w:p>
    <w:p w14:paraId="32CBB12B" w14:textId="77777777" w:rsidR="001F1826" w:rsidRDefault="001F1826" w:rsidP="00D00168">
      <w:pPr>
        <w:jc w:val="both"/>
        <w:rPr>
          <w:rFonts w:ascii="Arial" w:hAnsi="Arial" w:cs="Arial"/>
          <w:sz w:val="22"/>
          <w:szCs w:val="22"/>
        </w:rPr>
      </w:pPr>
      <w:r>
        <w:rPr>
          <w:rFonts w:ascii="Arial" w:hAnsi="Arial" w:cs="Arial"/>
          <w:sz w:val="22"/>
          <w:szCs w:val="22"/>
        </w:rPr>
        <w:t xml:space="preserve">El incremento en los ingresos por concepto de superávit de la vigencia anterior obedece al menor valor ejecutado en 2020 en el rubro de internados a causa del aislamiento y trabajo en casa durante la emergencia vivida por el Coronavirus COVID-19. </w:t>
      </w:r>
      <w:r w:rsidR="00D00168">
        <w:rPr>
          <w:rFonts w:ascii="Arial" w:hAnsi="Arial" w:cs="Arial"/>
          <w:sz w:val="22"/>
          <w:szCs w:val="22"/>
        </w:rPr>
        <w:t>Así mismo, se incluyen en el superávit de 2020 los recursos de Calidad Educativa girados al Departamento con motivo del levantamiento parcial de la medida correctiva ordenada mediante Resolución 1047 del 28 de abril del mismo año, no ejecutados durante la vigencia.</w:t>
      </w:r>
    </w:p>
    <w:p w14:paraId="4B589FCD" w14:textId="77777777" w:rsidR="001F1826" w:rsidRPr="001F1826" w:rsidRDefault="001F1826" w:rsidP="00D00168">
      <w:pPr>
        <w:jc w:val="both"/>
        <w:rPr>
          <w:rFonts w:ascii="Arial" w:hAnsi="Arial" w:cs="Arial"/>
          <w:sz w:val="22"/>
          <w:szCs w:val="22"/>
        </w:rPr>
      </w:pPr>
    </w:p>
    <w:p w14:paraId="21F76BDE" w14:textId="77777777" w:rsidR="00C560C6" w:rsidRDefault="00C560C6" w:rsidP="00D00168">
      <w:pPr>
        <w:pStyle w:val="Ttulo2"/>
        <w:spacing w:before="0"/>
        <w:jc w:val="both"/>
        <w:rPr>
          <w:rFonts w:ascii="Arial" w:hAnsi="Arial" w:cs="Arial"/>
          <w:b/>
          <w:color w:val="auto"/>
          <w:sz w:val="22"/>
          <w:lang w:val="es-CO"/>
        </w:rPr>
      </w:pPr>
    </w:p>
    <w:p w14:paraId="2BF1E8CF" w14:textId="77777777" w:rsidR="00EF5D6B" w:rsidRPr="00761DA0" w:rsidRDefault="001419E5" w:rsidP="00D00168">
      <w:pPr>
        <w:pStyle w:val="Ttulo2"/>
        <w:spacing w:before="0"/>
        <w:jc w:val="both"/>
        <w:rPr>
          <w:rFonts w:ascii="Arial" w:hAnsi="Arial" w:cs="Arial"/>
          <w:b/>
          <w:color w:val="auto"/>
          <w:sz w:val="22"/>
          <w:lang w:val="es-CO"/>
        </w:rPr>
      </w:pPr>
      <w:r w:rsidRPr="00761DA0">
        <w:rPr>
          <w:rFonts w:ascii="Arial" w:hAnsi="Arial" w:cs="Arial"/>
          <w:b/>
          <w:color w:val="auto"/>
          <w:sz w:val="22"/>
          <w:lang w:val="es-CO"/>
        </w:rPr>
        <w:t>Gastos</w:t>
      </w:r>
      <w:r w:rsidR="00C9264B">
        <w:rPr>
          <w:rFonts w:ascii="Arial" w:hAnsi="Arial" w:cs="Arial"/>
          <w:b/>
          <w:color w:val="auto"/>
          <w:sz w:val="22"/>
          <w:lang w:val="es-CO"/>
        </w:rPr>
        <w:t>.</w:t>
      </w:r>
    </w:p>
    <w:p w14:paraId="7A7D19C6" w14:textId="77777777" w:rsidR="001F1826" w:rsidRDefault="001F1826" w:rsidP="00D00168">
      <w:pPr>
        <w:jc w:val="both"/>
        <w:rPr>
          <w:rFonts w:ascii="Arial" w:hAnsi="Arial" w:cs="Arial"/>
          <w:bCs/>
          <w:sz w:val="22"/>
          <w:szCs w:val="22"/>
          <w:lang w:val="es-ES_tradnl"/>
        </w:rPr>
      </w:pPr>
    </w:p>
    <w:p w14:paraId="2C52B332" w14:textId="77777777" w:rsidR="001F1826" w:rsidRPr="002C4777" w:rsidRDefault="001F1826" w:rsidP="00D00168">
      <w:pPr>
        <w:jc w:val="both"/>
        <w:rPr>
          <w:rFonts w:ascii="Arial" w:hAnsi="Arial" w:cs="Arial"/>
          <w:bCs/>
          <w:sz w:val="22"/>
          <w:szCs w:val="22"/>
          <w:lang w:val="es-ES_tradnl"/>
        </w:rPr>
      </w:pPr>
      <w:r w:rsidRPr="002C4777">
        <w:rPr>
          <w:rFonts w:ascii="Arial" w:hAnsi="Arial" w:cs="Arial"/>
          <w:bCs/>
          <w:sz w:val="22"/>
          <w:szCs w:val="22"/>
          <w:lang w:val="es-ES_tradnl"/>
        </w:rPr>
        <w:t xml:space="preserve">En lo correspondiente al gasto, durante </w:t>
      </w:r>
      <w:r w:rsidRPr="002C4777">
        <w:rPr>
          <w:rFonts w:ascii="Arial" w:hAnsi="Arial" w:cs="Arial"/>
          <w:sz w:val="22"/>
          <w:szCs w:val="22"/>
        </w:rPr>
        <w:t>2</w:t>
      </w:r>
      <w:r>
        <w:rPr>
          <w:rFonts w:ascii="Arial" w:hAnsi="Arial" w:cs="Arial"/>
          <w:sz w:val="22"/>
          <w:szCs w:val="22"/>
        </w:rPr>
        <w:t xml:space="preserve">021 </w:t>
      </w:r>
      <w:r w:rsidRPr="002C4777">
        <w:rPr>
          <w:rFonts w:ascii="Arial" w:hAnsi="Arial" w:cs="Arial"/>
          <w:bCs/>
          <w:sz w:val="22"/>
          <w:szCs w:val="22"/>
          <w:lang w:val="es-ES_tradnl"/>
        </w:rPr>
        <w:t>se comprometieron</w:t>
      </w:r>
      <w:r>
        <w:rPr>
          <w:rFonts w:ascii="Arial" w:hAnsi="Arial" w:cs="Arial"/>
          <w:bCs/>
          <w:sz w:val="22"/>
          <w:szCs w:val="22"/>
          <w:lang w:val="es-ES_tradnl"/>
        </w:rPr>
        <w:t xml:space="preserve"> $55.256 </w:t>
      </w:r>
      <w:r w:rsidRPr="002C4777">
        <w:rPr>
          <w:rFonts w:ascii="Arial" w:hAnsi="Arial" w:cs="Arial"/>
          <w:bCs/>
          <w:sz w:val="22"/>
          <w:szCs w:val="22"/>
          <w:lang w:val="es-ES_tradnl"/>
        </w:rPr>
        <w:t xml:space="preserve">millones con cargo a los recursos del SGP </w:t>
      </w:r>
      <w:r w:rsidRPr="001F1826">
        <w:rPr>
          <w:rFonts w:ascii="Arial" w:hAnsi="Arial" w:cs="Arial"/>
          <w:bCs/>
          <w:sz w:val="22"/>
          <w:szCs w:val="22"/>
          <w:lang w:val="es-ES_tradnl"/>
        </w:rPr>
        <w:t>asignados al sector, de los cuales se obligaron $48.603 millones y se pagaron $48.082</w:t>
      </w:r>
      <w:r w:rsidRPr="001F1826">
        <w:rPr>
          <w:rFonts w:ascii="Arial" w:hAnsi="Arial" w:cs="Arial"/>
          <w:sz w:val="22"/>
          <w:szCs w:val="22"/>
        </w:rPr>
        <w:t xml:space="preserve"> </w:t>
      </w:r>
      <w:r w:rsidRPr="002C4777">
        <w:rPr>
          <w:rFonts w:ascii="Arial" w:hAnsi="Arial" w:cs="Arial"/>
          <w:bCs/>
          <w:sz w:val="22"/>
          <w:szCs w:val="22"/>
          <w:lang w:val="es-ES_tradnl"/>
        </w:rPr>
        <w:t>millones. Los gastos financiados con recursos del SGP de la vigencia y anteriores se comprometieron de la siguiente ma</w:t>
      </w:r>
      <w:r w:rsidRPr="001F1826">
        <w:rPr>
          <w:rFonts w:ascii="Arial" w:hAnsi="Arial" w:cs="Arial"/>
          <w:bCs/>
          <w:sz w:val="22"/>
          <w:szCs w:val="22"/>
          <w:lang w:val="es-ES_tradnl"/>
        </w:rPr>
        <w:t>nera: $37.271 millones en cobertura, $17.080 millones en internados, $586 millones en calidad, $288 millones en eficiencia y $31 millones en necesidades educativas especiales.</w:t>
      </w:r>
      <w:r w:rsidRPr="002C4777">
        <w:rPr>
          <w:rFonts w:ascii="Arial" w:hAnsi="Arial" w:cs="Arial"/>
          <w:bCs/>
          <w:sz w:val="22"/>
          <w:szCs w:val="22"/>
          <w:lang w:val="es-ES_tradnl"/>
        </w:rPr>
        <w:t xml:space="preserve"> </w:t>
      </w:r>
    </w:p>
    <w:p w14:paraId="7BB15F26" w14:textId="77777777" w:rsidR="001F1826" w:rsidRDefault="001F1826" w:rsidP="00D00168">
      <w:pPr>
        <w:rPr>
          <w:rFonts w:ascii="Arial" w:hAnsi="Arial" w:cs="Arial"/>
          <w:bCs/>
          <w:sz w:val="22"/>
          <w:szCs w:val="22"/>
          <w:lang w:val="es-ES_tradnl"/>
        </w:rPr>
      </w:pPr>
    </w:p>
    <w:tbl>
      <w:tblPr>
        <w:tblW w:w="8828" w:type="dxa"/>
        <w:tblCellMar>
          <w:left w:w="70" w:type="dxa"/>
          <w:right w:w="70" w:type="dxa"/>
        </w:tblCellMar>
        <w:tblLook w:val="04A0" w:firstRow="1" w:lastRow="0" w:firstColumn="1" w:lastColumn="0" w:noHBand="0" w:noVBand="1"/>
      </w:tblPr>
      <w:tblGrid>
        <w:gridCol w:w="6091"/>
        <w:gridCol w:w="850"/>
        <w:gridCol w:w="774"/>
        <w:gridCol w:w="1113"/>
      </w:tblGrid>
      <w:tr w:rsidR="001F1826" w:rsidRPr="001F1826" w14:paraId="2A87B571" w14:textId="77777777" w:rsidTr="001F1826">
        <w:trPr>
          <w:trHeight w:val="20"/>
        </w:trPr>
        <w:tc>
          <w:tcPr>
            <w:tcW w:w="8828" w:type="dxa"/>
            <w:gridSpan w:val="4"/>
            <w:tcBorders>
              <w:top w:val="single" w:sz="4" w:space="0" w:color="auto"/>
              <w:left w:val="single" w:sz="4" w:space="0" w:color="auto"/>
              <w:bottom w:val="single" w:sz="4" w:space="0" w:color="auto"/>
              <w:right w:val="single" w:sz="4" w:space="0" w:color="auto"/>
            </w:tcBorders>
            <w:shd w:val="clear" w:color="000000" w:fill="244061"/>
            <w:vAlign w:val="center"/>
            <w:hideMark/>
          </w:tcPr>
          <w:p w14:paraId="5E9C3AC6"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TABLA 2. GASTOS DE LA ENTIDAD TERRITORIAL (</w:t>
            </w:r>
            <w:proofErr w:type="gramStart"/>
            <w:r w:rsidRPr="001F1826">
              <w:rPr>
                <w:rFonts w:ascii="Arial" w:hAnsi="Arial" w:cs="Arial"/>
                <w:b/>
                <w:bCs/>
                <w:color w:val="FFFFFF"/>
                <w:sz w:val="18"/>
                <w:szCs w:val="18"/>
              </w:rPr>
              <w:t xml:space="preserve">MILLONES </w:t>
            </w:r>
            <w:r w:rsidRPr="001F1826">
              <w:rPr>
                <w:rFonts w:ascii="Arial" w:hAnsi="Arial" w:cs="Arial"/>
                <w:color w:val="000000"/>
                <w:sz w:val="18"/>
                <w:szCs w:val="18"/>
              </w:rPr>
              <w:t> </w:t>
            </w:r>
            <w:r w:rsidRPr="001F1826">
              <w:rPr>
                <w:rFonts w:ascii="Arial" w:hAnsi="Arial" w:cs="Arial"/>
                <w:b/>
                <w:bCs/>
                <w:color w:val="FFFFFF"/>
                <w:sz w:val="18"/>
                <w:szCs w:val="18"/>
              </w:rPr>
              <w:t>DE</w:t>
            </w:r>
            <w:proofErr w:type="gramEnd"/>
            <w:r w:rsidRPr="001F1826">
              <w:rPr>
                <w:rFonts w:ascii="Arial" w:hAnsi="Arial" w:cs="Arial"/>
                <w:b/>
                <w:bCs/>
                <w:color w:val="FFFFFF"/>
                <w:sz w:val="18"/>
                <w:szCs w:val="18"/>
              </w:rPr>
              <w:t xml:space="preserve"> $)</w:t>
            </w:r>
            <w:r w:rsidRPr="001F1826">
              <w:rPr>
                <w:rFonts w:ascii="Arial" w:hAnsi="Arial" w:cs="Arial"/>
                <w:color w:val="FFFFFF"/>
                <w:sz w:val="18"/>
                <w:szCs w:val="18"/>
              </w:rPr>
              <w:t> </w:t>
            </w:r>
          </w:p>
        </w:tc>
      </w:tr>
      <w:tr w:rsidR="001F1826" w:rsidRPr="001F1826" w14:paraId="7B6DA155"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95B3D7"/>
            <w:vAlign w:val="center"/>
            <w:hideMark/>
          </w:tcPr>
          <w:p w14:paraId="33487F07"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RUBRO</w:t>
            </w:r>
            <w:r w:rsidRPr="001F1826">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95B3D7"/>
            <w:vAlign w:val="center"/>
            <w:hideMark/>
          </w:tcPr>
          <w:p w14:paraId="7F3DF440"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2020</w:t>
            </w:r>
          </w:p>
        </w:tc>
        <w:tc>
          <w:tcPr>
            <w:tcW w:w="774" w:type="dxa"/>
            <w:tcBorders>
              <w:top w:val="nil"/>
              <w:left w:val="nil"/>
              <w:bottom w:val="single" w:sz="4" w:space="0" w:color="auto"/>
              <w:right w:val="single" w:sz="4" w:space="0" w:color="auto"/>
            </w:tcBorders>
            <w:shd w:val="clear" w:color="000000" w:fill="95B3D7"/>
            <w:vAlign w:val="center"/>
            <w:hideMark/>
          </w:tcPr>
          <w:p w14:paraId="06D02ABF"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2021</w:t>
            </w:r>
          </w:p>
        </w:tc>
        <w:tc>
          <w:tcPr>
            <w:tcW w:w="1113" w:type="dxa"/>
            <w:tcBorders>
              <w:top w:val="nil"/>
              <w:left w:val="nil"/>
              <w:bottom w:val="single" w:sz="4" w:space="0" w:color="auto"/>
              <w:right w:val="single" w:sz="4" w:space="0" w:color="auto"/>
            </w:tcBorders>
            <w:shd w:val="clear" w:color="000000" w:fill="95B3D7"/>
            <w:vAlign w:val="center"/>
            <w:hideMark/>
          </w:tcPr>
          <w:p w14:paraId="7B049FA6"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Variación 2021/2020</w:t>
            </w:r>
          </w:p>
        </w:tc>
      </w:tr>
      <w:tr w:rsidR="001F1826" w:rsidRPr="001F1826" w14:paraId="27443703"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37D327CD"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COBERTURA</w:t>
            </w:r>
          </w:p>
        </w:tc>
        <w:tc>
          <w:tcPr>
            <w:tcW w:w="850" w:type="dxa"/>
            <w:tcBorders>
              <w:top w:val="nil"/>
              <w:left w:val="nil"/>
              <w:bottom w:val="single" w:sz="4" w:space="0" w:color="auto"/>
              <w:right w:val="single" w:sz="4" w:space="0" w:color="auto"/>
            </w:tcBorders>
            <w:shd w:val="clear" w:color="000000" w:fill="D9D9D9"/>
            <w:noWrap/>
            <w:vAlign w:val="center"/>
            <w:hideMark/>
          </w:tcPr>
          <w:p w14:paraId="3AAAA8EF"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33.996</w:t>
            </w:r>
          </w:p>
        </w:tc>
        <w:tc>
          <w:tcPr>
            <w:tcW w:w="774" w:type="dxa"/>
            <w:tcBorders>
              <w:top w:val="nil"/>
              <w:left w:val="nil"/>
              <w:bottom w:val="single" w:sz="4" w:space="0" w:color="auto"/>
              <w:right w:val="single" w:sz="4" w:space="0" w:color="auto"/>
            </w:tcBorders>
            <w:shd w:val="clear" w:color="000000" w:fill="D9D9D9"/>
            <w:noWrap/>
            <w:vAlign w:val="center"/>
            <w:hideMark/>
          </w:tcPr>
          <w:p w14:paraId="401F9AE9"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37.271</w:t>
            </w:r>
          </w:p>
        </w:tc>
        <w:tc>
          <w:tcPr>
            <w:tcW w:w="1113" w:type="dxa"/>
            <w:tcBorders>
              <w:top w:val="nil"/>
              <w:left w:val="nil"/>
              <w:bottom w:val="single" w:sz="4" w:space="0" w:color="auto"/>
              <w:right w:val="single" w:sz="4" w:space="0" w:color="auto"/>
            </w:tcBorders>
            <w:shd w:val="clear" w:color="000000" w:fill="D9D9D9"/>
            <w:noWrap/>
            <w:vAlign w:val="center"/>
            <w:hideMark/>
          </w:tcPr>
          <w:p w14:paraId="1786BE6E"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10%</w:t>
            </w:r>
          </w:p>
        </w:tc>
      </w:tr>
      <w:tr w:rsidR="001F1826" w:rsidRPr="001F1826" w14:paraId="5DCFFEA8"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EFF38A4"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 xml:space="preserve">Gastos de Personal </w:t>
            </w:r>
          </w:p>
        </w:tc>
        <w:tc>
          <w:tcPr>
            <w:tcW w:w="850" w:type="dxa"/>
            <w:tcBorders>
              <w:top w:val="nil"/>
              <w:left w:val="nil"/>
              <w:bottom w:val="single" w:sz="4" w:space="0" w:color="auto"/>
              <w:right w:val="single" w:sz="4" w:space="0" w:color="auto"/>
            </w:tcBorders>
            <w:shd w:val="clear" w:color="auto" w:fill="auto"/>
            <w:noWrap/>
            <w:vAlign w:val="center"/>
            <w:hideMark/>
          </w:tcPr>
          <w:p w14:paraId="202CE184"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21.273</w:t>
            </w:r>
          </w:p>
        </w:tc>
        <w:tc>
          <w:tcPr>
            <w:tcW w:w="774" w:type="dxa"/>
            <w:tcBorders>
              <w:top w:val="nil"/>
              <w:left w:val="nil"/>
              <w:bottom w:val="single" w:sz="4" w:space="0" w:color="auto"/>
              <w:right w:val="single" w:sz="4" w:space="0" w:color="auto"/>
            </w:tcBorders>
            <w:shd w:val="clear" w:color="auto" w:fill="auto"/>
            <w:noWrap/>
            <w:vAlign w:val="center"/>
            <w:hideMark/>
          </w:tcPr>
          <w:p w14:paraId="74D45B31"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22.340</w:t>
            </w:r>
          </w:p>
        </w:tc>
        <w:tc>
          <w:tcPr>
            <w:tcW w:w="1113" w:type="dxa"/>
            <w:tcBorders>
              <w:top w:val="nil"/>
              <w:left w:val="nil"/>
              <w:bottom w:val="single" w:sz="4" w:space="0" w:color="auto"/>
              <w:right w:val="single" w:sz="4" w:space="0" w:color="auto"/>
            </w:tcBorders>
            <w:shd w:val="clear" w:color="auto" w:fill="auto"/>
            <w:noWrap/>
            <w:vAlign w:val="center"/>
            <w:hideMark/>
          </w:tcPr>
          <w:p w14:paraId="11BB69A1"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5%</w:t>
            </w:r>
          </w:p>
        </w:tc>
      </w:tr>
      <w:tr w:rsidR="001F1826" w:rsidRPr="001F1826" w14:paraId="5EF8B28F"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F696394"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Personal Docente </w:t>
            </w:r>
          </w:p>
        </w:tc>
        <w:tc>
          <w:tcPr>
            <w:tcW w:w="850" w:type="dxa"/>
            <w:tcBorders>
              <w:top w:val="nil"/>
              <w:left w:val="nil"/>
              <w:bottom w:val="single" w:sz="4" w:space="0" w:color="auto"/>
              <w:right w:val="single" w:sz="4" w:space="0" w:color="auto"/>
            </w:tcBorders>
            <w:shd w:val="clear" w:color="auto" w:fill="auto"/>
            <w:noWrap/>
            <w:vAlign w:val="center"/>
            <w:hideMark/>
          </w:tcPr>
          <w:p w14:paraId="591DD17F"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14.185</w:t>
            </w:r>
          </w:p>
        </w:tc>
        <w:tc>
          <w:tcPr>
            <w:tcW w:w="774" w:type="dxa"/>
            <w:tcBorders>
              <w:top w:val="nil"/>
              <w:left w:val="nil"/>
              <w:bottom w:val="single" w:sz="4" w:space="0" w:color="auto"/>
              <w:right w:val="single" w:sz="4" w:space="0" w:color="auto"/>
            </w:tcBorders>
            <w:shd w:val="clear" w:color="auto" w:fill="auto"/>
            <w:noWrap/>
            <w:vAlign w:val="center"/>
            <w:hideMark/>
          </w:tcPr>
          <w:p w14:paraId="67FADFD5"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15.968</w:t>
            </w:r>
          </w:p>
        </w:tc>
        <w:tc>
          <w:tcPr>
            <w:tcW w:w="1113" w:type="dxa"/>
            <w:tcBorders>
              <w:top w:val="nil"/>
              <w:left w:val="nil"/>
              <w:bottom w:val="single" w:sz="4" w:space="0" w:color="auto"/>
              <w:right w:val="single" w:sz="4" w:space="0" w:color="auto"/>
            </w:tcBorders>
            <w:shd w:val="clear" w:color="auto" w:fill="auto"/>
            <w:noWrap/>
            <w:vAlign w:val="center"/>
            <w:hideMark/>
          </w:tcPr>
          <w:p w14:paraId="1E69E165"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13%</w:t>
            </w:r>
          </w:p>
        </w:tc>
      </w:tr>
      <w:tr w:rsidR="001F1826" w:rsidRPr="001F1826" w14:paraId="4729499D"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5E7141C"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Personal Directivo - Docente </w:t>
            </w:r>
          </w:p>
        </w:tc>
        <w:tc>
          <w:tcPr>
            <w:tcW w:w="850" w:type="dxa"/>
            <w:tcBorders>
              <w:top w:val="nil"/>
              <w:left w:val="nil"/>
              <w:bottom w:val="single" w:sz="4" w:space="0" w:color="auto"/>
              <w:right w:val="single" w:sz="4" w:space="0" w:color="auto"/>
            </w:tcBorders>
            <w:shd w:val="clear" w:color="auto" w:fill="auto"/>
            <w:noWrap/>
            <w:vAlign w:val="center"/>
            <w:hideMark/>
          </w:tcPr>
          <w:p w14:paraId="0CFB28D4"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2.019</w:t>
            </w:r>
          </w:p>
        </w:tc>
        <w:tc>
          <w:tcPr>
            <w:tcW w:w="774" w:type="dxa"/>
            <w:tcBorders>
              <w:top w:val="nil"/>
              <w:left w:val="nil"/>
              <w:bottom w:val="single" w:sz="4" w:space="0" w:color="auto"/>
              <w:right w:val="single" w:sz="4" w:space="0" w:color="auto"/>
            </w:tcBorders>
            <w:shd w:val="clear" w:color="auto" w:fill="auto"/>
            <w:noWrap/>
            <w:vAlign w:val="center"/>
            <w:hideMark/>
          </w:tcPr>
          <w:p w14:paraId="1A59F867"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1.186</w:t>
            </w:r>
          </w:p>
        </w:tc>
        <w:tc>
          <w:tcPr>
            <w:tcW w:w="1113" w:type="dxa"/>
            <w:tcBorders>
              <w:top w:val="nil"/>
              <w:left w:val="nil"/>
              <w:bottom w:val="single" w:sz="4" w:space="0" w:color="auto"/>
              <w:right w:val="single" w:sz="4" w:space="0" w:color="auto"/>
            </w:tcBorders>
            <w:shd w:val="clear" w:color="auto" w:fill="auto"/>
            <w:noWrap/>
            <w:vAlign w:val="center"/>
            <w:hideMark/>
          </w:tcPr>
          <w:p w14:paraId="089B416B"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-41%</w:t>
            </w:r>
          </w:p>
        </w:tc>
      </w:tr>
      <w:tr w:rsidR="001F1826" w:rsidRPr="001F1826" w14:paraId="0BDC260D"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5F9D82A"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Personal Administrativo de Instituciones Educativas</w:t>
            </w:r>
          </w:p>
        </w:tc>
        <w:tc>
          <w:tcPr>
            <w:tcW w:w="850" w:type="dxa"/>
            <w:tcBorders>
              <w:top w:val="nil"/>
              <w:left w:val="nil"/>
              <w:bottom w:val="single" w:sz="4" w:space="0" w:color="auto"/>
              <w:right w:val="single" w:sz="4" w:space="0" w:color="auto"/>
            </w:tcBorders>
            <w:shd w:val="clear" w:color="auto" w:fill="auto"/>
            <w:noWrap/>
            <w:vAlign w:val="center"/>
            <w:hideMark/>
          </w:tcPr>
          <w:p w14:paraId="2CE68BB7"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5.070</w:t>
            </w:r>
          </w:p>
        </w:tc>
        <w:tc>
          <w:tcPr>
            <w:tcW w:w="774" w:type="dxa"/>
            <w:tcBorders>
              <w:top w:val="nil"/>
              <w:left w:val="nil"/>
              <w:bottom w:val="single" w:sz="4" w:space="0" w:color="auto"/>
              <w:right w:val="single" w:sz="4" w:space="0" w:color="auto"/>
            </w:tcBorders>
            <w:shd w:val="clear" w:color="auto" w:fill="auto"/>
            <w:noWrap/>
            <w:vAlign w:val="center"/>
            <w:hideMark/>
          </w:tcPr>
          <w:p w14:paraId="238AB7C2"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5.186</w:t>
            </w:r>
          </w:p>
        </w:tc>
        <w:tc>
          <w:tcPr>
            <w:tcW w:w="1113" w:type="dxa"/>
            <w:tcBorders>
              <w:top w:val="nil"/>
              <w:left w:val="nil"/>
              <w:bottom w:val="single" w:sz="4" w:space="0" w:color="auto"/>
              <w:right w:val="single" w:sz="4" w:space="0" w:color="auto"/>
            </w:tcBorders>
            <w:shd w:val="clear" w:color="auto" w:fill="auto"/>
            <w:noWrap/>
            <w:vAlign w:val="center"/>
            <w:hideMark/>
          </w:tcPr>
          <w:p w14:paraId="1BB863DF"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2%</w:t>
            </w:r>
          </w:p>
        </w:tc>
      </w:tr>
      <w:tr w:rsidR="001F1826" w:rsidRPr="001F1826" w14:paraId="5021680D"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7AC7181"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Viáticos y Gastos de Viaje</w:t>
            </w:r>
          </w:p>
        </w:tc>
        <w:tc>
          <w:tcPr>
            <w:tcW w:w="850" w:type="dxa"/>
            <w:tcBorders>
              <w:top w:val="nil"/>
              <w:left w:val="nil"/>
              <w:bottom w:val="single" w:sz="4" w:space="0" w:color="auto"/>
              <w:right w:val="single" w:sz="4" w:space="0" w:color="auto"/>
            </w:tcBorders>
            <w:shd w:val="clear" w:color="auto" w:fill="auto"/>
            <w:noWrap/>
            <w:vAlign w:val="center"/>
            <w:hideMark/>
          </w:tcPr>
          <w:p w14:paraId="4D8B1EDB"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6D2B8BDA"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noWrap/>
            <w:vAlign w:val="center"/>
            <w:hideMark/>
          </w:tcPr>
          <w:p w14:paraId="3AA1114C"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0%</w:t>
            </w:r>
          </w:p>
        </w:tc>
      </w:tr>
      <w:tr w:rsidR="001F1826" w:rsidRPr="001F1826" w14:paraId="16D99877"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CA19397"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 xml:space="preserve">Aportes Patronales </w:t>
            </w:r>
          </w:p>
        </w:tc>
        <w:tc>
          <w:tcPr>
            <w:tcW w:w="850" w:type="dxa"/>
            <w:tcBorders>
              <w:top w:val="nil"/>
              <w:left w:val="nil"/>
              <w:bottom w:val="single" w:sz="4" w:space="0" w:color="auto"/>
              <w:right w:val="single" w:sz="4" w:space="0" w:color="auto"/>
            </w:tcBorders>
            <w:shd w:val="clear" w:color="auto" w:fill="auto"/>
            <w:noWrap/>
            <w:vAlign w:val="center"/>
            <w:hideMark/>
          </w:tcPr>
          <w:p w14:paraId="4DA7CBAA"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6.296</w:t>
            </w:r>
          </w:p>
        </w:tc>
        <w:tc>
          <w:tcPr>
            <w:tcW w:w="774" w:type="dxa"/>
            <w:tcBorders>
              <w:top w:val="nil"/>
              <w:left w:val="nil"/>
              <w:bottom w:val="single" w:sz="4" w:space="0" w:color="auto"/>
              <w:right w:val="single" w:sz="4" w:space="0" w:color="auto"/>
            </w:tcBorders>
            <w:shd w:val="clear" w:color="auto" w:fill="auto"/>
            <w:noWrap/>
            <w:vAlign w:val="center"/>
            <w:hideMark/>
          </w:tcPr>
          <w:p w14:paraId="393D215C"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6.584</w:t>
            </w:r>
          </w:p>
        </w:tc>
        <w:tc>
          <w:tcPr>
            <w:tcW w:w="1113" w:type="dxa"/>
            <w:tcBorders>
              <w:top w:val="nil"/>
              <w:left w:val="nil"/>
              <w:bottom w:val="single" w:sz="4" w:space="0" w:color="auto"/>
              <w:right w:val="single" w:sz="4" w:space="0" w:color="auto"/>
            </w:tcBorders>
            <w:shd w:val="clear" w:color="auto" w:fill="auto"/>
            <w:noWrap/>
            <w:vAlign w:val="center"/>
            <w:hideMark/>
          </w:tcPr>
          <w:p w14:paraId="79358FC6"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5%</w:t>
            </w:r>
          </w:p>
        </w:tc>
      </w:tr>
      <w:tr w:rsidR="001F1826" w:rsidRPr="001F1826" w14:paraId="02848B6C"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4BAD8AF"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Sin Situación de Fondos (Docentes y Directivos Docentes)</w:t>
            </w:r>
          </w:p>
        </w:tc>
        <w:tc>
          <w:tcPr>
            <w:tcW w:w="850" w:type="dxa"/>
            <w:tcBorders>
              <w:top w:val="nil"/>
              <w:left w:val="nil"/>
              <w:bottom w:val="single" w:sz="4" w:space="0" w:color="auto"/>
              <w:right w:val="single" w:sz="4" w:space="0" w:color="auto"/>
            </w:tcBorders>
            <w:shd w:val="clear" w:color="auto" w:fill="auto"/>
            <w:noWrap/>
            <w:vAlign w:val="center"/>
            <w:hideMark/>
          </w:tcPr>
          <w:p w14:paraId="7F17880A"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3.252</w:t>
            </w:r>
          </w:p>
        </w:tc>
        <w:tc>
          <w:tcPr>
            <w:tcW w:w="774" w:type="dxa"/>
            <w:tcBorders>
              <w:top w:val="nil"/>
              <w:left w:val="nil"/>
              <w:bottom w:val="single" w:sz="4" w:space="0" w:color="auto"/>
              <w:right w:val="single" w:sz="4" w:space="0" w:color="auto"/>
            </w:tcBorders>
            <w:shd w:val="clear" w:color="auto" w:fill="auto"/>
            <w:noWrap/>
            <w:vAlign w:val="center"/>
            <w:hideMark/>
          </w:tcPr>
          <w:p w14:paraId="44CAD900"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3.463</w:t>
            </w:r>
          </w:p>
        </w:tc>
        <w:tc>
          <w:tcPr>
            <w:tcW w:w="1113" w:type="dxa"/>
            <w:tcBorders>
              <w:top w:val="nil"/>
              <w:left w:val="nil"/>
              <w:bottom w:val="single" w:sz="4" w:space="0" w:color="auto"/>
              <w:right w:val="single" w:sz="4" w:space="0" w:color="auto"/>
            </w:tcBorders>
            <w:shd w:val="clear" w:color="auto" w:fill="auto"/>
            <w:noWrap/>
            <w:vAlign w:val="center"/>
            <w:hideMark/>
          </w:tcPr>
          <w:p w14:paraId="34F3A819"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6%</w:t>
            </w:r>
          </w:p>
        </w:tc>
      </w:tr>
      <w:tr w:rsidR="001F1826" w:rsidRPr="001F1826" w14:paraId="788639C6"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1E55486"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Con situación de fondos (Docentes y Directivos Docentes)</w:t>
            </w:r>
          </w:p>
        </w:tc>
        <w:tc>
          <w:tcPr>
            <w:tcW w:w="850" w:type="dxa"/>
            <w:tcBorders>
              <w:top w:val="nil"/>
              <w:left w:val="nil"/>
              <w:bottom w:val="single" w:sz="4" w:space="0" w:color="auto"/>
              <w:right w:val="single" w:sz="4" w:space="0" w:color="auto"/>
            </w:tcBorders>
            <w:shd w:val="clear" w:color="auto" w:fill="auto"/>
            <w:noWrap/>
            <w:vAlign w:val="center"/>
            <w:hideMark/>
          </w:tcPr>
          <w:p w14:paraId="45E86B8D"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1.179</w:t>
            </w:r>
          </w:p>
        </w:tc>
        <w:tc>
          <w:tcPr>
            <w:tcW w:w="774" w:type="dxa"/>
            <w:tcBorders>
              <w:top w:val="nil"/>
              <w:left w:val="nil"/>
              <w:bottom w:val="single" w:sz="4" w:space="0" w:color="auto"/>
              <w:right w:val="single" w:sz="4" w:space="0" w:color="auto"/>
            </w:tcBorders>
            <w:shd w:val="clear" w:color="auto" w:fill="auto"/>
            <w:noWrap/>
            <w:vAlign w:val="center"/>
            <w:hideMark/>
          </w:tcPr>
          <w:p w14:paraId="0072ED06"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1.309</w:t>
            </w:r>
          </w:p>
        </w:tc>
        <w:tc>
          <w:tcPr>
            <w:tcW w:w="1113" w:type="dxa"/>
            <w:tcBorders>
              <w:top w:val="nil"/>
              <w:left w:val="nil"/>
              <w:bottom w:val="single" w:sz="4" w:space="0" w:color="auto"/>
              <w:right w:val="single" w:sz="4" w:space="0" w:color="auto"/>
            </w:tcBorders>
            <w:shd w:val="clear" w:color="auto" w:fill="auto"/>
            <w:noWrap/>
            <w:vAlign w:val="center"/>
            <w:hideMark/>
          </w:tcPr>
          <w:p w14:paraId="53FBA8C4"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11%</w:t>
            </w:r>
          </w:p>
        </w:tc>
      </w:tr>
      <w:tr w:rsidR="001F1826" w:rsidRPr="001F1826" w14:paraId="17DE3E21"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0634CAD"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Personal Administrativo de Instituciones Educativas</w:t>
            </w:r>
          </w:p>
        </w:tc>
        <w:tc>
          <w:tcPr>
            <w:tcW w:w="850" w:type="dxa"/>
            <w:tcBorders>
              <w:top w:val="nil"/>
              <w:left w:val="nil"/>
              <w:bottom w:val="single" w:sz="4" w:space="0" w:color="auto"/>
              <w:right w:val="single" w:sz="4" w:space="0" w:color="auto"/>
            </w:tcBorders>
            <w:shd w:val="clear" w:color="auto" w:fill="auto"/>
            <w:noWrap/>
            <w:vAlign w:val="center"/>
            <w:hideMark/>
          </w:tcPr>
          <w:p w14:paraId="0C816A7C"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1.864</w:t>
            </w:r>
          </w:p>
        </w:tc>
        <w:tc>
          <w:tcPr>
            <w:tcW w:w="774" w:type="dxa"/>
            <w:tcBorders>
              <w:top w:val="nil"/>
              <w:left w:val="nil"/>
              <w:bottom w:val="single" w:sz="4" w:space="0" w:color="auto"/>
              <w:right w:val="single" w:sz="4" w:space="0" w:color="auto"/>
            </w:tcBorders>
            <w:shd w:val="clear" w:color="auto" w:fill="auto"/>
            <w:noWrap/>
            <w:vAlign w:val="center"/>
            <w:hideMark/>
          </w:tcPr>
          <w:p w14:paraId="5BDEBE28"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1.812</w:t>
            </w:r>
          </w:p>
        </w:tc>
        <w:tc>
          <w:tcPr>
            <w:tcW w:w="1113" w:type="dxa"/>
            <w:tcBorders>
              <w:top w:val="nil"/>
              <w:left w:val="nil"/>
              <w:bottom w:val="single" w:sz="4" w:space="0" w:color="auto"/>
              <w:right w:val="single" w:sz="4" w:space="0" w:color="auto"/>
            </w:tcBorders>
            <w:shd w:val="clear" w:color="auto" w:fill="auto"/>
            <w:noWrap/>
            <w:vAlign w:val="center"/>
            <w:hideMark/>
          </w:tcPr>
          <w:p w14:paraId="0B31FDB2"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-3%</w:t>
            </w:r>
          </w:p>
        </w:tc>
      </w:tr>
      <w:tr w:rsidR="001F1826" w:rsidRPr="001F1826" w14:paraId="7B9BB015"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4022EC3"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 xml:space="preserve">   Personal Administrativo Secretaría de Educación</w:t>
            </w:r>
          </w:p>
        </w:tc>
        <w:tc>
          <w:tcPr>
            <w:tcW w:w="850" w:type="dxa"/>
            <w:tcBorders>
              <w:top w:val="nil"/>
              <w:left w:val="nil"/>
              <w:bottom w:val="single" w:sz="4" w:space="0" w:color="auto"/>
              <w:right w:val="single" w:sz="4" w:space="0" w:color="auto"/>
            </w:tcBorders>
            <w:shd w:val="clear" w:color="auto" w:fill="auto"/>
            <w:noWrap/>
            <w:vAlign w:val="center"/>
            <w:hideMark/>
          </w:tcPr>
          <w:p w14:paraId="22C8C037"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0A82BB80"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noWrap/>
            <w:vAlign w:val="center"/>
            <w:hideMark/>
          </w:tcPr>
          <w:p w14:paraId="545FD5D8"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0%</w:t>
            </w:r>
          </w:p>
        </w:tc>
      </w:tr>
      <w:tr w:rsidR="001F1826" w:rsidRPr="001F1826" w14:paraId="53B8FB1B"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EBF160F"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Generales</w:t>
            </w:r>
          </w:p>
        </w:tc>
        <w:tc>
          <w:tcPr>
            <w:tcW w:w="850" w:type="dxa"/>
            <w:tcBorders>
              <w:top w:val="nil"/>
              <w:left w:val="nil"/>
              <w:bottom w:val="single" w:sz="4" w:space="0" w:color="auto"/>
              <w:right w:val="single" w:sz="4" w:space="0" w:color="auto"/>
            </w:tcBorders>
            <w:shd w:val="clear" w:color="auto" w:fill="auto"/>
            <w:noWrap/>
            <w:vAlign w:val="center"/>
            <w:hideMark/>
          </w:tcPr>
          <w:p w14:paraId="23BDFDD1"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4ABEEF86"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0</w:t>
            </w:r>
          </w:p>
        </w:tc>
        <w:tc>
          <w:tcPr>
            <w:tcW w:w="1113" w:type="dxa"/>
            <w:tcBorders>
              <w:top w:val="nil"/>
              <w:left w:val="nil"/>
              <w:bottom w:val="single" w:sz="4" w:space="0" w:color="auto"/>
              <w:right w:val="single" w:sz="4" w:space="0" w:color="auto"/>
            </w:tcBorders>
            <w:shd w:val="clear" w:color="auto" w:fill="auto"/>
            <w:noWrap/>
            <w:vAlign w:val="center"/>
            <w:hideMark/>
          </w:tcPr>
          <w:p w14:paraId="19F7D527"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0%</w:t>
            </w:r>
          </w:p>
        </w:tc>
      </w:tr>
      <w:tr w:rsidR="001F1826" w:rsidRPr="001F1826" w14:paraId="5C237A7B"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A860EA6"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Pensiones Docentes Nacionalizados (Cancelaciones)</w:t>
            </w:r>
          </w:p>
        </w:tc>
        <w:tc>
          <w:tcPr>
            <w:tcW w:w="850" w:type="dxa"/>
            <w:tcBorders>
              <w:top w:val="nil"/>
              <w:left w:val="nil"/>
              <w:bottom w:val="single" w:sz="4" w:space="0" w:color="auto"/>
              <w:right w:val="single" w:sz="4" w:space="0" w:color="auto"/>
            </w:tcBorders>
            <w:shd w:val="clear" w:color="auto" w:fill="auto"/>
            <w:noWrap/>
            <w:vAlign w:val="center"/>
            <w:hideMark/>
          </w:tcPr>
          <w:p w14:paraId="03ED0054"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111</w:t>
            </w:r>
          </w:p>
        </w:tc>
        <w:tc>
          <w:tcPr>
            <w:tcW w:w="774" w:type="dxa"/>
            <w:tcBorders>
              <w:top w:val="nil"/>
              <w:left w:val="nil"/>
              <w:bottom w:val="single" w:sz="4" w:space="0" w:color="auto"/>
              <w:right w:val="single" w:sz="4" w:space="0" w:color="auto"/>
            </w:tcBorders>
            <w:shd w:val="clear" w:color="auto" w:fill="auto"/>
            <w:noWrap/>
            <w:vAlign w:val="center"/>
            <w:hideMark/>
          </w:tcPr>
          <w:p w14:paraId="36323A1C"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98</w:t>
            </w:r>
          </w:p>
        </w:tc>
        <w:tc>
          <w:tcPr>
            <w:tcW w:w="1113" w:type="dxa"/>
            <w:tcBorders>
              <w:top w:val="nil"/>
              <w:left w:val="nil"/>
              <w:bottom w:val="single" w:sz="4" w:space="0" w:color="auto"/>
              <w:right w:val="single" w:sz="4" w:space="0" w:color="auto"/>
            </w:tcBorders>
            <w:shd w:val="clear" w:color="auto" w:fill="auto"/>
            <w:noWrap/>
            <w:vAlign w:val="center"/>
            <w:hideMark/>
          </w:tcPr>
          <w:p w14:paraId="3FEC025D"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-11%</w:t>
            </w:r>
          </w:p>
        </w:tc>
      </w:tr>
      <w:tr w:rsidR="001F1826" w:rsidRPr="001F1826" w14:paraId="54EA6D8B"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81EB293"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Contratos para la Prestación del Servicio Educativo</w:t>
            </w:r>
          </w:p>
        </w:tc>
        <w:tc>
          <w:tcPr>
            <w:tcW w:w="850" w:type="dxa"/>
            <w:tcBorders>
              <w:top w:val="nil"/>
              <w:left w:val="nil"/>
              <w:bottom w:val="single" w:sz="4" w:space="0" w:color="auto"/>
              <w:right w:val="single" w:sz="4" w:space="0" w:color="auto"/>
            </w:tcBorders>
            <w:shd w:val="clear" w:color="auto" w:fill="auto"/>
            <w:noWrap/>
            <w:vAlign w:val="center"/>
            <w:hideMark/>
          </w:tcPr>
          <w:p w14:paraId="2CB58ED7"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6.317</w:t>
            </w:r>
          </w:p>
        </w:tc>
        <w:tc>
          <w:tcPr>
            <w:tcW w:w="774" w:type="dxa"/>
            <w:tcBorders>
              <w:top w:val="nil"/>
              <w:left w:val="nil"/>
              <w:bottom w:val="single" w:sz="4" w:space="0" w:color="auto"/>
              <w:right w:val="single" w:sz="4" w:space="0" w:color="auto"/>
            </w:tcBorders>
            <w:shd w:val="clear" w:color="auto" w:fill="auto"/>
            <w:noWrap/>
            <w:vAlign w:val="center"/>
            <w:hideMark/>
          </w:tcPr>
          <w:p w14:paraId="4C3594FD"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8.249</w:t>
            </w:r>
          </w:p>
        </w:tc>
        <w:tc>
          <w:tcPr>
            <w:tcW w:w="1113" w:type="dxa"/>
            <w:tcBorders>
              <w:top w:val="nil"/>
              <w:left w:val="nil"/>
              <w:bottom w:val="single" w:sz="4" w:space="0" w:color="auto"/>
              <w:right w:val="single" w:sz="4" w:space="0" w:color="auto"/>
            </w:tcBorders>
            <w:shd w:val="clear" w:color="auto" w:fill="auto"/>
            <w:noWrap/>
            <w:vAlign w:val="center"/>
            <w:hideMark/>
          </w:tcPr>
          <w:p w14:paraId="3EA1814E"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31%</w:t>
            </w:r>
          </w:p>
        </w:tc>
      </w:tr>
      <w:tr w:rsidR="001F1826" w:rsidRPr="001F1826" w14:paraId="35ACBCB7"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0795007"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Contratos Aseo y Vigilancia</w:t>
            </w:r>
          </w:p>
        </w:tc>
        <w:tc>
          <w:tcPr>
            <w:tcW w:w="850" w:type="dxa"/>
            <w:tcBorders>
              <w:top w:val="nil"/>
              <w:left w:val="nil"/>
              <w:bottom w:val="single" w:sz="4" w:space="0" w:color="auto"/>
              <w:right w:val="single" w:sz="4" w:space="0" w:color="auto"/>
            </w:tcBorders>
            <w:shd w:val="clear" w:color="auto" w:fill="auto"/>
            <w:noWrap/>
            <w:vAlign w:val="center"/>
            <w:hideMark/>
          </w:tcPr>
          <w:p w14:paraId="08FFF0EA"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5DCA08B6"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0</w:t>
            </w:r>
          </w:p>
        </w:tc>
        <w:tc>
          <w:tcPr>
            <w:tcW w:w="1113" w:type="dxa"/>
            <w:tcBorders>
              <w:top w:val="nil"/>
              <w:left w:val="nil"/>
              <w:bottom w:val="single" w:sz="4" w:space="0" w:color="auto"/>
              <w:right w:val="single" w:sz="4" w:space="0" w:color="auto"/>
            </w:tcBorders>
            <w:shd w:val="clear" w:color="auto" w:fill="auto"/>
            <w:noWrap/>
            <w:vAlign w:val="center"/>
            <w:hideMark/>
          </w:tcPr>
          <w:p w14:paraId="2ABD27CD"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0%</w:t>
            </w:r>
          </w:p>
        </w:tc>
      </w:tr>
      <w:tr w:rsidR="001F1826" w:rsidRPr="001F1826" w14:paraId="227BE0D1"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3ED078C5"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CALIDAD</w:t>
            </w:r>
          </w:p>
        </w:tc>
        <w:tc>
          <w:tcPr>
            <w:tcW w:w="850" w:type="dxa"/>
            <w:tcBorders>
              <w:top w:val="nil"/>
              <w:left w:val="nil"/>
              <w:bottom w:val="single" w:sz="4" w:space="0" w:color="auto"/>
              <w:right w:val="single" w:sz="4" w:space="0" w:color="auto"/>
            </w:tcBorders>
            <w:shd w:val="clear" w:color="000000" w:fill="D9D9D9"/>
            <w:noWrap/>
            <w:vAlign w:val="center"/>
            <w:hideMark/>
          </w:tcPr>
          <w:p w14:paraId="5EB5F18F"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247</w:t>
            </w:r>
          </w:p>
        </w:tc>
        <w:tc>
          <w:tcPr>
            <w:tcW w:w="774" w:type="dxa"/>
            <w:tcBorders>
              <w:top w:val="nil"/>
              <w:left w:val="nil"/>
              <w:bottom w:val="single" w:sz="4" w:space="0" w:color="auto"/>
              <w:right w:val="single" w:sz="4" w:space="0" w:color="auto"/>
            </w:tcBorders>
            <w:shd w:val="clear" w:color="000000" w:fill="D9D9D9"/>
            <w:noWrap/>
            <w:vAlign w:val="center"/>
            <w:hideMark/>
          </w:tcPr>
          <w:p w14:paraId="0500EC8B"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586</w:t>
            </w:r>
          </w:p>
        </w:tc>
        <w:tc>
          <w:tcPr>
            <w:tcW w:w="1113" w:type="dxa"/>
            <w:tcBorders>
              <w:top w:val="nil"/>
              <w:left w:val="nil"/>
              <w:bottom w:val="single" w:sz="4" w:space="0" w:color="auto"/>
              <w:right w:val="single" w:sz="4" w:space="0" w:color="auto"/>
            </w:tcBorders>
            <w:shd w:val="clear" w:color="000000" w:fill="D9D9D9"/>
            <w:noWrap/>
            <w:vAlign w:val="center"/>
            <w:hideMark/>
          </w:tcPr>
          <w:p w14:paraId="0F7F5210"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137%</w:t>
            </w:r>
          </w:p>
        </w:tc>
      </w:tr>
      <w:tr w:rsidR="001F1826" w:rsidRPr="001F1826" w14:paraId="3615189A"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56C83D4"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Construcción Ampliación y Adecuación de Infraestructura Educativa</w:t>
            </w:r>
          </w:p>
        </w:tc>
        <w:tc>
          <w:tcPr>
            <w:tcW w:w="850" w:type="dxa"/>
            <w:tcBorders>
              <w:top w:val="nil"/>
              <w:left w:val="nil"/>
              <w:bottom w:val="single" w:sz="4" w:space="0" w:color="auto"/>
              <w:right w:val="single" w:sz="4" w:space="0" w:color="auto"/>
            </w:tcBorders>
            <w:shd w:val="clear" w:color="auto" w:fill="auto"/>
            <w:noWrap/>
            <w:vAlign w:val="center"/>
            <w:hideMark/>
          </w:tcPr>
          <w:p w14:paraId="2F09FD96"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2D52255B"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1113" w:type="dxa"/>
            <w:tcBorders>
              <w:top w:val="nil"/>
              <w:left w:val="nil"/>
              <w:bottom w:val="single" w:sz="4" w:space="0" w:color="auto"/>
              <w:right w:val="single" w:sz="4" w:space="0" w:color="auto"/>
            </w:tcBorders>
            <w:shd w:val="clear" w:color="auto" w:fill="auto"/>
            <w:noWrap/>
            <w:vAlign w:val="center"/>
            <w:hideMark/>
          </w:tcPr>
          <w:p w14:paraId="436FE0EF"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0%</w:t>
            </w:r>
          </w:p>
        </w:tc>
      </w:tr>
      <w:tr w:rsidR="001F1826" w:rsidRPr="001F1826" w14:paraId="6684490F"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25D9560"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Dotación Institucional de Material y Medio pedagógicos para el Aprendizaje</w:t>
            </w:r>
          </w:p>
        </w:tc>
        <w:tc>
          <w:tcPr>
            <w:tcW w:w="850" w:type="dxa"/>
            <w:tcBorders>
              <w:top w:val="nil"/>
              <w:left w:val="nil"/>
              <w:bottom w:val="single" w:sz="4" w:space="0" w:color="auto"/>
              <w:right w:val="single" w:sz="4" w:space="0" w:color="auto"/>
            </w:tcBorders>
            <w:shd w:val="clear" w:color="auto" w:fill="auto"/>
            <w:noWrap/>
            <w:vAlign w:val="center"/>
            <w:hideMark/>
          </w:tcPr>
          <w:p w14:paraId="3B385E04"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7C7B86A2"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242</w:t>
            </w:r>
          </w:p>
        </w:tc>
        <w:tc>
          <w:tcPr>
            <w:tcW w:w="1113" w:type="dxa"/>
            <w:tcBorders>
              <w:top w:val="nil"/>
              <w:left w:val="nil"/>
              <w:bottom w:val="single" w:sz="4" w:space="0" w:color="auto"/>
              <w:right w:val="single" w:sz="4" w:space="0" w:color="auto"/>
            </w:tcBorders>
            <w:shd w:val="clear" w:color="auto" w:fill="auto"/>
            <w:noWrap/>
            <w:vAlign w:val="center"/>
            <w:hideMark/>
          </w:tcPr>
          <w:p w14:paraId="29E8E41F"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241900%</w:t>
            </w:r>
          </w:p>
        </w:tc>
      </w:tr>
      <w:tr w:rsidR="001F1826" w:rsidRPr="001F1826" w14:paraId="114F6081"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BF3AF72"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Pago Servicios Públicos de las Instituciones Educativas</w:t>
            </w:r>
          </w:p>
        </w:tc>
        <w:tc>
          <w:tcPr>
            <w:tcW w:w="850" w:type="dxa"/>
            <w:tcBorders>
              <w:top w:val="nil"/>
              <w:left w:val="nil"/>
              <w:bottom w:val="single" w:sz="4" w:space="0" w:color="auto"/>
              <w:right w:val="single" w:sz="4" w:space="0" w:color="auto"/>
            </w:tcBorders>
            <w:shd w:val="clear" w:color="auto" w:fill="auto"/>
            <w:noWrap/>
            <w:vAlign w:val="center"/>
            <w:hideMark/>
          </w:tcPr>
          <w:p w14:paraId="4E9E90F0"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342B3003"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18</w:t>
            </w:r>
          </w:p>
        </w:tc>
        <w:tc>
          <w:tcPr>
            <w:tcW w:w="1113" w:type="dxa"/>
            <w:tcBorders>
              <w:top w:val="nil"/>
              <w:left w:val="nil"/>
              <w:bottom w:val="single" w:sz="4" w:space="0" w:color="auto"/>
              <w:right w:val="single" w:sz="4" w:space="0" w:color="auto"/>
            </w:tcBorders>
            <w:shd w:val="clear" w:color="auto" w:fill="auto"/>
            <w:noWrap/>
            <w:vAlign w:val="center"/>
            <w:hideMark/>
          </w:tcPr>
          <w:p w14:paraId="77DDC159"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17900%</w:t>
            </w:r>
          </w:p>
        </w:tc>
      </w:tr>
      <w:tr w:rsidR="001F1826" w:rsidRPr="001F1826" w14:paraId="3E0AFBF8"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D36015E"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Transporte Escolar</w:t>
            </w:r>
          </w:p>
        </w:tc>
        <w:tc>
          <w:tcPr>
            <w:tcW w:w="850" w:type="dxa"/>
            <w:tcBorders>
              <w:top w:val="nil"/>
              <w:left w:val="nil"/>
              <w:bottom w:val="single" w:sz="4" w:space="0" w:color="auto"/>
              <w:right w:val="single" w:sz="4" w:space="0" w:color="auto"/>
            </w:tcBorders>
            <w:shd w:val="clear" w:color="auto" w:fill="auto"/>
            <w:noWrap/>
            <w:vAlign w:val="center"/>
            <w:hideMark/>
          </w:tcPr>
          <w:p w14:paraId="0BDF3816"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0D775BAB"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81</w:t>
            </w:r>
          </w:p>
        </w:tc>
        <w:tc>
          <w:tcPr>
            <w:tcW w:w="1113" w:type="dxa"/>
            <w:tcBorders>
              <w:top w:val="nil"/>
              <w:left w:val="nil"/>
              <w:bottom w:val="single" w:sz="4" w:space="0" w:color="auto"/>
              <w:right w:val="single" w:sz="4" w:space="0" w:color="auto"/>
            </w:tcBorders>
            <w:shd w:val="clear" w:color="auto" w:fill="auto"/>
            <w:noWrap/>
            <w:vAlign w:val="center"/>
            <w:hideMark/>
          </w:tcPr>
          <w:p w14:paraId="37046106"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80900%</w:t>
            </w:r>
          </w:p>
        </w:tc>
      </w:tr>
      <w:tr w:rsidR="001F1826" w:rsidRPr="001F1826" w14:paraId="28264169"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6713C4C"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Capacitación a Docentes y Directivos Docentes</w:t>
            </w:r>
          </w:p>
        </w:tc>
        <w:tc>
          <w:tcPr>
            <w:tcW w:w="850" w:type="dxa"/>
            <w:tcBorders>
              <w:top w:val="nil"/>
              <w:left w:val="nil"/>
              <w:bottom w:val="single" w:sz="4" w:space="0" w:color="auto"/>
              <w:right w:val="single" w:sz="4" w:space="0" w:color="auto"/>
            </w:tcBorders>
            <w:shd w:val="clear" w:color="auto" w:fill="auto"/>
            <w:noWrap/>
            <w:vAlign w:val="center"/>
            <w:hideMark/>
          </w:tcPr>
          <w:p w14:paraId="01231C56"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center"/>
            <w:hideMark/>
          </w:tcPr>
          <w:p w14:paraId="3B02B1DC"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90</w:t>
            </w:r>
          </w:p>
        </w:tc>
        <w:tc>
          <w:tcPr>
            <w:tcW w:w="1113" w:type="dxa"/>
            <w:tcBorders>
              <w:top w:val="nil"/>
              <w:left w:val="nil"/>
              <w:bottom w:val="single" w:sz="4" w:space="0" w:color="auto"/>
              <w:right w:val="single" w:sz="4" w:space="0" w:color="auto"/>
            </w:tcBorders>
            <w:shd w:val="clear" w:color="auto" w:fill="auto"/>
            <w:noWrap/>
            <w:vAlign w:val="center"/>
            <w:hideMark/>
          </w:tcPr>
          <w:p w14:paraId="716E1B9D"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89900%</w:t>
            </w:r>
          </w:p>
        </w:tc>
      </w:tr>
      <w:tr w:rsidR="001F1826" w:rsidRPr="001F1826" w14:paraId="323BA6BA" w14:textId="77777777" w:rsidTr="001F1826">
        <w:trPr>
          <w:trHeight w:val="2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EA817DC" w14:textId="77777777" w:rsidR="001F1826" w:rsidRPr="001F1826" w:rsidRDefault="001F1826" w:rsidP="00D00168">
            <w:pPr>
              <w:jc w:val="both"/>
              <w:rPr>
                <w:rFonts w:ascii="Arial" w:hAnsi="Arial" w:cs="Arial"/>
                <w:color w:val="000000"/>
                <w:sz w:val="18"/>
                <w:szCs w:val="18"/>
              </w:rPr>
            </w:pPr>
            <w:r w:rsidRPr="001F1826">
              <w:rPr>
                <w:rFonts w:ascii="Arial" w:hAnsi="Arial" w:cs="Arial"/>
                <w:color w:val="000000"/>
                <w:sz w:val="18"/>
                <w:szCs w:val="18"/>
              </w:rPr>
              <w:t>Funcionamiento Básico de los Establecimientos Educativos</w:t>
            </w:r>
          </w:p>
        </w:tc>
        <w:tc>
          <w:tcPr>
            <w:tcW w:w="850" w:type="dxa"/>
            <w:tcBorders>
              <w:top w:val="nil"/>
              <w:left w:val="nil"/>
              <w:bottom w:val="single" w:sz="4" w:space="0" w:color="auto"/>
              <w:right w:val="single" w:sz="4" w:space="0" w:color="auto"/>
            </w:tcBorders>
            <w:shd w:val="clear" w:color="auto" w:fill="auto"/>
            <w:noWrap/>
            <w:vAlign w:val="center"/>
            <w:hideMark/>
          </w:tcPr>
          <w:p w14:paraId="71A82E08"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247</w:t>
            </w:r>
          </w:p>
        </w:tc>
        <w:tc>
          <w:tcPr>
            <w:tcW w:w="774" w:type="dxa"/>
            <w:tcBorders>
              <w:top w:val="nil"/>
              <w:left w:val="nil"/>
              <w:bottom w:val="single" w:sz="4" w:space="0" w:color="auto"/>
              <w:right w:val="single" w:sz="4" w:space="0" w:color="auto"/>
            </w:tcBorders>
            <w:shd w:val="clear" w:color="auto" w:fill="auto"/>
            <w:noWrap/>
            <w:vAlign w:val="center"/>
            <w:hideMark/>
          </w:tcPr>
          <w:p w14:paraId="5BFAE450" w14:textId="77777777" w:rsidR="001F1826" w:rsidRPr="001F1826" w:rsidRDefault="001F1826" w:rsidP="00D00168">
            <w:pPr>
              <w:jc w:val="right"/>
              <w:rPr>
                <w:rFonts w:ascii="Arial" w:hAnsi="Arial" w:cs="Arial"/>
                <w:color w:val="000000"/>
                <w:sz w:val="18"/>
                <w:szCs w:val="18"/>
              </w:rPr>
            </w:pPr>
            <w:r w:rsidRPr="001F1826">
              <w:rPr>
                <w:rFonts w:ascii="Arial" w:hAnsi="Arial" w:cs="Arial"/>
                <w:color w:val="000000"/>
                <w:sz w:val="18"/>
                <w:szCs w:val="18"/>
              </w:rPr>
              <w:t>155</w:t>
            </w:r>
          </w:p>
        </w:tc>
        <w:tc>
          <w:tcPr>
            <w:tcW w:w="1113" w:type="dxa"/>
            <w:tcBorders>
              <w:top w:val="nil"/>
              <w:left w:val="nil"/>
              <w:bottom w:val="single" w:sz="4" w:space="0" w:color="auto"/>
              <w:right w:val="single" w:sz="4" w:space="0" w:color="auto"/>
            </w:tcBorders>
            <w:shd w:val="clear" w:color="auto" w:fill="auto"/>
            <w:noWrap/>
            <w:vAlign w:val="center"/>
            <w:hideMark/>
          </w:tcPr>
          <w:p w14:paraId="4315B132" w14:textId="77777777" w:rsidR="001F1826" w:rsidRPr="001F1826" w:rsidRDefault="001F1826" w:rsidP="00D00168">
            <w:pPr>
              <w:jc w:val="center"/>
              <w:rPr>
                <w:rFonts w:ascii="Arial" w:hAnsi="Arial" w:cs="Arial"/>
                <w:color w:val="000000"/>
                <w:sz w:val="18"/>
                <w:szCs w:val="18"/>
              </w:rPr>
            </w:pPr>
            <w:r w:rsidRPr="001F1826">
              <w:rPr>
                <w:rFonts w:ascii="Arial" w:hAnsi="Arial" w:cs="Arial"/>
                <w:color w:val="000000"/>
                <w:sz w:val="18"/>
                <w:szCs w:val="18"/>
              </w:rPr>
              <w:t>-37%</w:t>
            </w:r>
          </w:p>
        </w:tc>
      </w:tr>
      <w:tr w:rsidR="001F1826" w:rsidRPr="001F1826" w14:paraId="149E75C8"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35780610"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GRATUIDAD</w:t>
            </w:r>
          </w:p>
        </w:tc>
        <w:tc>
          <w:tcPr>
            <w:tcW w:w="850" w:type="dxa"/>
            <w:tcBorders>
              <w:top w:val="nil"/>
              <w:left w:val="nil"/>
              <w:bottom w:val="single" w:sz="4" w:space="0" w:color="auto"/>
              <w:right w:val="single" w:sz="4" w:space="0" w:color="auto"/>
            </w:tcBorders>
            <w:shd w:val="clear" w:color="000000" w:fill="D9D9D9"/>
            <w:noWrap/>
            <w:vAlign w:val="center"/>
            <w:hideMark/>
          </w:tcPr>
          <w:p w14:paraId="588D5B25"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75</w:t>
            </w:r>
          </w:p>
        </w:tc>
        <w:tc>
          <w:tcPr>
            <w:tcW w:w="774" w:type="dxa"/>
            <w:tcBorders>
              <w:top w:val="nil"/>
              <w:left w:val="nil"/>
              <w:bottom w:val="single" w:sz="4" w:space="0" w:color="auto"/>
              <w:right w:val="single" w:sz="4" w:space="0" w:color="auto"/>
            </w:tcBorders>
            <w:shd w:val="clear" w:color="000000" w:fill="D9D9D9"/>
            <w:noWrap/>
            <w:vAlign w:val="center"/>
            <w:hideMark/>
          </w:tcPr>
          <w:p w14:paraId="41EE7149"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0</w:t>
            </w:r>
          </w:p>
        </w:tc>
        <w:tc>
          <w:tcPr>
            <w:tcW w:w="1113" w:type="dxa"/>
            <w:tcBorders>
              <w:top w:val="nil"/>
              <w:left w:val="nil"/>
              <w:bottom w:val="single" w:sz="4" w:space="0" w:color="auto"/>
              <w:right w:val="single" w:sz="4" w:space="0" w:color="auto"/>
            </w:tcBorders>
            <w:shd w:val="clear" w:color="000000" w:fill="D9D9D9"/>
            <w:noWrap/>
            <w:vAlign w:val="center"/>
            <w:hideMark/>
          </w:tcPr>
          <w:p w14:paraId="737CC500"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-100%</w:t>
            </w:r>
          </w:p>
        </w:tc>
      </w:tr>
      <w:tr w:rsidR="001F1826" w:rsidRPr="001F1826" w14:paraId="508FC1E8"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1E1938F9"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EFICIENCIA</w:t>
            </w:r>
          </w:p>
        </w:tc>
        <w:tc>
          <w:tcPr>
            <w:tcW w:w="850" w:type="dxa"/>
            <w:tcBorders>
              <w:top w:val="nil"/>
              <w:left w:val="nil"/>
              <w:bottom w:val="single" w:sz="4" w:space="0" w:color="auto"/>
              <w:right w:val="single" w:sz="4" w:space="0" w:color="auto"/>
            </w:tcBorders>
            <w:shd w:val="clear" w:color="000000" w:fill="D9D9D9"/>
            <w:noWrap/>
            <w:vAlign w:val="center"/>
            <w:hideMark/>
          </w:tcPr>
          <w:p w14:paraId="48AB6E97"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382</w:t>
            </w:r>
          </w:p>
        </w:tc>
        <w:tc>
          <w:tcPr>
            <w:tcW w:w="774" w:type="dxa"/>
            <w:tcBorders>
              <w:top w:val="nil"/>
              <w:left w:val="nil"/>
              <w:bottom w:val="single" w:sz="4" w:space="0" w:color="auto"/>
              <w:right w:val="single" w:sz="4" w:space="0" w:color="auto"/>
            </w:tcBorders>
            <w:shd w:val="clear" w:color="000000" w:fill="D9D9D9"/>
            <w:noWrap/>
            <w:vAlign w:val="center"/>
            <w:hideMark/>
          </w:tcPr>
          <w:p w14:paraId="73BE714B"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288</w:t>
            </w:r>
          </w:p>
        </w:tc>
        <w:tc>
          <w:tcPr>
            <w:tcW w:w="1113" w:type="dxa"/>
            <w:tcBorders>
              <w:top w:val="nil"/>
              <w:left w:val="nil"/>
              <w:bottom w:val="single" w:sz="4" w:space="0" w:color="auto"/>
              <w:right w:val="single" w:sz="4" w:space="0" w:color="auto"/>
            </w:tcBorders>
            <w:shd w:val="clear" w:color="000000" w:fill="D9D9D9"/>
            <w:noWrap/>
            <w:vAlign w:val="center"/>
            <w:hideMark/>
          </w:tcPr>
          <w:p w14:paraId="6C0D2D4D"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-25%</w:t>
            </w:r>
          </w:p>
        </w:tc>
      </w:tr>
      <w:tr w:rsidR="001F1826" w:rsidRPr="001F1826" w14:paraId="6843FE71"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360EC084"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GASTOS NECESIDADES EDUCATIVAS ESPECIALES</w:t>
            </w:r>
          </w:p>
        </w:tc>
        <w:tc>
          <w:tcPr>
            <w:tcW w:w="850" w:type="dxa"/>
            <w:tcBorders>
              <w:top w:val="nil"/>
              <w:left w:val="nil"/>
              <w:bottom w:val="single" w:sz="4" w:space="0" w:color="auto"/>
              <w:right w:val="single" w:sz="4" w:space="0" w:color="auto"/>
            </w:tcBorders>
            <w:shd w:val="clear" w:color="000000" w:fill="D9D9D9"/>
            <w:noWrap/>
            <w:vAlign w:val="center"/>
            <w:hideMark/>
          </w:tcPr>
          <w:p w14:paraId="6EFC5C9F"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27</w:t>
            </w:r>
          </w:p>
        </w:tc>
        <w:tc>
          <w:tcPr>
            <w:tcW w:w="774" w:type="dxa"/>
            <w:tcBorders>
              <w:top w:val="nil"/>
              <w:left w:val="nil"/>
              <w:bottom w:val="single" w:sz="4" w:space="0" w:color="auto"/>
              <w:right w:val="single" w:sz="4" w:space="0" w:color="auto"/>
            </w:tcBorders>
            <w:shd w:val="clear" w:color="000000" w:fill="D9D9D9"/>
            <w:noWrap/>
            <w:vAlign w:val="center"/>
            <w:hideMark/>
          </w:tcPr>
          <w:p w14:paraId="627A2357"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31</w:t>
            </w:r>
          </w:p>
        </w:tc>
        <w:tc>
          <w:tcPr>
            <w:tcW w:w="1113" w:type="dxa"/>
            <w:tcBorders>
              <w:top w:val="nil"/>
              <w:left w:val="nil"/>
              <w:bottom w:val="single" w:sz="4" w:space="0" w:color="auto"/>
              <w:right w:val="single" w:sz="4" w:space="0" w:color="auto"/>
            </w:tcBorders>
            <w:shd w:val="clear" w:color="000000" w:fill="D9D9D9"/>
            <w:noWrap/>
            <w:vAlign w:val="center"/>
            <w:hideMark/>
          </w:tcPr>
          <w:p w14:paraId="02AAA9E2"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16%</w:t>
            </w:r>
          </w:p>
        </w:tc>
      </w:tr>
      <w:tr w:rsidR="001F1826" w:rsidRPr="001F1826" w14:paraId="20698B73"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13852FDD"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 xml:space="preserve">GASTOS INTERNADOS </w:t>
            </w:r>
          </w:p>
        </w:tc>
        <w:tc>
          <w:tcPr>
            <w:tcW w:w="850" w:type="dxa"/>
            <w:tcBorders>
              <w:top w:val="nil"/>
              <w:left w:val="nil"/>
              <w:bottom w:val="single" w:sz="4" w:space="0" w:color="auto"/>
              <w:right w:val="single" w:sz="4" w:space="0" w:color="auto"/>
            </w:tcBorders>
            <w:shd w:val="clear" w:color="000000" w:fill="D9D9D9"/>
            <w:noWrap/>
            <w:vAlign w:val="center"/>
            <w:hideMark/>
          </w:tcPr>
          <w:p w14:paraId="7789F099"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5.820</w:t>
            </w:r>
          </w:p>
        </w:tc>
        <w:tc>
          <w:tcPr>
            <w:tcW w:w="774" w:type="dxa"/>
            <w:tcBorders>
              <w:top w:val="nil"/>
              <w:left w:val="nil"/>
              <w:bottom w:val="single" w:sz="4" w:space="0" w:color="auto"/>
              <w:right w:val="single" w:sz="4" w:space="0" w:color="auto"/>
            </w:tcBorders>
            <w:shd w:val="clear" w:color="000000" w:fill="D9D9D9"/>
            <w:noWrap/>
            <w:vAlign w:val="center"/>
            <w:hideMark/>
          </w:tcPr>
          <w:p w14:paraId="01E00A15"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17.080</w:t>
            </w:r>
          </w:p>
        </w:tc>
        <w:tc>
          <w:tcPr>
            <w:tcW w:w="1113" w:type="dxa"/>
            <w:tcBorders>
              <w:top w:val="nil"/>
              <w:left w:val="nil"/>
              <w:bottom w:val="single" w:sz="4" w:space="0" w:color="auto"/>
              <w:right w:val="single" w:sz="4" w:space="0" w:color="auto"/>
            </w:tcBorders>
            <w:shd w:val="clear" w:color="000000" w:fill="D9D9D9"/>
            <w:noWrap/>
            <w:vAlign w:val="center"/>
            <w:hideMark/>
          </w:tcPr>
          <w:p w14:paraId="0AEF7BB5"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193%</w:t>
            </w:r>
          </w:p>
        </w:tc>
      </w:tr>
      <w:tr w:rsidR="001F1826" w:rsidRPr="001F1826" w14:paraId="05650450"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D9D9D9"/>
            <w:noWrap/>
            <w:vAlign w:val="center"/>
            <w:hideMark/>
          </w:tcPr>
          <w:p w14:paraId="0C178A32" w14:textId="77777777" w:rsidR="001F1826" w:rsidRPr="001F1826" w:rsidRDefault="001F1826" w:rsidP="00D00168">
            <w:pPr>
              <w:jc w:val="both"/>
              <w:rPr>
                <w:rFonts w:ascii="Arial" w:hAnsi="Arial" w:cs="Arial"/>
                <w:b/>
                <w:bCs/>
                <w:color w:val="000000"/>
                <w:sz w:val="18"/>
                <w:szCs w:val="18"/>
              </w:rPr>
            </w:pPr>
            <w:r w:rsidRPr="001F1826">
              <w:rPr>
                <w:rFonts w:ascii="Arial" w:hAnsi="Arial" w:cs="Arial"/>
                <w:b/>
                <w:bCs/>
                <w:color w:val="000000"/>
                <w:sz w:val="18"/>
                <w:szCs w:val="18"/>
              </w:rPr>
              <w:t xml:space="preserve">ADQUISICIÓN DE ELEMENTOS Y ACCIONES DE BIOSEGURIDAD </w:t>
            </w:r>
            <w:proofErr w:type="gramStart"/>
            <w:r w:rsidRPr="001F1826">
              <w:rPr>
                <w:rFonts w:ascii="Arial" w:hAnsi="Arial" w:cs="Arial"/>
                <w:b/>
                <w:bCs/>
                <w:color w:val="000000"/>
                <w:sz w:val="18"/>
                <w:szCs w:val="18"/>
              </w:rPr>
              <w:t>PARA  LAS</w:t>
            </w:r>
            <w:proofErr w:type="gramEnd"/>
            <w:r w:rsidRPr="001F1826">
              <w:rPr>
                <w:rFonts w:ascii="Arial" w:hAnsi="Arial" w:cs="Arial"/>
                <w:b/>
                <w:bCs/>
                <w:color w:val="000000"/>
                <w:sz w:val="18"/>
                <w:szCs w:val="18"/>
              </w:rPr>
              <w:t xml:space="preserve"> IE OFICIALES</w:t>
            </w:r>
          </w:p>
        </w:tc>
        <w:tc>
          <w:tcPr>
            <w:tcW w:w="850" w:type="dxa"/>
            <w:tcBorders>
              <w:top w:val="nil"/>
              <w:left w:val="nil"/>
              <w:bottom w:val="single" w:sz="4" w:space="0" w:color="auto"/>
              <w:right w:val="single" w:sz="4" w:space="0" w:color="auto"/>
            </w:tcBorders>
            <w:shd w:val="clear" w:color="000000" w:fill="D9D9D9"/>
            <w:noWrap/>
            <w:vAlign w:val="center"/>
            <w:hideMark/>
          </w:tcPr>
          <w:p w14:paraId="7E1D5912" w14:textId="77777777" w:rsidR="001F1826" w:rsidRPr="001F1826" w:rsidRDefault="001F1826" w:rsidP="00D00168">
            <w:pPr>
              <w:jc w:val="right"/>
              <w:rPr>
                <w:rFonts w:ascii="Arial" w:hAnsi="Arial" w:cs="Arial"/>
                <w:b/>
                <w:bCs/>
                <w:color w:val="000000"/>
                <w:sz w:val="18"/>
                <w:szCs w:val="18"/>
              </w:rPr>
            </w:pPr>
            <w:r w:rsidRPr="001F1826">
              <w:rPr>
                <w:rFonts w:ascii="Arial" w:hAnsi="Arial" w:cs="Arial"/>
                <w:b/>
                <w:bCs/>
                <w:color w:val="000000"/>
                <w:sz w:val="18"/>
                <w:szCs w:val="18"/>
              </w:rPr>
              <w:t>246</w:t>
            </w:r>
          </w:p>
        </w:tc>
        <w:tc>
          <w:tcPr>
            <w:tcW w:w="774" w:type="dxa"/>
            <w:tcBorders>
              <w:top w:val="nil"/>
              <w:left w:val="nil"/>
              <w:bottom w:val="single" w:sz="4" w:space="0" w:color="auto"/>
              <w:right w:val="single" w:sz="4" w:space="0" w:color="auto"/>
            </w:tcBorders>
            <w:shd w:val="clear" w:color="000000" w:fill="D9D9D9"/>
            <w:noWrap/>
            <w:vAlign w:val="center"/>
            <w:hideMark/>
          </w:tcPr>
          <w:p w14:paraId="46EEF2E0" w14:textId="77777777" w:rsidR="001F1826" w:rsidRPr="001F1826" w:rsidRDefault="001F1826" w:rsidP="00D00168">
            <w:pPr>
              <w:jc w:val="right"/>
              <w:rPr>
                <w:rFonts w:ascii="Arial" w:hAnsi="Arial" w:cs="Arial"/>
                <w:b/>
                <w:bCs/>
                <w:color w:val="000000"/>
                <w:sz w:val="18"/>
                <w:szCs w:val="18"/>
              </w:rPr>
            </w:pPr>
            <w:r>
              <w:rPr>
                <w:rFonts w:ascii="Arial" w:hAnsi="Arial" w:cs="Arial"/>
                <w:b/>
                <w:bCs/>
                <w:color w:val="000000"/>
                <w:sz w:val="18"/>
                <w:szCs w:val="18"/>
              </w:rPr>
              <w:t>0</w:t>
            </w:r>
            <w:r w:rsidRPr="001F1826">
              <w:rPr>
                <w:rFonts w:ascii="Arial" w:hAnsi="Arial" w:cs="Arial"/>
                <w:b/>
                <w:bCs/>
                <w:color w:val="000000"/>
                <w:sz w:val="18"/>
                <w:szCs w:val="18"/>
              </w:rPr>
              <w:t> </w:t>
            </w:r>
          </w:p>
        </w:tc>
        <w:tc>
          <w:tcPr>
            <w:tcW w:w="1113" w:type="dxa"/>
            <w:tcBorders>
              <w:top w:val="nil"/>
              <w:left w:val="nil"/>
              <w:bottom w:val="single" w:sz="4" w:space="0" w:color="auto"/>
              <w:right w:val="single" w:sz="4" w:space="0" w:color="auto"/>
            </w:tcBorders>
            <w:shd w:val="clear" w:color="000000" w:fill="D9D9D9"/>
            <w:noWrap/>
            <w:vAlign w:val="center"/>
            <w:hideMark/>
          </w:tcPr>
          <w:p w14:paraId="57E849D3" w14:textId="77777777" w:rsidR="001F1826" w:rsidRPr="001F1826" w:rsidRDefault="001F1826" w:rsidP="00D00168">
            <w:pPr>
              <w:jc w:val="center"/>
              <w:rPr>
                <w:rFonts w:ascii="Arial" w:hAnsi="Arial" w:cs="Arial"/>
                <w:b/>
                <w:bCs/>
                <w:color w:val="000000"/>
                <w:sz w:val="18"/>
                <w:szCs w:val="18"/>
              </w:rPr>
            </w:pPr>
            <w:r w:rsidRPr="001F1826">
              <w:rPr>
                <w:rFonts w:ascii="Arial" w:hAnsi="Arial" w:cs="Arial"/>
                <w:b/>
                <w:bCs/>
                <w:color w:val="000000"/>
                <w:sz w:val="18"/>
                <w:szCs w:val="18"/>
              </w:rPr>
              <w:t>-100%</w:t>
            </w:r>
          </w:p>
        </w:tc>
      </w:tr>
      <w:tr w:rsidR="001F1826" w:rsidRPr="001F1826" w14:paraId="0C03D303" w14:textId="77777777" w:rsidTr="001F1826">
        <w:trPr>
          <w:trHeight w:val="20"/>
        </w:trPr>
        <w:tc>
          <w:tcPr>
            <w:tcW w:w="6091" w:type="dxa"/>
            <w:tcBorders>
              <w:top w:val="nil"/>
              <w:left w:val="single" w:sz="4" w:space="0" w:color="auto"/>
              <w:bottom w:val="single" w:sz="4" w:space="0" w:color="auto"/>
              <w:right w:val="single" w:sz="4" w:space="0" w:color="auto"/>
            </w:tcBorders>
            <w:shd w:val="clear" w:color="000000" w:fill="244061"/>
            <w:noWrap/>
            <w:vAlign w:val="center"/>
            <w:hideMark/>
          </w:tcPr>
          <w:p w14:paraId="0F6330AE" w14:textId="77777777" w:rsidR="001F1826" w:rsidRPr="001F1826" w:rsidRDefault="001F1826" w:rsidP="00D00168">
            <w:pPr>
              <w:jc w:val="both"/>
              <w:rPr>
                <w:rFonts w:ascii="Arial" w:hAnsi="Arial" w:cs="Arial"/>
                <w:b/>
                <w:bCs/>
                <w:color w:val="FFFFFF"/>
                <w:sz w:val="18"/>
                <w:szCs w:val="18"/>
              </w:rPr>
            </w:pPr>
            <w:proofErr w:type="gramStart"/>
            <w:r w:rsidRPr="001F1826">
              <w:rPr>
                <w:rFonts w:ascii="Arial" w:hAnsi="Arial" w:cs="Arial"/>
                <w:b/>
                <w:bCs/>
                <w:color w:val="FFFFFF"/>
                <w:sz w:val="18"/>
                <w:szCs w:val="18"/>
              </w:rPr>
              <w:t>GASTOS  SGP</w:t>
            </w:r>
            <w:proofErr w:type="gramEnd"/>
            <w:r w:rsidRPr="001F1826">
              <w:rPr>
                <w:rFonts w:ascii="Arial" w:hAnsi="Arial" w:cs="Arial"/>
                <w:b/>
                <w:bCs/>
                <w:color w:val="FFFFFF"/>
                <w:sz w:val="18"/>
                <w:szCs w:val="18"/>
              </w:rPr>
              <w:t xml:space="preserve"> -Educación</w:t>
            </w:r>
          </w:p>
        </w:tc>
        <w:tc>
          <w:tcPr>
            <w:tcW w:w="850" w:type="dxa"/>
            <w:tcBorders>
              <w:top w:val="nil"/>
              <w:left w:val="nil"/>
              <w:bottom w:val="single" w:sz="4" w:space="0" w:color="auto"/>
              <w:right w:val="single" w:sz="4" w:space="0" w:color="auto"/>
            </w:tcBorders>
            <w:shd w:val="clear" w:color="000000" w:fill="244061"/>
            <w:noWrap/>
            <w:vAlign w:val="center"/>
            <w:hideMark/>
          </w:tcPr>
          <w:p w14:paraId="6B4F3EDA" w14:textId="77777777" w:rsidR="001F1826" w:rsidRPr="001F1826" w:rsidRDefault="001F1826" w:rsidP="00D00168">
            <w:pPr>
              <w:jc w:val="right"/>
              <w:rPr>
                <w:rFonts w:ascii="Arial" w:hAnsi="Arial" w:cs="Arial"/>
                <w:b/>
                <w:bCs/>
                <w:color w:val="FFFFFF"/>
                <w:sz w:val="18"/>
                <w:szCs w:val="18"/>
              </w:rPr>
            </w:pPr>
            <w:r w:rsidRPr="001F1826">
              <w:rPr>
                <w:rFonts w:ascii="Arial" w:hAnsi="Arial" w:cs="Arial"/>
                <w:b/>
                <w:bCs/>
                <w:color w:val="FFFFFF"/>
                <w:sz w:val="18"/>
                <w:szCs w:val="18"/>
              </w:rPr>
              <w:t>40.794</w:t>
            </w:r>
          </w:p>
        </w:tc>
        <w:tc>
          <w:tcPr>
            <w:tcW w:w="774" w:type="dxa"/>
            <w:tcBorders>
              <w:top w:val="nil"/>
              <w:left w:val="nil"/>
              <w:bottom w:val="single" w:sz="4" w:space="0" w:color="auto"/>
              <w:right w:val="single" w:sz="4" w:space="0" w:color="auto"/>
            </w:tcBorders>
            <w:shd w:val="clear" w:color="000000" w:fill="244061"/>
            <w:noWrap/>
            <w:vAlign w:val="center"/>
            <w:hideMark/>
          </w:tcPr>
          <w:p w14:paraId="5A2B2183" w14:textId="77777777" w:rsidR="001F1826" w:rsidRPr="001F1826" w:rsidRDefault="001F1826" w:rsidP="00D00168">
            <w:pPr>
              <w:jc w:val="right"/>
              <w:rPr>
                <w:rFonts w:ascii="Arial" w:hAnsi="Arial" w:cs="Arial"/>
                <w:b/>
                <w:bCs/>
                <w:color w:val="FFFFFF"/>
                <w:sz w:val="18"/>
                <w:szCs w:val="18"/>
              </w:rPr>
            </w:pPr>
            <w:r w:rsidRPr="001F1826">
              <w:rPr>
                <w:rFonts w:ascii="Arial" w:hAnsi="Arial" w:cs="Arial"/>
                <w:b/>
                <w:bCs/>
                <w:color w:val="FFFFFF"/>
                <w:sz w:val="18"/>
                <w:szCs w:val="18"/>
              </w:rPr>
              <w:t>55.256</w:t>
            </w:r>
          </w:p>
        </w:tc>
        <w:tc>
          <w:tcPr>
            <w:tcW w:w="1113" w:type="dxa"/>
            <w:tcBorders>
              <w:top w:val="nil"/>
              <w:left w:val="nil"/>
              <w:bottom w:val="single" w:sz="4" w:space="0" w:color="auto"/>
              <w:right w:val="single" w:sz="4" w:space="0" w:color="auto"/>
            </w:tcBorders>
            <w:shd w:val="clear" w:color="000000" w:fill="244061"/>
            <w:noWrap/>
            <w:vAlign w:val="center"/>
            <w:hideMark/>
          </w:tcPr>
          <w:p w14:paraId="43B18338" w14:textId="77777777" w:rsidR="001F1826" w:rsidRPr="001F1826" w:rsidRDefault="001F1826" w:rsidP="00D00168">
            <w:pPr>
              <w:jc w:val="center"/>
              <w:rPr>
                <w:rFonts w:ascii="Arial" w:hAnsi="Arial" w:cs="Arial"/>
                <w:b/>
                <w:bCs/>
                <w:color w:val="FFFFFF"/>
                <w:sz w:val="18"/>
                <w:szCs w:val="18"/>
              </w:rPr>
            </w:pPr>
            <w:r w:rsidRPr="001F1826">
              <w:rPr>
                <w:rFonts w:ascii="Arial" w:hAnsi="Arial" w:cs="Arial"/>
                <w:b/>
                <w:bCs/>
                <w:color w:val="FFFFFF"/>
                <w:sz w:val="18"/>
                <w:szCs w:val="18"/>
              </w:rPr>
              <w:t>35%</w:t>
            </w:r>
          </w:p>
        </w:tc>
      </w:tr>
    </w:tbl>
    <w:p w14:paraId="09C2E180" w14:textId="77777777" w:rsidR="00D00168" w:rsidRDefault="00D00168" w:rsidP="00D00168">
      <w:pPr>
        <w:jc w:val="center"/>
        <w:rPr>
          <w:rFonts w:ascii="Arial" w:hAnsi="Arial" w:cs="Arial"/>
          <w:sz w:val="16"/>
          <w:szCs w:val="16"/>
        </w:rPr>
      </w:pPr>
      <w:r>
        <w:rPr>
          <w:rFonts w:ascii="Arial" w:hAnsi="Arial" w:cs="Arial"/>
          <w:sz w:val="16"/>
          <w:szCs w:val="16"/>
        </w:rPr>
        <w:t>Fuente: Información reportada por la Entidad Territorial en las Categorías de Gastos de Inversión y Gastos de Funcionamiento del FUT a 31 de diciembre de 2020 y de 2021</w:t>
      </w:r>
    </w:p>
    <w:p w14:paraId="1451A2F3" w14:textId="77777777" w:rsidR="001F1826" w:rsidRPr="002C4777" w:rsidRDefault="001F1826" w:rsidP="00D00168">
      <w:pPr>
        <w:rPr>
          <w:rFonts w:ascii="Arial" w:hAnsi="Arial" w:cs="Arial"/>
          <w:bCs/>
          <w:sz w:val="22"/>
          <w:szCs w:val="22"/>
          <w:lang w:val="es-ES_tradnl"/>
        </w:rPr>
      </w:pPr>
    </w:p>
    <w:p w14:paraId="1AE507A4" w14:textId="77777777" w:rsidR="001F1826" w:rsidRDefault="00D00168" w:rsidP="00D00168">
      <w:pPr>
        <w:jc w:val="both"/>
        <w:rPr>
          <w:rFonts w:ascii="Arial" w:hAnsi="Arial" w:cs="Arial"/>
          <w:sz w:val="22"/>
          <w:szCs w:val="22"/>
        </w:rPr>
      </w:pPr>
      <w:r>
        <w:rPr>
          <w:rFonts w:ascii="Arial" w:hAnsi="Arial" w:cs="Arial"/>
          <w:sz w:val="22"/>
          <w:szCs w:val="22"/>
        </w:rPr>
        <w:t>De la comparación de la ejecución de recursos en las vigencias 2020 y 2021 se evidencian compromisos en objetos de gasto asociados a Calidad Educativa en 2021, a diferencia de 2020, como respuesta de la Entidad Territorial al giro de dichos recursos por cuenta del levantamiento parcial de la medida correctiva de Suspensión de Giros ordenado mediante la Resolución No. 1047 del 28 de abril de 2020.</w:t>
      </w:r>
    </w:p>
    <w:p w14:paraId="5F62DD5E" w14:textId="77777777" w:rsidR="00D00168" w:rsidRDefault="00D00168" w:rsidP="00D00168">
      <w:pPr>
        <w:jc w:val="both"/>
        <w:rPr>
          <w:rFonts w:ascii="Arial" w:hAnsi="Arial" w:cs="Arial"/>
          <w:sz w:val="22"/>
          <w:szCs w:val="22"/>
        </w:rPr>
      </w:pPr>
    </w:p>
    <w:p w14:paraId="6ED3413A" w14:textId="77777777" w:rsidR="00D00168" w:rsidRDefault="00D00168" w:rsidP="00D00168">
      <w:pPr>
        <w:jc w:val="both"/>
        <w:rPr>
          <w:rFonts w:ascii="Arial" w:hAnsi="Arial" w:cs="Arial"/>
          <w:sz w:val="22"/>
          <w:szCs w:val="22"/>
        </w:rPr>
      </w:pPr>
      <w:r>
        <w:rPr>
          <w:rFonts w:ascii="Arial" w:hAnsi="Arial" w:cs="Arial"/>
          <w:sz w:val="22"/>
          <w:szCs w:val="22"/>
        </w:rPr>
        <w:lastRenderedPageBreak/>
        <w:t>En el caso de los recursos ejecutados en el rubro de internados que también presenta un aumento considerable, de acuerdo con el acta de la visita realizada por el Ministerio de Educación Nacional al cierre de 2021, el mayor valor en comparación con la vigencia 2020 se asocia con la contratación de cuidadores, alimentación, dotación, infraestructura y compra de carbón y leña. Así el rubro vuelve a sus niveles usuales de gasto, siendo 2020 el de menor ejecución para el último cuatrienio.</w:t>
      </w:r>
    </w:p>
    <w:p w14:paraId="397A455B" w14:textId="77777777" w:rsidR="001F1826" w:rsidRDefault="001F1826" w:rsidP="00D00168">
      <w:pPr>
        <w:jc w:val="both"/>
        <w:rPr>
          <w:rFonts w:ascii="Arial" w:hAnsi="Arial" w:cs="Arial"/>
          <w:sz w:val="22"/>
          <w:szCs w:val="22"/>
        </w:rPr>
      </w:pPr>
    </w:p>
    <w:p w14:paraId="22C3947E" w14:textId="77777777" w:rsidR="00D80C7F" w:rsidRDefault="00D80C7F" w:rsidP="00D00168">
      <w:pPr>
        <w:jc w:val="both"/>
        <w:rPr>
          <w:rFonts w:ascii="Arial" w:hAnsi="Arial" w:cs="Arial"/>
          <w:sz w:val="22"/>
          <w:szCs w:val="22"/>
        </w:rPr>
      </w:pPr>
      <w:r>
        <w:rPr>
          <w:rFonts w:ascii="Arial" w:hAnsi="Arial" w:cs="Arial"/>
          <w:sz w:val="22"/>
          <w:szCs w:val="22"/>
        </w:rPr>
        <w:t xml:space="preserve">El aumento en el rubro de la contratación del servicio educativo se explica principalmente </w:t>
      </w:r>
      <w:r w:rsidR="00C679C1">
        <w:rPr>
          <w:rFonts w:ascii="Arial" w:hAnsi="Arial" w:cs="Arial"/>
          <w:sz w:val="22"/>
          <w:szCs w:val="22"/>
        </w:rPr>
        <w:t xml:space="preserve">por el aumento de 2 meses en el calendario académico de 2021 frente a lo pactado en 2020, así como </w:t>
      </w:r>
      <w:r>
        <w:rPr>
          <w:rFonts w:ascii="Arial" w:hAnsi="Arial" w:cs="Arial"/>
          <w:sz w:val="22"/>
          <w:szCs w:val="22"/>
        </w:rPr>
        <w:t>la inclusión de 70 nuevos estudiantes atendidos mediante esta modalidad</w:t>
      </w:r>
      <w:r w:rsidR="00C679C1">
        <w:rPr>
          <w:rFonts w:ascii="Arial" w:hAnsi="Arial" w:cs="Arial"/>
          <w:sz w:val="22"/>
          <w:szCs w:val="22"/>
        </w:rPr>
        <w:t xml:space="preserve"> </w:t>
      </w:r>
      <w:r>
        <w:rPr>
          <w:rFonts w:ascii="Arial" w:hAnsi="Arial" w:cs="Arial"/>
          <w:sz w:val="22"/>
          <w:szCs w:val="22"/>
        </w:rPr>
        <w:t xml:space="preserve">y más recursos en las canastas pactadas para </w:t>
      </w:r>
      <w:r w:rsidR="00C679C1">
        <w:rPr>
          <w:rFonts w:ascii="Arial" w:hAnsi="Arial" w:cs="Arial"/>
          <w:sz w:val="22"/>
          <w:szCs w:val="22"/>
        </w:rPr>
        <w:t xml:space="preserve">el componente político organizativo del Sistema Educativo Indígena Propio, para </w:t>
      </w:r>
      <w:r>
        <w:rPr>
          <w:rFonts w:ascii="Arial" w:hAnsi="Arial" w:cs="Arial"/>
          <w:sz w:val="22"/>
          <w:szCs w:val="22"/>
        </w:rPr>
        <w:t>mantenimiento y adecuaciones a la infraestructura educativa</w:t>
      </w:r>
      <w:r w:rsidR="00C679C1">
        <w:rPr>
          <w:rFonts w:ascii="Arial" w:hAnsi="Arial" w:cs="Arial"/>
          <w:sz w:val="22"/>
          <w:szCs w:val="22"/>
        </w:rPr>
        <w:t xml:space="preserve"> y dotación de los establecimientos educativos. </w:t>
      </w:r>
    </w:p>
    <w:p w14:paraId="442476D9" w14:textId="77777777" w:rsidR="00D80C7F" w:rsidRDefault="00D80C7F" w:rsidP="00D00168">
      <w:pPr>
        <w:jc w:val="both"/>
        <w:rPr>
          <w:rFonts w:ascii="Arial" w:hAnsi="Arial" w:cs="Arial"/>
          <w:sz w:val="22"/>
          <w:szCs w:val="22"/>
        </w:rPr>
      </w:pPr>
    </w:p>
    <w:p w14:paraId="45F02AD7" w14:textId="77777777" w:rsidR="00EF5D6B" w:rsidRDefault="001F1826" w:rsidP="00D00168">
      <w:pPr>
        <w:jc w:val="both"/>
        <w:rPr>
          <w:rFonts w:ascii="Arial" w:hAnsi="Arial" w:cs="Arial"/>
          <w:sz w:val="22"/>
          <w:szCs w:val="22"/>
        </w:rPr>
      </w:pPr>
      <w:r>
        <w:rPr>
          <w:rFonts w:ascii="Arial" w:hAnsi="Arial" w:cs="Arial"/>
          <w:sz w:val="22"/>
          <w:szCs w:val="22"/>
        </w:rPr>
        <w:t>Por otro lado, los Documentos de Distribución DD-SGP-</w:t>
      </w:r>
      <w:r w:rsidR="00D00168">
        <w:rPr>
          <w:rFonts w:ascii="Arial" w:hAnsi="Arial" w:cs="Arial"/>
          <w:sz w:val="22"/>
          <w:szCs w:val="22"/>
        </w:rPr>
        <w:t>50</w:t>
      </w:r>
      <w:r>
        <w:rPr>
          <w:rFonts w:ascii="Arial" w:hAnsi="Arial" w:cs="Arial"/>
          <w:sz w:val="22"/>
          <w:szCs w:val="22"/>
        </w:rPr>
        <w:t>-2021 y DD-SGP-6</w:t>
      </w:r>
      <w:r w:rsidR="00D00168">
        <w:rPr>
          <w:rFonts w:ascii="Arial" w:hAnsi="Arial" w:cs="Arial"/>
          <w:sz w:val="22"/>
          <w:szCs w:val="22"/>
        </w:rPr>
        <w:t>0</w:t>
      </w:r>
      <w:r>
        <w:rPr>
          <w:rFonts w:ascii="Arial" w:hAnsi="Arial" w:cs="Arial"/>
          <w:sz w:val="22"/>
          <w:szCs w:val="22"/>
        </w:rPr>
        <w:t>-202</w:t>
      </w:r>
      <w:r w:rsidR="00D00168">
        <w:rPr>
          <w:rFonts w:ascii="Arial" w:hAnsi="Arial" w:cs="Arial"/>
          <w:sz w:val="22"/>
          <w:szCs w:val="22"/>
        </w:rPr>
        <w:t>1</w:t>
      </w:r>
      <w:r>
        <w:rPr>
          <w:rFonts w:ascii="Arial" w:hAnsi="Arial" w:cs="Arial"/>
          <w:sz w:val="22"/>
          <w:szCs w:val="22"/>
        </w:rPr>
        <w:t xml:space="preserve"> establecieron el límite de gasto administrativo para </w:t>
      </w:r>
      <w:r w:rsidR="00D00168">
        <w:rPr>
          <w:rFonts w:ascii="Arial" w:hAnsi="Arial" w:cs="Arial"/>
          <w:sz w:val="22"/>
          <w:szCs w:val="22"/>
        </w:rPr>
        <w:t xml:space="preserve">el Departamento de Vaupés </w:t>
      </w:r>
      <w:r>
        <w:rPr>
          <w:rFonts w:ascii="Arial" w:hAnsi="Arial" w:cs="Arial"/>
          <w:sz w:val="22"/>
          <w:szCs w:val="22"/>
        </w:rPr>
        <w:t>en las vigencias 202</w:t>
      </w:r>
      <w:r w:rsidR="00D00168">
        <w:rPr>
          <w:rFonts w:ascii="Arial" w:hAnsi="Arial" w:cs="Arial"/>
          <w:sz w:val="22"/>
          <w:szCs w:val="22"/>
        </w:rPr>
        <w:t>0</w:t>
      </w:r>
      <w:r>
        <w:rPr>
          <w:rFonts w:ascii="Arial" w:hAnsi="Arial" w:cs="Arial"/>
          <w:sz w:val="22"/>
          <w:szCs w:val="22"/>
        </w:rPr>
        <w:t xml:space="preserve"> y 202</w:t>
      </w:r>
      <w:r w:rsidR="00D00168">
        <w:rPr>
          <w:rFonts w:ascii="Arial" w:hAnsi="Arial" w:cs="Arial"/>
          <w:sz w:val="22"/>
          <w:szCs w:val="22"/>
        </w:rPr>
        <w:t>1</w:t>
      </w:r>
      <w:r>
        <w:rPr>
          <w:rFonts w:ascii="Arial" w:hAnsi="Arial" w:cs="Arial"/>
          <w:sz w:val="22"/>
          <w:szCs w:val="22"/>
        </w:rPr>
        <w:t>, respectivamente. Del análisis de las ejecuciones presupuestales, se concluye que la entidad territorial ha sobrepasado el límite, como se puede ver a continuación:</w:t>
      </w:r>
    </w:p>
    <w:p w14:paraId="29A842F0" w14:textId="77777777" w:rsidR="00D00168" w:rsidRDefault="00D00168" w:rsidP="00D00168">
      <w:pPr>
        <w:jc w:val="both"/>
        <w:rPr>
          <w:rFonts w:ascii="Arial" w:hAnsi="Arial" w:cs="Arial"/>
          <w:sz w:val="22"/>
          <w:szCs w:val="22"/>
        </w:rPr>
      </w:pPr>
    </w:p>
    <w:tbl>
      <w:tblPr>
        <w:tblW w:w="7280" w:type="dxa"/>
        <w:jc w:val="center"/>
        <w:tblCellMar>
          <w:left w:w="70" w:type="dxa"/>
          <w:right w:w="70" w:type="dxa"/>
        </w:tblCellMar>
        <w:tblLook w:val="04A0" w:firstRow="1" w:lastRow="0" w:firstColumn="1" w:lastColumn="0" w:noHBand="0" w:noVBand="1"/>
      </w:tblPr>
      <w:tblGrid>
        <w:gridCol w:w="4880"/>
        <w:gridCol w:w="1200"/>
        <w:gridCol w:w="1200"/>
      </w:tblGrid>
      <w:tr w:rsidR="00D00168" w:rsidRPr="00D00168" w14:paraId="64163AB3" w14:textId="77777777" w:rsidTr="00D00168">
        <w:trPr>
          <w:trHeight w:val="20"/>
          <w:jc w:val="center"/>
        </w:trPr>
        <w:tc>
          <w:tcPr>
            <w:tcW w:w="7280" w:type="dxa"/>
            <w:gridSpan w:val="3"/>
            <w:tcBorders>
              <w:top w:val="single" w:sz="4" w:space="0" w:color="auto"/>
              <w:left w:val="single" w:sz="4" w:space="0" w:color="auto"/>
              <w:bottom w:val="single" w:sz="4" w:space="0" w:color="auto"/>
              <w:right w:val="single" w:sz="4" w:space="0" w:color="auto"/>
            </w:tcBorders>
            <w:shd w:val="clear" w:color="000000" w:fill="244061"/>
            <w:vAlign w:val="center"/>
            <w:hideMark/>
          </w:tcPr>
          <w:p w14:paraId="371CB9F2"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TABLA 3. GASTOS ADMINISTRATIVOS DE LA ENTIDAD</w:t>
            </w:r>
          </w:p>
        </w:tc>
      </w:tr>
      <w:tr w:rsidR="00D00168" w:rsidRPr="00D00168" w14:paraId="23283C82" w14:textId="77777777" w:rsidTr="00D00168">
        <w:trPr>
          <w:trHeight w:val="20"/>
          <w:jc w:val="center"/>
        </w:trPr>
        <w:tc>
          <w:tcPr>
            <w:tcW w:w="7280" w:type="dxa"/>
            <w:gridSpan w:val="3"/>
            <w:tcBorders>
              <w:top w:val="single" w:sz="4" w:space="0" w:color="auto"/>
              <w:left w:val="single" w:sz="4" w:space="0" w:color="auto"/>
              <w:bottom w:val="single" w:sz="4" w:space="0" w:color="auto"/>
              <w:right w:val="single" w:sz="4" w:space="0" w:color="auto"/>
            </w:tcBorders>
            <w:shd w:val="clear" w:color="000000" w:fill="244061"/>
            <w:vAlign w:val="center"/>
            <w:hideMark/>
          </w:tcPr>
          <w:p w14:paraId="43D6D14C"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(MILLONES DE $)</w:t>
            </w:r>
          </w:p>
        </w:tc>
      </w:tr>
      <w:tr w:rsidR="00D00168" w:rsidRPr="00D00168" w14:paraId="0A7DFB84" w14:textId="77777777" w:rsidTr="00D00168">
        <w:trPr>
          <w:trHeight w:val="20"/>
          <w:jc w:val="center"/>
        </w:trPr>
        <w:tc>
          <w:tcPr>
            <w:tcW w:w="4880" w:type="dxa"/>
            <w:tcBorders>
              <w:top w:val="nil"/>
              <w:left w:val="single" w:sz="4" w:space="0" w:color="auto"/>
              <w:bottom w:val="single" w:sz="4" w:space="0" w:color="auto"/>
              <w:right w:val="single" w:sz="4" w:space="0" w:color="auto"/>
            </w:tcBorders>
            <w:shd w:val="clear" w:color="000000" w:fill="95B3D7"/>
            <w:noWrap/>
            <w:vAlign w:val="center"/>
            <w:hideMark/>
          </w:tcPr>
          <w:p w14:paraId="59A61048" w14:textId="77777777" w:rsidR="00D00168" w:rsidRPr="00D00168" w:rsidRDefault="00D00168" w:rsidP="00D00168">
            <w:pPr>
              <w:jc w:val="center"/>
              <w:rPr>
                <w:rFonts w:ascii="Arial" w:hAnsi="Arial" w:cs="Arial"/>
                <w:b/>
                <w:bCs/>
                <w:color w:val="000000"/>
                <w:sz w:val="18"/>
                <w:szCs w:val="18"/>
              </w:rPr>
            </w:pPr>
            <w:r w:rsidRPr="00D00168">
              <w:rPr>
                <w:rFonts w:ascii="Arial" w:hAnsi="Arial" w:cs="Arial"/>
                <w:b/>
                <w:bCs/>
                <w:color w:val="000000"/>
                <w:sz w:val="18"/>
                <w:szCs w:val="18"/>
              </w:rPr>
              <w:t>Vigencia</w:t>
            </w:r>
          </w:p>
        </w:tc>
        <w:tc>
          <w:tcPr>
            <w:tcW w:w="1200" w:type="dxa"/>
            <w:tcBorders>
              <w:top w:val="nil"/>
              <w:left w:val="nil"/>
              <w:bottom w:val="single" w:sz="4" w:space="0" w:color="auto"/>
              <w:right w:val="single" w:sz="4" w:space="0" w:color="auto"/>
            </w:tcBorders>
            <w:shd w:val="clear" w:color="000000" w:fill="95B3D7"/>
            <w:noWrap/>
            <w:vAlign w:val="center"/>
            <w:hideMark/>
          </w:tcPr>
          <w:p w14:paraId="52CB77D1" w14:textId="77777777" w:rsidR="00D00168" w:rsidRPr="00D00168" w:rsidRDefault="00D00168" w:rsidP="00D00168">
            <w:pPr>
              <w:jc w:val="center"/>
              <w:rPr>
                <w:rFonts w:ascii="Arial" w:hAnsi="Arial" w:cs="Arial"/>
                <w:b/>
                <w:bCs/>
                <w:color w:val="000000"/>
                <w:sz w:val="18"/>
                <w:szCs w:val="18"/>
              </w:rPr>
            </w:pPr>
            <w:r w:rsidRPr="00D00168">
              <w:rPr>
                <w:rFonts w:ascii="Arial" w:hAnsi="Arial" w:cs="Arial"/>
                <w:b/>
                <w:bCs/>
                <w:color w:val="000000"/>
                <w:sz w:val="18"/>
                <w:szCs w:val="18"/>
              </w:rPr>
              <w:t>2020</w:t>
            </w:r>
          </w:p>
        </w:tc>
        <w:tc>
          <w:tcPr>
            <w:tcW w:w="1200" w:type="dxa"/>
            <w:tcBorders>
              <w:top w:val="nil"/>
              <w:left w:val="nil"/>
              <w:bottom w:val="single" w:sz="4" w:space="0" w:color="auto"/>
              <w:right w:val="single" w:sz="4" w:space="0" w:color="auto"/>
            </w:tcBorders>
            <w:shd w:val="clear" w:color="000000" w:fill="95B3D7"/>
            <w:noWrap/>
            <w:vAlign w:val="center"/>
            <w:hideMark/>
          </w:tcPr>
          <w:p w14:paraId="62C068B6" w14:textId="77777777" w:rsidR="00D00168" w:rsidRPr="00D00168" w:rsidRDefault="00D00168" w:rsidP="00D00168">
            <w:pPr>
              <w:jc w:val="center"/>
              <w:rPr>
                <w:rFonts w:ascii="Arial" w:hAnsi="Arial" w:cs="Arial"/>
                <w:b/>
                <w:bCs/>
                <w:color w:val="000000"/>
                <w:sz w:val="18"/>
                <w:szCs w:val="18"/>
              </w:rPr>
            </w:pPr>
            <w:r w:rsidRPr="00D00168">
              <w:rPr>
                <w:rFonts w:ascii="Arial" w:hAnsi="Arial" w:cs="Arial"/>
                <w:b/>
                <w:bCs/>
                <w:color w:val="000000"/>
                <w:sz w:val="18"/>
                <w:szCs w:val="18"/>
              </w:rPr>
              <w:t>2021</w:t>
            </w:r>
          </w:p>
        </w:tc>
      </w:tr>
      <w:tr w:rsidR="00D00168" w:rsidRPr="00D00168" w14:paraId="0C8DD407" w14:textId="77777777" w:rsidTr="00D00168">
        <w:trPr>
          <w:trHeight w:val="20"/>
          <w:jc w:val="center"/>
        </w:trPr>
        <w:tc>
          <w:tcPr>
            <w:tcW w:w="4880" w:type="dxa"/>
            <w:tcBorders>
              <w:top w:val="nil"/>
              <w:left w:val="single" w:sz="4" w:space="0" w:color="auto"/>
              <w:bottom w:val="single" w:sz="4" w:space="0" w:color="auto"/>
              <w:right w:val="single" w:sz="4" w:space="0" w:color="auto"/>
            </w:tcBorders>
            <w:shd w:val="clear" w:color="auto" w:fill="auto"/>
            <w:vAlign w:val="center"/>
            <w:hideMark/>
          </w:tcPr>
          <w:p w14:paraId="1E26B1ED" w14:textId="77777777" w:rsidR="00D00168" w:rsidRPr="00D00168" w:rsidRDefault="00D00168" w:rsidP="00D00168">
            <w:pPr>
              <w:jc w:val="center"/>
              <w:rPr>
                <w:rFonts w:ascii="Arial" w:hAnsi="Arial" w:cs="Arial"/>
                <w:i/>
                <w:iCs/>
                <w:color w:val="000000"/>
                <w:sz w:val="18"/>
                <w:szCs w:val="18"/>
              </w:rPr>
            </w:pPr>
            <w:r w:rsidRPr="00D00168">
              <w:rPr>
                <w:rFonts w:ascii="Arial" w:hAnsi="Arial" w:cs="Arial"/>
                <w:i/>
                <w:iCs/>
                <w:color w:val="000000"/>
                <w:sz w:val="18"/>
                <w:szCs w:val="18"/>
              </w:rPr>
              <w:t xml:space="preserve">Autorizado </w:t>
            </w:r>
          </w:p>
        </w:tc>
        <w:tc>
          <w:tcPr>
            <w:tcW w:w="1200" w:type="dxa"/>
            <w:tcBorders>
              <w:top w:val="nil"/>
              <w:left w:val="nil"/>
              <w:bottom w:val="single" w:sz="4" w:space="0" w:color="auto"/>
              <w:right w:val="single" w:sz="4" w:space="0" w:color="auto"/>
            </w:tcBorders>
            <w:shd w:val="clear" w:color="auto" w:fill="auto"/>
            <w:vAlign w:val="center"/>
            <w:hideMark/>
          </w:tcPr>
          <w:p w14:paraId="4D8482B3" w14:textId="77777777" w:rsidR="00D00168" w:rsidRPr="00D00168" w:rsidRDefault="00D00168" w:rsidP="00D00168">
            <w:pPr>
              <w:jc w:val="center"/>
              <w:rPr>
                <w:rFonts w:ascii="Arial" w:hAnsi="Arial" w:cs="Arial"/>
                <w:color w:val="000000"/>
                <w:sz w:val="18"/>
                <w:szCs w:val="18"/>
              </w:rPr>
            </w:pPr>
            <w:r w:rsidRPr="00D00168">
              <w:rPr>
                <w:rFonts w:ascii="Arial" w:hAnsi="Arial" w:cs="Arial"/>
                <w:color w:val="000000"/>
                <w:sz w:val="18"/>
                <w:szCs w:val="18"/>
              </w:rPr>
              <w:t>$ 6.912</w:t>
            </w:r>
          </w:p>
        </w:tc>
        <w:tc>
          <w:tcPr>
            <w:tcW w:w="1200" w:type="dxa"/>
            <w:tcBorders>
              <w:top w:val="nil"/>
              <w:left w:val="nil"/>
              <w:bottom w:val="single" w:sz="4" w:space="0" w:color="auto"/>
              <w:right w:val="single" w:sz="4" w:space="0" w:color="auto"/>
            </w:tcBorders>
            <w:shd w:val="clear" w:color="auto" w:fill="auto"/>
            <w:vAlign w:val="center"/>
            <w:hideMark/>
          </w:tcPr>
          <w:p w14:paraId="6F96F04E" w14:textId="77777777" w:rsidR="00D00168" w:rsidRPr="00D00168" w:rsidRDefault="00D00168" w:rsidP="00D00168">
            <w:pPr>
              <w:jc w:val="center"/>
              <w:rPr>
                <w:rFonts w:ascii="Arial" w:hAnsi="Arial" w:cs="Arial"/>
                <w:color w:val="000000"/>
                <w:sz w:val="18"/>
                <w:szCs w:val="18"/>
              </w:rPr>
            </w:pPr>
            <w:r w:rsidRPr="00D00168">
              <w:rPr>
                <w:rFonts w:ascii="Arial" w:hAnsi="Arial" w:cs="Arial"/>
                <w:color w:val="000000"/>
                <w:sz w:val="18"/>
                <w:szCs w:val="18"/>
              </w:rPr>
              <w:t>$ 6.912</w:t>
            </w:r>
          </w:p>
        </w:tc>
      </w:tr>
      <w:tr w:rsidR="00D00168" w:rsidRPr="00D00168" w14:paraId="68D3A6BD" w14:textId="77777777" w:rsidTr="00D00168">
        <w:trPr>
          <w:trHeight w:val="20"/>
          <w:jc w:val="center"/>
        </w:trPr>
        <w:tc>
          <w:tcPr>
            <w:tcW w:w="4880" w:type="dxa"/>
            <w:tcBorders>
              <w:top w:val="nil"/>
              <w:left w:val="single" w:sz="4" w:space="0" w:color="auto"/>
              <w:bottom w:val="single" w:sz="4" w:space="0" w:color="auto"/>
              <w:right w:val="single" w:sz="4" w:space="0" w:color="auto"/>
            </w:tcBorders>
            <w:shd w:val="clear" w:color="auto" w:fill="auto"/>
            <w:vAlign w:val="center"/>
            <w:hideMark/>
          </w:tcPr>
          <w:p w14:paraId="380BD567" w14:textId="77777777" w:rsidR="00D00168" w:rsidRPr="00D00168" w:rsidRDefault="00D00168" w:rsidP="00D00168">
            <w:pPr>
              <w:jc w:val="center"/>
              <w:rPr>
                <w:rFonts w:ascii="Arial" w:hAnsi="Arial" w:cs="Arial"/>
                <w:i/>
                <w:iCs/>
                <w:color w:val="000000"/>
                <w:sz w:val="18"/>
                <w:szCs w:val="18"/>
              </w:rPr>
            </w:pPr>
            <w:r w:rsidRPr="00D00168">
              <w:rPr>
                <w:rFonts w:ascii="Arial" w:hAnsi="Arial" w:cs="Arial"/>
                <w:i/>
                <w:iCs/>
                <w:color w:val="000000"/>
                <w:sz w:val="18"/>
                <w:szCs w:val="18"/>
              </w:rPr>
              <w:t>Ejecutado</w:t>
            </w:r>
          </w:p>
        </w:tc>
        <w:tc>
          <w:tcPr>
            <w:tcW w:w="1200" w:type="dxa"/>
            <w:tcBorders>
              <w:top w:val="nil"/>
              <w:left w:val="nil"/>
              <w:bottom w:val="single" w:sz="4" w:space="0" w:color="auto"/>
              <w:right w:val="single" w:sz="4" w:space="0" w:color="auto"/>
            </w:tcBorders>
            <w:shd w:val="clear" w:color="auto" w:fill="auto"/>
            <w:vAlign w:val="center"/>
            <w:hideMark/>
          </w:tcPr>
          <w:p w14:paraId="3906A77C" w14:textId="77777777" w:rsidR="00D00168" w:rsidRPr="00D00168" w:rsidRDefault="00D00168" w:rsidP="00D00168">
            <w:pPr>
              <w:jc w:val="center"/>
              <w:rPr>
                <w:rFonts w:ascii="Arial" w:hAnsi="Arial" w:cs="Arial"/>
                <w:color w:val="000000"/>
                <w:sz w:val="18"/>
                <w:szCs w:val="18"/>
              </w:rPr>
            </w:pPr>
            <w:r w:rsidRPr="00D00168">
              <w:rPr>
                <w:rFonts w:ascii="Arial" w:hAnsi="Arial" w:cs="Arial"/>
                <w:color w:val="000000"/>
                <w:sz w:val="18"/>
                <w:szCs w:val="18"/>
              </w:rPr>
              <w:t>$ 7.316</w:t>
            </w:r>
          </w:p>
        </w:tc>
        <w:tc>
          <w:tcPr>
            <w:tcW w:w="1200" w:type="dxa"/>
            <w:tcBorders>
              <w:top w:val="nil"/>
              <w:left w:val="nil"/>
              <w:bottom w:val="single" w:sz="4" w:space="0" w:color="auto"/>
              <w:right w:val="single" w:sz="4" w:space="0" w:color="auto"/>
            </w:tcBorders>
            <w:shd w:val="clear" w:color="auto" w:fill="auto"/>
            <w:vAlign w:val="center"/>
            <w:hideMark/>
          </w:tcPr>
          <w:p w14:paraId="4F541C6F" w14:textId="77777777" w:rsidR="00D00168" w:rsidRPr="00D00168" w:rsidRDefault="00D00168" w:rsidP="00D00168">
            <w:pPr>
              <w:jc w:val="center"/>
              <w:rPr>
                <w:rFonts w:ascii="Arial" w:hAnsi="Arial" w:cs="Arial"/>
                <w:color w:val="000000"/>
                <w:sz w:val="18"/>
                <w:szCs w:val="18"/>
              </w:rPr>
            </w:pPr>
            <w:r w:rsidRPr="00D00168">
              <w:rPr>
                <w:rFonts w:ascii="Arial" w:hAnsi="Arial" w:cs="Arial"/>
                <w:color w:val="000000"/>
                <w:sz w:val="18"/>
                <w:szCs w:val="18"/>
              </w:rPr>
              <w:t>$ 7.287</w:t>
            </w:r>
          </w:p>
        </w:tc>
      </w:tr>
      <w:tr w:rsidR="00D00168" w:rsidRPr="00D00168" w14:paraId="6A1982FA" w14:textId="77777777" w:rsidTr="00D00168">
        <w:trPr>
          <w:trHeight w:val="20"/>
          <w:jc w:val="center"/>
        </w:trPr>
        <w:tc>
          <w:tcPr>
            <w:tcW w:w="4880" w:type="dxa"/>
            <w:tcBorders>
              <w:top w:val="nil"/>
              <w:left w:val="single" w:sz="4" w:space="0" w:color="auto"/>
              <w:bottom w:val="single" w:sz="4" w:space="0" w:color="auto"/>
              <w:right w:val="single" w:sz="4" w:space="0" w:color="auto"/>
            </w:tcBorders>
            <w:shd w:val="clear" w:color="000000" w:fill="244061"/>
            <w:noWrap/>
            <w:vAlign w:val="center"/>
            <w:hideMark/>
          </w:tcPr>
          <w:p w14:paraId="1AB08764"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DIFERENCIA</w:t>
            </w:r>
          </w:p>
        </w:tc>
        <w:tc>
          <w:tcPr>
            <w:tcW w:w="1200" w:type="dxa"/>
            <w:tcBorders>
              <w:top w:val="nil"/>
              <w:left w:val="nil"/>
              <w:bottom w:val="single" w:sz="4" w:space="0" w:color="auto"/>
              <w:right w:val="single" w:sz="4" w:space="0" w:color="auto"/>
            </w:tcBorders>
            <w:shd w:val="clear" w:color="000000" w:fill="244061"/>
            <w:noWrap/>
            <w:vAlign w:val="center"/>
            <w:hideMark/>
          </w:tcPr>
          <w:p w14:paraId="0146BBEF" w14:textId="77777777" w:rsidR="00D00168" w:rsidRPr="00D00168" w:rsidRDefault="00D00168" w:rsidP="00D00168">
            <w:pPr>
              <w:jc w:val="center"/>
              <w:rPr>
                <w:rFonts w:ascii="Arial" w:hAnsi="Arial" w:cs="Arial"/>
                <w:b/>
                <w:bCs/>
                <w:color w:val="FFFFFF" w:themeColor="background1"/>
                <w:sz w:val="18"/>
                <w:szCs w:val="18"/>
              </w:rPr>
            </w:pPr>
            <w:r w:rsidRPr="00D00168">
              <w:rPr>
                <w:rFonts w:ascii="Arial" w:hAnsi="Arial" w:cs="Arial"/>
                <w:b/>
                <w:bCs/>
                <w:color w:val="FFFFFF" w:themeColor="background1"/>
                <w:sz w:val="18"/>
                <w:szCs w:val="18"/>
              </w:rPr>
              <w:t>-$ 404</w:t>
            </w:r>
          </w:p>
        </w:tc>
        <w:tc>
          <w:tcPr>
            <w:tcW w:w="1200" w:type="dxa"/>
            <w:tcBorders>
              <w:top w:val="nil"/>
              <w:left w:val="nil"/>
              <w:bottom w:val="single" w:sz="4" w:space="0" w:color="auto"/>
              <w:right w:val="single" w:sz="4" w:space="0" w:color="auto"/>
            </w:tcBorders>
            <w:shd w:val="clear" w:color="000000" w:fill="244061"/>
            <w:noWrap/>
            <w:vAlign w:val="center"/>
            <w:hideMark/>
          </w:tcPr>
          <w:p w14:paraId="11A46092" w14:textId="77777777" w:rsidR="00D00168" w:rsidRPr="00D00168" w:rsidRDefault="00D00168" w:rsidP="00D00168">
            <w:pPr>
              <w:jc w:val="center"/>
              <w:rPr>
                <w:rFonts w:ascii="Arial" w:hAnsi="Arial" w:cs="Arial"/>
                <w:b/>
                <w:bCs/>
                <w:color w:val="FFFFFF" w:themeColor="background1"/>
                <w:sz w:val="18"/>
                <w:szCs w:val="18"/>
              </w:rPr>
            </w:pPr>
            <w:r w:rsidRPr="00D00168">
              <w:rPr>
                <w:rFonts w:ascii="Arial" w:hAnsi="Arial" w:cs="Arial"/>
                <w:b/>
                <w:bCs/>
                <w:color w:val="FFFFFF" w:themeColor="background1"/>
                <w:sz w:val="18"/>
                <w:szCs w:val="18"/>
              </w:rPr>
              <w:t>-$ 375</w:t>
            </w:r>
          </w:p>
        </w:tc>
      </w:tr>
    </w:tbl>
    <w:p w14:paraId="6FC2902A" w14:textId="77777777" w:rsidR="00D00168" w:rsidRDefault="00D00168" w:rsidP="00D00168">
      <w:pPr>
        <w:jc w:val="center"/>
        <w:rPr>
          <w:rFonts w:ascii="Arial" w:hAnsi="Arial" w:cs="Arial"/>
          <w:sz w:val="22"/>
          <w:szCs w:val="22"/>
        </w:rPr>
      </w:pPr>
      <w:r>
        <w:rPr>
          <w:rFonts w:ascii="Arial" w:hAnsi="Arial" w:cs="Arial"/>
          <w:sz w:val="16"/>
          <w:szCs w:val="16"/>
        </w:rPr>
        <w:t>Fuente: Información reportada por la Entidad Territorial en las Categorías de Gastos de Inversión y Gastos de Funcionamiento del FUT a 31 de diciembre de 2020 y de 2021</w:t>
      </w:r>
    </w:p>
    <w:p w14:paraId="16218D9A" w14:textId="77777777" w:rsidR="001F1826" w:rsidRPr="001107D5" w:rsidRDefault="001F1826" w:rsidP="00D00168">
      <w:pPr>
        <w:jc w:val="both"/>
        <w:rPr>
          <w:rFonts w:ascii="Arial" w:hAnsi="Arial" w:cs="Arial"/>
          <w:sz w:val="22"/>
          <w:szCs w:val="22"/>
        </w:rPr>
      </w:pPr>
    </w:p>
    <w:p w14:paraId="2042079E" w14:textId="77777777" w:rsidR="00EF5D6B" w:rsidRDefault="00E70CF7" w:rsidP="00D00168">
      <w:pPr>
        <w:pStyle w:val="Ttulo2"/>
        <w:spacing w:before="0"/>
        <w:jc w:val="both"/>
        <w:rPr>
          <w:rFonts w:ascii="Arial" w:hAnsi="Arial" w:cs="Arial"/>
          <w:b/>
          <w:color w:val="auto"/>
          <w:sz w:val="22"/>
          <w:lang w:val="es-CO"/>
        </w:rPr>
      </w:pPr>
      <w:r w:rsidRPr="00761DA0">
        <w:rPr>
          <w:rFonts w:ascii="Arial" w:hAnsi="Arial" w:cs="Arial"/>
          <w:b/>
          <w:color w:val="auto"/>
          <w:sz w:val="22"/>
          <w:lang w:val="es-CO"/>
        </w:rPr>
        <w:t>Cierre Fiscal</w:t>
      </w:r>
      <w:r w:rsidR="00944CEA">
        <w:rPr>
          <w:rFonts w:ascii="Arial" w:hAnsi="Arial" w:cs="Arial"/>
          <w:b/>
          <w:color w:val="auto"/>
          <w:sz w:val="22"/>
          <w:lang w:val="es-CO"/>
        </w:rPr>
        <w:t xml:space="preserve"> </w:t>
      </w:r>
    </w:p>
    <w:p w14:paraId="202AF47E" w14:textId="77777777" w:rsidR="00944CEA" w:rsidRDefault="00944CEA" w:rsidP="00D00168">
      <w:pPr>
        <w:jc w:val="both"/>
      </w:pPr>
    </w:p>
    <w:p w14:paraId="2AF2532D" w14:textId="77777777" w:rsidR="001F1826" w:rsidRDefault="001F1826" w:rsidP="00D00168">
      <w:pPr>
        <w:jc w:val="both"/>
        <w:rPr>
          <w:rFonts w:ascii="Arial" w:hAnsi="Arial" w:cs="Arial"/>
          <w:sz w:val="22"/>
          <w:szCs w:val="22"/>
        </w:rPr>
      </w:pPr>
      <w:r w:rsidRPr="002C4777">
        <w:rPr>
          <w:rFonts w:ascii="Arial" w:hAnsi="Arial" w:cs="Arial"/>
          <w:sz w:val="22"/>
          <w:szCs w:val="22"/>
        </w:rPr>
        <w:t>Sobre el cierre de 20</w:t>
      </w:r>
      <w:r w:rsidR="00D00168">
        <w:rPr>
          <w:rFonts w:ascii="Arial" w:hAnsi="Arial" w:cs="Arial"/>
          <w:sz w:val="22"/>
          <w:szCs w:val="22"/>
        </w:rPr>
        <w:t>21</w:t>
      </w:r>
      <w:r w:rsidRPr="002C4777">
        <w:rPr>
          <w:rFonts w:ascii="Arial" w:hAnsi="Arial" w:cs="Arial"/>
          <w:sz w:val="22"/>
          <w:szCs w:val="22"/>
        </w:rPr>
        <w:t xml:space="preserve">, la </w:t>
      </w:r>
      <w:r w:rsidR="00D00168">
        <w:rPr>
          <w:rFonts w:ascii="Arial" w:hAnsi="Arial" w:cs="Arial"/>
          <w:sz w:val="22"/>
          <w:szCs w:val="22"/>
        </w:rPr>
        <w:t xml:space="preserve">información </w:t>
      </w:r>
      <w:r w:rsidRPr="002C4777">
        <w:rPr>
          <w:rFonts w:ascii="Arial" w:hAnsi="Arial" w:cs="Arial"/>
          <w:sz w:val="22"/>
          <w:szCs w:val="22"/>
        </w:rPr>
        <w:t>presupuestal de ingre</w:t>
      </w:r>
      <w:r w:rsidRPr="00D00168">
        <w:rPr>
          <w:rFonts w:ascii="Arial" w:hAnsi="Arial" w:cs="Arial"/>
          <w:sz w:val="22"/>
          <w:szCs w:val="22"/>
        </w:rPr>
        <w:t xml:space="preserve">sos y gastos </w:t>
      </w:r>
      <w:r w:rsidR="00D00168" w:rsidRPr="00D00168">
        <w:rPr>
          <w:rFonts w:ascii="Arial" w:hAnsi="Arial" w:cs="Arial"/>
          <w:sz w:val="22"/>
          <w:szCs w:val="22"/>
        </w:rPr>
        <w:t xml:space="preserve">reportada en </w:t>
      </w:r>
      <w:r w:rsidRPr="00D00168">
        <w:rPr>
          <w:rFonts w:ascii="Arial" w:hAnsi="Arial" w:cs="Arial"/>
          <w:sz w:val="22"/>
          <w:szCs w:val="22"/>
        </w:rPr>
        <w:t xml:space="preserve">FUT arrojó un resultado presupuestal superavitario para el sector educativo de </w:t>
      </w:r>
      <w:r w:rsidRPr="00D00168">
        <w:rPr>
          <w:rFonts w:ascii="Arial" w:hAnsi="Arial" w:cs="Arial"/>
          <w:bCs/>
          <w:sz w:val="22"/>
          <w:szCs w:val="22"/>
          <w:lang w:val="es-ES_tradnl"/>
        </w:rPr>
        <w:t>$</w:t>
      </w:r>
      <w:r w:rsidR="00D00168" w:rsidRPr="00D00168">
        <w:rPr>
          <w:rFonts w:ascii="Arial" w:hAnsi="Arial" w:cs="Arial"/>
          <w:bCs/>
          <w:sz w:val="22"/>
          <w:szCs w:val="22"/>
          <w:lang w:val="es-ES_tradnl"/>
        </w:rPr>
        <w:t xml:space="preserve">6.271 </w:t>
      </w:r>
      <w:r w:rsidRPr="00D00168">
        <w:rPr>
          <w:rFonts w:ascii="Arial" w:hAnsi="Arial" w:cs="Arial"/>
          <w:sz w:val="22"/>
          <w:szCs w:val="22"/>
        </w:rPr>
        <w:t xml:space="preserve">millones y evidenció que la entidad debió constituir reservas por </w:t>
      </w:r>
      <w:r w:rsidRPr="00D00168">
        <w:rPr>
          <w:rFonts w:ascii="Arial" w:hAnsi="Arial" w:cs="Arial"/>
          <w:bCs/>
          <w:sz w:val="22"/>
          <w:szCs w:val="22"/>
          <w:lang w:val="es-ES_tradnl"/>
        </w:rPr>
        <w:t>$</w:t>
      </w:r>
      <w:r w:rsidR="00D00168" w:rsidRPr="00D00168">
        <w:rPr>
          <w:rFonts w:ascii="Arial" w:hAnsi="Arial" w:cs="Arial"/>
          <w:bCs/>
          <w:sz w:val="22"/>
          <w:szCs w:val="22"/>
          <w:lang w:val="es-ES_tradnl"/>
        </w:rPr>
        <w:t>6.653</w:t>
      </w:r>
      <w:r w:rsidRPr="00D00168">
        <w:rPr>
          <w:rFonts w:ascii="Arial" w:hAnsi="Arial" w:cs="Arial"/>
          <w:sz w:val="22"/>
          <w:szCs w:val="22"/>
        </w:rPr>
        <w:t xml:space="preserve"> millones, cuentas por pagar por </w:t>
      </w:r>
      <w:r w:rsidRPr="00D00168">
        <w:rPr>
          <w:rFonts w:ascii="Arial" w:hAnsi="Arial" w:cs="Arial"/>
          <w:bCs/>
          <w:sz w:val="22"/>
          <w:szCs w:val="22"/>
          <w:lang w:val="es-ES_tradnl"/>
        </w:rPr>
        <w:t>$</w:t>
      </w:r>
      <w:r w:rsidR="00D00168" w:rsidRPr="00D00168">
        <w:rPr>
          <w:rFonts w:ascii="Arial" w:hAnsi="Arial" w:cs="Arial"/>
          <w:bCs/>
          <w:sz w:val="22"/>
          <w:szCs w:val="22"/>
          <w:lang w:val="es-ES_tradnl"/>
        </w:rPr>
        <w:t>520</w:t>
      </w:r>
      <w:r w:rsidRPr="00D00168">
        <w:rPr>
          <w:rFonts w:ascii="Arial" w:hAnsi="Arial" w:cs="Arial"/>
          <w:sz w:val="22"/>
          <w:szCs w:val="22"/>
        </w:rPr>
        <w:t xml:space="preserve"> millones y tener como mínimo disponible en </w:t>
      </w:r>
      <w:proofErr w:type="gramStart"/>
      <w:r w:rsidRPr="00D00168">
        <w:rPr>
          <w:rFonts w:ascii="Arial" w:hAnsi="Arial" w:cs="Arial"/>
          <w:sz w:val="22"/>
          <w:szCs w:val="22"/>
        </w:rPr>
        <w:t>caja</w:t>
      </w:r>
      <w:proofErr w:type="gramEnd"/>
      <w:r w:rsidRPr="00D00168">
        <w:rPr>
          <w:rFonts w:ascii="Arial" w:hAnsi="Arial" w:cs="Arial"/>
          <w:sz w:val="22"/>
          <w:szCs w:val="22"/>
        </w:rPr>
        <w:t xml:space="preserve"> y bancos </w:t>
      </w:r>
      <w:r w:rsidRPr="00D00168">
        <w:rPr>
          <w:rFonts w:ascii="Arial" w:hAnsi="Arial" w:cs="Arial"/>
          <w:bCs/>
          <w:sz w:val="22"/>
          <w:szCs w:val="22"/>
          <w:lang w:val="es-ES_tradnl"/>
        </w:rPr>
        <w:t>$</w:t>
      </w:r>
      <w:r w:rsidR="00D00168" w:rsidRPr="00D00168">
        <w:rPr>
          <w:rFonts w:ascii="Arial" w:hAnsi="Arial" w:cs="Arial"/>
          <w:bCs/>
          <w:sz w:val="22"/>
          <w:szCs w:val="22"/>
          <w:lang w:val="es-ES_tradnl"/>
        </w:rPr>
        <w:t>13.444</w:t>
      </w:r>
      <w:r w:rsidRPr="00D00168">
        <w:rPr>
          <w:rFonts w:ascii="Arial" w:hAnsi="Arial" w:cs="Arial"/>
          <w:sz w:val="22"/>
          <w:szCs w:val="22"/>
        </w:rPr>
        <w:t xml:space="preserve"> millones. </w:t>
      </w:r>
      <w:r w:rsidRPr="00D00168">
        <w:rPr>
          <w:rFonts w:ascii="Arial" w:hAnsi="Arial" w:cs="Arial"/>
          <w:sz w:val="22"/>
          <w:szCs w:val="22"/>
          <w:lang w:val="es-ES_tradnl"/>
        </w:rPr>
        <w:t xml:space="preserve">Al comparar la información de </w:t>
      </w:r>
      <w:r w:rsidRPr="00D00168">
        <w:rPr>
          <w:rFonts w:ascii="Arial" w:hAnsi="Arial" w:cs="Arial"/>
          <w:sz w:val="22"/>
          <w:szCs w:val="22"/>
        </w:rPr>
        <w:t>tesorería</w:t>
      </w:r>
      <w:r w:rsidRPr="00D00168">
        <w:rPr>
          <w:rFonts w:ascii="Arial" w:hAnsi="Arial" w:cs="Arial"/>
          <w:sz w:val="22"/>
          <w:szCs w:val="22"/>
          <w:lang w:val="es-ES_tradnl"/>
        </w:rPr>
        <w:t xml:space="preserve"> contra la presupuestal, </w:t>
      </w:r>
      <w:r w:rsidRPr="00D00168">
        <w:rPr>
          <w:rFonts w:ascii="Arial" w:hAnsi="Arial" w:cs="Arial"/>
          <w:sz w:val="22"/>
          <w:szCs w:val="22"/>
        </w:rPr>
        <w:t xml:space="preserve">se encontró que ésta es consistente </w:t>
      </w:r>
      <w:r w:rsidRPr="00D00168">
        <w:rPr>
          <w:rFonts w:ascii="Arial" w:hAnsi="Arial" w:cs="Arial"/>
          <w:sz w:val="22"/>
          <w:szCs w:val="22"/>
          <w:lang w:val="es-ES_tradnl"/>
        </w:rPr>
        <w:t>entre sí.</w:t>
      </w:r>
      <w:r w:rsidRPr="00D00168">
        <w:rPr>
          <w:rFonts w:ascii="Arial" w:hAnsi="Arial" w:cs="Arial"/>
          <w:sz w:val="22"/>
          <w:szCs w:val="22"/>
        </w:rPr>
        <w:t xml:space="preserve"> Los valores de cuentas por pagar y reservas que debió constituir la entidad en 20</w:t>
      </w:r>
      <w:r w:rsidR="00D00168" w:rsidRPr="00D00168">
        <w:rPr>
          <w:rFonts w:ascii="Arial" w:hAnsi="Arial" w:cs="Arial"/>
          <w:sz w:val="22"/>
          <w:szCs w:val="22"/>
        </w:rPr>
        <w:t>20</w:t>
      </w:r>
      <w:r w:rsidRPr="00D00168">
        <w:rPr>
          <w:rFonts w:ascii="Arial" w:hAnsi="Arial" w:cs="Arial"/>
          <w:sz w:val="22"/>
          <w:szCs w:val="22"/>
        </w:rPr>
        <w:t xml:space="preserve"> según el ejercicio presupuestal coinciden </w:t>
      </w:r>
      <w:r w:rsidRPr="002C4777">
        <w:rPr>
          <w:rFonts w:ascii="Arial" w:hAnsi="Arial" w:cs="Arial"/>
          <w:sz w:val="22"/>
          <w:szCs w:val="22"/>
        </w:rPr>
        <w:t>con los resultados de tesorería.</w:t>
      </w:r>
    </w:p>
    <w:p w14:paraId="2D6DB12D" w14:textId="77777777" w:rsidR="001F1826" w:rsidRDefault="001F1826" w:rsidP="00D00168">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3882"/>
        <w:gridCol w:w="691"/>
        <w:gridCol w:w="691"/>
      </w:tblGrid>
      <w:tr w:rsidR="00D00168" w:rsidRPr="00D00168" w14:paraId="0E86C003" w14:textId="77777777" w:rsidTr="00D00168">
        <w:trPr>
          <w:trHeight w:val="20"/>
          <w:tblHeader/>
          <w:jc w:val="center"/>
        </w:trPr>
        <w:tc>
          <w:tcPr>
            <w:tcW w:w="0" w:type="auto"/>
            <w:gridSpan w:val="3"/>
            <w:tcBorders>
              <w:top w:val="single" w:sz="4" w:space="0" w:color="auto"/>
              <w:left w:val="single" w:sz="4" w:space="0" w:color="auto"/>
              <w:bottom w:val="single" w:sz="4" w:space="0" w:color="auto"/>
              <w:right w:val="nil"/>
            </w:tcBorders>
            <w:shd w:val="clear" w:color="000000" w:fill="244061"/>
            <w:noWrap/>
            <w:vAlign w:val="center"/>
            <w:hideMark/>
          </w:tcPr>
          <w:p w14:paraId="6432DE4B"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TABLA 4. CIERRE FISCAL (MILLONES DE $)</w:t>
            </w:r>
          </w:p>
        </w:tc>
      </w:tr>
      <w:tr w:rsidR="00D00168" w:rsidRPr="00D00168" w14:paraId="72A9570C" w14:textId="77777777" w:rsidTr="00D00168">
        <w:trPr>
          <w:trHeight w:val="20"/>
          <w:tblHeader/>
          <w:jc w:val="center"/>
        </w:trPr>
        <w:tc>
          <w:tcPr>
            <w:tcW w:w="0" w:type="auto"/>
            <w:tcBorders>
              <w:top w:val="nil"/>
              <w:left w:val="single" w:sz="4" w:space="0" w:color="auto"/>
              <w:bottom w:val="single" w:sz="4" w:space="0" w:color="auto"/>
              <w:right w:val="single" w:sz="4" w:space="0" w:color="auto"/>
            </w:tcBorders>
            <w:shd w:val="clear" w:color="000000" w:fill="244061"/>
            <w:noWrap/>
            <w:vAlign w:val="center"/>
            <w:hideMark/>
          </w:tcPr>
          <w:p w14:paraId="6280E19E"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Cierre Presupuestal SGP -Educación</w:t>
            </w:r>
          </w:p>
        </w:tc>
        <w:tc>
          <w:tcPr>
            <w:tcW w:w="0" w:type="auto"/>
            <w:tcBorders>
              <w:top w:val="nil"/>
              <w:left w:val="nil"/>
              <w:bottom w:val="single" w:sz="4" w:space="0" w:color="auto"/>
              <w:right w:val="single" w:sz="4" w:space="0" w:color="auto"/>
            </w:tcBorders>
            <w:shd w:val="clear" w:color="000000" w:fill="244061"/>
            <w:noWrap/>
            <w:vAlign w:val="center"/>
            <w:hideMark/>
          </w:tcPr>
          <w:p w14:paraId="055C62E3"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2020</w:t>
            </w:r>
          </w:p>
        </w:tc>
        <w:tc>
          <w:tcPr>
            <w:tcW w:w="0" w:type="auto"/>
            <w:tcBorders>
              <w:top w:val="nil"/>
              <w:left w:val="nil"/>
              <w:bottom w:val="single" w:sz="4" w:space="0" w:color="auto"/>
              <w:right w:val="single" w:sz="4" w:space="0" w:color="auto"/>
            </w:tcBorders>
            <w:shd w:val="clear" w:color="000000" w:fill="244061"/>
            <w:noWrap/>
            <w:vAlign w:val="center"/>
            <w:hideMark/>
          </w:tcPr>
          <w:p w14:paraId="444A54F0"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2021</w:t>
            </w:r>
          </w:p>
        </w:tc>
      </w:tr>
      <w:tr w:rsidR="00D00168" w:rsidRPr="00D00168" w14:paraId="4B65AB44"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D5BB9"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Ingresos (Recaudados)</w:t>
            </w:r>
          </w:p>
        </w:tc>
        <w:tc>
          <w:tcPr>
            <w:tcW w:w="0" w:type="auto"/>
            <w:tcBorders>
              <w:top w:val="nil"/>
              <w:left w:val="nil"/>
              <w:bottom w:val="single" w:sz="4" w:space="0" w:color="auto"/>
              <w:right w:val="single" w:sz="4" w:space="0" w:color="auto"/>
            </w:tcBorders>
            <w:shd w:val="clear" w:color="auto" w:fill="auto"/>
            <w:noWrap/>
            <w:vAlign w:val="center"/>
            <w:hideMark/>
          </w:tcPr>
          <w:p w14:paraId="1534A57F"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51</w:t>
            </w:r>
            <w:r>
              <w:rPr>
                <w:rFonts w:ascii="Arial" w:hAnsi="Arial" w:cs="Arial"/>
                <w:color w:val="000000"/>
                <w:sz w:val="18"/>
                <w:szCs w:val="18"/>
              </w:rPr>
              <w:t>.</w:t>
            </w:r>
            <w:r w:rsidRPr="00D00168">
              <w:rPr>
                <w:rFonts w:ascii="Arial" w:hAnsi="Arial" w:cs="Arial"/>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center"/>
            <w:hideMark/>
          </w:tcPr>
          <w:p w14:paraId="1FBDB216"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61</w:t>
            </w:r>
            <w:r>
              <w:rPr>
                <w:rFonts w:ascii="Arial" w:hAnsi="Arial" w:cs="Arial"/>
                <w:color w:val="000000"/>
                <w:sz w:val="18"/>
                <w:szCs w:val="18"/>
              </w:rPr>
              <w:t>.</w:t>
            </w:r>
            <w:r w:rsidRPr="00D00168">
              <w:rPr>
                <w:rFonts w:ascii="Arial" w:hAnsi="Arial" w:cs="Arial"/>
                <w:color w:val="000000"/>
                <w:sz w:val="18"/>
                <w:szCs w:val="18"/>
              </w:rPr>
              <w:t>527</w:t>
            </w:r>
          </w:p>
        </w:tc>
      </w:tr>
      <w:tr w:rsidR="00D00168" w:rsidRPr="00D00168" w14:paraId="5F972285"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82F2A"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Gastos (Comprometidos) </w:t>
            </w:r>
          </w:p>
        </w:tc>
        <w:tc>
          <w:tcPr>
            <w:tcW w:w="0" w:type="auto"/>
            <w:tcBorders>
              <w:top w:val="nil"/>
              <w:left w:val="nil"/>
              <w:bottom w:val="single" w:sz="4" w:space="0" w:color="auto"/>
              <w:right w:val="single" w:sz="4" w:space="0" w:color="auto"/>
            </w:tcBorders>
            <w:shd w:val="clear" w:color="auto" w:fill="auto"/>
            <w:noWrap/>
            <w:vAlign w:val="center"/>
            <w:hideMark/>
          </w:tcPr>
          <w:p w14:paraId="35E62178"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40</w:t>
            </w:r>
            <w:r>
              <w:rPr>
                <w:rFonts w:ascii="Arial" w:hAnsi="Arial" w:cs="Arial"/>
                <w:color w:val="000000"/>
                <w:sz w:val="18"/>
                <w:szCs w:val="18"/>
              </w:rPr>
              <w:t>.</w:t>
            </w:r>
            <w:r w:rsidRPr="00D00168">
              <w:rPr>
                <w:rFonts w:ascii="Arial" w:hAnsi="Arial" w:cs="Arial"/>
                <w:color w:val="000000"/>
                <w:sz w:val="18"/>
                <w:szCs w:val="18"/>
              </w:rPr>
              <w:t>794</w:t>
            </w:r>
          </w:p>
        </w:tc>
        <w:tc>
          <w:tcPr>
            <w:tcW w:w="0" w:type="auto"/>
            <w:tcBorders>
              <w:top w:val="nil"/>
              <w:left w:val="nil"/>
              <w:bottom w:val="single" w:sz="4" w:space="0" w:color="auto"/>
              <w:right w:val="single" w:sz="4" w:space="0" w:color="auto"/>
            </w:tcBorders>
            <w:shd w:val="clear" w:color="auto" w:fill="auto"/>
            <w:noWrap/>
            <w:vAlign w:val="center"/>
            <w:hideMark/>
          </w:tcPr>
          <w:p w14:paraId="589ECFCF"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55</w:t>
            </w:r>
            <w:r>
              <w:rPr>
                <w:rFonts w:ascii="Arial" w:hAnsi="Arial" w:cs="Arial"/>
                <w:color w:val="000000"/>
                <w:sz w:val="18"/>
                <w:szCs w:val="18"/>
              </w:rPr>
              <w:t>.</w:t>
            </w:r>
            <w:r w:rsidRPr="00D00168">
              <w:rPr>
                <w:rFonts w:ascii="Arial" w:hAnsi="Arial" w:cs="Arial"/>
                <w:color w:val="000000"/>
                <w:sz w:val="18"/>
                <w:szCs w:val="18"/>
              </w:rPr>
              <w:t>256</w:t>
            </w:r>
          </w:p>
        </w:tc>
      </w:tr>
      <w:tr w:rsidR="00D00168" w:rsidRPr="00D00168" w14:paraId="5B65240A"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143EDA"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Gastos (Obligados) </w:t>
            </w:r>
          </w:p>
        </w:tc>
        <w:tc>
          <w:tcPr>
            <w:tcW w:w="0" w:type="auto"/>
            <w:tcBorders>
              <w:top w:val="nil"/>
              <w:left w:val="nil"/>
              <w:bottom w:val="single" w:sz="4" w:space="0" w:color="auto"/>
              <w:right w:val="single" w:sz="4" w:space="0" w:color="auto"/>
            </w:tcBorders>
            <w:shd w:val="clear" w:color="auto" w:fill="auto"/>
            <w:noWrap/>
            <w:vAlign w:val="center"/>
            <w:hideMark/>
          </w:tcPr>
          <w:p w14:paraId="57BC18AC"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38</w:t>
            </w:r>
            <w:r>
              <w:rPr>
                <w:rFonts w:ascii="Arial" w:hAnsi="Arial" w:cs="Arial"/>
                <w:color w:val="000000"/>
                <w:sz w:val="18"/>
                <w:szCs w:val="18"/>
              </w:rPr>
              <w:t>.</w:t>
            </w:r>
            <w:r w:rsidRPr="00D00168">
              <w:rPr>
                <w:rFonts w:ascii="Arial" w:hAnsi="Arial" w:cs="Arial"/>
                <w:color w:val="000000"/>
                <w:sz w:val="18"/>
                <w:szCs w:val="18"/>
              </w:rPr>
              <w:t>049</w:t>
            </w:r>
          </w:p>
        </w:tc>
        <w:tc>
          <w:tcPr>
            <w:tcW w:w="0" w:type="auto"/>
            <w:tcBorders>
              <w:top w:val="nil"/>
              <w:left w:val="nil"/>
              <w:bottom w:val="single" w:sz="4" w:space="0" w:color="auto"/>
              <w:right w:val="single" w:sz="4" w:space="0" w:color="auto"/>
            </w:tcBorders>
            <w:shd w:val="clear" w:color="auto" w:fill="auto"/>
            <w:noWrap/>
            <w:vAlign w:val="center"/>
            <w:hideMark/>
          </w:tcPr>
          <w:p w14:paraId="660B5267"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48</w:t>
            </w:r>
            <w:r>
              <w:rPr>
                <w:rFonts w:ascii="Arial" w:hAnsi="Arial" w:cs="Arial"/>
                <w:color w:val="000000"/>
                <w:sz w:val="18"/>
                <w:szCs w:val="18"/>
              </w:rPr>
              <w:t>.</w:t>
            </w:r>
            <w:r w:rsidRPr="00D00168">
              <w:rPr>
                <w:rFonts w:ascii="Arial" w:hAnsi="Arial" w:cs="Arial"/>
                <w:color w:val="000000"/>
                <w:sz w:val="18"/>
                <w:szCs w:val="18"/>
              </w:rPr>
              <w:t>603</w:t>
            </w:r>
          </w:p>
        </w:tc>
      </w:tr>
      <w:tr w:rsidR="00D00168" w:rsidRPr="00D00168" w14:paraId="6E95083C"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47FAE"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Pagos </w:t>
            </w:r>
          </w:p>
        </w:tc>
        <w:tc>
          <w:tcPr>
            <w:tcW w:w="0" w:type="auto"/>
            <w:tcBorders>
              <w:top w:val="nil"/>
              <w:left w:val="nil"/>
              <w:bottom w:val="single" w:sz="4" w:space="0" w:color="auto"/>
              <w:right w:val="single" w:sz="4" w:space="0" w:color="auto"/>
            </w:tcBorders>
            <w:shd w:val="clear" w:color="auto" w:fill="auto"/>
            <w:noWrap/>
            <w:vAlign w:val="center"/>
            <w:hideMark/>
          </w:tcPr>
          <w:p w14:paraId="5D430D34"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37</w:t>
            </w:r>
            <w:r>
              <w:rPr>
                <w:rFonts w:ascii="Arial" w:hAnsi="Arial" w:cs="Arial"/>
                <w:color w:val="000000"/>
                <w:sz w:val="18"/>
                <w:szCs w:val="18"/>
              </w:rPr>
              <w:t>.</w:t>
            </w:r>
            <w:r w:rsidRPr="00D00168">
              <w:rPr>
                <w:rFonts w:ascii="Arial" w:hAnsi="Arial" w:cs="Arial"/>
                <w:color w:val="000000"/>
                <w:sz w:val="18"/>
                <w:szCs w:val="18"/>
              </w:rPr>
              <w:t>433</w:t>
            </w:r>
          </w:p>
        </w:tc>
        <w:tc>
          <w:tcPr>
            <w:tcW w:w="0" w:type="auto"/>
            <w:tcBorders>
              <w:top w:val="nil"/>
              <w:left w:val="nil"/>
              <w:bottom w:val="single" w:sz="4" w:space="0" w:color="auto"/>
              <w:right w:val="single" w:sz="4" w:space="0" w:color="auto"/>
            </w:tcBorders>
            <w:shd w:val="clear" w:color="auto" w:fill="auto"/>
            <w:noWrap/>
            <w:vAlign w:val="center"/>
            <w:hideMark/>
          </w:tcPr>
          <w:p w14:paraId="705E594E"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48</w:t>
            </w:r>
            <w:r>
              <w:rPr>
                <w:rFonts w:ascii="Arial" w:hAnsi="Arial" w:cs="Arial"/>
                <w:color w:val="000000"/>
                <w:sz w:val="18"/>
                <w:szCs w:val="18"/>
              </w:rPr>
              <w:t>.</w:t>
            </w:r>
            <w:r w:rsidRPr="00D00168">
              <w:rPr>
                <w:rFonts w:ascii="Arial" w:hAnsi="Arial" w:cs="Arial"/>
                <w:color w:val="000000"/>
                <w:sz w:val="18"/>
                <w:szCs w:val="18"/>
              </w:rPr>
              <w:t>082</w:t>
            </w:r>
          </w:p>
        </w:tc>
      </w:tr>
      <w:tr w:rsidR="00D00168" w:rsidRPr="00D00168" w14:paraId="23A95DBE"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9CC39"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Déficit o superávit (3.1-3.2)</w:t>
            </w:r>
          </w:p>
        </w:tc>
        <w:tc>
          <w:tcPr>
            <w:tcW w:w="0" w:type="auto"/>
            <w:tcBorders>
              <w:top w:val="nil"/>
              <w:left w:val="nil"/>
              <w:bottom w:val="single" w:sz="4" w:space="0" w:color="auto"/>
              <w:right w:val="single" w:sz="4" w:space="0" w:color="auto"/>
            </w:tcBorders>
            <w:shd w:val="clear" w:color="auto" w:fill="auto"/>
            <w:noWrap/>
            <w:vAlign w:val="center"/>
            <w:hideMark/>
          </w:tcPr>
          <w:p w14:paraId="03CC8C3D"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11</w:t>
            </w:r>
            <w:r>
              <w:rPr>
                <w:rFonts w:ascii="Arial" w:hAnsi="Arial" w:cs="Arial"/>
                <w:color w:val="000000"/>
                <w:sz w:val="18"/>
                <w:szCs w:val="18"/>
              </w:rPr>
              <w:t>.</w:t>
            </w:r>
            <w:r w:rsidRPr="00D00168">
              <w:rPr>
                <w:rFonts w:ascii="Arial" w:hAnsi="Arial" w:cs="Arial"/>
                <w:color w:val="000000"/>
                <w:sz w:val="18"/>
                <w:szCs w:val="18"/>
              </w:rPr>
              <w:t>036</w:t>
            </w:r>
          </w:p>
        </w:tc>
        <w:tc>
          <w:tcPr>
            <w:tcW w:w="0" w:type="auto"/>
            <w:tcBorders>
              <w:top w:val="nil"/>
              <w:left w:val="nil"/>
              <w:bottom w:val="single" w:sz="4" w:space="0" w:color="auto"/>
              <w:right w:val="single" w:sz="4" w:space="0" w:color="auto"/>
            </w:tcBorders>
            <w:shd w:val="clear" w:color="auto" w:fill="auto"/>
            <w:noWrap/>
            <w:vAlign w:val="center"/>
            <w:hideMark/>
          </w:tcPr>
          <w:p w14:paraId="592CB85B"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6</w:t>
            </w:r>
            <w:r>
              <w:rPr>
                <w:rFonts w:ascii="Arial" w:hAnsi="Arial" w:cs="Arial"/>
                <w:color w:val="000000"/>
                <w:sz w:val="18"/>
                <w:szCs w:val="18"/>
              </w:rPr>
              <w:t>.</w:t>
            </w:r>
            <w:r w:rsidRPr="00D00168">
              <w:rPr>
                <w:rFonts w:ascii="Arial" w:hAnsi="Arial" w:cs="Arial"/>
                <w:color w:val="000000"/>
                <w:sz w:val="18"/>
                <w:szCs w:val="18"/>
              </w:rPr>
              <w:t>271</w:t>
            </w:r>
          </w:p>
        </w:tc>
      </w:tr>
      <w:tr w:rsidR="00D00168" w:rsidRPr="00D00168" w14:paraId="0C9E6E04"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7DFDF8"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Reservas (3.2-3.3)</w:t>
            </w:r>
          </w:p>
        </w:tc>
        <w:tc>
          <w:tcPr>
            <w:tcW w:w="0" w:type="auto"/>
            <w:tcBorders>
              <w:top w:val="nil"/>
              <w:left w:val="nil"/>
              <w:bottom w:val="single" w:sz="4" w:space="0" w:color="auto"/>
              <w:right w:val="single" w:sz="4" w:space="0" w:color="auto"/>
            </w:tcBorders>
            <w:shd w:val="clear" w:color="auto" w:fill="auto"/>
            <w:noWrap/>
            <w:vAlign w:val="center"/>
            <w:hideMark/>
          </w:tcPr>
          <w:p w14:paraId="0384D290"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2</w:t>
            </w:r>
            <w:r>
              <w:rPr>
                <w:rFonts w:ascii="Arial" w:hAnsi="Arial" w:cs="Arial"/>
                <w:color w:val="000000"/>
                <w:sz w:val="18"/>
                <w:szCs w:val="18"/>
              </w:rPr>
              <w:t>.</w:t>
            </w:r>
            <w:r w:rsidRPr="00D00168">
              <w:rPr>
                <w:rFonts w:ascii="Arial" w:hAnsi="Arial" w:cs="Arial"/>
                <w:color w:val="000000"/>
                <w:sz w:val="18"/>
                <w:szCs w:val="18"/>
              </w:rPr>
              <w:t>745</w:t>
            </w:r>
          </w:p>
        </w:tc>
        <w:tc>
          <w:tcPr>
            <w:tcW w:w="0" w:type="auto"/>
            <w:tcBorders>
              <w:top w:val="nil"/>
              <w:left w:val="nil"/>
              <w:bottom w:val="single" w:sz="4" w:space="0" w:color="auto"/>
              <w:right w:val="single" w:sz="4" w:space="0" w:color="auto"/>
            </w:tcBorders>
            <w:shd w:val="clear" w:color="auto" w:fill="auto"/>
            <w:noWrap/>
            <w:vAlign w:val="center"/>
            <w:hideMark/>
          </w:tcPr>
          <w:p w14:paraId="198E8C05"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6</w:t>
            </w:r>
            <w:r>
              <w:rPr>
                <w:rFonts w:ascii="Arial" w:hAnsi="Arial" w:cs="Arial"/>
                <w:color w:val="000000"/>
                <w:sz w:val="18"/>
                <w:szCs w:val="18"/>
              </w:rPr>
              <w:t>.</w:t>
            </w:r>
            <w:r w:rsidRPr="00D00168">
              <w:rPr>
                <w:rFonts w:ascii="Arial" w:hAnsi="Arial" w:cs="Arial"/>
                <w:color w:val="000000"/>
                <w:sz w:val="18"/>
                <w:szCs w:val="18"/>
              </w:rPr>
              <w:t>653</w:t>
            </w:r>
          </w:p>
        </w:tc>
      </w:tr>
      <w:tr w:rsidR="00D00168" w:rsidRPr="00D00168" w14:paraId="53F32537"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F4CE5"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Cuentas por pagar (3.3-3.4)</w:t>
            </w:r>
          </w:p>
        </w:tc>
        <w:tc>
          <w:tcPr>
            <w:tcW w:w="0" w:type="auto"/>
            <w:tcBorders>
              <w:top w:val="nil"/>
              <w:left w:val="nil"/>
              <w:bottom w:val="single" w:sz="4" w:space="0" w:color="auto"/>
              <w:right w:val="single" w:sz="4" w:space="0" w:color="auto"/>
            </w:tcBorders>
            <w:shd w:val="clear" w:color="auto" w:fill="auto"/>
            <w:noWrap/>
            <w:vAlign w:val="center"/>
            <w:hideMark/>
          </w:tcPr>
          <w:p w14:paraId="5B65C4EE"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615</w:t>
            </w:r>
          </w:p>
        </w:tc>
        <w:tc>
          <w:tcPr>
            <w:tcW w:w="0" w:type="auto"/>
            <w:tcBorders>
              <w:top w:val="nil"/>
              <w:left w:val="nil"/>
              <w:bottom w:val="single" w:sz="4" w:space="0" w:color="auto"/>
              <w:right w:val="single" w:sz="4" w:space="0" w:color="auto"/>
            </w:tcBorders>
            <w:shd w:val="clear" w:color="auto" w:fill="auto"/>
            <w:noWrap/>
            <w:vAlign w:val="center"/>
            <w:hideMark/>
          </w:tcPr>
          <w:p w14:paraId="6A40D332"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520</w:t>
            </w:r>
          </w:p>
        </w:tc>
      </w:tr>
      <w:tr w:rsidR="00D00168" w:rsidRPr="00D00168" w14:paraId="1B5CF3B4"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79915" w14:textId="77777777" w:rsidR="00D00168" w:rsidRPr="00D00168" w:rsidRDefault="00D00168" w:rsidP="00D00168">
            <w:pPr>
              <w:jc w:val="both"/>
              <w:rPr>
                <w:rFonts w:ascii="Arial" w:hAnsi="Arial" w:cs="Arial"/>
                <w:color w:val="000000"/>
                <w:sz w:val="18"/>
                <w:szCs w:val="18"/>
              </w:rPr>
            </w:pPr>
            <w:r w:rsidRPr="00D00168">
              <w:rPr>
                <w:rFonts w:ascii="Arial" w:hAnsi="Arial" w:cs="Arial"/>
                <w:color w:val="000000"/>
                <w:sz w:val="18"/>
                <w:szCs w:val="18"/>
              </w:rPr>
              <w:t xml:space="preserve">   Saldo mínimo en </w:t>
            </w:r>
            <w:proofErr w:type="gramStart"/>
            <w:r w:rsidRPr="00D00168">
              <w:rPr>
                <w:rFonts w:ascii="Arial" w:hAnsi="Arial" w:cs="Arial"/>
                <w:color w:val="000000"/>
                <w:sz w:val="18"/>
                <w:szCs w:val="18"/>
              </w:rPr>
              <w:t>Caja</w:t>
            </w:r>
            <w:proofErr w:type="gramEnd"/>
            <w:r w:rsidRPr="00D00168">
              <w:rPr>
                <w:rFonts w:ascii="Arial" w:hAnsi="Arial" w:cs="Arial"/>
                <w:color w:val="000000"/>
                <w:sz w:val="18"/>
                <w:szCs w:val="18"/>
              </w:rPr>
              <w:t xml:space="preserve"> y Bancos (3.1-3.4)</w:t>
            </w:r>
          </w:p>
        </w:tc>
        <w:tc>
          <w:tcPr>
            <w:tcW w:w="0" w:type="auto"/>
            <w:tcBorders>
              <w:top w:val="nil"/>
              <w:left w:val="nil"/>
              <w:bottom w:val="single" w:sz="4" w:space="0" w:color="auto"/>
              <w:right w:val="single" w:sz="4" w:space="0" w:color="auto"/>
            </w:tcBorders>
            <w:shd w:val="clear" w:color="auto" w:fill="auto"/>
            <w:noWrap/>
            <w:vAlign w:val="center"/>
            <w:hideMark/>
          </w:tcPr>
          <w:p w14:paraId="1CE875E6"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14</w:t>
            </w:r>
            <w:r>
              <w:rPr>
                <w:rFonts w:ascii="Arial" w:hAnsi="Arial" w:cs="Arial"/>
                <w:color w:val="000000"/>
                <w:sz w:val="18"/>
                <w:szCs w:val="18"/>
              </w:rPr>
              <w:t>.</w:t>
            </w:r>
            <w:r w:rsidRPr="00D00168">
              <w:rPr>
                <w:rFonts w:ascii="Arial" w:hAnsi="Arial" w:cs="Arial"/>
                <w:color w:val="000000"/>
                <w:sz w:val="18"/>
                <w:szCs w:val="18"/>
              </w:rPr>
              <w:t>397</w:t>
            </w:r>
          </w:p>
        </w:tc>
        <w:tc>
          <w:tcPr>
            <w:tcW w:w="0" w:type="auto"/>
            <w:tcBorders>
              <w:top w:val="nil"/>
              <w:left w:val="nil"/>
              <w:bottom w:val="single" w:sz="4" w:space="0" w:color="auto"/>
              <w:right w:val="single" w:sz="4" w:space="0" w:color="auto"/>
            </w:tcBorders>
            <w:shd w:val="clear" w:color="auto" w:fill="auto"/>
            <w:noWrap/>
            <w:vAlign w:val="center"/>
            <w:hideMark/>
          </w:tcPr>
          <w:p w14:paraId="1CFFC608"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13</w:t>
            </w:r>
            <w:r>
              <w:rPr>
                <w:rFonts w:ascii="Arial" w:hAnsi="Arial" w:cs="Arial"/>
                <w:color w:val="000000"/>
                <w:sz w:val="18"/>
                <w:szCs w:val="18"/>
              </w:rPr>
              <w:t>.</w:t>
            </w:r>
            <w:r w:rsidRPr="00D00168">
              <w:rPr>
                <w:rFonts w:ascii="Arial" w:hAnsi="Arial" w:cs="Arial"/>
                <w:color w:val="000000"/>
                <w:sz w:val="18"/>
                <w:szCs w:val="18"/>
              </w:rPr>
              <w:t>444</w:t>
            </w:r>
          </w:p>
        </w:tc>
      </w:tr>
      <w:tr w:rsidR="00D00168" w:rsidRPr="00D00168" w14:paraId="1070C8F3"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244061"/>
            <w:noWrap/>
            <w:vAlign w:val="center"/>
            <w:hideMark/>
          </w:tcPr>
          <w:p w14:paraId="57FE0F37"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lastRenderedPageBreak/>
              <w:t>Cierre de Tesorería SGP -Educación</w:t>
            </w:r>
          </w:p>
        </w:tc>
        <w:tc>
          <w:tcPr>
            <w:tcW w:w="0" w:type="auto"/>
            <w:tcBorders>
              <w:top w:val="nil"/>
              <w:left w:val="nil"/>
              <w:bottom w:val="single" w:sz="4" w:space="0" w:color="auto"/>
              <w:right w:val="single" w:sz="4" w:space="0" w:color="auto"/>
            </w:tcBorders>
            <w:shd w:val="clear" w:color="000000" w:fill="244061"/>
            <w:noWrap/>
            <w:vAlign w:val="center"/>
            <w:hideMark/>
          </w:tcPr>
          <w:p w14:paraId="489A8E1E"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 </w:t>
            </w:r>
          </w:p>
        </w:tc>
        <w:tc>
          <w:tcPr>
            <w:tcW w:w="0" w:type="auto"/>
            <w:tcBorders>
              <w:top w:val="nil"/>
              <w:left w:val="nil"/>
              <w:bottom w:val="single" w:sz="4" w:space="0" w:color="auto"/>
              <w:right w:val="single" w:sz="4" w:space="0" w:color="auto"/>
            </w:tcBorders>
            <w:shd w:val="clear" w:color="000000" w:fill="244061"/>
            <w:noWrap/>
            <w:vAlign w:val="center"/>
            <w:hideMark/>
          </w:tcPr>
          <w:p w14:paraId="6C4AE645" w14:textId="77777777" w:rsidR="00D00168" w:rsidRPr="00D00168" w:rsidRDefault="00D00168" w:rsidP="00D00168">
            <w:pPr>
              <w:jc w:val="center"/>
              <w:rPr>
                <w:rFonts w:ascii="Arial" w:hAnsi="Arial" w:cs="Arial"/>
                <w:b/>
                <w:bCs/>
                <w:color w:val="FFFFFF"/>
                <w:sz w:val="18"/>
                <w:szCs w:val="18"/>
              </w:rPr>
            </w:pPr>
            <w:r w:rsidRPr="00D00168">
              <w:rPr>
                <w:rFonts w:ascii="Arial" w:hAnsi="Arial" w:cs="Arial"/>
                <w:b/>
                <w:bCs/>
                <w:color w:val="FFFFFF"/>
                <w:sz w:val="18"/>
                <w:szCs w:val="18"/>
              </w:rPr>
              <w:t> </w:t>
            </w:r>
          </w:p>
        </w:tc>
      </w:tr>
      <w:tr w:rsidR="00D00168" w:rsidRPr="00D00168" w14:paraId="75AC8DC0"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51D9CAB3"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w:t>
            </w:r>
            <w:proofErr w:type="gramStart"/>
            <w:r w:rsidRPr="00D00168">
              <w:rPr>
                <w:rFonts w:ascii="Arial" w:hAnsi="Arial" w:cs="Arial"/>
                <w:b/>
                <w:bCs/>
                <w:color w:val="000000"/>
                <w:sz w:val="18"/>
                <w:szCs w:val="18"/>
              </w:rPr>
              <w:t>Total</w:t>
            </w:r>
            <w:proofErr w:type="gramEnd"/>
            <w:r w:rsidRPr="00D00168">
              <w:rPr>
                <w:rFonts w:ascii="Arial" w:hAnsi="Arial" w:cs="Arial"/>
                <w:b/>
                <w:bCs/>
                <w:color w:val="000000"/>
                <w:sz w:val="18"/>
                <w:szCs w:val="18"/>
              </w:rPr>
              <w:t xml:space="preserve"> Disponibilidades </w:t>
            </w:r>
          </w:p>
        </w:tc>
        <w:tc>
          <w:tcPr>
            <w:tcW w:w="0" w:type="auto"/>
            <w:tcBorders>
              <w:top w:val="nil"/>
              <w:left w:val="nil"/>
              <w:bottom w:val="single" w:sz="4" w:space="0" w:color="auto"/>
              <w:right w:val="single" w:sz="4" w:space="0" w:color="auto"/>
            </w:tcBorders>
            <w:shd w:val="clear" w:color="000000" w:fill="95B3D7"/>
            <w:vAlign w:val="center"/>
            <w:hideMark/>
          </w:tcPr>
          <w:p w14:paraId="2B420640"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16</w:t>
            </w:r>
            <w:r>
              <w:rPr>
                <w:rFonts w:ascii="Arial" w:hAnsi="Arial" w:cs="Arial"/>
                <w:b/>
                <w:bCs/>
                <w:color w:val="000000"/>
                <w:sz w:val="18"/>
                <w:szCs w:val="18"/>
              </w:rPr>
              <w:t>.</w:t>
            </w:r>
            <w:r w:rsidRPr="00D00168">
              <w:rPr>
                <w:rFonts w:ascii="Arial" w:hAnsi="Arial" w:cs="Arial"/>
                <w:b/>
                <w:bCs/>
                <w:color w:val="000000"/>
                <w:sz w:val="18"/>
                <w:szCs w:val="18"/>
              </w:rPr>
              <w:t>913</w:t>
            </w:r>
          </w:p>
        </w:tc>
        <w:tc>
          <w:tcPr>
            <w:tcW w:w="0" w:type="auto"/>
            <w:tcBorders>
              <w:top w:val="nil"/>
              <w:left w:val="nil"/>
              <w:bottom w:val="single" w:sz="4" w:space="0" w:color="auto"/>
              <w:right w:val="single" w:sz="4" w:space="0" w:color="auto"/>
            </w:tcBorders>
            <w:shd w:val="clear" w:color="000000" w:fill="95B3D7"/>
            <w:vAlign w:val="center"/>
            <w:hideMark/>
          </w:tcPr>
          <w:p w14:paraId="1EF69B32"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19</w:t>
            </w:r>
            <w:r>
              <w:rPr>
                <w:rFonts w:ascii="Arial" w:hAnsi="Arial" w:cs="Arial"/>
                <w:b/>
                <w:bCs/>
                <w:color w:val="000000"/>
                <w:sz w:val="18"/>
                <w:szCs w:val="18"/>
              </w:rPr>
              <w:t>.</w:t>
            </w:r>
            <w:r w:rsidRPr="00D00168">
              <w:rPr>
                <w:rFonts w:ascii="Arial" w:hAnsi="Arial" w:cs="Arial"/>
                <w:b/>
                <w:bCs/>
                <w:color w:val="000000"/>
                <w:sz w:val="18"/>
                <w:szCs w:val="18"/>
              </w:rPr>
              <w:t>721</w:t>
            </w:r>
          </w:p>
        </w:tc>
      </w:tr>
      <w:tr w:rsidR="00D00168" w:rsidRPr="00D00168" w14:paraId="56A7D3EC"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6EE9D"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Saldo real en </w:t>
            </w:r>
            <w:proofErr w:type="gramStart"/>
            <w:r w:rsidRPr="00D00168">
              <w:rPr>
                <w:rFonts w:ascii="Arial" w:hAnsi="Arial" w:cs="Arial"/>
                <w:color w:val="000000"/>
                <w:sz w:val="18"/>
                <w:szCs w:val="18"/>
              </w:rPr>
              <w:t>caja</w:t>
            </w:r>
            <w:proofErr w:type="gramEnd"/>
            <w:r w:rsidRPr="00D00168">
              <w:rPr>
                <w:rFonts w:ascii="Arial" w:hAnsi="Arial" w:cs="Arial"/>
                <w:color w:val="000000"/>
                <w:sz w:val="18"/>
                <w:szCs w:val="18"/>
              </w:rPr>
              <w:t xml:space="preserve"> y bancos</w:t>
            </w:r>
          </w:p>
        </w:tc>
        <w:tc>
          <w:tcPr>
            <w:tcW w:w="0" w:type="auto"/>
            <w:tcBorders>
              <w:top w:val="nil"/>
              <w:left w:val="nil"/>
              <w:bottom w:val="single" w:sz="4" w:space="0" w:color="auto"/>
              <w:right w:val="single" w:sz="4" w:space="0" w:color="auto"/>
            </w:tcBorders>
            <w:shd w:val="clear" w:color="auto" w:fill="auto"/>
            <w:noWrap/>
            <w:vAlign w:val="center"/>
            <w:hideMark/>
          </w:tcPr>
          <w:p w14:paraId="25BD0495"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16</w:t>
            </w:r>
            <w:r>
              <w:rPr>
                <w:rFonts w:ascii="Arial" w:hAnsi="Arial" w:cs="Arial"/>
                <w:color w:val="000000"/>
                <w:sz w:val="18"/>
                <w:szCs w:val="18"/>
              </w:rPr>
              <w:t>.</w:t>
            </w:r>
            <w:r w:rsidRPr="00D00168">
              <w:rPr>
                <w:rFonts w:ascii="Arial" w:hAnsi="Arial" w:cs="Arial"/>
                <w:color w:val="000000"/>
                <w:sz w:val="18"/>
                <w:szCs w:val="18"/>
              </w:rPr>
              <w:t>913</w:t>
            </w:r>
          </w:p>
        </w:tc>
        <w:tc>
          <w:tcPr>
            <w:tcW w:w="0" w:type="auto"/>
            <w:tcBorders>
              <w:top w:val="nil"/>
              <w:left w:val="nil"/>
              <w:bottom w:val="single" w:sz="4" w:space="0" w:color="auto"/>
              <w:right w:val="single" w:sz="4" w:space="0" w:color="auto"/>
            </w:tcBorders>
            <w:shd w:val="clear" w:color="auto" w:fill="auto"/>
            <w:noWrap/>
            <w:vAlign w:val="center"/>
            <w:hideMark/>
          </w:tcPr>
          <w:p w14:paraId="5F65923B"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19</w:t>
            </w:r>
            <w:r>
              <w:rPr>
                <w:rFonts w:ascii="Arial" w:hAnsi="Arial" w:cs="Arial"/>
                <w:color w:val="000000"/>
                <w:sz w:val="18"/>
                <w:szCs w:val="18"/>
              </w:rPr>
              <w:t>.</w:t>
            </w:r>
            <w:r w:rsidRPr="00D00168">
              <w:rPr>
                <w:rFonts w:ascii="Arial" w:hAnsi="Arial" w:cs="Arial"/>
                <w:color w:val="000000"/>
                <w:sz w:val="18"/>
                <w:szCs w:val="18"/>
              </w:rPr>
              <w:t>721</w:t>
            </w:r>
          </w:p>
        </w:tc>
      </w:tr>
      <w:tr w:rsidR="00D00168" w:rsidRPr="00D00168" w14:paraId="7C17E4FC"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9F38D"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Saldo en encargos fiduciarios</w:t>
            </w:r>
          </w:p>
        </w:tc>
        <w:tc>
          <w:tcPr>
            <w:tcW w:w="0" w:type="auto"/>
            <w:tcBorders>
              <w:top w:val="nil"/>
              <w:left w:val="nil"/>
              <w:bottom w:val="single" w:sz="4" w:space="0" w:color="auto"/>
              <w:right w:val="single" w:sz="4" w:space="0" w:color="auto"/>
            </w:tcBorders>
            <w:shd w:val="clear" w:color="auto" w:fill="auto"/>
            <w:noWrap/>
            <w:vAlign w:val="center"/>
            <w:hideMark/>
          </w:tcPr>
          <w:p w14:paraId="04815ADE"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187A6D3"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0</w:t>
            </w:r>
          </w:p>
        </w:tc>
      </w:tr>
      <w:tr w:rsidR="00D00168" w:rsidRPr="00D00168" w14:paraId="5DEF7F0A"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88CF6"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Inversiones Temporales </w:t>
            </w:r>
          </w:p>
        </w:tc>
        <w:tc>
          <w:tcPr>
            <w:tcW w:w="0" w:type="auto"/>
            <w:tcBorders>
              <w:top w:val="nil"/>
              <w:left w:val="nil"/>
              <w:bottom w:val="single" w:sz="4" w:space="0" w:color="auto"/>
              <w:right w:val="single" w:sz="4" w:space="0" w:color="auto"/>
            </w:tcBorders>
            <w:shd w:val="clear" w:color="auto" w:fill="auto"/>
            <w:noWrap/>
            <w:vAlign w:val="center"/>
            <w:hideMark/>
          </w:tcPr>
          <w:p w14:paraId="3204851F"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273C23C"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0</w:t>
            </w:r>
          </w:p>
        </w:tc>
      </w:tr>
      <w:tr w:rsidR="00D00168" w:rsidRPr="00D00168" w14:paraId="1C78AB97"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47E99D97"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Recursos de terceros</w:t>
            </w:r>
          </w:p>
        </w:tc>
        <w:tc>
          <w:tcPr>
            <w:tcW w:w="0" w:type="auto"/>
            <w:tcBorders>
              <w:top w:val="nil"/>
              <w:left w:val="nil"/>
              <w:bottom w:val="single" w:sz="4" w:space="0" w:color="auto"/>
              <w:right w:val="single" w:sz="4" w:space="0" w:color="auto"/>
            </w:tcBorders>
            <w:shd w:val="clear" w:color="000000" w:fill="95B3D7"/>
            <w:vAlign w:val="center"/>
            <w:hideMark/>
          </w:tcPr>
          <w:p w14:paraId="684F8677"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c>
          <w:tcPr>
            <w:tcW w:w="0" w:type="auto"/>
            <w:tcBorders>
              <w:top w:val="nil"/>
              <w:left w:val="nil"/>
              <w:bottom w:val="single" w:sz="4" w:space="0" w:color="auto"/>
              <w:right w:val="single" w:sz="4" w:space="0" w:color="auto"/>
            </w:tcBorders>
            <w:shd w:val="clear" w:color="000000" w:fill="95B3D7"/>
            <w:vAlign w:val="center"/>
            <w:hideMark/>
          </w:tcPr>
          <w:p w14:paraId="4DE6708D"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r>
      <w:tr w:rsidR="00D00168" w:rsidRPr="00D00168" w14:paraId="04114A59"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5C5B7594"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Cheques no cobrados</w:t>
            </w:r>
          </w:p>
        </w:tc>
        <w:tc>
          <w:tcPr>
            <w:tcW w:w="0" w:type="auto"/>
            <w:tcBorders>
              <w:top w:val="nil"/>
              <w:left w:val="nil"/>
              <w:bottom w:val="single" w:sz="4" w:space="0" w:color="auto"/>
              <w:right w:val="single" w:sz="4" w:space="0" w:color="auto"/>
            </w:tcBorders>
            <w:shd w:val="clear" w:color="000000" w:fill="95B3D7"/>
            <w:vAlign w:val="center"/>
            <w:hideMark/>
          </w:tcPr>
          <w:p w14:paraId="3BBA91AC"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c>
          <w:tcPr>
            <w:tcW w:w="0" w:type="auto"/>
            <w:tcBorders>
              <w:top w:val="nil"/>
              <w:left w:val="nil"/>
              <w:bottom w:val="single" w:sz="4" w:space="0" w:color="auto"/>
              <w:right w:val="single" w:sz="4" w:space="0" w:color="auto"/>
            </w:tcBorders>
            <w:shd w:val="clear" w:color="000000" w:fill="95B3D7"/>
            <w:vAlign w:val="center"/>
            <w:hideMark/>
          </w:tcPr>
          <w:p w14:paraId="7F734454"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r>
      <w:tr w:rsidR="00D00168" w:rsidRPr="00D00168" w14:paraId="3FF6C28D"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265DE750"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Cuentas por pagar de la vigencia</w:t>
            </w:r>
          </w:p>
        </w:tc>
        <w:tc>
          <w:tcPr>
            <w:tcW w:w="0" w:type="auto"/>
            <w:tcBorders>
              <w:top w:val="nil"/>
              <w:left w:val="nil"/>
              <w:bottom w:val="single" w:sz="4" w:space="0" w:color="auto"/>
              <w:right w:val="single" w:sz="4" w:space="0" w:color="auto"/>
            </w:tcBorders>
            <w:shd w:val="clear" w:color="000000" w:fill="95B3D7"/>
            <w:vAlign w:val="center"/>
            <w:hideMark/>
          </w:tcPr>
          <w:p w14:paraId="7B7FBDA1"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615</w:t>
            </w:r>
          </w:p>
        </w:tc>
        <w:tc>
          <w:tcPr>
            <w:tcW w:w="0" w:type="auto"/>
            <w:tcBorders>
              <w:top w:val="nil"/>
              <w:left w:val="nil"/>
              <w:bottom w:val="single" w:sz="4" w:space="0" w:color="auto"/>
              <w:right w:val="single" w:sz="4" w:space="0" w:color="auto"/>
            </w:tcBorders>
            <w:shd w:val="clear" w:color="000000" w:fill="95B3D7"/>
            <w:vAlign w:val="center"/>
            <w:hideMark/>
          </w:tcPr>
          <w:p w14:paraId="6E9AB3F5"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520</w:t>
            </w:r>
          </w:p>
        </w:tc>
      </w:tr>
      <w:tr w:rsidR="00D00168" w:rsidRPr="00D00168" w14:paraId="7C2A0692"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7892817F"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Cuentas por pagar de vigencias anteriores</w:t>
            </w:r>
          </w:p>
        </w:tc>
        <w:tc>
          <w:tcPr>
            <w:tcW w:w="0" w:type="auto"/>
            <w:tcBorders>
              <w:top w:val="nil"/>
              <w:left w:val="nil"/>
              <w:bottom w:val="single" w:sz="4" w:space="0" w:color="auto"/>
              <w:right w:val="single" w:sz="4" w:space="0" w:color="auto"/>
            </w:tcBorders>
            <w:shd w:val="clear" w:color="000000" w:fill="95B3D7"/>
            <w:vAlign w:val="center"/>
            <w:hideMark/>
          </w:tcPr>
          <w:p w14:paraId="277EE305"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929</w:t>
            </w:r>
          </w:p>
        </w:tc>
        <w:tc>
          <w:tcPr>
            <w:tcW w:w="0" w:type="auto"/>
            <w:tcBorders>
              <w:top w:val="nil"/>
              <w:left w:val="nil"/>
              <w:bottom w:val="single" w:sz="4" w:space="0" w:color="auto"/>
              <w:right w:val="single" w:sz="4" w:space="0" w:color="auto"/>
            </w:tcBorders>
            <w:shd w:val="clear" w:color="000000" w:fill="95B3D7"/>
            <w:vAlign w:val="center"/>
            <w:hideMark/>
          </w:tcPr>
          <w:p w14:paraId="49D7F049"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r>
      <w:tr w:rsidR="00D00168" w:rsidRPr="00D00168" w14:paraId="228722B8"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734AF803"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Otras Exigibilidades</w:t>
            </w:r>
          </w:p>
        </w:tc>
        <w:tc>
          <w:tcPr>
            <w:tcW w:w="0" w:type="auto"/>
            <w:tcBorders>
              <w:top w:val="nil"/>
              <w:left w:val="nil"/>
              <w:bottom w:val="single" w:sz="4" w:space="0" w:color="auto"/>
              <w:right w:val="single" w:sz="4" w:space="0" w:color="auto"/>
            </w:tcBorders>
            <w:shd w:val="clear" w:color="000000" w:fill="95B3D7"/>
            <w:vAlign w:val="center"/>
            <w:hideMark/>
          </w:tcPr>
          <w:p w14:paraId="1E19775D"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0</w:t>
            </w:r>
          </w:p>
        </w:tc>
        <w:tc>
          <w:tcPr>
            <w:tcW w:w="0" w:type="auto"/>
            <w:tcBorders>
              <w:top w:val="nil"/>
              <w:left w:val="nil"/>
              <w:bottom w:val="single" w:sz="4" w:space="0" w:color="auto"/>
              <w:right w:val="single" w:sz="4" w:space="0" w:color="auto"/>
            </w:tcBorders>
            <w:shd w:val="clear" w:color="000000" w:fill="95B3D7"/>
            <w:vAlign w:val="center"/>
            <w:hideMark/>
          </w:tcPr>
          <w:p w14:paraId="5204F065"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1</w:t>
            </w:r>
            <w:r>
              <w:rPr>
                <w:rFonts w:ascii="Arial" w:hAnsi="Arial" w:cs="Arial"/>
                <w:b/>
                <w:bCs/>
                <w:color w:val="000000"/>
                <w:sz w:val="18"/>
                <w:szCs w:val="18"/>
              </w:rPr>
              <w:t>.</w:t>
            </w:r>
            <w:r w:rsidRPr="00D00168">
              <w:rPr>
                <w:rFonts w:ascii="Arial" w:hAnsi="Arial" w:cs="Arial"/>
                <w:b/>
                <w:bCs/>
                <w:color w:val="000000"/>
                <w:sz w:val="18"/>
                <w:szCs w:val="18"/>
              </w:rPr>
              <w:t>507</w:t>
            </w:r>
          </w:p>
        </w:tc>
      </w:tr>
      <w:tr w:rsidR="00D00168" w:rsidRPr="00D00168" w14:paraId="644C2C64"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354BA005"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Reservas presupuestales</w:t>
            </w:r>
          </w:p>
        </w:tc>
        <w:tc>
          <w:tcPr>
            <w:tcW w:w="0" w:type="auto"/>
            <w:tcBorders>
              <w:top w:val="nil"/>
              <w:left w:val="nil"/>
              <w:bottom w:val="single" w:sz="4" w:space="0" w:color="auto"/>
              <w:right w:val="single" w:sz="4" w:space="0" w:color="auto"/>
            </w:tcBorders>
            <w:shd w:val="clear" w:color="000000" w:fill="95B3D7"/>
            <w:vAlign w:val="center"/>
            <w:hideMark/>
          </w:tcPr>
          <w:p w14:paraId="3146BBFB"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2745</w:t>
            </w:r>
          </w:p>
        </w:tc>
        <w:tc>
          <w:tcPr>
            <w:tcW w:w="0" w:type="auto"/>
            <w:tcBorders>
              <w:top w:val="nil"/>
              <w:left w:val="nil"/>
              <w:bottom w:val="single" w:sz="4" w:space="0" w:color="auto"/>
              <w:right w:val="single" w:sz="4" w:space="0" w:color="auto"/>
            </w:tcBorders>
            <w:shd w:val="clear" w:color="000000" w:fill="95B3D7"/>
            <w:vAlign w:val="center"/>
            <w:hideMark/>
          </w:tcPr>
          <w:p w14:paraId="01A64FB3"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6</w:t>
            </w:r>
            <w:r>
              <w:rPr>
                <w:rFonts w:ascii="Arial" w:hAnsi="Arial" w:cs="Arial"/>
                <w:b/>
                <w:bCs/>
                <w:color w:val="000000"/>
                <w:sz w:val="18"/>
                <w:szCs w:val="18"/>
              </w:rPr>
              <w:t>.</w:t>
            </w:r>
            <w:r w:rsidRPr="00D00168">
              <w:rPr>
                <w:rFonts w:ascii="Arial" w:hAnsi="Arial" w:cs="Arial"/>
                <w:b/>
                <w:bCs/>
                <w:color w:val="000000"/>
                <w:sz w:val="18"/>
                <w:szCs w:val="18"/>
              </w:rPr>
              <w:t>653</w:t>
            </w:r>
          </w:p>
        </w:tc>
      </w:tr>
      <w:tr w:rsidR="00D00168" w:rsidRPr="00D00168" w14:paraId="167437B7"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14:paraId="594FD22B" w14:textId="77777777" w:rsidR="00D00168" w:rsidRPr="00D00168" w:rsidRDefault="00D00168" w:rsidP="00D00168">
            <w:pPr>
              <w:rPr>
                <w:rFonts w:ascii="Arial" w:hAnsi="Arial" w:cs="Arial"/>
                <w:b/>
                <w:bCs/>
                <w:color w:val="000000"/>
                <w:sz w:val="18"/>
                <w:szCs w:val="18"/>
              </w:rPr>
            </w:pPr>
            <w:r w:rsidRPr="00D00168">
              <w:rPr>
                <w:rFonts w:ascii="Arial" w:hAnsi="Arial" w:cs="Arial"/>
                <w:b/>
                <w:bCs/>
                <w:color w:val="000000"/>
                <w:sz w:val="18"/>
                <w:szCs w:val="18"/>
              </w:rPr>
              <w:t xml:space="preserve">  Superávit o déficit</w:t>
            </w:r>
          </w:p>
        </w:tc>
        <w:tc>
          <w:tcPr>
            <w:tcW w:w="0" w:type="auto"/>
            <w:tcBorders>
              <w:top w:val="nil"/>
              <w:left w:val="nil"/>
              <w:bottom w:val="single" w:sz="4" w:space="0" w:color="auto"/>
              <w:right w:val="single" w:sz="4" w:space="0" w:color="auto"/>
            </w:tcBorders>
            <w:shd w:val="clear" w:color="000000" w:fill="95B3D7"/>
            <w:vAlign w:val="center"/>
            <w:hideMark/>
          </w:tcPr>
          <w:p w14:paraId="663E98C1"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12</w:t>
            </w:r>
            <w:r>
              <w:rPr>
                <w:rFonts w:ascii="Arial" w:hAnsi="Arial" w:cs="Arial"/>
                <w:b/>
                <w:bCs/>
                <w:color w:val="000000"/>
                <w:sz w:val="18"/>
                <w:szCs w:val="18"/>
              </w:rPr>
              <w:t>.</w:t>
            </w:r>
            <w:r w:rsidRPr="00D00168">
              <w:rPr>
                <w:rFonts w:ascii="Arial" w:hAnsi="Arial" w:cs="Arial"/>
                <w:b/>
                <w:bCs/>
                <w:color w:val="000000"/>
                <w:sz w:val="18"/>
                <w:szCs w:val="18"/>
              </w:rPr>
              <w:t>623</w:t>
            </w:r>
          </w:p>
        </w:tc>
        <w:tc>
          <w:tcPr>
            <w:tcW w:w="0" w:type="auto"/>
            <w:tcBorders>
              <w:top w:val="nil"/>
              <w:left w:val="nil"/>
              <w:bottom w:val="single" w:sz="4" w:space="0" w:color="auto"/>
              <w:right w:val="single" w:sz="4" w:space="0" w:color="auto"/>
            </w:tcBorders>
            <w:shd w:val="clear" w:color="000000" w:fill="95B3D7"/>
            <w:vAlign w:val="center"/>
            <w:hideMark/>
          </w:tcPr>
          <w:p w14:paraId="0A771BDA" w14:textId="77777777" w:rsidR="00D00168" w:rsidRPr="00D00168" w:rsidRDefault="00D00168" w:rsidP="00D00168">
            <w:pPr>
              <w:jc w:val="right"/>
              <w:rPr>
                <w:rFonts w:ascii="Arial" w:hAnsi="Arial" w:cs="Arial"/>
                <w:b/>
                <w:bCs/>
                <w:color w:val="000000"/>
                <w:sz w:val="18"/>
                <w:szCs w:val="18"/>
              </w:rPr>
            </w:pPr>
            <w:r w:rsidRPr="00D00168">
              <w:rPr>
                <w:rFonts w:ascii="Arial" w:hAnsi="Arial" w:cs="Arial"/>
                <w:b/>
                <w:bCs/>
                <w:color w:val="000000"/>
                <w:sz w:val="18"/>
                <w:szCs w:val="18"/>
              </w:rPr>
              <w:t>11</w:t>
            </w:r>
            <w:r>
              <w:rPr>
                <w:rFonts w:ascii="Arial" w:hAnsi="Arial" w:cs="Arial"/>
                <w:b/>
                <w:bCs/>
                <w:color w:val="000000"/>
                <w:sz w:val="18"/>
                <w:szCs w:val="18"/>
              </w:rPr>
              <w:t>.</w:t>
            </w:r>
            <w:r w:rsidRPr="00D00168">
              <w:rPr>
                <w:rFonts w:ascii="Arial" w:hAnsi="Arial" w:cs="Arial"/>
                <w:b/>
                <w:bCs/>
                <w:color w:val="000000"/>
                <w:sz w:val="18"/>
                <w:szCs w:val="18"/>
              </w:rPr>
              <w:t>042</w:t>
            </w:r>
          </w:p>
        </w:tc>
      </w:tr>
      <w:tr w:rsidR="00D00168" w:rsidRPr="00D00168" w14:paraId="573E8790"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A1FD5"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Prestación del servicio</w:t>
            </w:r>
          </w:p>
        </w:tc>
        <w:tc>
          <w:tcPr>
            <w:tcW w:w="0" w:type="auto"/>
            <w:tcBorders>
              <w:top w:val="nil"/>
              <w:left w:val="nil"/>
              <w:bottom w:val="single" w:sz="4" w:space="0" w:color="auto"/>
              <w:right w:val="single" w:sz="4" w:space="0" w:color="auto"/>
            </w:tcBorders>
            <w:shd w:val="clear" w:color="auto" w:fill="auto"/>
            <w:noWrap/>
            <w:vAlign w:val="center"/>
            <w:hideMark/>
          </w:tcPr>
          <w:p w14:paraId="64F3D245"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12</w:t>
            </w:r>
            <w:r>
              <w:rPr>
                <w:rFonts w:ascii="Arial" w:hAnsi="Arial" w:cs="Arial"/>
                <w:color w:val="000000"/>
                <w:sz w:val="18"/>
                <w:szCs w:val="18"/>
              </w:rPr>
              <w:t>.</w:t>
            </w:r>
            <w:r w:rsidRPr="00D00168">
              <w:rPr>
                <w:rFonts w:ascii="Arial" w:hAnsi="Arial" w:cs="Arial"/>
                <w:color w:val="000000"/>
                <w:sz w:val="18"/>
                <w:szCs w:val="18"/>
              </w:rPr>
              <w:t>778</w:t>
            </w:r>
          </w:p>
        </w:tc>
        <w:tc>
          <w:tcPr>
            <w:tcW w:w="0" w:type="auto"/>
            <w:tcBorders>
              <w:top w:val="nil"/>
              <w:left w:val="nil"/>
              <w:bottom w:val="single" w:sz="4" w:space="0" w:color="auto"/>
              <w:right w:val="single" w:sz="4" w:space="0" w:color="auto"/>
            </w:tcBorders>
            <w:shd w:val="clear" w:color="auto" w:fill="auto"/>
            <w:noWrap/>
            <w:vAlign w:val="center"/>
            <w:hideMark/>
          </w:tcPr>
          <w:p w14:paraId="78D67B21"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10</w:t>
            </w:r>
            <w:r>
              <w:rPr>
                <w:rFonts w:ascii="Arial" w:hAnsi="Arial" w:cs="Arial"/>
                <w:color w:val="000000"/>
                <w:sz w:val="18"/>
                <w:szCs w:val="18"/>
              </w:rPr>
              <w:t>.</w:t>
            </w:r>
            <w:r w:rsidRPr="00D00168">
              <w:rPr>
                <w:rFonts w:ascii="Arial" w:hAnsi="Arial" w:cs="Arial"/>
                <w:color w:val="000000"/>
                <w:sz w:val="18"/>
                <w:szCs w:val="18"/>
              </w:rPr>
              <w:t>639</w:t>
            </w:r>
          </w:p>
        </w:tc>
      </w:tr>
      <w:tr w:rsidR="00D00168" w:rsidRPr="00D00168" w14:paraId="0C5D36C9"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392C8"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Calidad Matrícula</w:t>
            </w:r>
          </w:p>
        </w:tc>
        <w:tc>
          <w:tcPr>
            <w:tcW w:w="0" w:type="auto"/>
            <w:tcBorders>
              <w:top w:val="nil"/>
              <w:left w:val="nil"/>
              <w:bottom w:val="single" w:sz="4" w:space="0" w:color="auto"/>
              <w:right w:val="single" w:sz="4" w:space="0" w:color="auto"/>
            </w:tcBorders>
            <w:shd w:val="clear" w:color="auto" w:fill="auto"/>
            <w:noWrap/>
            <w:vAlign w:val="center"/>
            <w:hideMark/>
          </w:tcPr>
          <w:p w14:paraId="7982B29B"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-173</w:t>
            </w:r>
          </w:p>
        </w:tc>
        <w:tc>
          <w:tcPr>
            <w:tcW w:w="0" w:type="auto"/>
            <w:tcBorders>
              <w:top w:val="nil"/>
              <w:left w:val="nil"/>
              <w:bottom w:val="single" w:sz="4" w:space="0" w:color="auto"/>
              <w:right w:val="single" w:sz="4" w:space="0" w:color="auto"/>
            </w:tcBorders>
            <w:shd w:val="clear" w:color="auto" w:fill="auto"/>
            <w:noWrap/>
            <w:vAlign w:val="center"/>
            <w:hideMark/>
          </w:tcPr>
          <w:p w14:paraId="260AEE1B"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393</w:t>
            </w:r>
          </w:p>
        </w:tc>
      </w:tr>
      <w:tr w:rsidR="00D00168" w:rsidRPr="00D00168" w14:paraId="6310E18B" w14:textId="77777777" w:rsidTr="00D00168">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B809A" w14:textId="77777777" w:rsidR="00D00168" w:rsidRPr="00D00168" w:rsidRDefault="00D00168" w:rsidP="00D00168">
            <w:pPr>
              <w:rPr>
                <w:rFonts w:ascii="Arial" w:hAnsi="Arial" w:cs="Arial"/>
                <w:color w:val="000000"/>
                <w:sz w:val="18"/>
                <w:szCs w:val="18"/>
              </w:rPr>
            </w:pPr>
            <w:r w:rsidRPr="00D00168">
              <w:rPr>
                <w:rFonts w:ascii="Arial" w:hAnsi="Arial" w:cs="Arial"/>
                <w:color w:val="000000"/>
                <w:sz w:val="18"/>
                <w:szCs w:val="18"/>
              </w:rPr>
              <w:t xml:space="preserve">      Cancelaciones</w:t>
            </w:r>
          </w:p>
        </w:tc>
        <w:tc>
          <w:tcPr>
            <w:tcW w:w="0" w:type="auto"/>
            <w:tcBorders>
              <w:top w:val="nil"/>
              <w:left w:val="nil"/>
              <w:bottom w:val="single" w:sz="4" w:space="0" w:color="auto"/>
              <w:right w:val="single" w:sz="4" w:space="0" w:color="auto"/>
            </w:tcBorders>
            <w:shd w:val="clear" w:color="auto" w:fill="auto"/>
            <w:noWrap/>
            <w:vAlign w:val="center"/>
            <w:hideMark/>
          </w:tcPr>
          <w:p w14:paraId="27518E01"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14:paraId="7EC19227" w14:textId="77777777" w:rsidR="00D00168" w:rsidRPr="00D00168" w:rsidRDefault="00D00168" w:rsidP="00D00168">
            <w:pPr>
              <w:jc w:val="right"/>
              <w:rPr>
                <w:rFonts w:ascii="Arial" w:hAnsi="Arial" w:cs="Arial"/>
                <w:color w:val="000000"/>
                <w:sz w:val="18"/>
                <w:szCs w:val="18"/>
              </w:rPr>
            </w:pPr>
            <w:r w:rsidRPr="00D00168">
              <w:rPr>
                <w:rFonts w:ascii="Arial" w:hAnsi="Arial" w:cs="Arial"/>
                <w:color w:val="000000"/>
                <w:sz w:val="18"/>
                <w:szCs w:val="18"/>
              </w:rPr>
              <w:t>10</w:t>
            </w:r>
          </w:p>
        </w:tc>
      </w:tr>
    </w:tbl>
    <w:p w14:paraId="19A9899C" w14:textId="77777777" w:rsidR="00D00168" w:rsidRDefault="00D00168" w:rsidP="00D00168">
      <w:pPr>
        <w:jc w:val="center"/>
        <w:rPr>
          <w:rFonts w:ascii="Arial" w:hAnsi="Arial" w:cs="Arial"/>
          <w:sz w:val="22"/>
          <w:szCs w:val="22"/>
        </w:rPr>
      </w:pPr>
      <w:r>
        <w:rPr>
          <w:rFonts w:ascii="Arial" w:hAnsi="Arial" w:cs="Arial"/>
          <w:sz w:val="16"/>
          <w:szCs w:val="16"/>
        </w:rPr>
        <w:t>Fuente: Información reportada por la Entidad Territorial en las Categorías de Ingresos, Gastos de Inversión, Gastos de Funcionamiento y Cierre Fiscal del FUT a 31 de diciembre de 2020 y de 2021</w:t>
      </w:r>
    </w:p>
    <w:p w14:paraId="1810DFAB" w14:textId="77777777" w:rsidR="001F1826" w:rsidRDefault="001F1826" w:rsidP="00D00168">
      <w:pPr>
        <w:jc w:val="both"/>
        <w:rPr>
          <w:rFonts w:ascii="Arial" w:hAnsi="Arial" w:cs="Arial"/>
          <w:sz w:val="22"/>
          <w:szCs w:val="22"/>
        </w:rPr>
      </w:pPr>
    </w:p>
    <w:p w14:paraId="5A616D39" w14:textId="77777777" w:rsidR="001F1826" w:rsidRPr="00F229AE" w:rsidRDefault="001F1826" w:rsidP="00D00168">
      <w:pPr>
        <w:jc w:val="both"/>
        <w:rPr>
          <w:rFonts w:ascii="Arial" w:hAnsi="Arial" w:cs="Arial"/>
          <w:sz w:val="22"/>
          <w:szCs w:val="22"/>
        </w:rPr>
      </w:pPr>
      <w:r w:rsidRPr="00F229AE">
        <w:rPr>
          <w:rFonts w:ascii="Arial" w:hAnsi="Arial" w:cs="Arial"/>
          <w:sz w:val="22"/>
          <w:szCs w:val="22"/>
        </w:rPr>
        <w:t xml:space="preserve">De otro lado, al cierre de vigencia </w:t>
      </w:r>
      <w:r>
        <w:rPr>
          <w:rFonts w:ascii="Arial" w:hAnsi="Arial" w:cs="Arial"/>
          <w:sz w:val="22"/>
          <w:szCs w:val="22"/>
        </w:rPr>
        <w:t xml:space="preserve">según </w:t>
      </w:r>
      <w:r w:rsidR="00D00168">
        <w:rPr>
          <w:rFonts w:ascii="Arial" w:hAnsi="Arial" w:cs="Arial"/>
          <w:sz w:val="22"/>
          <w:szCs w:val="22"/>
        </w:rPr>
        <w:t xml:space="preserve">Decreto </w:t>
      </w:r>
      <w:r>
        <w:rPr>
          <w:rFonts w:ascii="Arial" w:hAnsi="Arial" w:cs="Arial"/>
          <w:sz w:val="22"/>
          <w:szCs w:val="22"/>
        </w:rPr>
        <w:t xml:space="preserve">No. </w:t>
      </w:r>
      <w:r w:rsidR="00D00168">
        <w:rPr>
          <w:rFonts w:ascii="Arial" w:hAnsi="Arial" w:cs="Arial"/>
          <w:sz w:val="22"/>
          <w:szCs w:val="22"/>
        </w:rPr>
        <w:t>7</w:t>
      </w:r>
      <w:r>
        <w:rPr>
          <w:rFonts w:ascii="Arial" w:hAnsi="Arial" w:cs="Arial"/>
          <w:sz w:val="22"/>
          <w:szCs w:val="22"/>
        </w:rPr>
        <w:t xml:space="preserve"> </w:t>
      </w:r>
      <w:r w:rsidR="00D00168">
        <w:rPr>
          <w:rFonts w:ascii="Arial" w:hAnsi="Arial" w:cs="Arial"/>
          <w:sz w:val="22"/>
          <w:szCs w:val="22"/>
        </w:rPr>
        <w:t xml:space="preserve">y 8 </w:t>
      </w:r>
      <w:r>
        <w:rPr>
          <w:rFonts w:ascii="Arial" w:hAnsi="Arial" w:cs="Arial"/>
          <w:sz w:val="22"/>
          <w:szCs w:val="22"/>
        </w:rPr>
        <w:t xml:space="preserve">del </w:t>
      </w:r>
      <w:r w:rsidR="00D00168">
        <w:rPr>
          <w:rFonts w:ascii="Arial" w:hAnsi="Arial" w:cs="Arial"/>
          <w:sz w:val="22"/>
          <w:szCs w:val="22"/>
        </w:rPr>
        <w:t>7 de enero de 2022</w:t>
      </w:r>
      <w:r>
        <w:rPr>
          <w:rFonts w:ascii="Arial" w:hAnsi="Arial" w:cs="Arial"/>
          <w:sz w:val="22"/>
          <w:szCs w:val="22"/>
        </w:rPr>
        <w:t xml:space="preserve"> </w:t>
      </w:r>
      <w:r w:rsidRPr="00F229AE">
        <w:rPr>
          <w:rFonts w:ascii="Arial" w:hAnsi="Arial" w:cs="Arial"/>
          <w:sz w:val="22"/>
          <w:szCs w:val="22"/>
        </w:rPr>
        <w:t xml:space="preserve">se constituyeron reservas para el sector </w:t>
      </w:r>
      <w:r w:rsidR="00D00168">
        <w:rPr>
          <w:rFonts w:ascii="Arial" w:hAnsi="Arial" w:cs="Arial"/>
          <w:sz w:val="22"/>
          <w:szCs w:val="22"/>
        </w:rPr>
        <w:t>educación</w:t>
      </w:r>
      <w:r w:rsidRPr="00F229AE">
        <w:rPr>
          <w:rFonts w:ascii="Arial" w:hAnsi="Arial" w:cs="Arial"/>
          <w:sz w:val="22"/>
          <w:szCs w:val="22"/>
        </w:rPr>
        <w:t xml:space="preserve"> por $</w:t>
      </w:r>
      <w:r w:rsidR="00D00168">
        <w:rPr>
          <w:rFonts w:ascii="Arial" w:hAnsi="Arial" w:cs="Arial"/>
          <w:sz w:val="22"/>
          <w:szCs w:val="22"/>
        </w:rPr>
        <w:t xml:space="preserve">6.996 millones </w:t>
      </w:r>
      <w:r w:rsidRPr="00F229AE">
        <w:rPr>
          <w:rFonts w:ascii="Arial" w:hAnsi="Arial" w:cs="Arial"/>
          <w:sz w:val="22"/>
          <w:szCs w:val="22"/>
        </w:rPr>
        <w:t>y cuentas por pagar de $</w:t>
      </w:r>
      <w:r w:rsidR="00D00168">
        <w:rPr>
          <w:rFonts w:ascii="Arial" w:hAnsi="Arial" w:cs="Arial"/>
          <w:sz w:val="22"/>
          <w:szCs w:val="22"/>
        </w:rPr>
        <w:t xml:space="preserve">520 </w:t>
      </w:r>
      <w:r w:rsidRPr="00F229AE">
        <w:rPr>
          <w:rFonts w:ascii="Arial" w:hAnsi="Arial" w:cs="Arial"/>
          <w:sz w:val="22"/>
          <w:szCs w:val="22"/>
        </w:rPr>
        <w:t xml:space="preserve">millones, </w:t>
      </w:r>
      <w:r w:rsidR="00D00168">
        <w:rPr>
          <w:rFonts w:ascii="Arial" w:hAnsi="Arial" w:cs="Arial"/>
          <w:sz w:val="22"/>
          <w:szCs w:val="22"/>
        </w:rPr>
        <w:t xml:space="preserve">respectivamente, </w:t>
      </w:r>
      <w:r w:rsidRPr="00F229AE">
        <w:rPr>
          <w:rFonts w:ascii="Arial" w:hAnsi="Arial" w:cs="Arial"/>
          <w:sz w:val="22"/>
          <w:szCs w:val="22"/>
        </w:rPr>
        <w:t xml:space="preserve">ejecutadas a la fecha en un </w:t>
      </w:r>
      <w:r w:rsidR="00D00168">
        <w:rPr>
          <w:rFonts w:ascii="Arial" w:hAnsi="Arial" w:cs="Arial"/>
          <w:sz w:val="22"/>
          <w:szCs w:val="22"/>
        </w:rPr>
        <w:t>100</w:t>
      </w:r>
      <w:r w:rsidRPr="00F229AE">
        <w:rPr>
          <w:rFonts w:ascii="Arial" w:hAnsi="Arial" w:cs="Arial"/>
          <w:sz w:val="22"/>
          <w:szCs w:val="22"/>
        </w:rPr>
        <w:t xml:space="preserve">%.  </w:t>
      </w:r>
    </w:p>
    <w:p w14:paraId="66A81632" w14:textId="77777777" w:rsidR="001F1826" w:rsidRPr="00F229AE" w:rsidRDefault="001F1826" w:rsidP="00D00168">
      <w:pPr>
        <w:jc w:val="both"/>
        <w:rPr>
          <w:rFonts w:ascii="Arial" w:hAnsi="Arial" w:cs="Arial"/>
          <w:sz w:val="22"/>
          <w:szCs w:val="22"/>
        </w:rPr>
      </w:pPr>
    </w:p>
    <w:p w14:paraId="59686AFB" w14:textId="77777777" w:rsidR="008A0EFD" w:rsidRDefault="00C560C6" w:rsidP="00D00168">
      <w:pPr>
        <w:pStyle w:val="Ttulo1"/>
        <w:numPr>
          <w:ilvl w:val="0"/>
          <w:numId w:val="1"/>
        </w:numPr>
        <w:spacing w:before="0"/>
        <w:ind w:left="426" w:hanging="284"/>
        <w:jc w:val="both"/>
        <w:rPr>
          <w:rFonts w:ascii="Arial" w:hAnsi="Arial" w:cs="Arial"/>
          <w:color w:val="auto"/>
          <w:sz w:val="22"/>
          <w:szCs w:val="22"/>
          <w:lang w:val="es-CO"/>
        </w:rPr>
      </w:pPr>
      <w:r>
        <w:rPr>
          <w:rFonts w:ascii="Arial" w:hAnsi="Arial" w:cs="Arial"/>
          <w:b/>
          <w:color w:val="auto"/>
          <w:sz w:val="22"/>
          <w:szCs w:val="22"/>
          <w:lang w:val="es-CO"/>
        </w:rPr>
        <w:t xml:space="preserve"> </w:t>
      </w:r>
      <w:r w:rsidR="008A0EFD">
        <w:rPr>
          <w:rFonts w:ascii="Arial" w:hAnsi="Arial" w:cs="Arial"/>
          <w:b/>
          <w:color w:val="auto"/>
          <w:sz w:val="22"/>
          <w:szCs w:val="22"/>
          <w:lang w:val="es-CO"/>
        </w:rPr>
        <w:t xml:space="preserve">RESULTADO DE EVALUACIÓN DE LA MEDIDA </w:t>
      </w:r>
    </w:p>
    <w:p w14:paraId="15DD11D4" w14:textId="77777777" w:rsidR="008A0EFD" w:rsidRDefault="008A0EFD" w:rsidP="00D00168">
      <w:pPr>
        <w:jc w:val="both"/>
        <w:rPr>
          <w:rFonts w:ascii="Arial" w:eastAsiaTheme="minorHAnsi" w:hAnsi="Arial" w:cs="Arial"/>
          <w:sz w:val="22"/>
          <w:szCs w:val="22"/>
          <w:lang w:eastAsia="en-US"/>
        </w:rPr>
      </w:pPr>
    </w:p>
    <w:p w14:paraId="5D01A20B" w14:textId="77777777" w:rsidR="001F1826" w:rsidRPr="001F1826" w:rsidRDefault="001F1826" w:rsidP="00D00168">
      <w:pPr>
        <w:jc w:val="both"/>
        <w:rPr>
          <w:rFonts w:ascii="Arial" w:eastAsiaTheme="minorHAnsi" w:hAnsi="Arial" w:cs="Arial"/>
          <w:sz w:val="22"/>
          <w:szCs w:val="22"/>
          <w:lang w:eastAsia="en-US"/>
        </w:rPr>
      </w:pPr>
      <w:r w:rsidRPr="001F1826">
        <w:rPr>
          <w:rFonts w:ascii="Arial" w:eastAsiaTheme="minorHAnsi" w:hAnsi="Arial" w:cs="Arial"/>
          <w:sz w:val="22"/>
          <w:szCs w:val="22"/>
          <w:lang w:eastAsia="en-US"/>
        </w:rPr>
        <w:t xml:space="preserve">En ejercicio de las funciones de coordinación de la Estrategia de Monitoreo, Seguimiento y Control al uso de los recursos del Sistema General de Participaciones, la Dirección General de Apoyo Fiscal presenta un análisis del cumplimiento de las actividades pendientes por cumplir para el levantamiento de la medida </w:t>
      </w:r>
      <w:r w:rsidR="00D00168">
        <w:rPr>
          <w:rFonts w:ascii="Arial" w:eastAsiaTheme="minorHAnsi" w:hAnsi="Arial" w:cs="Arial"/>
          <w:sz w:val="22"/>
          <w:szCs w:val="22"/>
          <w:lang w:eastAsia="en-US"/>
        </w:rPr>
        <w:t>correctiva de Suspensión de Giros adoptada en el Departamento de Vaupés</w:t>
      </w:r>
      <w:r w:rsidRPr="001F1826">
        <w:rPr>
          <w:rFonts w:ascii="Arial" w:eastAsiaTheme="minorHAnsi" w:hAnsi="Arial" w:cs="Arial"/>
          <w:sz w:val="22"/>
          <w:szCs w:val="22"/>
          <w:lang w:eastAsia="en-US"/>
        </w:rPr>
        <w:t xml:space="preserve">, de acuerdo con lo establecido en la Resolución </w:t>
      </w:r>
      <w:r w:rsidR="00D00168" w:rsidRPr="00F83ACC">
        <w:rPr>
          <w:rFonts w:ascii="Arial" w:eastAsia="Arial" w:hAnsi="Arial" w:cs="Arial"/>
          <w:color w:val="000000" w:themeColor="text1"/>
          <w:spacing w:val="-2"/>
          <w:sz w:val="22"/>
          <w:szCs w:val="22"/>
        </w:rPr>
        <w:t>5066 del 20 de diciembre de 2018</w:t>
      </w:r>
      <w:r w:rsidRPr="001F1826">
        <w:rPr>
          <w:rFonts w:ascii="Arial" w:eastAsiaTheme="minorHAnsi" w:hAnsi="Arial" w:cs="Arial"/>
          <w:sz w:val="22"/>
          <w:szCs w:val="22"/>
          <w:lang w:eastAsia="en-US"/>
        </w:rPr>
        <w:t xml:space="preserve">; con base en el análisis de información enviada </w:t>
      </w:r>
      <w:r w:rsidR="00D00168">
        <w:rPr>
          <w:rFonts w:ascii="Arial" w:eastAsiaTheme="minorHAnsi" w:hAnsi="Arial" w:cs="Arial"/>
          <w:sz w:val="22"/>
          <w:szCs w:val="22"/>
          <w:lang w:eastAsia="en-US"/>
        </w:rPr>
        <w:t xml:space="preserve">por la Entidad Territorial mediante el oficio de radicado No. </w:t>
      </w:r>
      <w:r w:rsidR="00D00168">
        <w:rPr>
          <w:rFonts w:ascii="Arial" w:eastAsia="Arial" w:hAnsi="Arial" w:cs="Arial"/>
          <w:color w:val="000000" w:themeColor="text1"/>
          <w:spacing w:val="-2"/>
          <w:sz w:val="22"/>
          <w:szCs w:val="22"/>
        </w:rPr>
        <w:t>1-022-043433 del 6 de junio de 2022, y de la documentación complementaria suministrada por el Departamento al Ministerio de Educación Nacional durante sus visitas de monitoreo.</w:t>
      </w:r>
    </w:p>
    <w:p w14:paraId="22B26A65" w14:textId="77777777" w:rsidR="001F1826" w:rsidRDefault="001F1826" w:rsidP="00D00168">
      <w:pPr>
        <w:jc w:val="both"/>
        <w:rPr>
          <w:rFonts w:ascii="Arial" w:eastAsiaTheme="minorHAnsi" w:hAnsi="Arial" w:cs="Arial"/>
          <w:sz w:val="22"/>
          <w:szCs w:val="22"/>
          <w:lang w:eastAsia="en-US"/>
        </w:rPr>
      </w:pPr>
    </w:p>
    <w:p w14:paraId="31A87BD6" w14:textId="77777777" w:rsidR="00B81E2D" w:rsidRPr="00E351AA" w:rsidRDefault="00B81E2D" w:rsidP="00D00168">
      <w:pPr>
        <w:jc w:val="both"/>
        <w:rPr>
          <w:rFonts w:ascii="Arial" w:hAnsi="Arial" w:cs="Arial"/>
          <w:b/>
          <w:bCs/>
          <w:sz w:val="22"/>
          <w:szCs w:val="22"/>
        </w:rPr>
      </w:pPr>
      <w:r w:rsidRPr="00E351AA">
        <w:rPr>
          <w:rFonts w:ascii="Arial" w:hAnsi="Arial" w:cs="Arial"/>
          <w:b/>
          <w:bCs/>
          <w:sz w:val="22"/>
          <w:szCs w:val="22"/>
        </w:rPr>
        <w:t xml:space="preserve">Categoría </w:t>
      </w:r>
      <w:r w:rsidR="00E351AA" w:rsidRPr="00E351AA">
        <w:rPr>
          <w:rFonts w:ascii="Arial" w:hAnsi="Arial" w:cs="Arial"/>
          <w:b/>
          <w:bCs/>
          <w:sz w:val="22"/>
          <w:szCs w:val="22"/>
        </w:rPr>
        <w:t xml:space="preserve">1. Contratación y supervisión </w:t>
      </w:r>
    </w:p>
    <w:p w14:paraId="27A37DBC" w14:textId="77777777" w:rsidR="00B81E2D" w:rsidRPr="008A0EFD" w:rsidRDefault="00B81E2D" w:rsidP="00D00168">
      <w:pPr>
        <w:jc w:val="both"/>
        <w:rPr>
          <w:rFonts w:ascii="Arial" w:eastAsiaTheme="minorHAnsi" w:hAnsi="Arial" w:cs="Arial"/>
          <w:sz w:val="22"/>
          <w:szCs w:val="22"/>
          <w:lang w:eastAsia="en-US"/>
        </w:rPr>
      </w:pPr>
    </w:p>
    <w:p w14:paraId="461B6997" w14:textId="77777777" w:rsidR="008A0EFD" w:rsidRDefault="008A0EFD" w:rsidP="00D00168">
      <w:pPr>
        <w:jc w:val="both"/>
        <w:rPr>
          <w:rFonts w:ascii="Arial" w:eastAsiaTheme="minorHAnsi" w:hAnsi="Arial" w:cs="Arial"/>
          <w:sz w:val="22"/>
          <w:szCs w:val="22"/>
          <w:lang w:eastAsia="en-US"/>
        </w:rPr>
      </w:pPr>
      <w:r w:rsidRPr="00E351AA">
        <w:rPr>
          <w:rFonts w:ascii="Arial" w:eastAsiaTheme="minorHAnsi" w:hAnsi="Arial" w:cs="Arial"/>
          <w:b/>
          <w:bCs/>
          <w:sz w:val="22"/>
          <w:szCs w:val="22"/>
          <w:lang w:eastAsia="en-US"/>
        </w:rPr>
        <w:t>Actividad</w:t>
      </w:r>
      <w:r w:rsidR="00E351AA" w:rsidRPr="00E351AA">
        <w:rPr>
          <w:rFonts w:ascii="Arial" w:eastAsiaTheme="minorHAnsi" w:hAnsi="Arial" w:cs="Arial"/>
          <w:b/>
          <w:bCs/>
          <w:sz w:val="22"/>
          <w:szCs w:val="22"/>
          <w:lang w:eastAsia="en-US"/>
        </w:rPr>
        <w:t>:</w:t>
      </w:r>
      <w:r w:rsidR="00E351AA">
        <w:rPr>
          <w:rFonts w:ascii="Arial" w:eastAsiaTheme="minorHAnsi" w:hAnsi="Arial" w:cs="Arial"/>
          <w:sz w:val="22"/>
          <w:szCs w:val="22"/>
          <w:lang w:eastAsia="en-US"/>
        </w:rPr>
        <w:t xml:space="preserve"> Presentar un informe de supervisión de cada uno de los contratos suscritos para la administración del servicio educativo utilizando los parámetros de la Directiva Ministerial 9 de 2008. Los informes, además, deben contar con el seguimiento al suministro de los componentes de la canasta pactada en los contratos, el seguimiento administrativo y financiero de la inversión de los recursos por parte del contratista y el reporte de los alumnos atendidos por el contratista generado desde el Sistema Integrado de Matrícula (SIMAT).</w:t>
      </w:r>
    </w:p>
    <w:p w14:paraId="24AEACF5" w14:textId="77777777" w:rsidR="008A0EFD" w:rsidRDefault="008A0EFD" w:rsidP="00D00168">
      <w:pPr>
        <w:jc w:val="both"/>
        <w:rPr>
          <w:rFonts w:ascii="Arial" w:eastAsiaTheme="minorHAnsi" w:hAnsi="Arial" w:cs="Arial"/>
          <w:sz w:val="22"/>
          <w:szCs w:val="22"/>
          <w:lang w:eastAsia="en-US"/>
        </w:rPr>
      </w:pPr>
    </w:p>
    <w:p w14:paraId="5C2E0A72" w14:textId="77777777" w:rsidR="008A0EFD" w:rsidRDefault="008A0EFD" w:rsidP="00D00168">
      <w:pPr>
        <w:jc w:val="both"/>
        <w:rPr>
          <w:rFonts w:ascii="Arial" w:eastAsiaTheme="minorHAnsi" w:hAnsi="Arial" w:cs="Arial"/>
          <w:sz w:val="22"/>
          <w:szCs w:val="22"/>
          <w:lang w:eastAsia="en-US"/>
        </w:rPr>
      </w:pPr>
      <w:r w:rsidRPr="00E351AA">
        <w:rPr>
          <w:rFonts w:ascii="Arial" w:eastAsiaTheme="minorHAnsi" w:hAnsi="Arial" w:cs="Arial"/>
          <w:b/>
          <w:bCs/>
          <w:sz w:val="22"/>
          <w:szCs w:val="22"/>
          <w:lang w:eastAsia="en-US"/>
        </w:rPr>
        <w:t>Evaluación</w:t>
      </w:r>
      <w:r w:rsidR="00E351AA" w:rsidRPr="00E351AA">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p>
    <w:p w14:paraId="6D539047" w14:textId="77777777" w:rsidR="00D00168" w:rsidRDefault="00D00168" w:rsidP="00D00168">
      <w:pPr>
        <w:jc w:val="both"/>
        <w:rPr>
          <w:rFonts w:ascii="Arial" w:eastAsiaTheme="minorHAnsi" w:hAnsi="Arial" w:cs="Arial"/>
          <w:sz w:val="22"/>
          <w:szCs w:val="22"/>
          <w:lang w:eastAsia="en-US"/>
        </w:rPr>
      </w:pPr>
    </w:p>
    <w:p w14:paraId="39D2DDF8"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De conformidad con la información suministrada por el Departamento, durante la vigencia 2021 suscribió los contratos No. 278 y 311, ambos para la atención de población indígena </w:t>
      </w:r>
      <w:r>
        <w:rPr>
          <w:rFonts w:ascii="Arial" w:eastAsiaTheme="minorHAnsi" w:hAnsi="Arial" w:cs="Arial"/>
          <w:sz w:val="22"/>
          <w:szCs w:val="22"/>
          <w:lang w:eastAsia="en-US"/>
        </w:rPr>
        <w:lastRenderedPageBreak/>
        <w:t>en el marco del Decreto 2500 (compilado en el Decreto 1075 de 2015), por valor de $2.840 millones y $5.409 millones, respectivamente.</w:t>
      </w:r>
    </w:p>
    <w:p w14:paraId="699A3567" w14:textId="77777777" w:rsidR="00D00168" w:rsidRDefault="00D00168" w:rsidP="00D00168">
      <w:pPr>
        <w:jc w:val="both"/>
        <w:rPr>
          <w:rFonts w:ascii="Arial" w:eastAsiaTheme="minorHAnsi" w:hAnsi="Arial" w:cs="Arial"/>
          <w:sz w:val="22"/>
          <w:szCs w:val="22"/>
          <w:lang w:eastAsia="en-US"/>
        </w:rPr>
      </w:pPr>
    </w:p>
    <w:p w14:paraId="5BFFA71A"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De igual manera, en 2022 el Departamento suscribió los contratos No. 374 y 375, también para la atención de población indígena, por valor de $6.595 millones y $2.920 millones, respectivamente.  </w:t>
      </w:r>
    </w:p>
    <w:p w14:paraId="79BA85DB" w14:textId="77777777" w:rsidR="00D00168" w:rsidRDefault="00D00168" w:rsidP="00D00168">
      <w:pPr>
        <w:jc w:val="both"/>
        <w:rPr>
          <w:rFonts w:ascii="Arial" w:eastAsiaTheme="minorHAnsi" w:hAnsi="Arial" w:cs="Arial"/>
          <w:sz w:val="22"/>
          <w:szCs w:val="22"/>
          <w:lang w:eastAsia="en-US"/>
        </w:rPr>
      </w:pPr>
    </w:p>
    <w:p w14:paraId="03AE149A"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Durante las dos vigencias, la información de la contratación en mención ha sido debidamente remitida al Ministerio de Educación Nacional mediante el diligenciamiento del Formato Único de Estadísticas de Contratación del Servicio Educativo – FUC. </w:t>
      </w:r>
    </w:p>
    <w:p w14:paraId="48591D1B" w14:textId="77777777" w:rsidR="00D00168" w:rsidRDefault="00D00168" w:rsidP="00D00168">
      <w:pPr>
        <w:jc w:val="both"/>
        <w:rPr>
          <w:rFonts w:ascii="Arial" w:eastAsiaTheme="minorHAnsi" w:hAnsi="Arial" w:cs="Arial"/>
          <w:sz w:val="22"/>
          <w:szCs w:val="22"/>
          <w:lang w:eastAsia="en-US"/>
        </w:rPr>
      </w:pPr>
    </w:p>
    <w:p w14:paraId="1DBE6163"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Para el ejercicio de la supervisión a los contratos en mención, la Entidad Territorial constituyó un comité de apoyo integrado por funcionarios de las áreas de Cobertura, Calidad Educativa, Administrativa Financiera, Planeamiento Educativo e Inspección y Vigilancia. Los participantes en este comité firman cada informe de supervisión.</w:t>
      </w:r>
    </w:p>
    <w:p w14:paraId="2BAADEDE" w14:textId="77777777" w:rsidR="00D00168" w:rsidRDefault="00D00168" w:rsidP="00D00168">
      <w:pPr>
        <w:jc w:val="both"/>
        <w:rPr>
          <w:rFonts w:ascii="Arial" w:eastAsiaTheme="minorHAnsi" w:hAnsi="Arial" w:cs="Arial"/>
          <w:sz w:val="22"/>
          <w:szCs w:val="22"/>
          <w:lang w:eastAsia="en-US"/>
        </w:rPr>
      </w:pPr>
    </w:p>
    <w:p w14:paraId="5534C490"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Como evidencia del cumplimiento de la actividad en análisis, el Departamento remitió los informes mensuales de supervisión de cada contrato en ambas vigencias, dentro de los cuales se identifican claramente: el seguimiento a cada una de las obligaciones pactadas en el contrato, a la ejecución de recursos por parte del contratista en cada ítem de la canasta pactada, incluyendo la amortización del anticipo, al manejo de las cuentas bancarias y de los rendimientos financieros generados, a la matrícula atendida y sus novedades de retiro de alumnos, a las estrategias de acceso y permanencia aplicadas, al recurso humano contratado y sus novedades, al cumplimiento del calendario escolar, a la carga académica del personal docente vinculado, al componente pedagógico, al inventario de los establecimientos educativos y a los trámites relativos a Peticiones, Quejas y Reclamos.</w:t>
      </w:r>
    </w:p>
    <w:p w14:paraId="6465A0F3" w14:textId="77777777" w:rsidR="00D00168" w:rsidRDefault="00D00168" w:rsidP="00D00168">
      <w:pPr>
        <w:jc w:val="both"/>
        <w:rPr>
          <w:rFonts w:ascii="Arial" w:eastAsiaTheme="minorHAnsi" w:hAnsi="Arial" w:cs="Arial"/>
          <w:sz w:val="22"/>
          <w:szCs w:val="22"/>
          <w:lang w:eastAsia="en-US"/>
        </w:rPr>
      </w:pPr>
    </w:p>
    <w:p w14:paraId="29DC85E9"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Los informes de supervisión allegados dan cuenta de la realización de visitas de auditoría de matrícula a los contratistas en la vigencia 2021, en conjunto con la socialización del proceso de cobertura definido en la Resolución del Ministerio de Educación Nacional No. 7797 de 2015, pese a las condiciones particulares de movilización en el territorio.</w:t>
      </w:r>
    </w:p>
    <w:p w14:paraId="0C0A0A3F" w14:textId="77777777" w:rsidR="00D00168" w:rsidRDefault="00D00168" w:rsidP="00D00168">
      <w:pPr>
        <w:jc w:val="both"/>
        <w:rPr>
          <w:rFonts w:ascii="Arial" w:eastAsiaTheme="minorHAnsi" w:hAnsi="Arial" w:cs="Arial"/>
          <w:sz w:val="22"/>
          <w:szCs w:val="22"/>
          <w:lang w:eastAsia="en-US"/>
        </w:rPr>
      </w:pPr>
    </w:p>
    <w:p w14:paraId="7837DB1D" w14:textId="77777777" w:rsidR="008A0EFD" w:rsidRPr="00D00168" w:rsidRDefault="00D00168" w:rsidP="00D00168">
      <w:pPr>
        <w:jc w:val="both"/>
        <w:rPr>
          <w:rFonts w:ascii="Arial" w:eastAsiaTheme="minorHAnsi" w:hAnsi="Arial" w:cs="Arial"/>
          <w:sz w:val="22"/>
          <w:szCs w:val="22"/>
          <w:lang w:eastAsia="en-US"/>
        </w:rPr>
      </w:pPr>
      <w:r w:rsidRPr="00D00168">
        <w:rPr>
          <w:rFonts w:ascii="Arial" w:eastAsiaTheme="minorHAnsi" w:hAnsi="Arial" w:cs="Arial"/>
          <w:sz w:val="22"/>
          <w:szCs w:val="22"/>
          <w:lang w:eastAsia="en-US"/>
        </w:rPr>
        <w:t>Por lo anterior, la actividad se evalúa como cumplida.</w:t>
      </w:r>
    </w:p>
    <w:p w14:paraId="11DDEBA3" w14:textId="77777777" w:rsidR="00944CEA" w:rsidRDefault="00944CEA" w:rsidP="00D00168">
      <w:pPr>
        <w:pStyle w:val="Sinespaciado"/>
        <w:jc w:val="both"/>
        <w:rPr>
          <w:rFonts w:ascii="Arial" w:hAnsi="Arial" w:cs="Arial"/>
        </w:rPr>
      </w:pPr>
    </w:p>
    <w:p w14:paraId="09A588B0" w14:textId="77777777" w:rsidR="00E351AA" w:rsidRPr="00E351AA" w:rsidRDefault="00E351AA" w:rsidP="00D00168">
      <w:pPr>
        <w:jc w:val="both"/>
        <w:rPr>
          <w:rFonts w:ascii="Arial" w:hAnsi="Arial" w:cs="Arial"/>
          <w:b/>
          <w:bCs/>
          <w:sz w:val="22"/>
          <w:szCs w:val="22"/>
        </w:rPr>
      </w:pPr>
      <w:r w:rsidRPr="00E351AA">
        <w:rPr>
          <w:rFonts w:ascii="Arial" w:hAnsi="Arial" w:cs="Arial"/>
          <w:b/>
          <w:bCs/>
          <w:sz w:val="22"/>
          <w:szCs w:val="22"/>
        </w:rPr>
        <w:t>Categoría 2. Entrega dotación del personal</w:t>
      </w:r>
    </w:p>
    <w:p w14:paraId="2E796B74" w14:textId="77777777" w:rsidR="00E351AA" w:rsidRPr="008A0EFD" w:rsidRDefault="00E351AA" w:rsidP="00D00168">
      <w:pPr>
        <w:jc w:val="both"/>
        <w:rPr>
          <w:rFonts w:ascii="Arial" w:eastAsiaTheme="minorHAnsi" w:hAnsi="Arial" w:cs="Arial"/>
          <w:sz w:val="22"/>
          <w:szCs w:val="22"/>
          <w:lang w:eastAsia="en-US"/>
        </w:rPr>
      </w:pPr>
    </w:p>
    <w:p w14:paraId="031C1EBB" w14:textId="77777777" w:rsidR="00E351AA" w:rsidRDefault="00E351AA" w:rsidP="00D00168">
      <w:pPr>
        <w:jc w:val="both"/>
        <w:rPr>
          <w:rFonts w:ascii="Arial" w:eastAsiaTheme="minorHAnsi" w:hAnsi="Arial" w:cs="Arial"/>
          <w:sz w:val="22"/>
          <w:szCs w:val="22"/>
          <w:lang w:eastAsia="en-US"/>
        </w:rPr>
      </w:pPr>
      <w:r w:rsidRPr="00E351AA">
        <w:rPr>
          <w:rFonts w:ascii="Arial" w:eastAsiaTheme="minorHAnsi" w:hAnsi="Arial" w:cs="Arial"/>
          <w:b/>
          <w:bCs/>
          <w:sz w:val="22"/>
          <w:szCs w:val="22"/>
          <w:lang w:eastAsia="en-US"/>
        </w:rPr>
        <w:t>Actividad:</w:t>
      </w:r>
      <w:r>
        <w:rPr>
          <w:rFonts w:ascii="Arial" w:eastAsiaTheme="minorHAnsi" w:hAnsi="Arial" w:cs="Arial"/>
          <w:sz w:val="22"/>
          <w:szCs w:val="22"/>
          <w:lang w:eastAsia="en-US"/>
        </w:rPr>
        <w:t xml:space="preserve"> Suministrar copia de los contratos suscritos para la compra de la dotación del personal docente y administrativo del Sector Educación de la vigencia 2016 y la evidencia de su entrega al personal de acuerdo con las fechas establecidas por la normatividad vigente del primer cuatrimestre, o subsiguientes hasta que se presente la totalidad de la documentación para el levantamiento de la medida correctiva de suspensión de giros.</w:t>
      </w:r>
    </w:p>
    <w:p w14:paraId="68D39A63" w14:textId="77777777" w:rsidR="00E351AA" w:rsidRDefault="00E351AA" w:rsidP="00D00168">
      <w:pPr>
        <w:jc w:val="both"/>
        <w:rPr>
          <w:rFonts w:ascii="Arial" w:eastAsiaTheme="minorHAnsi" w:hAnsi="Arial" w:cs="Arial"/>
          <w:sz w:val="22"/>
          <w:szCs w:val="22"/>
          <w:lang w:eastAsia="en-US"/>
        </w:rPr>
      </w:pPr>
    </w:p>
    <w:p w14:paraId="18D6B97C" w14:textId="77777777" w:rsidR="00E351AA" w:rsidRDefault="00E351AA" w:rsidP="00D00168">
      <w:pPr>
        <w:jc w:val="both"/>
        <w:rPr>
          <w:rFonts w:ascii="Arial" w:eastAsiaTheme="minorHAnsi" w:hAnsi="Arial" w:cs="Arial"/>
          <w:sz w:val="22"/>
          <w:szCs w:val="22"/>
          <w:lang w:eastAsia="en-US"/>
        </w:rPr>
      </w:pPr>
      <w:r w:rsidRPr="00E351AA">
        <w:rPr>
          <w:rFonts w:ascii="Arial" w:eastAsiaTheme="minorHAnsi" w:hAnsi="Arial" w:cs="Arial"/>
          <w:b/>
          <w:bCs/>
          <w:sz w:val="22"/>
          <w:szCs w:val="22"/>
          <w:lang w:eastAsia="en-US"/>
        </w:rPr>
        <w:t>Evaluación</w:t>
      </w:r>
      <w:r>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p>
    <w:p w14:paraId="00969BA6" w14:textId="77777777" w:rsidR="00D00168" w:rsidRDefault="00D00168" w:rsidP="00D00168">
      <w:pPr>
        <w:jc w:val="both"/>
        <w:rPr>
          <w:rFonts w:ascii="Arial" w:eastAsiaTheme="minorHAnsi" w:hAnsi="Arial" w:cs="Arial"/>
          <w:sz w:val="22"/>
          <w:szCs w:val="22"/>
          <w:lang w:eastAsia="en-US"/>
        </w:rPr>
      </w:pPr>
    </w:p>
    <w:p w14:paraId="2CDDDB5D"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Para evidenciar el cumplimiento de esta actividad, el Departamento de Vaupés suministró copia de los contratos suscritos en las vigencias 2021 y 2022 y sus informes de supervisión, así:</w:t>
      </w:r>
    </w:p>
    <w:p w14:paraId="56355122" w14:textId="77777777" w:rsidR="00D00168" w:rsidRDefault="00D00168" w:rsidP="00D00168">
      <w:pPr>
        <w:jc w:val="both"/>
        <w:rPr>
          <w:rFonts w:ascii="Arial" w:eastAsiaTheme="minorHAnsi" w:hAnsi="Arial" w:cs="Arial"/>
          <w:sz w:val="22"/>
          <w:szCs w:val="22"/>
          <w:lang w:eastAsia="en-US"/>
        </w:rPr>
      </w:pPr>
    </w:p>
    <w:p w14:paraId="56765C3B" w14:textId="77777777" w:rsidR="00D00168" w:rsidRDefault="00D00168" w:rsidP="00D00168">
      <w:pPr>
        <w:pStyle w:val="Prrafodelista"/>
        <w:numPr>
          <w:ilvl w:val="0"/>
          <w:numId w:val="4"/>
        </w:numPr>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Contrato No. 482 del 4 de agosto de 2021, con el objeto de: </w:t>
      </w:r>
      <w:r>
        <w:rPr>
          <w:rFonts w:ascii="Arial" w:eastAsiaTheme="minorHAnsi" w:hAnsi="Arial" w:cs="Arial"/>
          <w:i/>
          <w:iCs/>
          <w:sz w:val="22"/>
          <w:szCs w:val="22"/>
          <w:lang w:eastAsia="en-US"/>
        </w:rPr>
        <w:t>“adquisición de calzado y vestido de labor como dotación al personal de la secretaría de educación departamental en cumplimiento a la Ley 70 de 1988 y Decreto reglamentario 1978 de 1989, para la vigencia 2021”</w:t>
      </w:r>
      <w:r>
        <w:rPr>
          <w:rFonts w:ascii="Arial" w:eastAsiaTheme="minorHAnsi" w:hAnsi="Arial" w:cs="Arial"/>
          <w:sz w:val="22"/>
          <w:szCs w:val="22"/>
          <w:lang w:eastAsia="en-US"/>
        </w:rPr>
        <w:t>, por valor de $246 millones, suscrito con Inversiones Amaya Gil SAS, amparando a 110 administrativos y 61 docentes, para un total de 171 funcionarios con derecho a la prestación.</w:t>
      </w:r>
    </w:p>
    <w:p w14:paraId="15BD218C" w14:textId="77777777" w:rsidR="00D00168" w:rsidRDefault="00D00168" w:rsidP="00D00168">
      <w:pPr>
        <w:pStyle w:val="Prrafodelista"/>
        <w:numPr>
          <w:ilvl w:val="0"/>
          <w:numId w:val="4"/>
        </w:numPr>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Contrato No. 444 del 8 de abril de 2022, con el objeto de: </w:t>
      </w:r>
      <w:r>
        <w:rPr>
          <w:rFonts w:ascii="Arial" w:eastAsiaTheme="minorHAnsi" w:hAnsi="Arial" w:cs="Arial"/>
          <w:i/>
          <w:iCs/>
          <w:sz w:val="22"/>
          <w:szCs w:val="22"/>
          <w:lang w:eastAsia="en-US"/>
        </w:rPr>
        <w:t>“adquisición de calzado y vestido de labor</w:t>
      </w:r>
      <w:r w:rsidRPr="00D00168">
        <w:rPr>
          <w:rFonts w:ascii="Arial" w:eastAsiaTheme="minorHAnsi" w:hAnsi="Arial" w:cs="Arial"/>
          <w:i/>
          <w:iCs/>
          <w:sz w:val="22"/>
          <w:szCs w:val="22"/>
          <w:lang w:eastAsia="en-US"/>
        </w:rPr>
        <w:t xml:space="preserve"> </w:t>
      </w:r>
      <w:r>
        <w:rPr>
          <w:rFonts w:ascii="Arial" w:eastAsiaTheme="minorHAnsi" w:hAnsi="Arial" w:cs="Arial"/>
          <w:i/>
          <w:iCs/>
          <w:sz w:val="22"/>
          <w:szCs w:val="22"/>
          <w:lang w:eastAsia="en-US"/>
        </w:rPr>
        <w:t>como dotación al personal de la secretaría de educación departamental en cumplimiento a la Ley 70 de 1988 y Decreto reglamentario 1978 de 1989, para la vigencia 2022”</w:t>
      </w:r>
      <w:r>
        <w:rPr>
          <w:rFonts w:ascii="Arial" w:eastAsiaTheme="minorHAnsi" w:hAnsi="Arial" w:cs="Arial"/>
          <w:sz w:val="22"/>
          <w:szCs w:val="22"/>
          <w:lang w:eastAsia="en-US"/>
        </w:rPr>
        <w:t>, por valor de $399 millones, suscrito con Inversiones Amaya Gil SAS, amparando a 110 administrativos y 108 docentes, para un total de 218 funcionarios con derecho a la prestación.</w:t>
      </w:r>
    </w:p>
    <w:p w14:paraId="13BCB0BC" w14:textId="77777777" w:rsidR="00D00168" w:rsidRDefault="00D00168" w:rsidP="00D00168">
      <w:pPr>
        <w:jc w:val="both"/>
        <w:rPr>
          <w:rFonts w:ascii="Arial" w:eastAsiaTheme="minorHAnsi" w:hAnsi="Arial" w:cs="Arial"/>
          <w:sz w:val="22"/>
          <w:szCs w:val="22"/>
          <w:lang w:eastAsia="en-US"/>
        </w:rPr>
      </w:pPr>
    </w:p>
    <w:p w14:paraId="48D4CA9A"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De igual manera, la entidad territorial allegó copia de los memorandos de entrega de cada dotación en 2021, en el que se detalla el nombre y cargo del funcionario que recibe, el número de la dotación a entregar (primera, segunda o tercera), el valor de los bienes entregados, así como las firmas del </w:t>
      </w:r>
      <w:r w:rsidR="001B2752">
        <w:rPr>
          <w:rFonts w:ascii="Arial" w:eastAsiaTheme="minorHAnsi" w:hAnsi="Arial" w:cs="Arial"/>
          <w:sz w:val="22"/>
          <w:szCs w:val="22"/>
          <w:lang w:eastAsia="en-US"/>
        </w:rPr>
        <w:t>secretario</w:t>
      </w:r>
      <w:r>
        <w:rPr>
          <w:rFonts w:ascii="Arial" w:eastAsiaTheme="minorHAnsi" w:hAnsi="Arial" w:cs="Arial"/>
          <w:sz w:val="22"/>
          <w:szCs w:val="22"/>
          <w:lang w:eastAsia="en-US"/>
        </w:rPr>
        <w:t xml:space="preserve"> de </w:t>
      </w:r>
      <w:r w:rsidR="0051613E">
        <w:rPr>
          <w:rFonts w:ascii="Arial" w:eastAsiaTheme="minorHAnsi" w:hAnsi="Arial" w:cs="Arial"/>
          <w:sz w:val="22"/>
          <w:szCs w:val="22"/>
          <w:lang w:eastAsia="en-US"/>
        </w:rPr>
        <w:t>e</w:t>
      </w:r>
      <w:r>
        <w:rPr>
          <w:rFonts w:ascii="Arial" w:eastAsiaTheme="minorHAnsi" w:hAnsi="Arial" w:cs="Arial"/>
          <w:sz w:val="22"/>
          <w:szCs w:val="22"/>
          <w:lang w:eastAsia="en-US"/>
        </w:rPr>
        <w:t>ducación, el supervisor del contrato y los funcionarios que entregan y reciben la dotación.</w:t>
      </w:r>
    </w:p>
    <w:p w14:paraId="266D5987" w14:textId="77777777" w:rsidR="00D00168" w:rsidRDefault="00D00168" w:rsidP="00D00168">
      <w:pPr>
        <w:jc w:val="both"/>
        <w:rPr>
          <w:rFonts w:ascii="Arial" w:eastAsiaTheme="minorHAnsi" w:hAnsi="Arial" w:cs="Arial"/>
          <w:sz w:val="22"/>
          <w:szCs w:val="22"/>
          <w:lang w:eastAsia="en-US"/>
        </w:rPr>
      </w:pPr>
    </w:p>
    <w:p w14:paraId="4C1052E1" w14:textId="77777777" w:rsidR="00D00168" w:rsidRDefault="00D00168" w:rsidP="00D00168">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Complementariamente, el Departamento allegó copia de la Resolución No. 1066 del 23 de mayo de 2019, </w:t>
      </w:r>
      <w:r w:rsidRPr="00D00168">
        <w:rPr>
          <w:rFonts w:ascii="Arial" w:eastAsiaTheme="minorHAnsi" w:hAnsi="Arial" w:cs="Arial"/>
          <w:i/>
          <w:iCs/>
          <w:sz w:val="22"/>
          <w:szCs w:val="22"/>
          <w:lang w:eastAsia="en-US"/>
        </w:rPr>
        <w:t>“por medio de la cual se definen estrategias para el suministro de la dotación a los trabajadores de la Educac</w:t>
      </w:r>
      <w:r>
        <w:rPr>
          <w:rFonts w:ascii="Arial" w:eastAsiaTheme="minorHAnsi" w:hAnsi="Arial" w:cs="Arial"/>
          <w:i/>
          <w:iCs/>
          <w:sz w:val="22"/>
          <w:szCs w:val="22"/>
          <w:lang w:eastAsia="en-US"/>
        </w:rPr>
        <w:t>i</w:t>
      </w:r>
      <w:r w:rsidRPr="00D00168">
        <w:rPr>
          <w:rFonts w:ascii="Arial" w:eastAsiaTheme="minorHAnsi" w:hAnsi="Arial" w:cs="Arial"/>
          <w:i/>
          <w:iCs/>
          <w:sz w:val="22"/>
          <w:szCs w:val="22"/>
          <w:lang w:eastAsia="en-US"/>
        </w:rPr>
        <w:t>ón en el Departamento de Vaupés”</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En este acto administrativo se establecen las siguientes consideraciones particulares de la Entidad Territorial.</w:t>
      </w:r>
    </w:p>
    <w:p w14:paraId="29485C7A" w14:textId="77777777" w:rsidR="00D00168" w:rsidRDefault="00D00168" w:rsidP="00D00168">
      <w:pPr>
        <w:jc w:val="both"/>
        <w:rPr>
          <w:rFonts w:ascii="Arial" w:eastAsiaTheme="minorHAnsi" w:hAnsi="Arial" w:cs="Arial"/>
          <w:sz w:val="22"/>
          <w:szCs w:val="22"/>
          <w:lang w:eastAsia="en-US"/>
        </w:rPr>
      </w:pPr>
    </w:p>
    <w:p w14:paraId="58108CE2" w14:textId="77777777" w:rsidR="00D00168" w:rsidRPr="00D00168" w:rsidRDefault="00D00168" w:rsidP="00D00168">
      <w:pPr>
        <w:ind w:left="567"/>
        <w:jc w:val="both"/>
        <w:rPr>
          <w:rFonts w:ascii="Arial" w:eastAsiaTheme="minorHAnsi" w:hAnsi="Arial" w:cs="Arial"/>
          <w:i/>
          <w:iCs/>
          <w:sz w:val="20"/>
          <w:szCs w:val="20"/>
          <w:lang w:eastAsia="en-US"/>
        </w:rPr>
      </w:pPr>
      <w:r w:rsidRPr="00D00168">
        <w:rPr>
          <w:rFonts w:ascii="Arial" w:eastAsiaTheme="minorHAnsi" w:hAnsi="Arial" w:cs="Arial"/>
          <w:i/>
          <w:iCs/>
          <w:sz w:val="20"/>
          <w:szCs w:val="20"/>
          <w:lang w:eastAsia="en-US"/>
        </w:rPr>
        <w:t>Que la Secretaría de Educación en coordinación con el área encargada de la Contratación en la entidad territorial, deberá adelantar de manera oportuna los trámites pertinentes a fin de garantizar el proceso contractual para la adquisición y el suministro oportuno de la dotación para el personal administrativo y docente del sector educativo, que cumpla con los requisitos para ser acreedor a dicha prestación, en los términos y oportunidades establecidos en la Ley.</w:t>
      </w:r>
    </w:p>
    <w:p w14:paraId="0DF9AEC5" w14:textId="77777777" w:rsidR="00D00168" w:rsidRPr="00D00168" w:rsidRDefault="00D00168" w:rsidP="00D00168">
      <w:pPr>
        <w:ind w:left="567"/>
        <w:jc w:val="both"/>
        <w:rPr>
          <w:rFonts w:ascii="Arial" w:eastAsiaTheme="minorHAnsi" w:hAnsi="Arial" w:cs="Arial"/>
          <w:i/>
          <w:iCs/>
          <w:sz w:val="20"/>
          <w:szCs w:val="20"/>
          <w:lang w:eastAsia="en-US"/>
        </w:rPr>
      </w:pPr>
    </w:p>
    <w:p w14:paraId="3EB267ED" w14:textId="77777777" w:rsidR="00D00168" w:rsidRPr="00D00168" w:rsidRDefault="00D00168" w:rsidP="00D00168">
      <w:pPr>
        <w:ind w:left="567"/>
        <w:jc w:val="both"/>
        <w:rPr>
          <w:rFonts w:ascii="Arial" w:eastAsiaTheme="minorHAnsi" w:hAnsi="Arial" w:cs="Arial"/>
          <w:i/>
          <w:iCs/>
          <w:sz w:val="20"/>
          <w:szCs w:val="20"/>
          <w:lang w:eastAsia="en-US"/>
        </w:rPr>
      </w:pPr>
      <w:r w:rsidRPr="00D00168">
        <w:rPr>
          <w:rFonts w:ascii="Arial" w:eastAsiaTheme="minorHAnsi" w:hAnsi="Arial" w:cs="Arial"/>
          <w:i/>
          <w:iCs/>
          <w:sz w:val="20"/>
          <w:szCs w:val="20"/>
          <w:lang w:eastAsia="en-US"/>
        </w:rPr>
        <w:t>Que sin contravenir las normas y directrices del Ministerio de Educación Nacional señaladas en los considerandos anteriores, y en cumplimiento a compromisos adquiridos por la administración según acta de mesa técnica adelantada por funcionarios de la Secretaría de Educación y Gobernación de Vaupés del 27 al 29 de abril de 2019 en el Ministerio de Educación Nacional, las fechas de entrega de la dotación determinadas en la Ley, es decir el 30 de abril, 30 de agosto y 20 de diciembre corresponden a meses en donde la mayoría de personal docente y administrativo de la Secretaría de Educación con este derecho, a excepción de las tres (3) IE urbanas del municipio, se encuentran en las instituciones y sedes educativas rurales, lo que dificulta la entrega de la dotación en las fechas en comento, dadas las difíciles condiciones de acceso al municipio de Mitú, toda vez que por los elevados costos en los transportes del personal, el mismo se realiza al inicio y finalización del calendario escolar de cada año.</w:t>
      </w:r>
    </w:p>
    <w:p w14:paraId="5D49B6F4" w14:textId="77777777" w:rsidR="00D00168" w:rsidRPr="00D00168" w:rsidRDefault="00D00168" w:rsidP="00D00168">
      <w:pPr>
        <w:ind w:left="567"/>
        <w:jc w:val="both"/>
        <w:rPr>
          <w:rFonts w:ascii="Arial" w:eastAsiaTheme="minorHAnsi" w:hAnsi="Arial" w:cs="Arial"/>
          <w:i/>
          <w:iCs/>
          <w:sz w:val="20"/>
          <w:szCs w:val="20"/>
          <w:lang w:eastAsia="en-US"/>
        </w:rPr>
      </w:pPr>
    </w:p>
    <w:p w14:paraId="6FFC8FE5" w14:textId="77777777" w:rsidR="00D00168" w:rsidRPr="00D00168" w:rsidRDefault="00D00168" w:rsidP="00D00168">
      <w:pPr>
        <w:ind w:left="567"/>
        <w:jc w:val="both"/>
        <w:rPr>
          <w:rFonts w:ascii="Arial" w:eastAsiaTheme="minorHAnsi" w:hAnsi="Arial" w:cs="Arial"/>
          <w:i/>
          <w:iCs/>
          <w:sz w:val="20"/>
          <w:szCs w:val="20"/>
          <w:lang w:eastAsia="en-US"/>
        </w:rPr>
      </w:pPr>
      <w:r w:rsidRPr="00D00168">
        <w:rPr>
          <w:rFonts w:ascii="Arial" w:eastAsiaTheme="minorHAnsi" w:hAnsi="Arial" w:cs="Arial"/>
          <w:i/>
          <w:iCs/>
          <w:sz w:val="20"/>
          <w:szCs w:val="20"/>
          <w:lang w:eastAsia="en-US"/>
        </w:rPr>
        <w:t>Que en ese sentido la Secretaría de Educación ha determinado como fechas de entrega de la dotación a los trabajadores de la educación con este derecho, en los meses de junio – julio, teniendo en cuenta el receso escolar de mitad de año, en donde algunos docentes y administrativos se desplazan a la ciudad de Mitú y en los mese</w:t>
      </w:r>
      <w:r w:rsidR="00AF4BD6">
        <w:rPr>
          <w:rFonts w:ascii="Arial" w:eastAsiaTheme="minorHAnsi" w:hAnsi="Arial" w:cs="Arial"/>
          <w:i/>
          <w:iCs/>
          <w:sz w:val="20"/>
          <w:szCs w:val="20"/>
          <w:lang w:eastAsia="en-US"/>
        </w:rPr>
        <w:t>s</w:t>
      </w:r>
      <w:r w:rsidRPr="00D00168">
        <w:rPr>
          <w:rFonts w:ascii="Arial" w:eastAsiaTheme="minorHAnsi" w:hAnsi="Arial" w:cs="Arial"/>
          <w:i/>
          <w:iCs/>
          <w:sz w:val="20"/>
          <w:szCs w:val="20"/>
          <w:lang w:eastAsia="en-US"/>
        </w:rPr>
        <w:t xml:space="preserve"> de noviembre y diciembre, </w:t>
      </w:r>
      <w:r w:rsidRPr="00D00168">
        <w:rPr>
          <w:rFonts w:ascii="Arial" w:eastAsiaTheme="minorHAnsi" w:hAnsi="Arial" w:cs="Arial"/>
          <w:i/>
          <w:iCs/>
          <w:sz w:val="20"/>
          <w:szCs w:val="20"/>
          <w:lang w:eastAsia="en-US"/>
        </w:rPr>
        <w:lastRenderedPageBreak/>
        <w:t>que por finalización del calendario escolar, el departamento garantiza el transporte de todo el personal desde la zona rural a la zona urbana del municipio de Mitú, situación que facilita el cumplimiento de la entrega de la dotación”.</w:t>
      </w:r>
    </w:p>
    <w:p w14:paraId="47293B8D" w14:textId="77777777" w:rsidR="00E351AA" w:rsidRDefault="00E351AA" w:rsidP="00D00168">
      <w:pPr>
        <w:jc w:val="both"/>
        <w:rPr>
          <w:rFonts w:ascii="Arial" w:eastAsiaTheme="minorHAnsi" w:hAnsi="Arial" w:cs="Arial"/>
          <w:sz w:val="22"/>
          <w:szCs w:val="22"/>
          <w:lang w:eastAsia="en-US"/>
        </w:rPr>
      </w:pPr>
    </w:p>
    <w:p w14:paraId="13DE77B4" w14:textId="77777777" w:rsidR="00E351AA" w:rsidRPr="00D00168" w:rsidRDefault="00D00168" w:rsidP="00D00168">
      <w:pPr>
        <w:jc w:val="both"/>
        <w:rPr>
          <w:rFonts w:ascii="Arial" w:eastAsiaTheme="minorHAnsi" w:hAnsi="Arial" w:cs="Arial"/>
          <w:sz w:val="22"/>
          <w:szCs w:val="22"/>
          <w:lang w:eastAsia="en-US"/>
        </w:rPr>
      </w:pPr>
      <w:r w:rsidRPr="00D00168">
        <w:rPr>
          <w:rFonts w:ascii="Arial" w:eastAsiaTheme="minorHAnsi" w:hAnsi="Arial" w:cs="Arial"/>
          <w:sz w:val="22"/>
          <w:szCs w:val="22"/>
          <w:lang w:eastAsia="en-US"/>
        </w:rPr>
        <w:t>Por lo anterior, la actividad se evalúa como cumpl</w:t>
      </w:r>
      <w:r>
        <w:rPr>
          <w:rFonts w:ascii="Arial" w:eastAsiaTheme="minorHAnsi" w:hAnsi="Arial" w:cs="Arial"/>
          <w:sz w:val="22"/>
          <w:szCs w:val="22"/>
          <w:lang w:eastAsia="en-US"/>
        </w:rPr>
        <w:t>ida</w:t>
      </w:r>
      <w:r w:rsidRPr="00D00168">
        <w:rPr>
          <w:rFonts w:ascii="Arial" w:eastAsiaTheme="minorHAnsi" w:hAnsi="Arial" w:cs="Arial"/>
          <w:sz w:val="22"/>
          <w:szCs w:val="22"/>
          <w:lang w:eastAsia="en-US"/>
        </w:rPr>
        <w:t>.</w:t>
      </w:r>
    </w:p>
    <w:p w14:paraId="58A2E1F2" w14:textId="77777777" w:rsidR="00E351AA" w:rsidRPr="00761DA0" w:rsidRDefault="00E351AA" w:rsidP="00D00168">
      <w:pPr>
        <w:pStyle w:val="Sinespaciado"/>
        <w:jc w:val="both"/>
        <w:rPr>
          <w:rFonts w:ascii="Arial" w:hAnsi="Arial" w:cs="Arial"/>
        </w:rPr>
      </w:pPr>
    </w:p>
    <w:p w14:paraId="7BC2EB89" w14:textId="77777777" w:rsidR="00EF5D6B" w:rsidRPr="00761DA0" w:rsidRDefault="00EF5D6B" w:rsidP="00D00168">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t>CONCLUSIONES Y RECOMENDACIONES.</w:t>
      </w:r>
    </w:p>
    <w:p w14:paraId="7FD2D2D0" w14:textId="77777777" w:rsidR="00EF5D6B" w:rsidRPr="00761DA0" w:rsidRDefault="00EF5D6B" w:rsidP="00D00168">
      <w:pPr>
        <w:jc w:val="both"/>
        <w:rPr>
          <w:rFonts w:ascii="Arial" w:hAnsi="Arial" w:cs="Arial"/>
          <w:sz w:val="22"/>
          <w:szCs w:val="22"/>
        </w:rPr>
      </w:pPr>
    </w:p>
    <w:p w14:paraId="55EE7311" w14:textId="77777777" w:rsidR="001F1826" w:rsidRDefault="001F1826" w:rsidP="00D00168">
      <w:pPr>
        <w:jc w:val="both"/>
        <w:rPr>
          <w:rFonts w:ascii="Arial" w:hAnsi="Arial" w:cs="Arial"/>
          <w:sz w:val="22"/>
          <w:szCs w:val="22"/>
        </w:rPr>
      </w:pPr>
      <w:r w:rsidRPr="00B17755">
        <w:rPr>
          <w:rFonts w:ascii="Arial" w:hAnsi="Arial" w:cs="Arial"/>
          <w:sz w:val="22"/>
          <w:szCs w:val="22"/>
        </w:rPr>
        <w:t xml:space="preserve">Como resultado de la evaluación se concluye que el Departamento ha cumplido </w:t>
      </w:r>
      <w:r>
        <w:rPr>
          <w:rFonts w:ascii="Arial" w:hAnsi="Arial" w:cs="Arial"/>
          <w:sz w:val="22"/>
          <w:szCs w:val="22"/>
        </w:rPr>
        <w:t xml:space="preserve">2 </w:t>
      </w:r>
      <w:r w:rsidRPr="00B17755">
        <w:rPr>
          <w:rFonts w:ascii="Arial" w:hAnsi="Arial" w:cs="Arial"/>
          <w:sz w:val="22"/>
          <w:szCs w:val="22"/>
        </w:rPr>
        <w:t xml:space="preserve">de las </w:t>
      </w:r>
      <w:r>
        <w:rPr>
          <w:rFonts w:ascii="Arial" w:hAnsi="Arial" w:cs="Arial"/>
          <w:sz w:val="22"/>
          <w:szCs w:val="22"/>
        </w:rPr>
        <w:t xml:space="preserve">2 </w:t>
      </w:r>
      <w:r w:rsidRPr="00B17755">
        <w:rPr>
          <w:rFonts w:ascii="Arial" w:hAnsi="Arial" w:cs="Arial"/>
          <w:sz w:val="22"/>
          <w:szCs w:val="22"/>
        </w:rPr>
        <w:t xml:space="preserve">actividades contempladas en </w:t>
      </w:r>
      <w:r>
        <w:rPr>
          <w:rFonts w:ascii="Arial" w:hAnsi="Arial" w:cs="Arial"/>
          <w:sz w:val="22"/>
          <w:szCs w:val="22"/>
        </w:rPr>
        <w:t>la Suspensión de Giros</w:t>
      </w:r>
      <w:r w:rsidRPr="00B17755">
        <w:rPr>
          <w:rFonts w:ascii="Arial" w:hAnsi="Arial" w:cs="Arial"/>
          <w:sz w:val="22"/>
          <w:szCs w:val="22"/>
        </w:rPr>
        <w:t xml:space="preserve">, para un cumplimiento del </w:t>
      </w:r>
      <w:r>
        <w:rPr>
          <w:rFonts w:ascii="Arial" w:hAnsi="Arial" w:cs="Arial"/>
          <w:sz w:val="22"/>
          <w:szCs w:val="22"/>
        </w:rPr>
        <w:t>100</w:t>
      </w:r>
      <w:r w:rsidRPr="00B17755">
        <w:rPr>
          <w:rFonts w:ascii="Arial" w:hAnsi="Arial" w:cs="Arial"/>
          <w:sz w:val="22"/>
          <w:szCs w:val="22"/>
        </w:rPr>
        <w:t>%.</w:t>
      </w:r>
    </w:p>
    <w:p w14:paraId="37C1369B" w14:textId="77777777" w:rsidR="001F1826" w:rsidRDefault="001F1826" w:rsidP="00D00168">
      <w:pPr>
        <w:jc w:val="both"/>
        <w:rPr>
          <w:rFonts w:ascii="Arial" w:hAnsi="Arial" w:cs="Arial"/>
          <w:sz w:val="22"/>
          <w:szCs w:val="22"/>
          <w:highlight w:val="yellow"/>
        </w:rPr>
      </w:pPr>
    </w:p>
    <w:p w14:paraId="0A58B393" w14:textId="77777777" w:rsidR="001F1826" w:rsidRPr="00B17755" w:rsidRDefault="001F1826" w:rsidP="00D00168">
      <w:pPr>
        <w:jc w:val="both"/>
        <w:rPr>
          <w:rFonts w:ascii="Arial" w:hAnsi="Arial" w:cs="Arial"/>
          <w:sz w:val="22"/>
          <w:szCs w:val="22"/>
        </w:rPr>
      </w:pPr>
      <w:r w:rsidRPr="00B17755">
        <w:rPr>
          <w:rFonts w:ascii="Arial" w:hAnsi="Arial" w:cs="Arial"/>
          <w:sz w:val="22"/>
          <w:szCs w:val="22"/>
        </w:rPr>
        <w:t xml:space="preserve">Considerando que a la fecha de seguimiento se han superado los eventos de riesgo que dieron origen a la medida </w:t>
      </w:r>
      <w:r>
        <w:rPr>
          <w:rFonts w:ascii="Arial" w:hAnsi="Arial" w:cs="Arial"/>
          <w:sz w:val="22"/>
          <w:szCs w:val="22"/>
        </w:rPr>
        <w:t>correctiva</w:t>
      </w:r>
      <w:r w:rsidRPr="00B17755">
        <w:rPr>
          <w:rFonts w:ascii="Arial" w:hAnsi="Arial" w:cs="Arial"/>
          <w:sz w:val="22"/>
          <w:szCs w:val="22"/>
        </w:rPr>
        <w:t xml:space="preserve">, se recomienda levantar </w:t>
      </w:r>
      <w:r>
        <w:rPr>
          <w:rFonts w:ascii="Arial" w:hAnsi="Arial" w:cs="Arial"/>
          <w:sz w:val="22"/>
          <w:szCs w:val="22"/>
        </w:rPr>
        <w:t>la Suspensión de Giros</w:t>
      </w:r>
      <w:r w:rsidRPr="00B17755">
        <w:rPr>
          <w:rFonts w:ascii="Arial" w:hAnsi="Arial" w:cs="Arial"/>
          <w:sz w:val="22"/>
          <w:szCs w:val="22"/>
        </w:rPr>
        <w:t>.</w:t>
      </w:r>
    </w:p>
    <w:p w14:paraId="07EDCB06" w14:textId="77777777" w:rsidR="001F1826" w:rsidRPr="003C1DA7" w:rsidRDefault="001F1826" w:rsidP="00D00168">
      <w:pPr>
        <w:tabs>
          <w:tab w:val="left" w:pos="3206"/>
          <w:tab w:val="left" w:pos="6338"/>
        </w:tabs>
        <w:jc w:val="both"/>
        <w:rPr>
          <w:rFonts w:ascii="Arial" w:hAnsi="Arial" w:cs="Arial"/>
          <w:sz w:val="22"/>
          <w:szCs w:val="22"/>
        </w:rPr>
      </w:pPr>
    </w:p>
    <w:p w14:paraId="489256A2" w14:textId="77777777" w:rsidR="00EF5D6B" w:rsidRPr="00761DA0" w:rsidRDefault="00EF5D6B" w:rsidP="00D00168">
      <w:pPr>
        <w:jc w:val="both"/>
        <w:rPr>
          <w:rFonts w:ascii="Arial" w:hAnsi="Arial" w:cs="Arial"/>
          <w:sz w:val="16"/>
          <w:szCs w:val="16"/>
        </w:rPr>
      </w:pPr>
      <w:r w:rsidRPr="00761DA0">
        <w:rPr>
          <w:rFonts w:ascii="Arial" w:hAnsi="Arial" w:cs="Arial"/>
          <w:sz w:val="16"/>
          <w:szCs w:val="16"/>
        </w:rPr>
        <w:t xml:space="preserve">APROBÓ: </w:t>
      </w:r>
      <w:r w:rsidR="001F1826">
        <w:rPr>
          <w:rFonts w:ascii="Arial" w:hAnsi="Arial" w:cs="Arial"/>
          <w:sz w:val="16"/>
          <w:szCs w:val="16"/>
        </w:rPr>
        <w:t>Fernando Olivera</w:t>
      </w:r>
    </w:p>
    <w:p w14:paraId="31125A32" w14:textId="77777777" w:rsidR="00EF5D6B" w:rsidRPr="00761DA0" w:rsidRDefault="00EF5D6B" w:rsidP="00D00168">
      <w:pPr>
        <w:jc w:val="both"/>
        <w:rPr>
          <w:rFonts w:ascii="Arial" w:hAnsi="Arial" w:cs="Arial"/>
          <w:sz w:val="16"/>
          <w:szCs w:val="16"/>
        </w:rPr>
      </w:pPr>
      <w:r w:rsidRPr="00761DA0">
        <w:rPr>
          <w:rFonts w:ascii="Arial" w:hAnsi="Arial" w:cs="Arial"/>
          <w:sz w:val="16"/>
          <w:szCs w:val="16"/>
        </w:rPr>
        <w:t xml:space="preserve">REVISIÓN JURÍDICA: </w:t>
      </w:r>
      <w:r w:rsidR="001F1826">
        <w:rPr>
          <w:rFonts w:ascii="Arial" w:hAnsi="Arial" w:cs="Arial"/>
          <w:sz w:val="16"/>
          <w:szCs w:val="16"/>
        </w:rPr>
        <w:t>Carlos Ariza</w:t>
      </w:r>
    </w:p>
    <w:p w14:paraId="281B05BC" w14:textId="77777777" w:rsidR="00D92691" w:rsidRPr="00761DA0" w:rsidRDefault="00EF5D6B" w:rsidP="00D00168">
      <w:pPr>
        <w:jc w:val="both"/>
        <w:rPr>
          <w:rFonts w:ascii="Arial" w:hAnsi="Arial" w:cs="Arial"/>
          <w:sz w:val="16"/>
          <w:szCs w:val="16"/>
        </w:rPr>
      </w:pPr>
      <w:r w:rsidRPr="00761DA0">
        <w:rPr>
          <w:rFonts w:ascii="Arial" w:hAnsi="Arial" w:cs="Arial"/>
          <w:sz w:val="16"/>
          <w:szCs w:val="16"/>
        </w:rPr>
        <w:t xml:space="preserve">ELABORÓ: </w:t>
      </w:r>
      <w:r w:rsidR="001F1826">
        <w:rPr>
          <w:rFonts w:ascii="Arial" w:hAnsi="Arial" w:cs="Arial"/>
          <w:sz w:val="16"/>
          <w:szCs w:val="16"/>
        </w:rPr>
        <w:t>Liz Rey</w:t>
      </w:r>
    </w:p>
    <w:sectPr w:rsidR="00D92691" w:rsidRPr="00761DA0" w:rsidSect="004E432F">
      <w:headerReference w:type="default" r:id="rId12"/>
      <w:footerReference w:type="default" r:id="rId13"/>
      <w:headerReference w:type="first" r:id="rId14"/>
      <w:footerReference w:type="first" r:id="rId1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168C" w14:textId="77777777" w:rsidR="00591621" w:rsidRDefault="00591621" w:rsidP="00F71345">
      <w:r>
        <w:separator/>
      </w:r>
    </w:p>
  </w:endnote>
  <w:endnote w:type="continuationSeparator" w:id="0">
    <w:p w14:paraId="73231620" w14:textId="77777777" w:rsidR="00591621" w:rsidRDefault="0059162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F416"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04C45BEE" wp14:editId="7C076B23">
          <wp:simplePos x="0" y="0"/>
          <wp:positionH relativeFrom="margin">
            <wp:align>left</wp:align>
          </wp:positionH>
          <wp:positionV relativeFrom="paragraph">
            <wp:posOffset>-657225</wp:posOffset>
          </wp:positionV>
          <wp:extent cx="3150870" cy="86995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79E8"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4A1C172A" wp14:editId="32B17190">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BC94" w14:textId="77777777" w:rsidR="00591621" w:rsidRDefault="00591621" w:rsidP="00F71345">
      <w:r>
        <w:separator/>
      </w:r>
    </w:p>
  </w:footnote>
  <w:footnote w:type="continuationSeparator" w:id="0">
    <w:p w14:paraId="676846A3" w14:textId="77777777" w:rsidR="00591621" w:rsidRDefault="00591621"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B7B2" w14:textId="77777777" w:rsidR="00627337" w:rsidRDefault="00627337" w:rsidP="00A82889">
    <w:pPr>
      <w:jc w:val="right"/>
      <w:rPr>
        <w:rFonts w:ascii="Arial" w:hAnsi="Arial" w:cs="Arial"/>
        <w:sz w:val="16"/>
        <w:szCs w:val="16"/>
      </w:rPr>
    </w:pPr>
  </w:p>
  <w:p w14:paraId="30EE0FD1" w14:textId="77777777" w:rsidR="00627337" w:rsidRDefault="006A05A7" w:rsidP="00FF4985">
    <w:pPr>
      <w:rPr>
        <w:rFonts w:ascii="Arial" w:hAnsi="Arial" w:cs="Arial"/>
        <w:sz w:val="16"/>
        <w:szCs w:val="16"/>
      </w:rPr>
    </w:pPr>
    <w:r>
      <w:rPr>
        <w:noProof/>
      </w:rPr>
      <w:drawing>
        <wp:inline distT="0" distB="0" distL="0" distR="0" wp14:anchorId="5F7C3CA5" wp14:editId="3C2F7C67">
          <wp:extent cx="3137350" cy="533400"/>
          <wp:effectExtent l="0" t="0" r="6350" b="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p w14:paraId="37E18AD6" w14:textId="77777777" w:rsidR="00627337" w:rsidRDefault="00627337" w:rsidP="00F01F75">
    <w:pPr>
      <w:pStyle w:val="Encabezado"/>
      <w:rPr>
        <w:rFonts w:ascii="Arial" w:hAnsi="Arial" w:cs="Arial"/>
        <w:sz w:val="16"/>
        <w:szCs w:val="16"/>
      </w:rPr>
    </w:pPr>
  </w:p>
  <w:p w14:paraId="6297F946" w14:textId="77777777" w:rsidR="00627337" w:rsidRDefault="00627337" w:rsidP="00F01F75">
    <w:pPr>
      <w:pStyle w:val="Encabezado"/>
      <w:rPr>
        <w:rFonts w:ascii="Arial" w:hAnsi="Arial" w:cs="Arial"/>
        <w:sz w:val="16"/>
        <w:szCs w:val="16"/>
      </w:rPr>
    </w:pPr>
  </w:p>
  <w:p w14:paraId="7B42E1D8" w14:textId="77777777" w:rsidR="00627337" w:rsidRDefault="00627337" w:rsidP="00F01F75">
    <w:pPr>
      <w:pStyle w:val="Encabezado"/>
      <w:rPr>
        <w:rFonts w:ascii="Arial" w:hAnsi="Arial" w:cs="Arial"/>
        <w:sz w:val="16"/>
        <w:szCs w:val="16"/>
      </w:rPr>
    </w:pPr>
  </w:p>
  <w:p w14:paraId="4FDF1F7E"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6A05A7">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6A05A7">
      <w:rPr>
        <w:rStyle w:val="Nmerodepgina"/>
        <w:rFonts w:ascii="Arial" w:hAnsi="Arial" w:cs="Arial"/>
        <w:noProof/>
        <w:sz w:val="16"/>
        <w:szCs w:val="16"/>
      </w:rPr>
      <w:t>2</w:t>
    </w:r>
    <w:r w:rsidRPr="00F01F75">
      <w:rPr>
        <w:rStyle w:val="Nmerodepgina"/>
        <w:rFonts w:ascii="Arial" w:hAnsi="Arial" w:cs="Arial"/>
        <w:sz w:val="16"/>
        <w:szCs w:val="16"/>
      </w:rPr>
      <w:fldChar w:fldCharType="end"/>
    </w:r>
  </w:p>
  <w:p w14:paraId="3DC800B6"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E635" w14:textId="77777777" w:rsidR="00627337" w:rsidRDefault="00FF4985" w:rsidP="00FF4985">
    <w:pPr>
      <w:pStyle w:val="Encabezado"/>
    </w:pPr>
    <w:r>
      <w:rPr>
        <w:noProof/>
        <w:lang w:eastAsia="es-CO"/>
      </w:rPr>
      <w:drawing>
        <wp:inline distT="0" distB="0" distL="0" distR="0" wp14:anchorId="43A607F7" wp14:editId="538C5816">
          <wp:extent cx="3137350" cy="533400"/>
          <wp:effectExtent l="0" t="0" r="635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CF1"/>
    <w:multiLevelType w:val="hybridMultilevel"/>
    <w:tmpl w:val="8D821F22"/>
    <w:lvl w:ilvl="0" w:tplc="6E948354">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A86E79"/>
    <w:multiLevelType w:val="hybridMultilevel"/>
    <w:tmpl w:val="47C6FE0E"/>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5647051">
    <w:abstractNumId w:val="2"/>
  </w:num>
  <w:num w:numId="2" w16cid:durableId="875311723">
    <w:abstractNumId w:val="3"/>
  </w:num>
  <w:num w:numId="3" w16cid:durableId="540900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9095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D8E"/>
    <w:rsid w:val="000219D4"/>
    <w:rsid w:val="00023A69"/>
    <w:rsid w:val="00025168"/>
    <w:rsid w:val="000322E3"/>
    <w:rsid w:val="00042D32"/>
    <w:rsid w:val="00043DE6"/>
    <w:rsid w:val="00045313"/>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7D1"/>
    <w:rsid w:val="00093EB8"/>
    <w:rsid w:val="000A07D3"/>
    <w:rsid w:val="000A1163"/>
    <w:rsid w:val="000A2FC8"/>
    <w:rsid w:val="000A31BA"/>
    <w:rsid w:val="000A4383"/>
    <w:rsid w:val="000A71F1"/>
    <w:rsid w:val="000A791C"/>
    <w:rsid w:val="000B20AE"/>
    <w:rsid w:val="000C2C96"/>
    <w:rsid w:val="000C4465"/>
    <w:rsid w:val="000D09AB"/>
    <w:rsid w:val="000D416C"/>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58D6"/>
    <w:rsid w:val="00127CD2"/>
    <w:rsid w:val="00130944"/>
    <w:rsid w:val="001339E2"/>
    <w:rsid w:val="0013472A"/>
    <w:rsid w:val="001419E5"/>
    <w:rsid w:val="00141AC2"/>
    <w:rsid w:val="00144777"/>
    <w:rsid w:val="001448E3"/>
    <w:rsid w:val="001454CA"/>
    <w:rsid w:val="00147E82"/>
    <w:rsid w:val="001515F9"/>
    <w:rsid w:val="001518F2"/>
    <w:rsid w:val="00153869"/>
    <w:rsid w:val="00153C65"/>
    <w:rsid w:val="0015565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2752"/>
    <w:rsid w:val="001B3240"/>
    <w:rsid w:val="001B61D2"/>
    <w:rsid w:val="001C0181"/>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1826"/>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517"/>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1DC7"/>
    <w:rsid w:val="004F2BB0"/>
    <w:rsid w:val="004F7BEA"/>
    <w:rsid w:val="005125B0"/>
    <w:rsid w:val="00514FBE"/>
    <w:rsid w:val="0051613E"/>
    <w:rsid w:val="0052149D"/>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006E"/>
    <w:rsid w:val="00571ED1"/>
    <w:rsid w:val="0057200A"/>
    <w:rsid w:val="00572B71"/>
    <w:rsid w:val="00576F0C"/>
    <w:rsid w:val="00577720"/>
    <w:rsid w:val="0058232E"/>
    <w:rsid w:val="005833C7"/>
    <w:rsid w:val="0058638E"/>
    <w:rsid w:val="00590228"/>
    <w:rsid w:val="00590F1A"/>
    <w:rsid w:val="00591621"/>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6526"/>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4628"/>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2035F"/>
    <w:rsid w:val="009271C8"/>
    <w:rsid w:val="00931D87"/>
    <w:rsid w:val="009436F2"/>
    <w:rsid w:val="00944394"/>
    <w:rsid w:val="00944CEA"/>
    <w:rsid w:val="00945819"/>
    <w:rsid w:val="0095171F"/>
    <w:rsid w:val="00951B76"/>
    <w:rsid w:val="009527D9"/>
    <w:rsid w:val="00952CD2"/>
    <w:rsid w:val="00955635"/>
    <w:rsid w:val="009565E0"/>
    <w:rsid w:val="009600C8"/>
    <w:rsid w:val="0096240B"/>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209"/>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024"/>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4BD6"/>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427C0"/>
    <w:rsid w:val="00C42C28"/>
    <w:rsid w:val="00C447A9"/>
    <w:rsid w:val="00C453E3"/>
    <w:rsid w:val="00C45AFC"/>
    <w:rsid w:val="00C47352"/>
    <w:rsid w:val="00C52A22"/>
    <w:rsid w:val="00C539EB"/>
    <w:rsid w:val="00C56078"/>
    <w:rsid w:val="00C560C6"/>
    <w:rsid w:val="00C577BD"/>
    <w:rsid w:val="00C57E5C"/>
    <w:rsid w:val="00C63C0E"/>
    <w:rsid w:val="00C63D66"/>
    <w:rsid w:val="00C6415B"/>
    <w:rsid w:val="00C65B1C"/>
    <w:rsid w:val="00C668DD"/>
    <w:rsid w:val="00C679C1"/>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7065"/>
    <w:rsid w:val="00CF5704"/>
    <w:rsid w:val="00D00168"/>
    <w:rsid w:val="00D0144F"/>
    <w:rsid w:val="00D06885"/>
    <w:rsid w:val="00D10AAF"/>
    <w:rsid w:val="00D12651"/>
    <w:rsid w:val="00D12FFB"/>
    <w:rsid w:val="00D14983"/>
    <w:rsid w:val="00D153EA"/>
    <w:rsid w:val="00D210E1"/>
    <w:rsid w:val="00D2162C"/>
    <w:rsid w:val="00D27A6F"/>
    <w:rsid w:val="00D45F04"/>
    <w:rsid w:val="00D52E85"/>
    <w:rsid w:val="00D54781"/>
    <w:rsid w:val="00D55234"/>
    <w:rsid w:val="00D5628C"/>
    <w:rsid w:val="00D56FE3"/>
    <w:rsid w:val="00D61C2E"/>
    <w:rsid w:val="00D63A31"/>
    <w:rsid w:val="00D674F6"/>
    <w:rsid w:val="00D70F1B"/>
    <w:rsid w:val="00D7302D"/>
    <w:rsid w:val="00D80C7F"/>
    <w:rsid w:val="00D8162B"/>
    <w:rsid w:val="00D81F18"/>
    <w:rsid w:val="00D85863"/>
    <w:rsid w:val="00D90014"/>
    <w:rsid w:val="00D91956"/>
    <w:rsid w:val="00D91E61"/>
    <w:rsid w:val="00D92691"/>
    <w:rsid w:val="00D938CA"/>
    <w:rsid w:val="00D952A9"/>
    <w:rsid w:val="00D96A3E"/>
    <w:rsid w:val="00DA6CB2"/>
    <w:rsid w:val="00DB1A70"/>
    <w:rsid w:val="00DB1B9A"/>
    <w:rsid w:val="00DB2378"/>
    <w:rsid w:val="00DB264B"/>
    <w:rsid w:val="00DB2B00"/>
    <w:rsid w:val="00DB4A24"/>
    <w:rsid w:val="00DC25D3"/>
    <w:rsid w:val="00DC2787"/>
    <w:rsid w:val="00DC4423"/>
    <w:rsid w:val="00DC60BE"/>
    <w:rsid w:val="00DC7BBB"/>
    <w:rsid w:val="00DD3C3F"/>
    <w:rsid w:val="00DD4C14"/>
    <w:rsid w:val="00DD59F7"/>
    <w:rsid w:val="00DE071F"/>
    <w:rsid w:val="00DF13EB"/>
    <w:rsid w:val="00DF1791"/>
    <w:rsid w:val="00DF4CC1"/>
    <w:rsid w:val="00DF5C1A"/>
    <w:rsid w:val="00DF6348"/>
    <w:rsid w:val="00DF6E27"/>
    <w:rsid w:val="00E01216"/>
    <w:rsid w:val="00E02036"/>
    <w:rsid w:val="00E02276"/>
    <w:rsid w:val="00E045EA"/>
    <w:rsid w:val="00E06793"/>
    <w:rsid w:val="00E0759D"/>
    <w:rsid w:val="00E11760"/>
    <w:rsid w:val="00E11EA4"/>
    <w:rsid w:val="00E14B50"/>
    <w:rsid w:val="00E15BE8"/>
    <w:rsid w:val="00E20CD5"/>
    <w:rsid w:val="00E22584"/>
    <w:rsid w:val="00E30903"/>
    <w:rsid w:val="00E33180"/>
    <w:rsid w:val="00E35077"/>
    <w:rsid w:val="00E351AA"/>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94A"/>
    <w:rsid w:val="00FD2584"/>
    <w:rsid w:val="00FD4185"/>
    <w:rsid w:val="00FD4248"/>
    <w:rsid w:val="00FD6239"/>
    <w:rsid w:val="00FD6D86"/>
    <w:rsid w:val="00FE383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56B7"/>
  <w15:docId w15:val="{B4DBC15E-338E-4462-8D21-98A99A2C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68"/>
    <w:rPr>
      <w:rFonts w:ascii="Times New Roman" w:eastAsia="Times New Roman" w:hAnsi="Times New Roman" w:cs="Times New Roman"/>
      <w:sz w:val="24"/>
      <w:szCs w:val="24"/>
      <w:lang w:eastAsia="es-CO"/>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99"/>
    <w:qFormat/>
    <w:rsid w:val="005E04F5"/>
    <w:pPr>
      <w:ind w:left="720"/>
      <w:contextualSpacing/>
    </w:pPr>
    <w:rPr>
      <w:rFonts w:eastAsia="MS Mincho"/>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rFonts w:eastAsia="MS Mincho"/>
      <w:sz w:val="20"/>
      <w:szCs w:val="20"/>
      <w:lang w:val="es-ES" w:eastAsia="es-ES"/>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lang w:val="es-ES" w:eastAsia="es-ES"/>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lang w:val="es-ES" w:eastAsia="es-ES"/>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lang w:val="es-ES" w:eastAsia="es-ES"/>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hAnsi="Arial"/>
      <w:sz w:val="20"/>
      <w:szCs w:val="20"/>
      <w:lang w:val="es-ES_tradnl" w:eastAsia="es-ES"/>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eastAsia="en-US"/>
    </w:rPr>
  </w:style>
  <w:style w:type="paragraph" w:customStyle="1" w:styleId="xmsonormal">
    <w:name w:val="x_msonormal"/>
    <w:basedOn w:val="Normal"/>
    <w:uiPriority w:val="99"/>
    <w:rsid w:val="002F2BCC"/>
    <w:pPr>
      <w:spacing w:before="100" w:beforeAutospacing="1" w:after="100" w:afterAutospacing="1"/>
    </w:p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Textoindependiente">
    <w:name w:val="Body Text"/>
    <w:basedOn w:val="Normal"/>
    <w:link w:val="TextoindependienteCar"/>
    <w:uiPriority w:val="99"/>
    <w:semiHidden/>
    <w:unhideWhenUsed/>
    <w:rsid w:val="001F1826"/>
    <w:pPr>
      <w:spacing w:after="120"/>
    </w:pPr>
    <w:rPr>
      <w:rFonts w:eastAsia="MS Mincho"/>
      <w:lang w:val="es-ES" w:eastAsia="es-ES"/>
    </w:rPr>
  </w:style>
  <w:style w:type="character" w:customStyle="1" w:styleId="TextoindependienteCar">
    <w:name w:val="Texto independiente Car"/>
    <w:basedOn w:val="Fuentedeprrafopredeter"/>
    <w:link w:val="Textoindependiente"/>
    <w:uiPriority w:val="99"/>
    <w:semiHidden/>
    <w:rsid w:val="001F1826"/>
    <w:rPr>
      <w:rFonts w:ascii="Times New Roman" w:eastAsia="MS Mincho" w:hAnsi="Times New Roman" w:cs="Times New Roman"/>
      <w:sz w:val="24"/>
      <w:szCs w:val="24"/>
      <w:lang w:val="es-ES" w:eastAsia="es-ES"/>
    </w:rPr>
  </w:style>
  <w:style w:type="paragraph" w:styleId="Revisin">
    <w:name w:val="Revision"/>
    <w:hidden/>
    <w:uiPriority w:val="99"/>
    <w:semiHidden/>
    <w:rsid w:val="001B2752"/>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000501339">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27904828">
      <w:bodyDiv w:val="1"/>
      <w:marLeft w:val="0"/>
      <w:marRight w:val="0"/>
      <w:marTop w:val="0"/>
      <w:marBottom w:val="0"/>
      <w:divBdr>
        <w:top w:val="none" w:sz="0" w:space="0" w:color="auto"/>
        <w:left w:val="none" w:sz="0" w:space="0" w:color="auto"/>
        <w:bottom w:val="none" w:sz="0" w:space="0" w:color="auto"/>
        <w:right w:val="none" w:sz="0" w:space="0" w:color="auto"/>
      </w:divBdr>
    </w:div>
    <w:div w:id="1389571781">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730031349">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092579352">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43ECE772-B22E-4F07-A6A0-A8F44A7F1EBB}"/>
</file>

<file path=customXml/itemProps3.xml><?xml version="1.0" encoding="utf-8"?>
<ds:datastoreItem xmlns:ds="http://schemas.openxmlformats.org/officeDocument/2006/customXml" ds:itemID="{C47F6A88-7385-4A86-958C-96B6EB4158E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56FCC991-DB66-45E4-8981-46586908F0A3}">
  <ds:schemaRefs>
    <ds:schemaRef ds:uri="http://schemas.microsoft.com/office/2006/metadata/properties"/>
    <ds:schemaRef ds:uri="http://schemas.microsoft.com/office/infopath/2007/PartnerControls"/>
    <ds:schemaRef ds:uri="a28e67a8-2d32-41e4-8b66-904dc29e8d2c"/>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10</Pages>
  <Words>3538</Words>
  <Characters>19465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Plantilla Informe de Seguimiento</vt:lpstr>
    </vt:vector>
  </TitlesOfParts>
  <Company>Ministerio de Hacienda y Crédito Público</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 de Seguimiento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2023-10-14T00:17:00Z</dcterms:created>
  <dcterms:modified xsi:type="dcterms:W3CDTF">2023-10-14T00:17:00Z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