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CD9A69" w14:textId="77777777" w:rsidR="00326102" w:rsidRPr="008372BA" w:rsidRDefault="00326102" w:rsidP="00326102">
      <w:pPr>
        <w:contextualSpacing/>
        <w:jc w:val="center"/>
        <w:rPr>
          <w:rFonts w:ascii="Verdana" w:eastAsia="Calibri" w:hAnsi="Verdana" w:cs="Arial"/>
          <w:b/>
          <w:bCs/>
          <w:sz w:val="22"/>
          <w:szCs w:val="22"/>
          <w:lang w:eastAsia="en-US"/>
        </w:rPr>
      </w:pPr>
      <w:r w:rsidRPr="008372BA">
        <w:rPr>
          <w:rFonts w:ascii="Verdana" w:eastAsia="Calibri" w:hAnsi="Verdana" w:cs="Arial"/>
          <w:b/>
          <w:bCs/>
          <w:sz w:val="22"/>
          <w:szCs w:val="22"/>
          <w:lang w:eastAsia="en-US"/>
        </w:rPr>
        <w:t>INFORME DE SEGUIMIENTO AL PLAN DE DESEMPEÑO DE LA ASIGNACIÓN ESPECIAL DE MUNICIPIOS RIBEREÑOS DEL RÍO MAGDALENA EN EL MUNICIPIO DE PUERTO BERRÍO – ANTIOQUIA.</w:t>
      </w:r>
    </w:p>
    <w:p w14:paraId="53A99C5D" w14:textId="77777777" w:rsidR="00326102" w:rsidRPr="008372BA" w:rsidRDefault="00326102" w:rsidP="00326102">
      <w:pPr>
        <w:contextualSpacing/>
        <w:jc w:val="center"/>
        <w:rPr>
          <w:rFonts w:ascii="Verdana" w:eastAsia="Calibri" w:hAnsi="Verdana" w:cs="Arial"/>
          <w:b/>
          <w:sz w:val="22"/>
          <w:szCs w:val="22"/>
          <w:lang w:val="es-CO" w:eastAsia="en-US"/>
        </w:rPr>
      </w:pPr>
    </w:p>
    <w:tbl>
      <w:tblPr>
        <w:tblStyle w:val="Tablaconcuadrcula1"/>
        <w:tblW w:w="5000" w:type="pct"/>
        <w:tblInd w:w="0" w:type="dxa"/>
        <w:tblBorders>
          <w:insideH w:val="single" w:sz="6" w:space="0" w:color="auto"/>
          <w:insideV w:val="single" w:sz="6" w:space="0" w:color="auto"/>
        </w:tblBorders>
        <w:shd w:val="clear" w:color="auto" w:fill="FDCF00"/>
        <w:tblLook w:val="04A0" w:firstRow="1" w:lastRow="0" w:firstColumn="1" w:lastColumn="0" w:noHBand="0" w:noVBand="1"/>
      </w:tblPr>
      <w:tblGrid>
        <w:gridCol w:w="3139"/>
        <w:gridCol w:w="6255"/>
      </w:tblGrid>
      <w:tr w:rsidR="00326102" w:rsidRPr="008372BA" w14:paraId="3EC96491" w14:textId="77777777" w:rsidTr="001563A5">
        <w:tc>
          <w:tcPr>
            <w:tcW w:w="1671" w:type="pct"/>
            <w:tcBorders>
              <w:top w:val="single" w:sz="4" w:space="0" w:color="auto"/>
              <w:left w:val="single" w:sz="4" w:space="0" w:color="auto"/>
              <w:bottom w:val="single" w:sz="6" w:space="0" w:color="auto"/>
              <w:right w:val="single" w:sz="6" w:space="0" w:color="auto"/>
            </w:tcBorders>
            <w:shd w:val="clear" w:color="auto" w:fill="FDCF00"/>
            <w:hideMark/>
          </w:tcPr>
          <w:p w14:paraId="2CE07D1E" w14:textId="77777777" w:rsidR="00326102" w:rsidRPr="008372BA" w:rsidRDefault="00326102" w:rsidP="001563A5">
            <w:pPr>
              <w:contextualSpacing/>
              <w:jc w:val="both"/>
              <w:rPr>
                <w:rFonts w:ascii="Verdana" w:eastAsia="Calibri" w:hAnsi="Verdana" w:cs="Arial"/>
                <w:bCs/>
                <w:i/>
                <w:sz w:val="22"/>
                <w:szCs w:val="22"/>
                <w:lang w:val="es-CO"/>
              </w:rPr>
            </w:pPr>
            <w:r w:rsidRPr="008372BA">
              <w:rPr>
                <w:rFonts w:ascii="Verdana" w:eastAsia="Calibri" w:hAnsi="Verdana"/>
                <w:bCs/>
                <w:i/>
                <w:sz w:val="22"/>
                <w:szCs w:val="22"/>
                <w:lang w:val="es-CO"/>
              </w:rPr>
              <w:t>Número de Expediente</w:t>
            </w:r>
          </w:p>
        </w:tc>
        <w:tc>
          <w:tcPr>
            <w:tcW w:w="3329" w:type="pct"/>
            <w:tcBorders>
              <w:top w:val="single" w:sz="4" w:space="0" w:color="auto"/>
              <w:left w:val="single" w:sz="6" w:space="0" w:color="auto"/>
              <w:bottom w:val="single" w:sz="6" w:space="0" w:color="auto"/>
              <w:right w:val="single" w:sz="4" w:space="0" w:color="auto"/>
            </w:tcBorders>
            <w:shd w:val="clear" w:color="auto" w:fill="FDCF00"/>
            <w:hideMark/>
          </w:tcPr>
          <w:p w14:paraId="3B2CBFDD" w14:textId="77777777" w:rsidR="00326102" w:rsidRPr="008372BA" w:rsidRDefault="00326102" w:rsidP="001563A5">
            <w:pPr>
              <w:contextualSpacing/>
              <w:jc w:val="both"/>
              <w:rPr>
                <w:rFonts w:ascii="Verdana" w:eastAsia="Calibri" w:hAnsi="Verdana"/>
                <w:b/>
                <w:bCs/>
                <w:sz w:val="22"/>
                <w:szCs w:val="22"/>
                <w:lang w:val="es-CO"/>
              </w:rPr>
            </w:pPr>
            <w:bookmarkStart w:id="0" w:name="numexpcompartido"/>
            <w:bookmarkEnd w:id="0"/>
            <w:r w:rsidRPr="008372BA">
              <w:rPr>
                <w:rFonts w:ascii="Verdana" w:eastAsia="Calibri" w:hAnsi="Verdana"/>
                <w:b/>
                <w:bCs/>
                <w:sz w:val="22"/>
                <w:szCs w:val="22"/>
              </w:rPr>
              <w:t>106/2018/D028-PREDI</w:t>
            </w:r>
          </w:p>
        </w:tc>
      </w:tr>
      <w:tr w:rsidR="00326102" w:rsidRPr="008372BA" w14:paraId="1A3C7CC7" w14:textId="77777777" w:rsidTr="001563A5">
        <w:tc>
          <w:tcPr>
            <w:tcW w:w="1671" w:type="pct"/>
            <w:tcBorders>
              <w:top w:val="single" w:sz="6" w:space="0" w:color="auto"/>
              <w:left w:val="single" w:sz="4" w:space="0" w:color="auto"/>
              <w:bottom w:val="single" w:sz="6" w:space="0" w:color="auto"/>
              <w:right w:val="single" w:sz="6" w:space="0" w:color="auto"/>
            </w:tcBorders>
            <w:shd w:val="clear" w:color="auto" w:fill="FDCF00"/>
            <w:hideMark/>
          </w:tcPr>
          <w:p w14:paraId="4F23DC00" w14:textId="77777777" w:rsidR="00326102" w:rsidRPr="008372BA" w:rsidRDefault="00326102" w:rsidP="001563A5">
            <w:pPr>
              <w:contextualSpacing/>
              <w:jc w:val="both"/>
              <w:rPr>
                <w:rFonts w:ascii="Verdana" w:eastAsia="Calibri" w:hAnsi="Verdana"/>
                <w:bCs/>
                <w:i/>
                <w:sz w:val="22"/>
                <w:szCs w:val="22"/>
                <w:lang w:val="es-CO"/>
              </w:rPr>
            </w:pPr>
            <w:r w:rsidRPr="008372BA">
              <w:rPr>
                <w:rFonts w:ascii="Verdana" w:eastAsia="Calibri" w:hAnsi="Verdana"/>
                <w:bCs/>
                <w:i/>
                <w:sz w:val="22"/>
                <w:szCs w:val="22"/>
                <w:lang w:val="es-CO"/>
              </w:rPr>
              <w:t>Asignación Especial</w:t>
            </w:r>
          </w:p>
        </w:tc>
        <w:tc>
          <w:tcPr>
            <w:tcW w:w="3329" w:type="pct"/>
            <w:tcBorders>
              <w:top w:val="single" w:sz="6" w:space="0" w:color="auto"/>
              <w:left w:val="single" w:sz="6" w:space="0" w:color="auto"/>
              <w:bottom w:val="single" w:sz="6" w:space="0" w:color="auto"/>
              <w:right w:val="single" w:sz="4" w:space="0" w:color="auto"/>
            </w:tcBorders>
            <w:shd w:val="clear" w:color="auto" w:fill="FDCF00"/>
            <w:hideMark/>
          </w:tcPr>
          <w:p w14:paraId="2DBBD739" w14:textId="77777777" w:rsidR="00326102" w:rsidRPr="008372BA" w:rsidRDefault="00326102" w:rsidP="001563A5">
            <w:pPr>
              <w:contextualSpacing/>
              <w:jc w:val="both"/>
              <w:rPr>
                <w:rFonts w:ascii="Verdana" w:eastAsia="Calibri" w:hAnsi="Verdana"/>
                <w:b/>
                <w:bCs/>
                <w:sz w:val="22"/>
                <w:szCs w:val="22"/>
                <w:lang w:val="es-CO"/>
              </w:rPr>
            </w:pPr>
            <w:bookmarkStart w:id="1" w:name="cmbsector"/>
            <w:bookmarkEnd w:id="1"/>
            <w:r w:rsidRPr="008372BA">
              <w:rPr>
                <w:rFonts w:ascii="Verdana" w:eastAsia="Calibri" w:hAnsi="Verdana"/>
                <w:b/>
                <w:bCs/>
                <w:sz w:val="22"/>
                <w:szCs w:val="22"/>
              </w:rPr>
              <w:t>Municipios Ribereños del Río Magdalena</w:t>
            </w:r>
          </w:p>
        </w:tc>
      </w:tr>
      <w:tr w:rsidR="00326102" w:rsidRPr="008372BA" w14:paraId="535D81D5" w14:textId="77777777" w:rsidTr="001563A5">
        <w:tc>
          <w:tcPr>
            <w:tcW w:w="1671" w:type="pct"/>
            <w:tcBorders>
              <w:top w:val="single" w:sz="6" w:space="0" w:color="auto"/>
              <w:left w:val="single" w:sz="4" w:space="0" w:color="auto"/>
              <w:bottom w:val="single" w:sz="6" w:space="0" w:color="auto"/>
              <w:right w:val="single" w:sz="6" w:space="0" w:color="auto"/>
            </w:tcBorders>
            <w:shd w:val="clear" w:color="auto" w:fill="FDCF00"/>
            <w:hideMark/>
          </w:tcPr>
          <w:p w14:paraId="1D8B9452" w14:textId="77777777" w:rsidR="00326102" w:rsidRPr="008372BA" w:rsidRDefault="00326102" w:rsidP="001563A5">
            <w:pPr>
              <w:contextualSpacing/>
              <w:jc w:val="both"/>
              <w:rPr>
                <w:rFonts w:ascii="Verdana" w:eastAsia="Calibri" w:hAnsi="Verdana"/>
                <w:bCs/>
                <w:i/>
                <w:sz w:val="22"/>
                <w:szCs w:val="22"/>
                <w:lang w:val="es-CO"/>
              </w:rPr>
            </w:pPr>
            <w:r w:rsidRPr="008372BA">
              <w:rPr>
                <w:rFonts w:ascii="Verdana" w:eastAsia="Calibri" w:hAnsi="Verdana"/>
                <w:bCs/>
                <w:i/>
                <w:sz w:val="22"/>
                <w:szCs w:val="22"/>
                <w:lang w:val="es-CO"/>
              </w:rPr>
              <w:t>Tipo de Entidad</w:t>
            </w:r>
          </w:p>
        </w:tc>
        <w:tc>
          <w:tcPr>
            <w:tcW w:w="3329" w:type="pct"/>
            <w:tcBorders>
              <w:top w:val="single" w:sz="6" w:space="0" w:color="auto"/>
              <w:left w:val="single" w:sz="6" w:space="0" w:color="auto"/>
              <w:bottom w:val="single" w:sz="6" w:space="0" w:color="auto"/>
              <w:right w:val="single" w:sz="4" w:space="0" w:color="auto"/>
            </w:tcBorders>
            <w:shd w:val="clear" w:color="auto" w:fill="FDCF00"/>
            <w:hideMark/>
          </w:tcPr>
          <w:p w14:paraId="0EC5BFD8" w14:textId="77777777" w:rsidR="00326102" w:rsidRPr="008372BA" w:rsidRDefault="00326102" w:rsidP="001563A5">
            <w:pPr>
              <w:contextualSpacing/>
              <w:jc w:val="both"/>
              <w:rPr>
                <w:rFonts w:ascii="Verdana" w:hAnsi="Verdana"/>
                <w:b/>
                <w:sz w:val="22"/>
                <w:szCs w:val="22"/>
                <w:lang w:val="es-CO"/>
              </w:rPr>
            </w:pPr>
            <w:bookmarkStart w:id="2" w:name="cmbtipoentidad"/>
            <w:bookmarkEnd w:id="2"/>
            <w:r w:rsidRPr="008372BA">
              <w:rPr>
                <w:rFonts w:ascii="Verdana" w:hAnsi="Verdana"/>
                <w:b/>
                <w:sz w:val="22"/>
                <w:szCs w:val="22"/>
                <w:lang w:val="es-CO"/>
              </w:rPr>
              <w:t>Municipio</w:t>
            </w:r>
          </w:p>
        </w:tc>
      </w:tr>
      <w:tr w:rsidR="00326102" w:rsidRPr="008372BA" w14:paraId="6D197733" w14:textId="77777777" w:rsidTr="001563A5">
        <w:tc>
          <w:tcPr>
            <w:tcW w:w="1671" w:type="pct"/>
            <w:tcBorders>
              <w:top w:val="single" w:sz="6" w:space="0" w:color="auto"/>
              <w:left w:val="single" w:sz="4" w:space="0" w:color="auto"/>
              <w:bottom w:val="single" w:sz="4" w:space="0" w:color="auto"/>
              <w:right w:val="single" w:sz="6" w:space="0" w:color="auto"/>
            </w:tcBorders>
            <w:shd w:val="clear" w:color="auto" w:fill="FDCF00"/>
            <w:hideMark/>
          </w:tcPr>
          <w:p w14:paraId="454AA358" w14:textId="77777777" w:rsidR="00326102" w:rsidRPr="008372BA" w:rsidRDefault="00326102" w:rsidP="001563A5">
            <w:pPr>
              <w:contextualSpacing/>
              <w:jc w:val="both"/>
              <w:rPr>
                <w:rFonts w:ascii="Verdana" w:eastAsia="Calibri" w:hAnsi="Verdana"/>
                <w:bCs/>
                <w:i/>
                <w:sz w:val="22"/>
                <w:szCs w:val="22"/>
                <w:lang w:val="es-CO"/>
              </w:rPr>
            </w:pPr>
            <w:r w:rsidRPr="008372BA">
              <w:rPr>
                <w:rFonts w:ascii="Verdana" w:eastAsia="Calibri" w:hAnsi="Verdana"/>
                <w:bCs/>
                <w:i/>
                <w:sz w:val="22"/>
                <w:szCs w:val="22"/>
                <w:lang w:val="es-CO"/>
              </w:rPr>
              <w:t>Entidad</w:t>
            </w:r>
          </w:p>
        </w:tc>
        <w:tc>
          <w:tcPr>
            <w:tcW w:w="3329" w:type="pct"/>
            <w:tcBorders>
              <w:top w:val="single" w:sz="6" w:space="0" w:color="auto"/>
              <w:left w:val="single" w:sz="6" w:space="0" w:color="auto"/>
              <w:bottom w:val="single" w:sz="4" w:space="0" w:color="auto"/>
              <w:right w:val="single" w:sz="4" w:space="0" w:color="auto"/>
            </w:tcBorders>
            <w:shd w:val="clear" w:color="auto" w:fill="FDCF00"/>
            <w:hideMark/>
          </w:tcPr>
          <w:p w14:paraId="5B692E13" w14:textId="77777777" w:rsidR="00326102" w:rsidRPr="008372BA" w:rsidRDefault="00326102" w:rsidP="001563A5">
            <w:pPr>
              <w:tabs>
                <w:tab w:val="left" w:pos="1305"/>
              </w:tabs>
              <w:contextualSpacing/>
              <w:jc w:val="both"/>
              <w:rPr>
                <w:rFonts w:ascii="Verdana" w:hAnsi="Verdana"/>
                <w:b/>
                <w:sz w:val="22"/>
                <w:szCs w:val="22"/>
                <w:lang w:val="es-CO"/>
              </w:rPr>
            </w:pPr>
            <w:bookmarkStart w:id="3" w:name="deptoymuni"/>
            <w:bookmarkStart w:id="4" w:name="cmbresguardo"/>
            <w:bookmarkEnd w:id="3"/>
            <w:bookmarkEnd w:id="4"/>
            <w:r w:rsidRPr="008372BA">
              <w:rPr>
                <w:rFonts w:ascii="Verdana" w:hAnsi="Verdana"/>
                <w:b/>
                <w:sz w:val="22"/>
                <w:szCs w:val="22"/>
                <w:lang w:val="es-CO"/>
              </w:rPr>
              <w:t>Puerto Berrío - Antioquia</w:t>
            </w:r>
          </w:p>
        </w:tc>
      </w:tr>
    </w:tbl>
    <w:p w14:paraId="04FED9BD" w14:textId="77777777" w:rsidR="00326102" w:rsidRPr="008372BA" w:rsidRDefault="00326102" w:rsidP="00326102">
      <w:pPr>
        <w:contextualSpacing/>
        <w:jc w:val="both"/>
        <w:rPr>
          <w:rFonts w:ascii="Verdana" w:hAnsi="Verdana" w:cs="Arial"/>
          <w:sz w:val="22"/>
          <w:szCs w:val="22"/>
          <w:lang w:val="es-CO"/>
        </w:rPr>
      </w:pPr>
    </w:p>
    <w:p w14:paraId="3FF3E507"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lang w:val="es-CO"/>
        </w:rPr>
        <w:t>Período de Evaluación: Abril – Octubre 2022.</w:t>
      </w:r>
    </w:p>
    <w:p w14:paraId="0AA60E52" w14:textId="77777777" w:rsidR="00326102" w:rsidRPr="008372BA" w:rsidRDefault="00326102" w:rsidP="00326102">
      <w:pPr>
        <w:contextualSpacing/>
        <w:jc w:val="both"/>
        <w:rPr>
          <w:rFonts w:ascii="Verdana" w:hAnsi="Verdana" w:cs="Arial"/>
          <w:sz w:val="22"/>
          <w:szCs w:val="22"/>
          <w:lang w:val="es-CO"/>
        </w:rPr>
      </w:pPr>
    </w:p>
    <w:p w14:paraId="1F800BED" w14:textId="77777777" w:rsidR="00326102" w:rsidRPr="008372BA" w:rsidRDefault="00326102" w:rsidP="00326102">
      <w:pPr>
        <w:keepNext/>
        <w:keepLines/>
        <w:numPr>
          <w:ilvl w:val="0"/>
          <w:numId w:val="3"/>
        </w:numPr>
        <w:contextualSpacing/>
        <w:jc w:val="both"/>
        <w:outlineLvl w:val="0"/>
        <w:rPr>
          <w:rFonts w:ascii="Verdana" w:eastAsia="MS Gothic" w:hAnsi="Verdana" w:cs="Arial"/>
          <w:b/>
          <w:sz w:val="22"/>
          <w:szCs w:val="22"/>
          <w:lang w:val="es-CO"/>
        </w:rPr>
      </w:pPr>
      <w:r w:rsidRPr="008372BA">
        <w:rPr>
          <w:rFonts w:ascii="Verdana" w:eastAsia="MS Gothic" w:hAnsi="Verdana" w:cs="Arial"/>
          <w:b/>
          <w:sz w:val="22"/>
          <w:szCs w:val="22"/>
          <w:lang w:val="es-CO"/>
        </w:rPr>
        <w:t>ANTECEDENTES.</w:t>
      </w:r>
    </w:p>
    <w:p w14:paraId="0E56360D" w14:textId="77777777" w:rsidR="00326102" w:rsidRPr="008372BA" w:rsidRDefault="00326102" w:rsidP="00326102">
      <w:pPr>
        <w:contextualSpacing/>
        <w:jc w:val="both"/>
        <w:rPr>
          <w:rFonts w:ascii="Verdana" w:hAnsi="Verdana" w:cs="Arial"/>
          <w:sz w:val="22"/>
          <w:szCs w:val="22"/>
          <w:lang w:val="es-CO"/>
        </w:rPr>
      </w:pPr>
    </w:p>
    <w:p w14:paraId="1C6457FB"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El Municipio de Puerto Berrío – Antioquía fue priorizado por la Dirección General de Apoyo Fiscal – DAF en 2018 para aplicar las actividades de seguimiento y control asociadas a la Estrategia de Monitoreo, Seguimiento y Control Integral al uso de recursos del Sistema General de Participaciones a las que se refiere el Decreto 028 de 2008 y sus normas reglamentarias, conforme a las recomendaciones del Informe de Monitoreo de Campo – Puerto Berrío, Antioquía – Vigencias 2015, 2016 y 2017 realizado por el Departamento Nacional de Planeación – DNP, a partir de la visita de reconocimiento institucional a dicha Entidad en los días 26, 27 y 28 de septiembre de 2017.</w:t>
      </w:r>
    </w:p>
    <w:p w14:paraId="5090080E" w14:textId="77777777" w:rsidR="00326102" w:rsidRPr="008372BA" w:rsidRDefault="00326102" w:rsidP="00326102">
      <w:pPr>
        <w:contextualSpacing/>
        <w:jc w:val="both"/>
        <w:rPr>
          <w:rFonts w:ascii="Verdana" w:hAnsi="Verdana" w:cs="Arial"/>
          <w:sz w:val="22"/>
          <w:szCs w:val="22"/>
          <w:lang w:val="es-CO"/>
        </w:rPr>
      </w:pPr>
    </w:p>
    <w:p w14:paraId="4091F30D"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En el Informe de Monitoreo de Campo se identificaron problemas con los reportes en las Categorías de Ingresos, Gastos y Cierre Fiscal del FUT, debilidades en los estudios de mercado y en las justificaciones de las modalidades de contratación y los anticipos de pago, los contratos que presentaron algún otrosí no contenían soportes de su justificación ni sus soportes requeridos y, por último, el DNP identificó un contrato con cargo a la Asignación de Ribereños que financiaba una línea de inversión que no se enmarcaba dentro de las líneas contempladas en el artículo 20 de la Ley 1176 de 2007. En este sentido, en el análisis realizado por la DAF se evidenció como principales temas el no reporte de la información presupuestal e inconsistencias en los reportes FUT; cambio en la destinación de los recursos; la falta de publicación de todos los documentos asociados a los procesos de contratación en la plataforma SECOP, la no inclusión de bienes, obras y/o servicios en el Plan Anual de Adquisiciones y debilidad en los estudios de mercado de los estudios previos. Como resultado se configuraron los Eventos de Riesgo No. 9.1, 9.4, 9.10 y 9.18 enmarcados en el artículo 9 del Decreto 028 de 2008.</w:t>
      </w:r>
    </w:p>
    <w:p w14:paraId="3A261E21" w14:textId="77777777" w:rsidR="00326102" w:rsidRPr="008372BA" w:rsidRDefault="00326102" w:rsidP="00326102">
      <w:pPr>
        <w:contextualSpacing/>
        <w:jc w:val="both"/>
        <w:rPr>
          <w:rFonts w:ascii="Verdana" w:hAnsi="Verdana" w:cs="Arial"/>
          <w:sz w:val="22"/>
          <w:szCs w:val="22"/>
          <w:lang w:val="es-CO"/>
        </w:rPr>
      </w:pPr>
    </w:p>
    <w:p w14:paraId="635E9ABF"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Por lo expuesto, la Dirección General de Apoyo Fiscal ordenó la adopción de la Medida Preventiva de Plan de Desempeño en la Asignación Especial para Municipios Ribereños del Río Magdalena para el Municipio de Puerto Berrío – Antioquía, por un periodo de 14 meses mediante la Resolución No. 0468 del 15 de febrero de 2019, dando inicio la actuación administrativa.</w:t>
      </w:r>
    </w:p>
    <w:p w14:paraId="3F638B85" w14:textId="77777777" w:rsidR="00326102" w:rsidRPr="008372BA" w:rsidRDefault="00326102" w:rsidP="00326102">
      <w:pPr>
        <w:contextualSpacing/>
        <w:jc w:val="both"/>
        <w:rPr>
          <w:rFonts w:ascii="Verdana" w:hAnsi="Verdana" w:cs="Arial"/>
          <w:sz w:val="22"/>
          <w:szCs w:val="22"/>
          <w:lang w:val="es-CO"/>
        </w:rPr>
      </w:pPr>
    </w:p>
    <w:p w14:paraId="68EC4A00"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lastRenderedPageBreak/>
        <w:t>En concordancia, el Municipio de Puerto Berrío – Antioquía formuló la Matriz de Seguimiento donde se determinaron las actividades y productos sujetos a ser evaluadas en el marco del Seguimiento y Control a los recursos del SGP, con el fin de que el Municipio superara las situaciones de riesgo identificadas en la ejecución de los recursos de la Asignación, en virtud de lo estipulado por los artículos 10, 11 y 13 del Decreto 028 de 2008 y sus decretos reglamentarios.</w:t>
      </w:r>
    </w:p>
    <w:p w14:paraId="4BDFD64A" w14:textId="77777777" w:rsidR="00326102" w:rsidRPr="008372BA" w:rsidRDefault="00326102" w:rsidP="00326102">
      <w:pPr>
        <w:contextualSpacing/>
        <w:jc w:val="both"/>
        <w:rPr>
          <w:rFonts w:ascii="Verdana" w:hAnsi="Verdana" w:cs="Arial"/>
          <w:sz w:val="22"/>
          <w:szCs w:val="22"/>
          <w:lang w:val="es-CO"/>
        </w:rPr>
      </w:pPr>
    </w:p>
    <w:p w14:paraId="652CAB20"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El Municipio de Puerto Berrío – Antioquía, adoptó el Plan de Desempeño mediante Decreto Municipal No. 0083 del 24 de abril del 2019 y este fue aprobado por la Dirección General de Apoyo Fiscal mediante la Resolución No. 1633 del 29 de mayo del 2019. Para el caso, el periodo de la Medida Preventiva del Plan de Desempeño se contempló desde el 19 de junio del 2019 cuando la Entidad fue notificada, hasta el 19 de agosto de 2020. No obstante, es relevante mencionar que durante los primeros once meses el Municipio debía desarrollar los objetivos y actividades a las que se comprometió con su adopción y así, los últimos tres meses, esta Dirección evaluaría y emitiría sus consideraciones frente al cumplimiento del Plan de Desempeño.</w:t>
      </w:r>
    </w:p>
    <w:p w14:paraId="7DADC715" w14:textId="77777777" w:rsidR="00326102" w:rsidRPr="008372BA" w:rsidRDefault="00326102" w:rsidP="00326102">
      <w:pPr>
        <w:contextualSpacing/>
        <w:jc w:val="both"/>
        <w:rPr>
          <w:rFonts w:ascii="Verdana" w:hAnsi="Verdana" w:cs="Arial"/>
          <w:sz w:val="22"/>
          <w:szCs w:val="22"/>
          <w:lang w:val="es-CO"/>
        </w:rPr>
      </w:pPr>
    </w:p>
    <w:p w14:paraId="0EBB7661"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En este sentido, la DAF realizó la primera visita institucional de seguimiento los días 13, 14 y 15 de noviembre de 2019 con el fin de evaluar los avances de las actividades y productos del Plan de Desempeño del Municipio de Puerto Berrío – Antioquía. En esta visita la Entidad suscribió compromisos como fue el cargue total de la información revisada a través del oficio con radicado No. 2-2019-042459 del 30 de octubre de 2019, información que fue remitida a través de la Sede Electrónica del Ministerio de Hacienda y Crédito Público el día 15 de noviembre de 2019. Del análisis de la información recopilada en la visita y de aquella remitida en virtud de los compromisos, se realizó un informe de seguimiento que fue enviado a la Entidad mediante el oficio con radicado No. 2-2020-015330 del 24 de abril de 2020, en el cual se constató el cumplimiento del 55 % de las actividades del Plan de Desempeño, con la recomendación de continuar avanzando con aspectos como la planeación de la inversión, la conciliación entre la información presupuestal y tesoral y el oportuno reporte a FUT y SECOP como lo exige la ley.</w:t>
      </w:r>
    </w:p>
    <w:p w14:paraId="48B9238E" w14:textId="77777777" w:rsidR="00326102" w:rsidRPr="008372BA" w:rsidRDefault="00326102" w:rsidP="00326102">
      <w:pPr>
        <w:contextualSpacing/>
        <w:jc w:val="both"/>
        <w:rPr>
          <w:rFonts w:ascii="Verdana" w:hAnsi="Verdana" w:cs="Arial"/>
          <w:sz w:val="22"/>
          <w:szCs w:val="22"/>
          <w:lang w:val="es-CO"/>
        </w:rPr>
      </w:pPr>
    </w:p>
    <w:p w14:paraId="0195E0E5"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 xml:space="preserve">Producto de la declaratoria de la pandemia por el Nuevo Coronavirus COVID-19 y en virtud del artículo 6 del Decreto No. 491 del 28 de marzo de 2020, esta Dirección tomó medidas extraordinarias y urgentes relacionadas con los términos de vigencia de las Medidas Preventivas de Plan de Desempeño adoptadas y que se encontraban vigentes, por lo cual mediante la Resolución No. 0967 del 03 de abril de 2020 se suspendió el término de la vigencia de los planes de desempeño adoptados en las entidades territoriales en el marco de la Estrategia de Monitoreo, Seguimiento y Control Integral al uso de los recursos del SGP, término durante el cual la Dirección General de Apoyo Fiscal no realizó evaluación y seguimiento a las medidas. Mediante la Resolución No. 0301 del 09 de febrero de 2021 se reactivaron los términos de las medidas preventivas, teniendo en cuenta que se había logrado alcanzar una normalidad administrativa, a pesar de la continuidad de la afectación del COVID-19. </w:t>
      </w:r>
      <w:r w:rsidRPr="008372BA">
        <w:rPr>
          <w:rFonts w:ascii="Verdana" w:hAnsi="Verdana" w:cs="Arial"/>
          <w:sz w:val="22"/>
          <w:szCs w:val="22"/>
        </w:rPr>
        <w:lastRenderedPageBreak/>
        <w:t>Por lo tanto, debido a la reactivación de los términos del Plan de Desempeño el plazo de vencimiento actualizado era el 26 de junio de 2021.</w:t>
      </w:r>
    </w:p>
    <w:p w14:paraId="6DE170A7" w14:textId="77777777" w:rsidR="00326102" w:rsidRPr="008372BA" w:rsidRDefault="00326102" w:rsidP="00326102">
      <w:pPr>
        <w:contextualSpacing/>
        <w:jc w:val="both"/>
        <w:rPr>
          <w:rFonts w:ascii="Verdana" w:hAnsi="Verdana" w:cs="Arial"/>
          <w:sz w:val="22"/>
          <w:szCs w:val="22"/>
          <w:lang w:val="es-CO"/>
        </w:rPr>
      </w:pPr>
    </w:p>
    <w:p w14:paraId="7CABB119"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Teniendo en cuenta lo anterior, la Dirección le solicitó al Municipio de Puerto Berrío – Antioquia información en el marco del Plan de Desempeño vigente para los recursos de la Asignación Especial para Municipios Ribereños del Río Magdalena mediante el oficio con radicado No. 2-2021- 008922 del 24 de febrero de 2021 con fecha de entrega para el 12 de marzo de 2021. Dado que, cumplido el plazo NO remitieron la información, se reiteró la solicitud mediante el oficio con radicado No. 2-2021-013662 del 18 de marzo de 2021 estableciendo fecha límite para el envío de información el viernes 26 de marzo de 2021. La información fue recibida mediante la Sede Electrónica del Ministerio de Hacienda mediante oficio con radicado No. 1-2021-026147 del 29 de marzo de 2021 y una PQRSD con radicado de entrada No. 1-2021-036532 del 28 de abril de 2021.</w:t>
      </w:r>
    </w:p>
    <w:p w14:paraId="61B6102E" w14:textId="77777777" w:rsidR="00326102" w:rsidRPr="008372BA" w:rsidRDefault="00326102" w:rsidP="00326102">
      <w:pPr>
        <w:contextualSpacing/>
        <w:jc w:val="both"/>
        <w:rPr>
          <w:rFonts w:ascii="Verdana" w:hAnsi="Verdana" w:cs="Arial"/>
          <w:sz w:val="22"/>
          <w:szCs w:val="22"/>
          <w:lang w:val="es-CO"/>
        </w:rPr>
      </w:pPr>
    </w:p>
    <w:p w14:paraId="2097978B"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 xml:space="preserve">Se procedió a revisar la información enviada por la Entidad donde se identificaron situaciones asociadas con la administración de la Cuenta Maestra de la Asignación de Ribereños lo cual motivó la realización de una capacitación virtual llevada a cabo el día 21 de mayo de 2021 por el equipo de Cuentas Maestras de la Dirección mediante el aplicativo </w:t>
      </w:r>
      <w:r w:rsidRPr="008372BA">
        <w:rPr>
          <w:rFonts w:ascii="Verdana" w:hAnsi="Verdana" w:cs="Arial"/>
          <w:i/>
          <w:iCs/>
          <w:sz w:val="22"/>
          <w:szCs w:val="22"/>
        </w:rPr>
        <w:t>Teams</w:t>
      </w:r>
      <w:r w:rsidRPr="008372BA">
        <w:rPr>
          <w:rFonts w:ascii="Verdana" w:hAnsi="Verdana" w:cs="Arial"/>
          <w:sz w:val="22"/>
          <w:szCs w:val="22"/>
        </w:rPr>
        <w:t>. En consecuencia, se solicitó información adicional relacionada con el manejo de la Cuenta Maestra de la Asignación mediante el oficio con radicado No. 2-2021-027592 del 27 de mayo de 2021; esta fue entregada por medio de la Sede Electrónica a través del oficio con radicado de entrada No. 1-2021-048289 el día 4 de junio de 2021.</w:t>
      </w:r>
    </w:p>
    <w:p w14:paraId="729D795F" w14:textId="77777777" w:rsidR="00326102" w:rsidRPr="008372BA" w:rsidRDefault="00326102" w:rsidP="00326102">
      <w:pPr>
        <w:contextualSpacing/>
        <w:jc w:val="both"/>
        <w:rPr>
          <w:rFonts w:ascii="Verdana" w:hAnsi="Verdana" w:cs="Arial"/>
          <w:sz w:val="22"/>
          <w:szCs w:val="22"/>
          <w:lang w:val="es-CO"/>
        </w:rPr>
      </w:pPr>
    </w:p>
    <w:p w14:paraId="1E463576"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Posteriormente, se realizó un segundo informe de seguimiento y evaluación al Plan de Desempeño, el cual concluyó que el Municipio de Puerto Berrío - Antioquia incumplió con el 55 % de las actividades contempladas en la Medida Preventiva. Además, a raíz del análisis de la información se presentó una situación sobreviniente asociada al Evento de Riesgo 9.4. “</w:t>
      </w:r>
      <w:r w:rsidRPr="008372BA">
        <w:rPr>
          <w:rFonts w:ascii="Verdana" w:hAnsi="Verdana" w:cs="Arial"/>
          <w:i/>
          <w:iCs/>
          <w:sz w:val="22"/>
          <w:szCs w:val="22"/>
        </w:rPr>
        <w:t>Cambio en la destinación del recurso</w:t>
      </w:r>
      <w:r w:rsidRPr="008372BA">
        <w:rPr>
          <w:rFonts w:ascii="Verdana" w:hAnsi="Verdana" w:cs="Arial"/>
          <w:sz w:val="22"/>
          <w:szCs w:val="22"/>
        </w:rPr>
        <w:t>”. Así mismo, se presentaron dos eventos de riesgos sobrevinientes siendo estos el 9.6 y 9.18, sobre la realización de operaciones de tesorería no permitidas por la ley y respecto a los procesos presupuestal y de tesorería. Por lo anterior, la Dirección consideró que la Medida Preventiva debía ser reformulada de acuerdo con las particularidades anteriormente descritas, así como continuar avanzando con las actividades y productos asociados al cumplimiento del Plan de Desempeño que no se habían cumplido. Es por esto por lo que mediante la Resolución 1583 del 9 de julio de 2021 la DAF ordenó la reformulación de la Medida Preventiva.</w:t>
      </w:r>
    </w:p>
    <w:p w14:paraId="067DC4C4" w14:textId="77777777" w:rsidR="00326102" w:rsidRPr="008372BA" w:rsidRDefault="00326102" w:rsidP="00326102">
      <w:pPr>
        <w:contextualSpacing/>
        <w:jc w:val="both"/>
        <w:rPr>
          <w:rFonts w:ascii="Verdana" w:hAnsi="Verdana" w:cs="Arial"/>
          <w:sz w:val="22"/>
          <w:szCs w:val="22"/>
          <w:lang w:val="es-CO"/>
        </w:rPr>
      </w:pPr>
    </w:p>
    <w:p w14:paraId="21F23EF7" w14:textId="77777777" w:rsidR="00326102" w:rsidRPr="008372BA" w:rsidRDefault="00326102" w:rsidP="00326102">
      <w:pPr>
        <w:contextualSpacing/>
        <w:jc w:val="both"/>
        <w:rPr>
          <w:rFonts w:ascii="Verdana" w:hAnsi="Verdana" w:cs="Arial"/>
          <w:sz w:val="22"/>
          <w:szCs w:val="22"/>
        </w:rPr>
      </w:pPr>
      <w:r w:rsidRPr="008372BA">
        <w:rPr>
          <w:rFonts w:ascii="Verdana" w:hAnsi="Verdana" w:cs="Arial"/>
          <w:sz w:val="22"/>
          <w:szCs w:val="22"/>
        </w:rPr>
        <w:t>En este orden de ideas, el Municipio mediante el Decreto No. 0142 del 27 de agosto de 2021, adoptó la reformulación del Plan de Desempeño. Posteriormente, la Dirección General de Apoyo Fiscal, a través de la Resolución 2118 del 9 de septiembre de 2021 aprobó la reformulación del Plan de Desempeño adoptado en la Asignación Especial Para Municipios Ribereños del Río Magdalena por el Municipio de Puerto Berrío – Antioquia.</w:t>
      </w:r>
    </w:p>
    <w:p w14:paraId="65664034" w14:textId="77777777" w:rsidR="00326102" w:rsidRPr="008372BA" w:rsidRDefault="00326102" w:rsidP="00326102">
      <w:pPr>
        <w:contextualSpacing/>
        <w:jc w:val="both"/>
        <w:rPr>
          <w:rFonts w:ascii="Verdana" w:hAnsi="Verdana" w:cs="Arial"/>
          <w:sz w:val="22"/>
          <w:szCs w:val="22"/>
        </w:rPr>
      </w:pPr>
    </w:p>
    <w:p w14:paraId="1EB9E6C1" w14:textId="77777777" w:rsidR="00326102" w:rsidRPr="008372BA" w:rsidRDefault="00326102" w:rsidP="00326102">
      <w:pPr>
        <w:contextualSpacing/>
        <w:jc w:val="both"/>
        <w:rPr>
          <w:rFonts w:ascii="Verdana" w:hAnsi="Verdana" w:cs="Arial"/>
          <w:sz w:val="22"/>
          <w:szCs w:val="22"/>
        </w:rPr>
      </w:pPr>
      <w:r w:rsidRPr="008372BA">
        <w:rPr>
          <w:rFonts w:ascii="Verdana" w:hAnsi="Verdana" w:cs="Arial"/>
          <w:sz w:val="22"/>
          <w:szCs w:val="22"/>
        </w:rPr>
        <w:t>Teniendo en cuenta lo anterior, la Dirección le solicitó al Municipio de Puerto Berrío – Antioquia información en el marco del Plan de Desempeño vigente para los recursos de la Asignación Especial para Municipios Ribereños del Río Magdalena mediante el oficio con radicado No. 2-2021-063314 del 1 de diciembre de 2021 con fecha de entrega para el 13 de diciembre de 2021. Dado que, cumplido el plazo NO remitieron la información, se reiteró la solicitud mediante el oficio con radicado No. 2-2021-065511 del 13 de diciembre de 2021 estableciendo fecha límite para el envío de información el 28 de enero de 2022. Debido a que se incumplió el plazo para el envío de la información, la Dirección reiteró nuevamente la solicitud de información mediante el oficio con radicado No. 2-2022-005729 del 10 de febrero de 2022 estableciendo fecha límite para el envío de información el 28 de febrero de 2022.</w:t>
      </w:r>
    </w:p>
    <w:p w14:paraId="5CD6481D" w14:textId="77777777" w:rsidR="00326102" w:rsidRPr="008372BA" w:rsidRDefault="00326102" w:rsidP="00326102">
      <w:pPr>
        <w:contextualSpacing/>
        <w:jc w:val="both"/>
        <w:rPr>
          <w:rFonts w:ascii="Verdana" w:hAnsi="Verdana" w:cs="Arial"/>
          <w:sz w:val="22"/>
          <w:szCs w:val="22"/>
        </w:rPr>
      </w:pPr>
    </w:p>
    <w:p w14:paraId="23995DBF"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lang w:val="es-CO"/>
        </w:rPr>
        <w:t>Posteriormente, el Municipio solicitó una prórroga mediante el oficio con radicado No. 1-2022-015496 del 28 de febrero de 2022, después de analizada la posibilidad de prórroga, mediante el oficio con radicado No. 2-2022-009095, esta Dirección le concedió la prórroga al Municipio con fecha máxima de envío el 18 de marzo de 2022. Finalmente, l</w:t>
      </w:r>
      <w:r w:rsidRPr="008372BA">
        <w:rPr>
          <w:rFonts w:ascii="Verdana" w:hAnsi="Verdana" w:cs="Arial"/>
          <w:sz w:val="22"/>
          <w:szCs w:val="22"/>
        </w:rPr>
        <w:t>a información fue recibida a través de la Sede Electrónica con radicado de entrada No. 1-2022-021670. Posteriormente, se realizó un tercer Informe de Seguimiento y Evaluación a la Medida, el cual concluyó que el Municipio de Puerto Berrío - Antioquia había cumplido con solo dos (2) de las nueve (9) actividades, lo que se traduce en un cumplimiento de solo el 22 % de las actividades contempladas en el Plan de Desempeño reformulado.</w:t>
      </w:r>
    </w:p>
    <w:p w14:paraId="4DAE40BA" w14:textId="77777777" w:rsidR="00326102" w:rsidRPr="008372BA" w:rsidRDefault="00326102" w:rsidP="00326102">
      <w:pPr>
        <w:contextualSpacing/>
        <w:jc w:val="both"/>
        <w:rPr>
          <w:rFonts w:ascii="Verdana" w:hAnsi="Verdana" w:cs="Arial"/>
          <w:sz w:val="22"/>
          <w:szCs w:val="22"/>
        </w:rPr>
      </w:pPr>
    </w:p>
    <w:p w14:paraId="30F5FF54" w14:textId="77777777" w:rsidR="00326102" w:rsidRPr="008372BA" w:rsidRDefault="00326102" w:rsidP="00326102">
      <w:pPr>
        <w:contextualSpacing/>
        <w:jc w:val="both"/>
        <w:rPr>
          <w:rFonts w:ascii="Verdana" w:hAnsi="Verdana" w:cs="Arial"/>
          <w:sz w:val="22"/>
          <w:szCs w:val="22"/>
        </w:rPr>
      </w:pPr>
      <w:r w:rsidRPr="008372BA">
        <w:rPr>
          <w:rFonts w:ascii="Verdana" w:hAnsi="Verdana" w:cs="Arial"/>
          <w:sz w:val="22"/>
          <w:szCs w:val="22"/>
        </w:rPr>
        <w:t>Transcurridos cuatro meses desde el último Informe de Seguimiento y con el fin de realizar seguimiento a la Medida, la DAF realizó la solicitud de información mediante el oficio con radicado No. 2-2022- 048288 del 20 de octubre de 2022 con fecha de entrega para el 2 de noviembre de 2022. La información fue recibida a través de la Sede Electrónica mediante la comunicación con radicado de entrada No. 1-2022-095719 el 15 de noviembre de 2022. De esta manera, se presenta este informe de seguimiento y evaluación a la Medida de Plan de Desempeño, el cual está conformado por tres apartados, el primero aborda el diagnóstico inicial: antecedentes y caracterización; seguido de la evaluación del cumplimiento de las actividades incluidas en la Medida Preventiva y, por último, las conclusiones y recomendaciones sobre la Medida.</w:t>
      </w:r>
    </w:p>
    <w:p w14:paraId="68511899" w14:textId="77777777" w:rsidR="00326102" w:rsidRPr="008372BA" w:rsidRDefault="00326102" w:rsidP="00326102">
      <w:pPr>
        <w:contextualSpacing/>
        <w:rPr>
          <w:rFonts w:ascii="Verdana" w:hAnsi="Verdana" w:cs="Arial"/>
          <w:sz w:val="22"/>
          <w:szCs w:val="22"/>
        </w:rPr>
      </w:pPr>
      <w:r w:rsidRPr="008372BA">
        <w:rPr>
          <w:rFonts w:ascii="Verdana" w:hAnsi="Verdana" w:cs="Arial"/>
          <w:sz w:val="22"/>
          <w:szCs w:val="22"/>
        </w:rPr>
        <w:br w:type="page"/>
      </w:r>
    </w:p>
    <w:p w14:paraId="0A2992AE" w14:textId="77777777" w:rsidR="00326102" w:rsidRPr="008372BA" w:rsidRDefault="00326102" w:rsidP="00326102">
      <w:pPr>
        <w:keepNext/>
        <w:keepLines/>
        <w:numPr>
          <w:ilvl w:val="0"/>
          <w:numId w:val="3"/>
        </w:numPr>
        <w:contextualSpacing/>
        <w:jc w:val="both"/>
        <w:outlineLvl w:val="0"/>
        <w:rPr>
          <w:rFonts w:ascii="Verdana" w:eastAsia="MS Gothic" w:hAnsi="Verdana" w:cs="Arial"/>
          <w:b/>
          <w:sz w:val="22"/>
          <w:szCs w:val="22"/>
          <w:lang w:val="es-CO"/>
        </w:rPr>
      </w:pPr>
      <w:r w:rsidRPr="008372BA">
        <w:rPr>
          <w:rFonts w:ascii="Verdana" w:eastAsia="MS Gothic" w:hAnsi="Verdana" w:cs="Arial"/>
          <w:b/>
          <w:sz w:val="22"/>
          <w:szCs w:val="22"/>
          <w:lang w:val="es-CO"/>
        </w:rPr>
        <w:lastRenderedPageBreak/>
        <w:t>CARACTERIZACIÓN.</w:t>
      </w:r>
    </w:p>
    <w:p w14:paraId="77ECE2AB" w14:textId="77777777" w:rsidR="00326102" w:rsidRPr="008372BA" w:rsidRDefault="00326102" w:rsidP="00326102">
      <w:pPr>
        <w:contextualSpacing/>
        <w:jc w:val="both"/>
        <w:rPr>
          <w:rFonts w:ascii="Verdana" w:hAnsi="Verdana" w:cs="Arial"/>
          <w:sz w:val="22"/>
          <w:szCs w:val="22"/>
          <w:lang w:val="es-CO"/>
        </w:rPr>
      </w:pPr>
    </w:p>
    <w:p w14:paraId="55C0A292"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noProof/>
          <w:sz w:val="22"/>
          <w:szCs w:val="22"/>
          <w:lang w:val="es-CO"/>
        </w:rPr>
        <w:drawing>
          <wp:inline distT="0" distB="0" distL="0" distR="0" wp14:anchorId="56268912" wp14:editId="1F656D8E">
            <wp:extent cx="5811902" cy="7187979"/>
            <wp:effectExtent l="0" t="0" r="0" b="0"/>
            <wp:docPr id="1179796753" name="Imagen 1269812959" descr="Interfaz de usuario gráfica,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69812959" descr="Interfaz de usuario gráfica, Aplicación&#10;&#10;Descripción generada automáticament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22242" cy="7200767"/>
                    </a:xfrm>
                    <a:prstGeom prst="rect">
                      <a:avLst/>
                    </a:prstGeom>
                    <a:noFill/>
                    <a:ln>
                      <a:noFill/>
                    </a:ln>
                  </pic:spPr>
                </pic:pic>
              </a:graphicData>
            </a:graphic>
          </wp:inline>
        </w:drawing>
      </w:r>
    </w:p>
    <w:p w14:paraId="5A299CF8" w14:textId="77777777" w:rsidR="00326102" w:rsidRPr="008372BA" w:rsidRDefault="00326102" w:rsidP="00326102">
      <w:pPr>
        <w:keepNext/>
        <w:keepLines/>
        <w:numPr>
          <w:ilvl w:val="0"/>
          <w:numId w:val="3"/>
        </w:numPr>
        <w:contextualSpacing/>
        <w:jc w:val="both"/>
        <w:outlineLvl w:val="0"/>
        <w:rPr>
          <w:rFonts w:ascii="Verdana" w:eastAsia="MS Gothic" w:hAnsi="Verdana" w:cs="Arial"/>
          <w:sz w:val="22"/>
          <w:szCs w:val="22"/>
          <w:lang w:val="es-CO"/>
        </w:rPr>
      </w:pPr>
      <w:r w:rsidRPr="008372BA">
        <w:rPr>
          <w:rFonts w:ascii="Verdana" w:eastAsia="MS Gothic" w:hAnsi="Verdana" w:cs="Arial"/>
          <w:b/>
          <w:sz w:val="22"/>
          <w:szCs w:val="22"/>
          <w:lang w:val="es-CO"/>
        </w:rPr>
        <w:lastRenderedPageBreak/>
        <w:t>RESULTADO DE EVALUACIÓN DE LA MEDIDA.</w:t>
      </w:r>
    </w:p>
    <w:p w14:paraId="0977BF72" w14:textId="77777777" w:rsidR="00326102" w:rsidRPr="008372BA" w:rsidRDefault="00326102" w:rsidP="00326102">
      <w:pPr>
        <w:contextualSpacing/>
        <w:jc w:val="both"/>
        <w:rPr>
          <w:rFonts w:ascii="Verdana" w:hAnsi="Verdana" w:cs="Arial"/>
          <w:sz w:val="22"/>
          <w:szCs w:val="22"/>
          <w:lang w:val="es-CO"/>
        </w:rPr>
      </w:pPr>
    </w:p>
    <w:p w14:paraId="51F83ABA" w14:textId="77777777" w:rsidR="00326102" w:rsidRPr="008372BA" w:rsidRDefault="00326102" w:rsidP="00326102">
      <w:pPr>
        <w:numPr>
          <w:ilvl w:val="0"/>
          <w:numId w:val="4"/>
        </w:numPr>
        <w:ind w:left="284" w:hanging="284"/>
        <w:contextualSpacing/>
        <w:jc w:val="both"/>
        <w:textAlignment w:val="baseline"/>
        <w:rPr>
          <w:rFonts w:ascii="Verdana" w:eastAsia="Times New Roman" w:hAnsi="Verdana"/>
          <w:lang w:val="es-CO" w:eastAsia="es-CO"/>
        </w:rPr>
      </w:pPr>
      <w:r w:rsidRPr="008372BA">
        <w:rPr>
          <w:rFonts w:ascii="Verdana" w:eastAsia="Times New Roman" w:hAnsi="Verdana" w:cs="Arial"/>
          <w:b/>
          <w:bCs/>
          <w:sz w:val="22"/>
          <w:szCs w:val="22"/>
          <w:lang w:eastAsia="es-CO"/>
        </w:rPr>
        <w:t>Actividades de la Matriz de Seguimiento del Plan de Desempeño:</w:t>
      </w:r>
    </w:p>
    <w:p w14:paraId="3AF1C1E5" w14:textId="77777777" w:rsidR="00326102" w:rsidRPr="008372BA" w:rsidRDefault="00326102" w:rsidP="00326102">
      <w:pPr>
        <w:contextualSpacing/>
        <w:jc w:val="both"/>
        <w:textAlignment w:val="baseline"/>
        <w:rPr>
          <w:rFonts w:ascii="Verdana" w:eastAsia="Times New Roman" w:hAnsi="Verdana"/>
          <w:lang w:val="es-CO" w:eastAsia="es-CO"/>
        </w:rPr>
      </w:pPr>
    </w:p>
    <w:p w14:paraId="67A83D3D" w14:textId="77777777" w:rsidR="00326102" w:rsidRPr="008372BA" w:rsidRDefault="00326102" w:rsidP="00326102">
      <w:pPr>
        <w:numPr>
          <w:ilvl w:val="3"/>
          <w:numId w:val="3"/>
        </w:numPr>
        <w:ind w:left="284" w:hanging="284"/>
        <w:contextualSpacing/>
        <w:jc w:val="both"/>
        <w:textAlignment w:val="baseline"/>
        <w:rPr>
          <w:rFonts w:ascii="Verdana" w:eastAsia="Times New Roman" w:hAnsi="Verdana"/>
          <w:lang w:val="es-CO" w:eastAsia="es-CO"/>
        </w:rPr>
      </w:pPr>
      <w:r w:rsidRPr="008372BA">
        <w:rPr>
          <w:rFonts w:ascii="Verdana" w:eastAsia="Times New Roman" w:hAnsi="Verdana" w:cs="Arial"/>
          <w:b/>
          <w:bCs/>
          <w:sz w:val="22"/>
          <w:szCs w:val="22"/>
          <w:u w:val="single"/>
          <w:lang w:eastAsia="es-CO"/>
        </w:rPr>
        <w:t>Categoría: Administrativo e Institucional</w:t>
      </w:r>
      <w:r w:rsidRPr="008372BA">
        <w:rPr>
          <w:rFonts w:ascii="Verdana" w:eastAsia="Times New Roman" w:hAnsi="Verdana" w:cs="Arial"/>
          <w:sz w:val="22"/>
          <w:szCs w:val="22"/>
          <w:lang w:val="es-CO" w:eastAsia="es-CO"/>
        </w:rPr>
        <w:t>.</w:t>
      </w:r>
    </w:p>
    <w:p w14:paraId="3C423F34" w14:textId="77777777" w:rsidR="00326102" w:rsidRPr="008372BA" w:rsidRDefault="00326102" w:rsidP="00326102">
      <w:pPr>
        <w:contextualSpacing/>
        <w:jc w:val="both"/>
        <w:textAlignment w:val="baseline"/>
        <w:rPr>
          <w:rFonts w:ascii="Verdana" w:eastAsia="Times New Roman" w:hAnsi="Verdana" w:cs="Arial"/>
          <w:sz w:val="22"/>
          <w:szCs w:val="22"/>
          <w:lang w:val="es-CO" w:eastAsia="es-CO"/>
        </w:rPr>
      </w:pPr>
    </w:p>
    <w:p w14:paraId="547F72E6" w14:textId="77777777" w:rsidR="00326102" w:rsidRPr="008372BA" w:rsidRDefault="00326102" w:rsidP="00326102">
      <w:pPr>
        <w:ind w:left="709"/>
        <w:contextualSpacing/>
        <w:jc w:val="both"/>
        <w:textAlignment w:val="baseline"/>
        <w:rPr>
          <w:rFonts w:ascii="Verdana" w:eastAsia="Times New Roman" w:hAnsi="Verdana" w:cs="Arial"/>
          <w:sz w:val="22"/>
          <w:szCs w:val="22"/>
          <w:lang w:val="es-CO" w:eastAsia="es-CO"/>
        </w:rPr>
      </w:pPr>
      <w:r w:rsidRPr="008372BA">
        <w:rPr>
          <w:rFonts w:ascii="Verdana" w:eastAsia="Times New Roman" w:hAnsi="Verdana" w:cs="Arial"/>
          <w:b/>
          <w:bCs/>
          <w:sz w:val="22"/>
          <w:szCs w:val="22"/>
          <w:lang w:val="es-CO" w:eastAsia="es-CO"/>
        </w:rPr>
        <w:t xml:space="preserve">Objetivo: </w:t>
      </w:r>
      <w:r w:rsidRPr="008372BA">
        <w:rPr>
          <w:rFonts w:ascii="Verdana" w:eastAsia="Times New Roman" w:hAnsi="Verdana" w:cs="Arial"/>
          <w:sz w:val="22"/>
          <w:szCs w:val="22"/>
          <w:lang w:val="es-CO" w:eastAsia="es-CO"/>
        </w:rPr>
        <w:t>1.1.</w:t>
      </w:r>
      <w:r w:rsidRPr="008372BA">
        <w:rPr>
          <w:rFonts w:ascii="Verdana" w:eastAsia="Times New Roman" w:hAnsi="Verdana" w:cs="Arial"/>
          <w:b/>
          <w:bCs/>
          <w:sz w:val="22"/>
          <w:szCs w:val="22"/>
          <w:lang w:val="es-CO" w:eastAsia="es-CO"/>
        </w:rPr>
        <w:t xml:space="preserve"> </w:t>
      </w:r>
      <w:r w:rsidRPr="008372BA">
        <w:rPr>
          <w:rFonts w:ascii="Verdana" w:eastAsia="Times New Roman" w:hAnsi="Verdana" w:cs="Arial"/>
          <w:sz w:val="22"/>
          <w:szCs w:val="22"/>
          <w:lang w:val="es-CO" w:eastAsia="es-CO"/>
        </w:rPr>
        <w:t>Articular los procesos de planeación de la inversión de los recursos de la Asignación Especial para Municipios Ribereños del Río Magdalena con el diagnóstico y programas contenidos en el Plan Municipal de Desarrollo con visión de mediano y largo plazo.</w:t>
      </w:r>
    </w:p>
    <w:p w14:paraId="3867C68F" w14:textId="77777777" w:rsidR="00326102" w:rsidRPr="008372BA" w:rsidRDefault="00326102" w:rsidP="00326102">
      <w:pPr>
        <w:spacing w:before="100" w:beforeAutospacing="1" w:after="100" w:afterAutospacing="1"/>
        <w:ind w:left="709"/>
        <w:contextualSpacing/>
        <w:jc w:val="both"/>
        <w:textAlignment w:val="baseline"/>
        <w:rPr>
          <w:rFonts w:ascii="Verdana" w:eastAsia="Times New Roman" w:hAnsi="Verdana" w:cs="Arial"/>
          <w:b/>
          <w:bCs/>
          <w:sz w:val="22"/>
          <w:szCs w:val="22"/>
          <w:lang w:val="es-CO" w:eastAsia="es-CO"/>
        </w:rPr>
      </w:pPr>
    </w:p>
    <w:p w14:paraId="00393019" w14:textId="77777777" w:rsidR="00326102" w:rsidRPr="008372BA" w:rsidRDefault="00326102" w:rsidP="00326102">
      <w:pPr>
        <w:spacing w:before="100" w:beforeAutospacing="1" w:after="100" w:afterAutospacing="1"/>
        <w:ind w:left="709"/>
        <w:contextualSpacing/>
        <w:jc w:val="both"/>
        <w:textAlignment w:val="baseline"/>
        <w:rPr>
          <w:rFonts w:ascii="Verdana" w:eastAsia="Times New Roman" w:hAnsi="Verdana" w:cs="Arial"/>
          <w:sz w:val="22"/>
          <w:szCs w:val="22"/>
          <w:lang w:val="es-CO" w:eastAsia="es-CO"/>
        </w:rPr>
      </w:pPr>
      <w:r w:rsidRPr="008372BA">
        <w:rPr>
          <w:rFonts w:ascii="Verdana" w:eastAsia="Times New Roman" w:hAnsi="Verdana" w:cs="Arial"/>
          <w:b/>
          <w:bCs/>
          <w:sz w:val="22"/>
          <w:szCs w:val="22"/>
          <w:lang w:val="es-CO" w:eastAsia="es-CO"/>
        </w:rPr>
        <w:t xml:space="preserve">Actividad: </w:t>
      </w:r>
      <w:r w:rsidRPr="008372BA">
        <w:rPr>
          <w:rFonts w:ascii="Verdana" w:eastAsia="Times New Roman" w:hAnsi="Verdana" w:cs="Arial"/>
          <w:sz w:val="22"/>
          <w:szCs w:val="22"/>
          <w:lang w:val="es-CO" w:eastAsia="es-CO"/>
        </w:rPr>
        <w:t>1.1.1.</w:t>
      </w:r>
      <w:r w:rsidRPr="008372BA">
        <w:rPr>
          <w:rFonts w:ascii="Verdana" w:eastAsia="Times New Roman" w:hAnsi="Verdana" w:cs="Arial"/>
          <w:b/>
          <w:bCs/>
          <w:sz w:val="22"/>
          <w:szCs w:val="22"/>
          <w:lang w:val="es-CO" w:eastAsia="es-CO"/>
        </w:rPr>
        <w:t xml:space="preserve"> </w:t>
      </w:r>
      <w:r w:rsidRPr="008372BA">
        <w:rPr>
          <w:rFonts w:ascii="Verdana" w:eastAsia="Times New Roman" w:hAnsi="Verdana" w:cs="Arial"/>
          <w:sz w:val="22"/>
          <w:szCs w:val="22"/>
          <w:lang w:val="es-CO" w:eastAsia="es-CO"/>
        </w:rPr>
        <w:t>Elaborar un documento para la planificación de la inversión de los recursos SGP Asignación Especial en torno al Río Magdalena: que incluya diagnóstico frente a la situación y necesidades del Río Magdalena y que complemente las metas y objetivos trazados en materia ambiental en el Plan Municipal de Desarrollo, estableciendo indicadores, metas y actividades.</w:t>
      </w:r>
    </w:p>
    <w:p w14:paraId="2CF6E1E3" w14:textId="77777777" w:rsidR="00326102" w:rsidRPr="008372BA" w:rsidRDefault="00326102" w:rsidP="00326102">
      <w:pPr>
        <w:spacing w:before="100" w:beforeAutospacing="1" w:after="100" w:afterAutospacing="1"/>
        <w:ind w:left="709"/>
        <w:contextualSpacing/>
        <w:jc w:val="both"/>
        <w:textAlignment w:val="baseline"/>
        <w:rPr>
          <w:rFonts w:ascii="Verdana" w:eastAsia="Times New Roman" w:hAnsi="Verdana" w:cs="Arial"/>
          <w:b/>
          <w:bCs/>
          <w:sz w:val="22"/>
          <w:szCs w:val="22"/>
          <w:lang w:val="es-CO" w:eastAsia="es-CO"/>
        </w:rPr>
      </w:pPr>
    </w:p>
    <w:p w14:paraId="16447ACA" w14:textId="77777777" w:rsidR="00326102" w:rsidRPr="008372BA" w:rsidRDefault="00326102" w:rsidP="00326102">
      <w:pPr>
        <w:spacing w:before="100" w:beforeAutospacing="1" w:after="100" w:afterAutospacing="1"/>
        <w:ind w:left="709"/>
        <w:contextualSpacing/>
        <w:jc w:val="both"/>
        <w:textAlignment w:val="baseline"/>
        <w:rPr>
          <w:rFonts w:ascii="Verdana" w:eastAsia="Times New Roman" w:hAnsi="Verdana" w:cs="Arial"/>
          <w:b/>
          <w:bCs/>
          <w:sz w:val="22"/>
          <w:szCs w:val="22"/>
          <w:lang w:val="es-CO" w:eastAsia="es-CO"/>
        </w:rPr>
      </w:pPr>
      <w:r w:rsidRPr="008372BA">
        <w:rPr>
          <w:rFonts w:ascii="Verdana" w:eastAsia="Times New Roman" w:hAnsi="Verdana" w:cs="Arial"/>
          <w:b/>
          <w:bCs/>
          <w:sz w:val="22"/>
          <w:szCs w:val="22"/>
          <w:lang w:val="es-CO" w:eastAsia="es-CO"/>
        </w:rPr>
        <w:t xml:space="preserve">Producto: </w:t>
      </w:r>
      <w:r w:rsidRPr="008372BA">
        <w:rPr>
          <w:rFonts w:ascii="Verdana" w:eastAsia="Times New Roman" w:hAnsi="Verdana" w:cs="Arial"/>
          <w:sz w:val="22"/>
          <w:szCs w:val="22"/>
          <w:lang w:val="es-CO" w:eastAsia="es-CO"/>
        </w:rPr>
        <w:t>Documento diagnóstico con fijación de objetivos, metas y actividades a realizar en torno al Río Magdalena y la AESGPRIM.</w:t>
      </w:r>
    </w:p>
    <w:p w14:paraId="5C275785" w14:textId="77777777" w:rsidR="00326102" w:rsidRPr="008372BA" w:rsidRDefault="00326102" w:rsidP="00326102">
      <w:pPr>
        <w:contextualSpacing/>
        <w:jc w:val="both"/>
        <w:rPr>
          <w:rFonts w:ascii="Verdana" w:eastAsia="Calibri" w:hAnsi="Verdana" w:cs="Arial"/>
          <w:sz w:val="22"/>
          <w:szCs w:val="22"/>
          <w:lang w:eastAsia="en-US"/>
        </w:rPr>
      </w:pPr>
    </w:p>
    <w:p w14:paraId="6C5575BC"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 xml:space="preserve">Dentro de la información enviada por la Entidad se remitió un documento denominado </w:t>
      </w:r>
      <w:r w:rsidRPr="008372BA">
        <w:rPr>
          <w:rFonts w:ascii="Verdana" w:eastAsia="Calibri" w:hAnsi="Verdana" w:cs="Arial"/>
          <w:i/>
          <w:sz w:val="22"/>
          <w:szCs w:val="22"/>
          <w:lang w:eastAsia="en-US"/>
        </w:rPr>
        <w:t>“DOCUMENTO DIAGNÓSTICO RÍO MAGDALENA Y ASIGNACIÓN DE RIBEREÑOS PUERTO BERRÍO, ANTIOQUIA”</w:t>
      </w:r>
      <w:r w:rsidRPr="008372BA">
        <w:rPr>
          <w:rFonts w:ascii="Verdana" w:eastAsia="Calibri" w:hAnsi="Verdana" w:cs="Arial"/>
          <w:sz w:val="22"/>
          <w:szCs w:val="22"/>
          <w:lang w:eastAsia="en-US"/>
        </w:rPr>
        <w:t xml:space="preserve">, el documento se compone de: descripción, objetivos (general y específico), metas, actividades y una matriz denominada </w:t>
      </w:r>
      <w:r w:rsidRPr="008372BA">
        <w:rPr>
          <w:rFonts w:ascii="Verdana" w:eastAsia="Calibri" w:hAnsi="Verdana" w:cs="Arial"/>
          <w:i/>
          <w:sz w:val="22"/>
          <w:szCs w:val="22"/>
          <w:lang w:eastAsia="en-US"/>
        </w:rPr>
        <w:t>“PROYECCIÓN DE OBJETIVOS, METAS Y PROYECTOS DEL PLAN DE DESARROLLO MUNICIPAL 2020-2023 EN RELACIÓN AL RÍO MAGDALENA AESGPRIM”</w:t>
      </w:r>
      <w:r w:rsidRPr="008372BA">
        <w:rPr>
          <w:rFonts w:ascii="Verdana" w:eastAsia="Calibri" w:hAnsi="Verdana" w:cs="Arial"/>
          <w:sz w:val="22"/>
          <w:szCs w:val="22"/>
          <w:lang w:eastAsia="en-US"/>
        </w:rPr>
        <w:t>. De acuerdo con lo que se evidenció del documento, este sería el mismo que remitió la Entidad Territorial para el tercer seguimiento al Plan de Desempeño, realizado en junio del 2022.</w:t>
      </w:r>
    </w:p>
    <w:p w14:paraId="2592A722" w14:textId="77777777" w:rsidR="00326102" w:rsidRPr="008372BA" w:rsidRDefault="00326102" w:rsidP="00326102">
      <w:pPr>
        <w:contextualSpacing/>
        <w:jc w:val="both"/>
        <w:rPr>
          <w:rFonts w:ascii="Verdana" w:eastAsia="Calibri" w:hAnsi="Verdana" w:cs="Arial"/>
          <w:sz w:val="22"/>
          <w:szCs w:val="22"/>
          <w:lang w:eastAsia="en-US"/>
        </w:rPr>
      </w:pPr>
    </w:p>
    <w:p w14:paraId="06228451"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Teniendo en cuenta lo anterior, se procedió a la revisión del documento y se logró evidenciar que el Municipio no tomó en cuenta las recomendaciones que previamente se le habían hecho al documento en el anterior seguimiento. Por lo tanto, se evidencia la misma problemática, que si bien el documento diagnóstico contiene los apartados que se requieren, existe una desconexión entre lo que se plantea en la primera parte del documento que corresponde al apartado descriptivo y el planteamiento de metas y actividades. En específico, el apartado descriptivo resalta el problema existente alrededor de la pesca en el Departamento y la falta de proyectos que existen para impulsar dicha industria, concluyendo así el apartado “</w:t>
      </w:r>
      <w:r w:rsidRPr="008372BA">
        <w:rPr>
          <w:rFonts w:ascii="Verdana" w:eastAsia="Calibri" w:hAnsi="Verdana" w:cs="Arial"/>
          <w:i/>
          <w:iCs/>
          <w:sz w:val="22"/>
          <w:szCs w:val="22"/>
          <w:lang w:eastAsia="en-US"/>
        </w:rPr>
        <w:t xml:space="preserve">Es necesario avanzar en la dignidad del empleo, con criterios de legalidad, garantizando adecuadas jornadas de trabajo, con los tiempos y pagos respectivos y las garantías laborales a las cuales los porteños tienen derecho”. </w:t>
      </w:r>
      <w:r w:rsidRPr="008372BA">
        <w:rPr>
          <w:rFonts w:ascii="Verdana" w:eastAsia="Calibri" w:hAnsi="Verdana" w:cs="Arial"/>
          <w:sz w:val="22"/>
          <w:szCs w:val="22"/>
          <w:lang w:eastAsia="en-US"/>
        </w:rPr>
        <w:t>Por otro lado, la meta establecida en el documento es:</w:t>
      </w:r>
    </w:p>
    <w:p w14:paraId="753ADD68" w14:textId="77777777" w:rsidR="00326102" w:rsidRPr="008372BA" w:rsidRDefault="00326102" w:rsidP="00326102">
      <w:pPr>
        <w:contextualSpacing/>
        <w:jc w:val="both"/>
        <w:rPr>
          <w:rFonts w:ascii="Verdana" w:eastAsia="Calibri" w:hAnsi="Verdana" w:cs="Arial"/>
          <w:sz w:val="22"/>
          <w:szCs w:val="22"/>
          <w:lang w:eastAsia="en-US"/>
        </w:rPr>
      </w:pPr>
    </w:p>
    <w:p w14:paraId="6E4CD1A5" w14:textId="77777777" w:rsidR="00326102" w:rsidRPr="008372BA" w:rsidRDefault="00326102" w:rsidP="00326102">
      <w:pPr>
        <w:ind w:left="709"/>
        <w:contextualSpacing/>
        <w:jc w:val="both"/>
        <w:rPr>
          <w:rFonts w:ascii="Verdana" w:eastAsia="Calibri" w:hAnsi="Verdana" w:cs="Arial"/>
          <w:i/>
          <w:iCs/>
          <w:sz w:val="18"/>
          <w:szCs w:val="18"/>
          <w:lang w:eastAsia="en-US"/>
        </w:rPr>
      </w:pPr>
      <w:r w:rsidRPr="008372BA">
        <w:rPr>
          <w:rFonts w:ascii="Verdana" w:eastAsia="Calibri" w:hAnsi="Verdana" w:cs="Arial"/>
          <w:sz w:val="18"/>
          <w:szCs w:val="18"/>
          <w:lang w:eastAsia="en-US"/>
        </w:rPr>
        <w:t>“</w:t>
      </w:r>
      <w:r w:rsidRPr="008372BA">
        <w:rPr>
          <w:rFonts w:ascii="Verdana" w:eastAsia="Calibri" w:hAnsi="Verdana" w:cs="Arial"/>
          <w:i/>
          <w:iCs/>
          <w:sz w:val="18"/>
          <w:szCs w:val="18"/>
          <w:lang w:eastAsia="en-US"/>
        </w:rPr>
        <w:t xml:space="preserve">Ejecutar veinte proyectos de reforestación en las riberas del rio magdalena, fuentes hídricas que abastecen acueductos veredales y afluentes del rio magdalena en el área del municipio, realizar limpiezas anuales a las ciénagas del municipio, realizar labores de tratamiento de aguas residuales, compra de un predio anual para la protección de microcuencas, Realizar labores de </w:t>
      </w:r>
      <w:r w:rsidRPr="008372BA">
        <w:rPr>
          <w:rFonts w:ascii="Verdana" w:eastAsia="Calibri" w:hAnsi="Verdana" w:cs="Arial"/>
          <w:i/>
          <w:iCs/>
          <w:sz w:val="18"/>
          <w:szCs w:val="18"/>
          <w:lang w:eastAsia="en-US"/>
        </w:rPr>
        <w:lastRenderedPageBreak/>
        <w:t>mantenimiento y recuperación de taludes del rio magdalena que presenten problemas de erosión y realizar dragado de cauces para permitir navegabilidad”.</w:t>
      </w:r>
    </w:p>
    <w:p w14:paraId="14139251" w14:textId="77777777" w:rsidR="00326102" w:rsidRPr="008372BA" w:rsidRDefault="00326102" w:rsidP="00326102">
      <w:pPr>
        <w:contextualSpacing/>
        <w:jc w:val="both"/>
        <w:rPr>
          <w:rFonts w:ascii="Verdana" w:eastAsia="Calibri" w:hAnsi="Verdana" w:cs="Arial"/>
          <w:i/>
          <w:iCs/>
          <w:sz w:val="22"/>
          <w:szCs w:val="22"/>
          <w:lang w:eastAsia="en-US"/>
        </w:rPr>
      </w:pPr>
    </w:p>
    <w:p w14:paraId="4DE0EC24"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eastAsia="en-US"/>
        </w:rPr>
        <w:t>En consecuencia, el Municipio no solo hizo caso omiso de las recomendaciones planteadas en el anterior Informe de Seguimiento donde se presentaba la misma situación, además, no hay claridad frente al trabajo a realizar con el Río puesto que se habla de una necesidad, pero sé proyectan proyectos que no tienen nada que ver con lo mencionado. Por consiguiente, se califica la Actividad como no cumplida al evidenciar que el documento diagnóstico debe robustecerse y complementarse de acuerdo con los comentarios y recomendaciones realizados anteriormente.</w:t>
      </w:r>
    </w:p>
    <w:p w14:paraId="48CFFC31" w14:textId="77777777" w:rsidR="00326102" w:rsidRPr="008372BA" w:rsidRDefault="00326102" w:rsidP="00326102">
      <w:pPr>
        <w:contextualSpacing/>
        <w:jc w:val="both"/>
        <w:rPr>
          <w:rFonts w:ascii="Verdana" w:eastAsia="Calibri" w:hAnsi="Verdana" w:cs="Arial"/>
          <w:b/>
          <w:bCs/>
          <w:sz w:val="22"/>
          <w:szCs w:val="22"/>
          <w:lang w:val="es-CO" w:eastAsia="en-US"/>
        </w:rPr>
      </w:pPr>
    </w:p>
    <w:p w14:paraId="6E0AB8D8"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Evaluación: </w:t>
      </w:r>
      <w:r w:rsidRPr="008372BA">
        <w:rPr>
          <w:rFonts w:ascii="Verdana" w:eastAsia="Calibri" w:hAnsi="Verdana" w:cs="Arial"/>
          <w:sz w:val="22"/>
          <w:szCs w:val="22"/>
          <w:u w:val="single"/>
          <w:lang w:val="es-CO" w:eastAsia="en-US"/>
        </w:rPr>
        <w:t>No cumple.</w:t>
      </w:r>
    </w:p>
    <w:p w14:paraId="2C621687" w14:textId="77777777" w:rsidR="00326102" w:rsidRPr="008372BA" w:rsidRDefault="00326102" w:rsidP="00326102">
      <w:pPr>
        <w:contextualSpacing/>
        <w:jc w:val="both"/>
        <w:rPr>
          <w:rFonts w:ascii="Verdana" w:eastAsia="Calibri" w:hAnsi="Verdana" w:cs="Arial"/>
          <w:b/>
          <w:bCs/>
          <w:sz w:val="22"/>
          <w:szCs w:val="22"/>
          <w:lang w:val="es-CO" w:eastAsia="en-US"/>
        </w:rPr>
      </w:pPr>
    </w:p>
    <w:p w14:paraId="4A070DC9"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b/>
          <w:bCs/>
          <w:sz w:val="22"/>
          <w:szCs w:val="22"/>
          <w:lang w:val="es-CO" w:eastAsia="en-US"/>
        </w:rPr>
        <w:t xml:space="preserve">Recomendación: </w:t>
      </w:r>
      <w:r w:rsidRPr="008372BA">
        <w:rPr>
          <w:rFonts w:ascii="Verdana" w:eastAsia="Calibri" w:hAnsi="Verdana" w:cs="Arial"/>
          <w:sz w:val="22"/>
          <w:szCs w:val="22"/>
          <w:lang w:val="es-CO" w:eastAsia="en-US"/>
        </w:rPr>
        <w:t xml:space="preserve">En este sentido se propone establecer </w:t>
      </w:r>
      <w:r w:rsidRPr="008372BA">
        <w:rPr>
          <w:rFonts w:ascii="Verdana" w:eastAsia="Calibri" w:hAnsi="Verdana" w:cs="Arial"/>
          <w:sz w:val="22"/>
          <w:szCs w:val="22"/>
          <w:lang w:eastAsia="en-US"/>
        </w:rPr>
        <w:t xml:space="preserve">lineamientos para el proceso de definición del problema público y la elaboración de un árbol de problemas en el marco de la construcción del documento de diagnóstico, </w:t>
      </w:r>
      <w:r w:rsidRPr="008372BA">
        <w:rPr>
          <w:rFonts w:ascii="Verdana" w:hAnsi="Verdana" w:cs="Arial"/>
          <w:sz w:val="22"/>
          <w:szCs w:val="22"/>
        </w:rPr>
        <w:t>con fijación de objetivos, metas y actividades a realizar en torno al Río Magdalena y el SGP Ribereños</w:t>
      </w:r>
      <w:r w:rsidRPr="008372BA">
        <w:rPr>
          <w:rFonts w:ascii="Verdana" w:eastAsia="Calibri" w:hAnsi="Verdana" w:cs="Arial"/>
          <w:sz w:val="22"/>
          <w:szCs w:val="22"/>
          <w:lang w:eastAsia="en-US"/>
        </w:rPr>
        <w:t xml:space="preserve">. Para alcanzar dicho objetivo, se propone usar dos metodologías: el árbol del problema y la </w:t>
      </w:r>
      <w:r w:rsidRPr="008372BA">
        <w:rPr>
          <w:rFonts w:ascii="Verdana" w:eastAsia="Calibri" w:hAnsi="Verdana" w:cs="Arial"/>
          <w:i/>
          <w:iCs/>
          <w:sz w:val="22"/>
          <w:szCs w:val="22"/>
          <w:lang w:eastAsia="en-US"/>
        </w:rPr>
        <w:t>Matriz de Vester</w:t>
      </w:r>
      <w:r w:rsidRPr="008372BA">
        <w:rPr>
          <w:rFonts w:ascii="Verdana" w:eastAsia="Calibri" w:hAnsi="Verdana" w:cs="Arial"/>
          <w:sz w:val="22"/>
          <w:szCs w:val="22"/>
          <w:lang w:eastAsia="en-US"/>
        </w:rPr>
        <w:t>.</w:t>
      </w:r>
    </w:p>
    <w:p w14:paraId="0BA8C292" w14:textId="77777777" w:rsidR="00326102" w:rsidRPr="008372BA" w:rsidRDefault="00326102" w:rsidP="00326102">
      <w:pPr>
        <w:contextualSpacing/>
        <w:jc w:val="both"/>
        <w:rPr>
          <w:rFonts w:ascii="Verdana" w:eastAsia="Calibri" w:hAnsi="Verdana" w:cs="Arial"/>
          <w:sz w:val="22"/>
          <w:szCs w:val="22"/>
          <w:lang w:eastAsia="en-US"/>
        </w:rPr>
      </w:pPr>
    </w:p>
    <w:p w14:paraId="643D19C1"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val="es-CO" w:eastAsia="en-US"/>
        </w:rPr>
        <w:t xml:space="preserve">Se recomienda guiarse del documento </w:t>
      </w:r>
      <w:r w:rsidRPr="008372BA">
        <w:rPr>
          <w:rFonts w:ascii="Verdana" w:eastAsia="Calibri" w:hAnsi="Verdana" w:cs="Arial"/>
          <w:i/>
          <w:iCs/>
          <w:sz w:val="22"/>
          <w:szCs w:val="22"/>
          <w:lang w:val="es-CO" w:eastAsia="en-US"/>
        </w:rPr>
        <w:t>“</w:t>
      </w:r>
      <w:r w:rsidRPr="008372BA">
        <w:rPr>
          <w:rFonts w:ascii="Verdana" w:eastAsia="Calibri" w:hAnsi="Verdana" w:cs="Arial"/>
          <w:i/>
          <w:iCs/>
          <w:sz w:val="22"/>
          <w:szCs w:val="22"/>
          <w:lang w:eastAsia="en-US"/>
        </w:rPr>
        <w:t xml:space="preserve">Instructivo Definición del problema público y árbol-de objetivos” </w:t>
      </w:r>
      <w:r w:rsidRPr="008372BA">
        <w:rPr>
          <w:rFonts w:ascii="Verdana" w:eastAsia="Calibri" w:hAnsi="Verdana" w:cs="Arial"/>
          <w:sz w:val="22"/>
          <w:szCs w:val="22"/>
          <w:lang w:eastAsia="en-US"/>
        </w:rPr>
        <w:t>realizado por el Ministerio del Interior, el cual encontrará en el siguiente enlace:</w:t>
      </w:r>
    </w:p>
    <w:p w14:paraId="1711DC3B" w14:textId="77777777" w:rsidR="00326102" w:rsidRPr="008372BA" w:rsidRDefault="00326102" w:rsidP="00326102">
      <w:pPr>
        <w:contextualSpacing/>
        <w:jc w:val="both"/>
        <w:rPr>
          <w:rFonts w:ascii="Verdana" w:eastAsia="Calibri" w:hAnsi="Verdana" w:cs="Arial"/>
          <w:sz w:val="22"/>
          <w:szCs w:val="22"/>
          <w:lang w:eastAsia="en-US"/>
        </w:rPr>
      </w:pPr>
    </w:p>
    <w:p w14:paraId="233A721E" w14:textId="77777777" w:rsidR="00326102" w:rsidRPr="008372BA" w:rsidRDefault="002F71C5" w:rsidP="00326102">
      <w:pPr>
        <w:contextualSpacing/>
        <w:jc w:val="both"/>
        <w:rPr>
          <w:rFonts w:ascii="Verdana" w:eastAsia="Calibri" w:hAnsi="Verdana" w:cs="Arial"/>
          <w:sz w:val="18"/>
          <w:szCs w:val="18"/>
          <w:lang w:val="es-CO" w:eastAsia="en-US"/>
        </w:rPr>
      </w:pPr>
      <w:hyperlink r:id="rId11" w:history="1">
        <w:r w:rsidR="00326102" w:rsidRPr="008372BA">
          <w:rPr>
            <w:rFonts w:ascii="Verdana" w:eastAsia="Calibri" w:hAnsi="Verdana" w:cs="Arial"/>
            <w:color w:val="0000FF" w:themeColor="hyperlink"/>
            <w:sz w:val="18"/>
            <w:szCs w:val="18"/>
            <w:u w:val="single"/>
            <w:lang w:val="es-CO" w:eastAsia="en-US"/>
          </w:rPr>
          <w:t>https://www.mininterior.gov.co/wp-content/uploads/2022/05/Instructivo-Definicion-del-problema-publico-y-arbol-de-objetivos.-Vr-02.-13-05-2022.pdf</w:t>
        </w:r>
      </w:hyperlink>
    </w:p>
    <w:p w14:paraId="1438A299" w14:textId="77777777" w:rsidR="00326102" w:rsidRPr="008372BA" w:rsidRDefault="00326102" w:rsidP="00326102">
      <w:pPr>
        <w:contextualSpacing/>
        <w:jc w:val="both"/>
        <w:rPr>
          <w:rFonts w:ascii="Verdana" w:eastAsia="Calibri" w:hAnsi="Verdana" w:cs="Arial"/>
          <w:sz w:val="22"/>
          <w:szCs w:val="22"/>
          <w:lang w:val="es-CO" w:eastAsia="en-US"/>
        </w:rPr>
      </w:pPr>
    </w:p>
    <w:p w14:paraId="5BC275D0" w14:textId="77777777" w:rsidR="00326102" w:rsidRPr="008372BA" w:rsidRDefault="00326102" w:rsidP="00326102">
      <w:pPr>
        <w:numPr>
          <w:ilvl w:val="3"/>
          <w:numId w:val="3"/>
        </w:numPr>
        <w:tabs>
          <w:tab w:val="left" w:pos="426"/>
        </w:tabs>
        <w:ind w:left="284" w:hanging="284"/>
        <w:contextualSpacing/>
        <w:jc w:val="both"/>
        <w:rPr>
          <w:rFonts w:ascii="Verdana" w:eastAsia="Calibri" w:hAnsi="Verdana" w:cs="Arial"/>
          <w:b/>
          <w:bCs/>
          <w:sz w:val="22"/>
          <w:szCs w:val="22"/>
          <w:u w:val="single"/>
          <w:lang w:val="es-CO" w:eastAsia="en-US"/>
        </w:rPr>
      </w:pPr>
      <w:r w:rsidRPr="008372BA">
        <w:rPr>
          <w:rFonts w:ascii="Verdana" w:eastAsia="Calibri" w:hAnsi="Verdana" w:cs="Arial"/>
          <w:b/>
          <w:bCs/>
          <w:sz w:val="22"/>
          <w:szCs w:val="22"/>
          <w:u w:val="single"/>
          <w:lang w:val="es-CO" w:eastAsia="en-US"/>
        </w:rPr>
        <w:t>Categoría: Contractual.</w:t>
      </w:r>
    </w:p>
    <w:p w14:paraId="4E2E892C" w14:textId="77777777" w:rsidR="00326102" w:rsidRPr="008372BA" w:rsidRDefault="00326102" w:rsidP="00326102">
      <w:pPr>
        <w:contextualSpacing/>
        <w:jc w:val="both"/>
        <w:rPr>
          <w:rFonts w:ascii="Verdana" w:eastAsia="Calibri" w:hAnsi="Verdana" w:cs="Arial"/>
          <w:b/>
          <w:bCs/>
          <w:sz w:val="22"/>
          <w:szCs w:val="22"/>
          <w:lang w:val="es-CO" w:eastAsia="en-US"/>
        </w:rPr>
      </w:pPr>
    </w:p>
    <w:p w14:paraId="6A514A4D"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Objetivo: </w:t>
      </w:r>
      <w:r w:rsidRPr="008372BA">
        <w:rPr>
          <w:rFonts w:ascii="Verdana" w:eastAsia="Calibri" w:hAnsi="Verdana" w:cs="Arial"/>
          <w:sz w:val="22"/>
          <w:szCs w:val="22"/>
          <w:lang w:val="es-CO" w:eastAsia="en-US"/>
        </w:rPr>
        <w:t>2.1.</w:t>
      </w:r>
      <w:r w:rsidRPr="008372BA">
        <w:rPr>
          <w:rFonts w:ascii="Verdana" w:eastAsia="Calibri" w:hAnsi="Verdana" w:cs="Arial"/>
          <w:b/>
          <w:bCs/>
          <w:sz w:val="22"/>
          <w:szCs w:val="22"/>
          <w:lang w:val="es-CO" w:eastAsia="en-US"/>
        </w:rPr>
        <w:t xml:space="preserve"> </w:t>
      </w:r>
      <w:r w:rsidRPr="008372BA">
        <w:rPr>
          <w:rFonts w:ascii="Verdana" w:eastAsia="Calibri" w:hAnsi="Verdana" w:cs="Arial"/>
          <w:sz w:val="22"/>
          <w:szCs w:val="22"/>
          <w:lang w:val="es-CO" w:eastAsia="en-US"/>
        </w:rPr>
        <w:t>Garantizar la celebración de contratos que incluya objeto y actividades de acuerdo con las líneas de inversión definidas en el artículo 20 de la Ley 1176 de 2007.</w:t>
      </w:r>
    </w:p>
    <w:p w14:paraId="4B9C6CB3" w14:textId="77777777" w:rsidR="00326102" w:rsidRPr="008372BA" w:rsidRDefault="00326102" w:rsidP="00326102">
      <w:pPr>
        <w:ind w:left="709"/>
        <w:contextualSpacing/>
        <w:jc w:val="both"/>
        <w:rPr>
          <w:rFonts w:ascii="Verdana" w:eastAsia="Calibri" w:hAnsi="Verdana" w:cs="Arial"/>
          <w:b/>
          <w:bCs/>
          <w:sz w:val="22"/>
          <w:szCs w:val="22"/>
          <w:lang w:val="es-CO" w:eastAsia="en-US"/>
        </w:rPr>
      </w:pPr>
    </w:p>
    <w:p w14:paraId="4B02EB1D"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Actividad: </w:t>
      </w:r>
      <w:r w:rsidRPr="008372BA">
        <w:rPr>
          <w:rFonts w:ascii="Verdana" w:eastAsia="Calibri" w:hAnsi="Verdana" w:cs="Arial"/>
          <w:sz w:val="22"/>
          <w:szCs w:val="22"/>
          <w:lang w:val="es-CO" w:eastAsia="en-US"/>
        </w:rPr>
        <w:t>2.1.1. Celebración de contratos enmarcados en las líneas de inversión definidas en el artículo 20 de la Ley 1176 de 2007.</w:t>
      </w:r>
    </w:p>
    <w:p w14:paraId="4A029A71" w14:textId="77777777" w:rsidR="00326102" w:rsidRPr="008372BA" w:rsidRDefault="00326102" w:rsidP="00326102">
      <w:pPr>
        <w:ind w:left="709"/>
        <w:contextualSpacing/>
        <w:jc w:val="both"/>
        <w:rPr>
          <w:rFonts w:ascii="Verdana" w:eastAsia="Calibri" w:hAnsi="Verdana" w:cs="Arial"/>
          <w:b/>
          <w:bCs/>
          <w:sz w:val="22"/>
          <w:szCs w:val="22"/>
          <w:lang w:val="es-CO" w:eastAsia="en-US"/>
        </w:rPr>
      </w:pPr>
    </w:p>
    <w:p w14:paraId="60EBB1E6" w14:textId="77777777" w:rsidR="00326102" w:rsidRPr="008372BA" w:rsidRDefault="00326102" w:rsidP="00326102">
      <w:pPr>
        <w:ind w:left="709"/>
        <w:contextualSpacing/>
        <w:jc w:val="both"/>
        <w:rPr>
          <w:rFonts w:ascii="Verdana" w:eastAsia="Calibri" w:hAnsi="Verdana" w:cs="Arial"/>
          <w:sz w:val="22"/>
          <w:szCs w:val="22"/>
          <w:lang w:eastAsia="en-US"/>
        </w:rPr>
      </w:pPr>
      <w:r w:rsidRPr="008372BA">
        <w:rPr>
          <w:rFonts w:ascii="Verdana" w:hAnsi="Verdana" w:cs="Arial"/>
          <w:b/>
          <w:sz w:val="22"/>
          <w:szCs w:val="22"/>
          <w:lang w:val="es-CO" w:eastAsia="en-US"/>
        </w:rPr>
        <w:t xml:space="preserve">Producto: </w:t>
      </w:r>
      <w:r w:rsidRPr="008372BA">
        <w:rPr>
          <w:rFonts w:ascii="Verdana" w:hAnsi="Verdana" w:cs="Arial"/>
          <w:sz w:val="22"/>
          <w:szCs w:val="22"/>
          <w:lang w:eastAsia="en-US"/>
        </w:rPr>
        <w:t>Relación de contratos de la vigencia 2022 financiados con los recursos de Ribereños y su respectiva ejecución presupuestal durante la vigencia del Plan de Desempeño, incluyendo la integridad de los respectivos soportes (estudios previos, minuta contractual, órdenes de pago, informes de supervisión y/o interventoría), adicionalmente, una columna que indique el número del expediente en SECOP. Si durante el periodo evaluado no hubo contratación en el marco de la Asignación, remitir certificado que soporte la no suscripción de contratos en este periodo.</w:t>
      </w:r>
    </w:p>
    <w:p w14:paraId="4D149E05" w14:textId="77777777" w:rsidR="00326102" w:rsidRPr="008372BA" w:rsidRDefault="00326102" w:rsidP="00326102">
      <w:pPr>
        <w:contextualSpacing/>
        <w:jc w:val="both"/>
        <w:rPr>
          <w:rFonts w:ascii="Verdana" w:hAnsi="Verdana" w:cs="Arial"/>
          <w:sz w:val="22"/>
          <w:szCs w:val="22"/>
          <w:lang w:eastAsia="en-US"/>
        </w:rPr>
      </w:pPr>
    </w:p>
    <w:p w14:paraId="2AFEFB03"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color w:val="000000" w:themeColor="text1"/>
          <w:sz w:val="22"/>
          <w:szCs w:val="22"/>
        </w:rPr>
        <w:lastRenderedPageBreak/>
        <w:t xml:space="preserve">Para la evaluación de esta Actividad se tuvo en cuenta el único expediente contractual enviado por el Municipio a esta Dirección, cuya planeación, ejecución y liquidación tuvo lugar desde septiembre de 2021 a julio de 2022. El Municipio remitió el Contrato CO1.PCCNTR.3099616, del cual se remitieron los estudios previos, el certificado de disponibilidad presupuestal – CDP, la minuta contractual, el certificado de registro y compromiso presupuestal, el acta de adjudicación, acta de inicio, un informe de supervisión, el acta de recibo final, acta de terminación del contrato y acta de liquidación. </w:t>
      </w:r>
      <w:r w:rsidRPr="008372BA">
        <w:rPr>
          <w:rFonts w:ascii="Verdana" w:eastAsia="Arial" w:hAnsi="Verdana" w:cs="Arial"/>
          <w:sz w:val="22"/>
          <w:szCs w:val="22"/>
        </w:rPr>
        <w:t>A continuación, se presenta la información general del contrato que fue objeto del presente análisis:</w:t>
      </w:r>
    </w:p>
    <w:p w14:paraId="12F069B9" w14:textId="77777777" w:rsidR="00326102" w:rsidRPr="008372BA" w:rsidRDefault="00326102" w:rsidP="00326102">
      <w:pPr>
        <w:contextualSpacing/>
        <w:jc w:val="both"/>
        <w:rPr>
          <w:rFonts w:ascii="Verdana" w:eastAsia="Arial" w:hAnsi="Verdana" w:cs="Arial"/>
          <w:color w:val="000000" w:themeColor="text1"/>
          <w:sz w:val="22"/>
          <w:szCs w:val="22"/>
        </w:rPr>
      </w:pPr>
    </w:p>
    <w:p w14:paraId="2C14AA8F" w14:textId="77777777" w:rsidR="00326102" w:rsidRPr="008372BA" w:rsidRDefault="00326102" w:rsidP="00326102">
      <w:pPr>
        <w:contextualSpacing/>
        <w:jc w:val="center"/>
        <w:rPr>
          <w:rFonts w:ascii="Verdana" w:eastAsia="Arial" w:hAnsi="Verdana" w:cs="Arial"/>
          <w:color w:val="000000" w:themeColor="text1"/>
          <w:sz w:val="20"/>
          <w:szCs w:val="20"/>
        </w:rPr>
      </w:pPr>
      <w:r w:rsidRPr="008372BA">
        <w:rPr>
          <w:rFonts w:ascii="Verdana" w:eastAsia="Arial" w:hAnsi="Verdana" w:cs="Arial"/>
          <w:b/>
          <w:bCs/>
          <w:color w:val="000000" w:themeColor="text1"/>
          <w:sz w:val="20"/>
          <w:szCs w:val="20"/>
          <w:lang w:val="es-CO"/>
        </w:rPr>
        <w:t>Tabla 1. Contratación celebrada con cargo a los recursos del SGP Ribereños Vigencia 2022.</w:t>
      </w:r>
    </w:p>
    <w:tbl>
      <w:tblPr>
        <w:tblStyle w:val="Tablaconcuadrcula5oscura-nfasis411"/>
        <w:tblW w:w="906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1394"/>
        <w:gridCol w:w="2294"/>
        <w:gridCol w:w="1172"/>
        <w:gridCol w:w="939"/>
        <w:gridCol w:w="1418"/>
        <w:gridCol w:w="714"/>
      </w:tblGrid>
      <w:tr w:rsidR="00326102" w:rsidRPr="008372BA" w14:paraId="4DC3E44B" w14:textId="77777777" w:rsidTr="001563A5">
        <w:trPr>
          <w:cnfStyle w:val="100000000000" w:firstRow="1" w:lastRow="0" w:firstColumn="0" w:lastColumn="0" w:oddVBand="0" w:evenVBand="0" w:oddHBand="0" w:evenHBand="0" w:firstRowFirstColumn="0" w:firstRowLastColumn="0" w:lastRowFirstColumn="0" w:lastRowLastColumn="0"/>
          <w:trHeight w:val="555"/>
          <w:jc w:val="center"/>
        </w:trPr>
        <w:tc>
          <w:tcPr>
            <w:cnfStyle w:val="001000000000" w:firstRow="0" w:lastRow="0" w:firstColumn="1" w:lastColumn="0" w:oddVBand="0" w:evenVBand="0" w:oddHBand="0" w:evenHBand="0" w:firstRowFirstColumn="0" w:firstRowLastColumn="0" w:lastRowFirstColumn="0" w:lastRowLastColumn="0"/>
            <w:tcW w:w="6" w:type="dxa"/>
            <w:tcBorders>
              <w:bottom w:val="single" w:sz="4" w:space="0" w:color="auto"/>
            </w:tcBorders>
            <w:shd w:val="clear" w:color="auto" w:fill="FFC000"/>
            <w:vAlign w:val="center"/>
            <w:hideMark/>
          </w:tcPr>
          <w:p w14:paraId="2FE00D50" w14:textId="77777777" w:rsidR="00326102" w:rsidRPr="008372BA" w:rsidRDefault="00326102" w:rsidP="001563A5">
            <w:pPr>
              <w:contextualSpacing/>
              <w:jc w:val="center"/>
              <w:rPr>
                <w:rFonts w:ascii="Verdana" w:eastAsia="Arial" w:hAnsi="Verdana" w:cs="Arial"/>
                <w:color w:val="auto"/>
                <w:sz w:val="18"/>
                <w:szCs w:val="18"/>
              </w:rPr>
            </w:pPr>
            <w:r w:rsidRPr="008372BA">
              <w:rPr>
                <w:rFonts w:ascii="Verdana" w:eastAsia="Arial" w:hAnsi="Verdana"/>
                <w:sz w:val="18"/>
                <w:szCs w:val="18"/>
              </w:rPr>
              <w:t>No. Contrato</w:t>
            </w:r>
          </w:p>
        </w:tc>
        <w:tc>
          <w:tcPr>
            <w:tcW w:w="6" w:type="dxa"/>
            <w:tcBorders>
              <w:bottom w:val="single" w:sz="4" w:space="0" w:color="auto"/>
            </w:tcBorders>
            <w:shd w:val="clear" w:color="auto" w:fill="FFC000"/>
            <w:vAlign w:val="center"/>
            <w:hideMark/>
          </w:tcPr>
          <w:p w14:paraId="416B75FA"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Contratista</w:t>
            </w:r>
          </w:p>
        </w:tc>
        <w:tc>
          <w:tcPr>
            <w:tcW w:w="6" w:type="dxa"/>
            <w:tcBorders>
              <w:bottom w:val="single" w:sz="4" w:space="0" w:color="auto"/>
            </w:tcBorders>
            <w:shd w:val="clear" w:color="auto" w:fill="FFC000"/>
            <w:vAlign w:val="center"/>
            <w:hideMark/>
          </w:tcPr>
          <w:p w14:paraId="5299CF56"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Objeto</w:t>
            </w:r>
          </w:p>
        </w:tc>
        <w:tc>
          <w:tcPr>
            <w:tcW w:w="6" w:type="dxa"/>
            <w:tcBorders>
              <w:bottom w:val="single" w:sz="4" w:space="0" w:color="auto"/>
            </w:tcBorders>
            <w:shd w:val="clear" w:color="auto" w:fill="FFC000"/>
            <w:vAlign w:val="center"/>
            <w:hideMark/>
          </w:tcPr>
          <w:p w14:paraId="71B3F613"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Modalidad</w:t>
            </w:r>
          </w:p>
        </w:tc>
        <w:tc>
          <w:tcPr>
            <w:tcW w:w="6" w:type="dxa"/>
            <w:tcBorders>
              <w:bottom w:val="single" w:sz="4" w:space="0" w:color="auto"/>
            </w:tcBorders>
            <w:shd w:val="clear" w:color="auto" w:fill="FFC000"/>
            <w:vAlign w:val="center"/>
            <w:hideMark/>
          </w:tcPr>
          <w:p w14:paraId="1FF41CF5"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SGP Ribereños</w:t>
            </w:r>
          </w:p>
        </w:tc>
        <w:tc>
          <w:tcPr>
            <w:tcW w:w="6" w:type="dxa"/>
            <w:tcBorders>
              <w:bottom w:val="single" w:sz="4" w:space="0" w:color="auto"/>
            </w:tcBorders>
            <w:shd w:val="clear" w:color="auto" w:fill="FFC000"/>
            <w:vAlign w:val="center"/>
            <w:hideMark/>
          </w:tcPr>
          <w:p w14:paraId="7307A5C3" w14:textId="77777777" w:rsidR="00326102" w:rsidRPr="008372BA" w:rsidRDefault="00326102" w:rsidP="001563A5">
            <w:pPr>
              <w:ind w:right="-24"/>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Valor</w:t>
            </w:r>
          </w:p>
        </w:tc>
        <w:tc>
          <w:tcPr>
            <w:tcW w:w="6" w:type="dxa"/>
            <w:tcBorders>
              <w:bottom w:val="single" w:sz="4" w:space="0" w:color="auto"/>
            </w:tcBorders>
            <w:shd w:val="clear" w:color="auto" w:fill="FFC000"/>
            <w:vAlign w:val="center"/>
            <w:hideMark/>
          </w:tcPr>
          <w:p w14:paraId="076F23FA"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Arial" w:hAnsi="Verdana"/>
                <w:color w:val="auto"/>
                <w:sz w:val="18"/>
                <w:szCs w:val="18"/>
              </w:rPr>
            </w:pPr>
            <w:r w:rsidRPr="008372BA">
              <w:rPr>
                <w:rFonts w:ascii="Verdana" w:eastAsia="Arial" w:hAnsi="Verdana"/>
                <w:sz w:val="18"/>
                <w:szCs w:val="18"/>
              </w:rPr>
              <w:t>Plazo</w:t>
            </w:r>
          </w:p>
        </w:tc>
      </w:tr>
      <w:tr w:rsidR="00326102" w:rsidRPr="008372BA" w14:paraId="1241E1D4" w14:textId="77777777" w:rsidTr="001563A5">
        <w:trPr>
          <w:cnfStyle w:val="000000100000" w:firstRow="0" w:lastRow="0" w:firstColumn="0" w:lastColumn="0" w:oddVBand="0" w:evenVBand="0" w:oddHBand="1" w:evenHBand="0" w:firstRowFirstColumn="0" w:firstRowLastColumn="0" w:lastRowFirstColumn="0" w:lastRowLastColumn="0"/>
          <w:trHeight w:val="1380"/>
          <w:jc w:val="center"/>
        </w:trPr>
        <w:tc>
          <w:tcPr>
            <w:cnfStyle w:val="001000000000" w:firstRow="0" w:lastRow="0" w:firstColumn="1" w:lastColumn="0" w:oddVBand="0" w:evenVBand="0" w:oddHBand="0" w:evenHBand="0" w:firstRowFirstColumn="0" w:firstRowLastColumn="0" w:lastRowFirstColumn="0" w:lastRowLastColumn="0"/>
            <w:tcW w:w="1129" w:type="dxa"/>
            <w:tcBorders>
              <w:top w:val="single" w:sz="4" w:space="0" w:color="auto"/>
              <w:right w:val="single" w:sz="4" w:space="0" w:color="auto"/>
            </w:tcBorders>
            <w:shd w:val="clear" w:color="auto" w:fill="FFC000"/>
            <w:vAlign w:val="center"/>
          </w:tcPr>
          <w:p w14:paraId="6F19ED1B"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CO1.PCCNTR.3099616</w:t>
            </w:r>
          </w:p>
          <w:p w14:paraId="50AA192C" w14:textId="77777777" w:rsidR="00326102" w:rsidRPr="008372BA" w:rsidRDefault="00326102" w:rsidP="001563A5">
            <w:pPr>
              <w:contextualSpacing/>
              <w:jc w:val="center"/>
              <w:rPr>
                <w:rFonts w:ascii="Verdana" w:eastAsia="Arial" w:hAnsi="Verdana"/>
                <w:color w:val="000000" w:themeColor="text1"/>
                <w:sz w:val="18"/>
                <w:szCs w:val="18"/>
              </w:rPr>
            </w:pPr>
          </w:p>
        </w:tc>
        <w:tc>
          <w:tcPr>
            <w:tcW w:w="1393" w:type="dxa"/>
            <w:tcBorders>
              <w:top w:val="single" w:sz="4" w:space="0" w:color="auto"/>
              <w:left w:val="single" w:sz="4" w:space="0" w:color="auto"/>
              <w:bottom w:val="single" w:sz="4" w:space="0" w:color="auto"/>
              <w:right w:val="single" w:sz="4" w:space="0" w:color="auto"/>
            </w:tcBorders>
            <w:vAlign w:val="center"/>
          </w:tcPr>
          <w:p w14:paraId="28948A46"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sz w:val="18"/>
                <w:szCs w:val="18"/>
              </w:rPr>
            </w:pPr>
            <w:r w:rsidRPr="008372BA">
              <w:rPr>
                <w:rFonts w:ascii="Verdana" w:eastAsia="Arial" w:hAnsi="Verdana"/>
                <w:sz w:val="18"/>
                <w:szCs w:val="18"/>
              </w:rPr>
              <w:t>FUNDACIÓN PARA EL DESARROLLO INTEGRAL DE LA CUENCA DEL PACIFICO /</w:t>
            </w:r>
          </w:p>
          <w:p w14:paraId="65895860"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sz w:val="18"/>
                <w:szCs w:val="18"/>
              </w:rPr>
            </w:pPr>
            <w:r w:rsidRPr="008372BA">
              <w:rPr>
                <w:rFonts w:ascii="Verdana" w:eastAsia="Arial" w:hAnsi="Verdana"/>
                <w:b/>
                <w:bCs/>
                <w:sz w:val="18"/>
                <w:szCs w:val="18"/>
              </w:rPr>
              <w:t>RL</w:t>
            </w:r>
            <w:r w:rsidRPr="008372BA">
              <w:rPr>
                <w:rFonts w:ascii="Verdana" w:eastAsia="Arial" w:hAnsi="Verdana"/>
                <w:sz w:val="18"/>
                <w:szCs w:val="18"/>
              </w:rPr>
              <w:t>: ASTHER SERNA HINESTROZA</w:t>
            </w:r>
          </w:p>
          <w:p w14:paraId="61103683"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olor w:val="000000" w:themeColor="text1"/>
                <w:sz w:val="18"/>
                <w:szCs w:val="18"/>
              </w:rPr>
            </w:pPr>
          </w:p>
        </w:tc>
        <w:tc>
          <w:tcPr>
            <w:tcW w:w="2293" w:type="dxa"/>
            <w:tcBorders>
              <w:top w:val="single" w:sz="4" w:space="0" w:color="auto"/>
              <w:left w:val="single" w:sz="4" w:space="0" w:color="auto"/>
              <w:bottom w:val="single" w:sz="4" w:space="0" w:color="auto"/>
              <w:right w:val="single" w:sz="4" w:space="0" w:color="auto"/>
            </w:tcBorders>
            <w:vAlign w:val="center"/>
            <w:hideMark/>
          </w:tcPr>
          <w:p w14:paraId="46081F0C"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olor w:val="000000" w:themeColor="text1"/>
                <w:sz w:val="18"/>
                <w:szCs w:val="18"/>
              </w:rPr>
            </w:pPr>
            <w:r w:rsidRPr="008372BA">
              <w:rPr>
                <w:rFonts w:ascii="Verdana" w:eastAsia="Arial" w:hAnsi="Verdana"/>
                <w:i/>
                <w:iCs/>
                <w:color w:val="000000" w:themeColor="text1"/>
                <w:sz w:val="18"/>
                <w:szCs w:val="18"/>
              </w:rPr>
              <w:t>Desarrollo de acciones para el cuidado y la conservación de los cuerpos de agua que favorezcan el recurso pesquero de los pescadores artesanales del Municipio de Puerto Berrío – Antioquia</w:t>
            </w:r>
          </w:p>
        </w:tc>
        <w:tc>
          <w:tcPr>
            <w:tcW w:w="1171" w:type="dxa"/>
            <w:tcBorders>
              <w:top w:val="single" w:sz="4" w:space="0" w:color="auto"/>
              <w:left w:val="single" w:sz="4" w:space="0" w:color="auto"/>
              <w:bottom w:val="single" w:sz="4" w:space="0" w:color="auto"/>
              <w:right w:val="single" w:sz="4" w:space="0" w:color="auto"/>
            </w:tcBorders>
            <w:vAlign w:val="center"/>
            <w:hideMark/>
          </w:tcPr>
          <w:p w14:paraId="409BF8EF"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olor w:val="000000" w:themeColor="text1"/>
                <w:sz w:val="18"/>
                <w:szCs w:val="18"/>
              </w:rPr>
            </w:pPr>
            <w:r w:rsidRPr="008372BA">
              <w:rPr>
                <w:rFonts w:ascii="Verdana" w:eastAsia="Arial" w:hAnsi="Verdana"/>
                <w:color w:val="000000" w:themeColor="text1"/>
                <w:sz w:val="18"/>
                <w:szCs w:val="18"/>
              </w:rPr>
              <w:t>Proceso competitivo para entidades sin ánimo de lucro</w:t>
            </w:r>
          </w:p>
        </w:tc>
        <w:tc>
          <w:tcPr>
            <w:tcW w:w="939" w:type="dxa"/>
            <w:tcBorders>
              <w:top w:val="single" w:sz="4" w:space="0" w:color="auto"/>
              <w:left w:val="single" w:sz="4" w:space="0" w:color="auto"/>
              <w:bottom w:val="single" w:sz="4" w:space="0" w:color="auto"/>
              <w:right w:val="single" w:sz="4" w:space="0" w:color="auto"/>
            </w:tcBorders>
            <w:vAlign w:val="center"/>
            <w:hideMark/>
          </w:tcPr>
          <w:p w14:paraId="3AA9C00B"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olor w:val="000000" w:themeColor="text1"/>
                <w:sz w:val="18"/>
                <w:szCs w:val="18"/>
              </w:rPr>
            </w:pPr>
            <w:r w:rsidRPr="008372BA">
              <w:rPr>
                <w:rFonts w:ascii="Verdana" w:eastAsia="Arial" w:hAnsi="Verdana"/>
                <w:color w:val="000000" w:themeColor="text1"/>
                <w:sz w:val="18"/>
                <w:szCs w:val="18"/>
              </w:rPr>
              <w:t>100 %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D3929F5"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sz w:val="18"/>
                <w:szCs w:val="18"/>
              </w:rPr>
            </w:pPr>
            <w:r w:rsidRPr="008372BA">
              <w:rPr>
                <w:rFonts w:ascii="Verdana" w:eastAsia="Arial" w:hAnsi="Verdana"/>
                <w:sz w:val="18"/>
                <w:szCs w:val="18"/>
              </w:rPr>
              <w:t>$177.707.700</w:t>
            </w:r>
          </w:p>
        </w:tc>
        <w:tc>
          <w:tcPr>
            <w:tcW w:w="714" w:type="dxa"/>
            <w:tcBorders>
              <w:top w:val="single" w:sz="4" w:space="0" w:color="auto"/>
              <w:left w:val="single" w:sz="4" w:space="0" w:color="auto"/>
              <w:bottom w:val="single" w:sz="4" w:space="0" w:color="auto"/>
              <w:right w:val="single" w:sz="4" w:space="0" w:color="auto"/>
            </w:tcBorders>
            <w:vAlign w:val="center"/>
            <w:hideMark/>
          </w:tcPr>
          <w:p w14:paraId="350B6C2E"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Arial" w:hAnsi="Verdana"/>
                <w:color w:val="000000" w:themeColor="text1"/>
                <w:sz w:val="18"/>
                <w:szCs w:val="18"/>
              </w:rPr>
            </w:pPr>
            <w:r w:rsidRPr="008372BA">
              <w:rPr>
                <w:rFonts w:ascii="Verdana" w:eastAsia="Arial" w:hAnsi="Verdana"/>
                <w:color w:val="000000" w:themeColor="text1"/>
                <w:sz w:val="18"/>
                <w:szCs w:val="18"/>
              </w:rPr>
              <w:t>30 días</w:t>
            </w:r>
          </w:p>
        </w:tc>
      </w:tr>
    </w:tbl>
    <w:p w14:paraId="04812F93" w14:textId="77777777" w:rsidR="00326102" w:rsidRPr="008372BA" w:rsidRDefault="00326102" w:rsidP="00326102">
      <w:pPr>
        <w:contextualSpacing/>
        <w:jc w:val="center"/>
        <w:rPr>
          <w:rFonts w:ascii="Verdana" w:eastAsia="Arial" w:hAnsi="Verdana" w:cs="Arial"/>
          <w:color w:val="000000" w:themeColor="text1"/>
          <w:sz w:val="16"/>
          <w:szCs w:val="16"/>
        </w:rPr>
      </w:pPr>
      <w:r w:rsidRPr="008372BA">
        <w:rPr>
          <w:rFonts w:ascii="Verdana" w:eastAsia="Arial" w:hAnsi="Verdana" w:cs="Arial"/>
          <w:color w:val="000000" w:themeColor="text1"/>
          <w:sz w:val="16"/>
          <w:szCs w:val="16"/>
          <w:lang w:val="es-CO"/>
        </w:rPr>
        <w:t>Fuente: Elaboración propia con el expediente contractual remitido por la Entidad Territorial.</w:t>
      </w:r>
    </w:p>
    <w:p w14:paraId="6B0ADEA9" w14:textId="77777777" w:rsidR="00326102" w:rsidRPr="008372BA" w:rsidRDefault="00326102" w:rsidP="00326102">
      <w:pPr>
        <w:contextualSpacing/>
        <w:jc w:val="both"/>
        <w:rPr>
          <w:rFonts w:ascii="Verdana" w:eastAsia="Arial" w:hAnsi="Verdana" w:cs="Arial"/>
          <w:color w:val="000000" w:themeColor="text1"/>
          <w:sz w:val="22"/>
          <w:szCs w:val="22"/>
        </w:rPr>
      </w:pPr>
    </w:p>
    <w:p w14:paraId="1B0CE572" w14:textId="77777777" w:rsidR="00326102" w:rsidRPr="008372BA" w:rsidRDefault="00326102" w:rsidP="00326102">
      <w:pPr>
        <w:contextualSpacing/>
        <w:jc w:val="both"/>
        <w:rPr>
          <w:rFonts w:ascii="Verdana" w:eastAsia="Arial" w:hAnsi="Verdana" w:cs="Arial"/>
          <w:color w:val="000000" w:themeColor="text1"/>
          <w:sz w:val="22"/>
          <w:szCs w:val="22"/>
        </w:rPr>
      </w:pPr>
      <w:r w:rsidRPr="008372BA">
        <w:rPr>
          <w:rFonts w:ascii="Verdana" w:eastAsia="Arial" w:hAnsi="Verdana" w:cs="Arial"/>
          <w:color w:val="000000" w:themeColor="text1"/>
          <w:sz w:val="22"/>
          <w:szCs w:val="22"/>
        </w:rPr>
        <w:t>Se encontró que el Contrato CO1.PCCNTR.3099616 se encuentra enmarcado en las líneas de inversión de manejo artificial de caudales y tratamiento de aguas residuales. Ahora bien, genera preocupación que, entre las actividades desarrolladas, se llevaron a cabo talleres de educación ambiental cuyo contenido no fue remitido a esta dirección en ninguno de los documentos, y que podrían ser causal de un cambio en la destinación de los recursos dado que las actividades enfocadas en la conservación y protección del medio ambiente que no estén relacionadas con el Rio Magdalena, no son susceptibles de ser financiadas con los recursos de AE Ribereños.</w:t>
      </w:r>
    </w:p>
    <w:p w14:paraId="58CAF731" w14:textId="77777777" w:rsidR="00326102" w:rsidRPr="008372BA" w:rsidRDefault="00326102" w:rsidP="00326102">
      <w:pPr>
        <w:contextualSpacing/>
        <w:jc w:val="both"/>
        <w:rPr>
          <w:rFonts w:ascii="Verdana" w:eastAsia="Calibri" w:hAnsi="Verdana" w:cs="Arial"/>
          <w:b/>
          <w:bCs/>
          <w:sz w:val="22"/>
          <w:szCs w:val="22"/>
          <w:lang w:val="es-CO" w:eastAsia="en-US"/>
        </w:rPr>
      </w:pPr>
    </w:p>
    <w:p w14:paraId="7D79F627" w14:textId="77777777" w:rsidR="00326102" w:rsidRPr="008372BA" w:rsidRDefault="00326102" w:rsidP="00326102">
      <w:pPr>
        <w:contextualSpacing/>
        <w:jc w:val="both"/>
        <w:rPr>
          <w:rFonts w:ascii="Verdana" w:hAnsi="Verdana" w:cs="Arial"/>
          <w:sz w:val="22"/>
          <w:szCs w:val="22"/>
          <w:u w:val="single"/>
          <w:lang w:eastAsia="en-US"/>
        </w:rPr>
      </w:pPr>
      <w:r w:rsidRPr="008372BA">
        <w:rPr>
          <w:rFonts w:ascii="Verdana" w:hAnsi="Verdana" w:cs="Arial"/>
          <w:b/>
          <w:sz w:val="22"/>
          <w:szCs w:val="22"/>
          <w:lang w:val="es-CO" w:eastAsia="en-US"/>
        </w:rPr>
        <w:t>Evaluación:</w:t>
      </w:r>
      <w:r w:rsidRPr="008372BA">
        <w:rPr>
          <w:rFonts w:ascii="Verdana" w:hAnsi="Verdana" w:cs="Arial"/>
          <w:b/>
          <w:bCs/>
          <w:sz w:val="22"/>
          <w:szCs w:val="22"/>
          <w:lang w:val="es-CO" w:eastAsia="en-US"/>
        </w:rPr>
        <w:t xml:space="preserve"> </w:t>
      </w:r>
      <w:r w:rsidRPr="008372BA">
        <w:rPr>
          <w:rFonts w:ascii="Verdana" w:hAnsi="Verdana" w:cs="Arial"/>
          <w:sz w:val="22"/>
          <w:szCs w:val="22"/>
          <w:u w:val="single"/>
          <w:lang w:eastAsia="en-US"/>
        </w:rPr>
        <w:t>Cumple.</w:t>
      </w:r>
    </w:p>
    <w:p w14:paraId="4AE530D3" w14:textId="77777777" w:rsidR="00326102" w:rsidRPr="008372BA" w:rsidRDefault="00326102" w:rsidP="00326102">
      <w:pPr>
        <w:contextualSpacing/>
        <w:jc w:val="both"/>
        <w:rPr>
          <w:rFonts w:ascii="Verdana" w:eastAsia="Calibri" w:hAnsi="Verdana" w:cs="Arial"/>
          <w:b/>
          <w:bCs/>
          <w:sz w:val="22"/>
          <w:szCs w:val="22"/>
          <w:lang w:val="es-CO" w:eastAsia="en-US"/>
        </w:rPr>
      </w:pPr>
    </w:p>
    <w:p w14:paraId="558EF5D4"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b/>
          <w:bCs/>
          <w:sz w:val="22"/>
          <w:szCs w:val="22"/>
          <w:lang w:val="es-CO" w:eastAsia="en-US"/>
        </w:rPr>
        <w:t xml:space="preserve">Recomendación: </w:t>
      </w:r>
      <w:r w:rsidRPr="008372BA">
        <w:rPr>
          <w:rFonts w:ascii="Verdana" w:hAnsi="Verdana" w:cs="Arial"/>
          <w:sz w:val="22"/>
          <w:szCs w:val="22"/>
          <w:lang w:val="es-CO" w:eastAsia="en-US"/>
        </w:rPr>
        <w:t xml:space="preserve">Es necesario fortalecer los lineamientos para la construcción de los documentos precontractuales que sustentan los procesos contractuales que adelanta el Municipio en la ejecución de los recursos de la Asignación Ribereños, de manera que la Entidad Territorial adelante la contratación con base en la planeación previa de los contratos encaminados con las líneas de inversión permitidas. En ese sentido, se recomienda, integrar dentro de los estudios previos de la contratación el documento diagnóstico planteado en la Actividad 1.1 </w:t>
      </w:r>
      <w:r w:rsidRPr="008372BA">
        <w:rPr>
          <w:rFonts w:ascii="Verdana" w:hAnsi="Verdana" w:cs="Arial"/>
          <w:i/>
          <w:iCs/>
          <w:sz w:val="22"/>
          <w:szCs w:val="22"/>
          <w:lang w:val="es-CO" w:eastAsia="en-US"/>
        </w:rPr>
        <w:t>“</w:t>
      </w:r>
      <w:r w:rsidRPr="008372BA">
        <w:rPr>
          <w:rFonts w:ascii="Verdana" w:hAnsi="Verdana" w:cs="Arial"/>
          <w:i/>
          <w:iCs/>
          <w:sz w:val="22"/>
          <w:szCs w:val="22"/>
          <w:lang w:eastAsia="en-US"/>
        </w:rPr>
        <w:t xml:space="preserve">Elaborar un documento para la Planificación de la inversión de los recursos SGP Asignación Especial en torno al Río Magdalena: </w:t>
      </w:r>
      <w:r w:rsidRPr="008372BA">
        <w:rPr>
          <w:rFonts w:ascii="Verdana" w:hAnsi="Verdana" w:cs="Arial"/>
          <w:i/>
          <w:iCs/>
          <w:sz w:val="22"/>
          <w:szCs w:val="22"/>
          <w:lang w:eastAsia="en-US"/>
        </w:rPr>
        <w:lastRenderedPageBreak/>
        <w:t>que incluya diagnóstico frente a la situación y necesidades del Río Magdalena y que complemente las metas y objetivos trazados en materia ambiental en el Plan Municipal de Desarrollo, estableciendo indicadores, metas y actividades”</w:t>
      </w:r>
      <w:r w:rsidRPr="008372BA">
        <w:rPr>
          <w:rFonts w:ascii="Verdana" w:hAnsi="Verdana" w:cs="Arial"/>
          <w:sz w:val="22"/>
          <w:szCs w:val="22"/>
          <w:lang w:val="es-CO" w:eastAsia="en-US"/>
        </w:rPr>
        <w:t>, de esta forma se puede hacer explícita la justificación del uso de los recursos del SGP Ribereños en determinado contrato, haciendo énfasis en la relación de las obligaciones y actividades contractuales con el Río Magdalena y la línea de inversión en la cual se pretende amparar. Asimismo, la planeación del recurso a través de los diferentes instrumentos de planeación evitará la contratación errónea con cargos al SGP Ribereños.</w:t>
      </w:r>
    </w:p>
    <w:p w14:paraId="6879A46C" w14:textId="77777777" w:rsidR="00326102" w:rsidRPr="008372BA" w:rsidRDefault="00326102" w:rsidP="00326102">
      <w:pPr>
        <w:contextualSpacing/>
        <w:jc w:val="both"/>
        <w:rPr>
          <w:rFonts w:ascii="Verdana" w:eastAsia="Calibri" w:hAnsi="Verdana" w:cs="Arial"/>
          <w:b/>
          <w:bCs/>
          <w:sz w:val="22"/>
          <w:szCs w:val="22"/>
          <w:lang w:val="es-CO" w:eastAsia="en-US"/>
        </w:rPr>
      </w:pPr>
    </w:p>
    <w:p w14:paraId="1DA5BE58"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Objetivo: </w:t>
      </w:r>
      <w:r w:rsidRPr="008372BA">
        <w:rPr>
          <w:rFonts w:ascii="Verdana" w:eastAsia="Calibri" w:hAnsi="Verdana" w:cs="Arial"/>
          <w:sz w:val="22"/>
          <w:szCs w:val="22"/>
          <w:lang w:val="es-CO" w:eastAsia="en-US"/>
        </w:rPr>
        <w:t>2.1.</w:t>
      </w:r>
      <w:r w:rsidRPr="008372BA">
        <w:rPr>
          <w:rFonts w:ascii="Verdana" w:eastAsia="Calibri" w:hAnsi="Verdana" w:cs="Arial"/>
          <w:b/>
          <w:bCs/>
          <w:sz w:val="22"/>
          <w:szCs w:val="22"/>
          <w:lang w:val="es-CO" w:eastAsia="en-US"/>
        </w:rPr>
        <w:t xml:space="preserve"> </w:t>
      </w:r>
      <w:r w:rsidRPr="008372BA">
        <w:rPr>
          <w:rFonts w:ascii="Verdana" w:eastAsia="Calibri" w:hAnsi="Verdana" w:cs="Arial"/>
          <w:sz w:val="22"/>
          <w:szCs w:val="22"/>
          <w:lang w:val="es-CO" w:eastAsia="en-US"/>
        </w:rPr>
        <w:t>Garantizar la celebración de contratos que incluya objeto y actividades de acuerdo con las líneas de inversión definidas en el artículo 20 de la Ley 1176 de 2007.</w:t>
      </w:r>
    </w:p>
    <w:p w14:paraId="7A83FA26"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4208F3F"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2.1.2. Realizar inversiones dentro de los usos del artículo 20 de la Ley 1176 de 2007 por el valor equivalente a $88.827.830, por los recursos objeto de un cambio en la destinación para la vigencia 2020, las cuales deberán ser sufragados con recursos diferentes a la Asignación Especial para Municipios Ribereños del Río Magdalena del Sistema General de Participaciones.</w:t>
      </w:r>
    </w:p>
    <w:p w14:paraId="60243F13"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699497E9"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Contrato y registro presupuestal, o certificado de disponibilidad y registro presupuestales de los compromisos que se adquieran por valor de $88.827.830 con recursos propios del Municipio de Puerto Berrío – Antioquia para ser ejecutados enmarcado en las seis (6) líneas de inversión permitidas.</w:t>
      </w:r>
    </w:p>
    <w:p w14:paraId="0494C7F3" w14:textId="77777777" w:rsidR="00326102" w:rsidRPr="008372BA" w:rsidRDefault="00326102" w:rsidP="00326102">
      <w:pPr>
        <w:contextualSpacing/>
        <w:jc w:val="both"/>
        <w:rPr>
          <w:rFonts w:ascii="Verdana" w:eastAsia="Calibri" w:hAnsi="Verdana" w:cs="Arial"/>
          <w:sz w:val="22"/>
          <w:szCs w:val="22"/>
          <w:lang w:val="es-CO" w:eastAsia="en-US"/>
        </w:rPr>
      </w:pPr>
    </w:p>
    <w:p w14:paraId="5AC763E2"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 xml:space="preserve">Dentro de la información remitida por la Entidad no se incluyó ningún contrato que no hubiera sido financiado con recursos de la Asignación Especial para Municipios Ribereños del Río Magdalena por un valor equivalente a los $88,8 millones a los cuales hace referencia la Actividad en cuestión; lo anterior, de acuerdo con los certificados de disponibilidad y registro presupuestales allegados a esta Dirección. Por consiguiente, no fue posible realizar una evaluación de esta Actividad y del producto solicitado por lo cual se califica como no cumplida. </w:t>
      </w:r>
    </w:p>
    <w:p w14:paraId="2E4FAE31" w14:textId="77777777" w:rsidR="00326102" w:rsidRPr="008372BA" w:rsidRDefault="00326102" w:rsidP="00326102">
      <w:pPr>
        <w:contextualSpacing/>
        <w:jc w:val="both"/>
        <w:rPr>
          <w:rFonts w:ascii="Verdana" w:eastAsia="Calibri" w:hAnsi="Verdana" w:cs="Arial"/>
          <w:sz w:val="22"/>
          <w:szCs w:val="22"/>
          <w:lang w:eastAsia="en-US"/>
        </w:rPr>
      </w:pPr>
    </w:p>
    <w:p w14:paraId="41DA6684"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Evaluación:</w:t>
      </w:r>
      <w:r w:rsidRPr="008372BA">
        <w:rPr>
          <w:rFonts w:ascii="Verdana" w:eastAsia="Calibri" w:hAnsi="Verdana" w:cs="Arial"/>
          <w:sz w:val="22"/>
          <w:szCs w:val="22"/>
          <w:lang w:val="es-CO" w:eastAsia="en-US"/>
        </w:rPr>
        <w:t xml:space="preserve"> </w:t>
      </w:r>
      <w:r w:rsidRPr="008372BA">
        <w:rPr>
          <w:rFonts w:ascii="Verdana" w:eastAsia="Calibri" w:hAnsi="Verdana" w:cs="Arial"/>
          <w:sz w:val="22"/>
          <w:szCs w:val="22"/>
          <w:u w:val="single"/>
          <w:lang w:val="es-CO" w:eastAsia="en-US"/>
        </w:rPr>
        <w:t>No cumple.</w:t>
      </w:r>
    </w:p>
    <w:p w14:paraId="729BB230" w14:textId="77777777" w:rsidR="00326102" w:rsidRPr="008372BA" w:rsidRDefault="00326102" w:rsidP="00326102">
      <w:pPr>
        <w:contextualSpacing/>
        <w:jc w:val="both"/>
        <w:rPr>
          <w:rFonts w:ascii="Verdana" w:eastAsia="Calibri" w:hAnsi="Verdana" w:cs="Arial"/>
          <w:sz w:val="22"/>
          <w:szCs w:val="22"/>
          <w:lang w:val="es-CO" w:eastAsia="en-US"/>
        </w:rPr>
      </w:pPr>
    </w:p>
    <w:p w14:paraId="5A0FCC47"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Recomendación: </w:t>
      </w:r>
      <w:r w:rsidRPr="008372BA">
        <w:rPr>
          <w:rFonts w:ascii="Verdana" w:eastAsia="Calibri" w:hAnsi="Verdana" w:cs="Arial"/>
          <w:sz w:val="22"/>
          <w:szCs w:val="22"/>
          <w:lang w:eastAsia="en-US"/>
        </w:rPr>
        <w:t>Es necesario que el Municipio planee y realice una inversión de acuerdo con sus necesidades con recursos diferentes a los de la Asignación Especial para así poder subsanar el cambio en la destinación de los recursos que se ha incurrido y que fue identificado por esta Dirección. Además, es necesario que las inversiones estén dentro de las líneas de inversión permitidas de acuerdo con el artículo 20 de la Ley 1176 de 2007 modificado por la Ley 2048 de 2020</w:t>
      </w:r>
      <w:r w:rsidRPr="008372BA">
        <w:rPr>
          <w:rFonts w:ascii="Verdana" w:eastAsia="Calibri" w:hAnsi="Verdana" w:cs="Arial"/>
          <w:sz w:val="22"/>
          <w:szCs w:val="22"/>
          <w:lang w:val="es-CO" w:eastAsia="en-US"/>
        </w:rPr>
        <w:t>.</w:t>
      </w:r>
    </w:p>
    <w:p w14:paraId="2B1CAEEA" w14:textId="77777777" w:rsidR="00326102" w:rsidRPr="008372BA" w:rsidRDefault="00326102" w:rsidP="00326102">
      <w:pPr>
        <w:contextualSpacing/>
        <w:jc w:val="both"/>
        <w:rPr>
          <w:rFonts w:ascii="Verdana" w:eastAsia="Calibri" w:hAnsi="Verdana" w:cs="Arial"/>
          <w:b/>
          <w:bCs/>
          <w:sz w:val="22"/>
          <w:szCs w:val="22"/>
          <w:lang w:val="es-CO" w:eastAsia="en-US"/>
        </w:rPr>
      </w:pPr>
    </w:p>
    <w:p w14:paraId="066F08CC"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2.2. Garantizar el adecuado surtimiento de los procesos de contratación adelantados por la Entidad Territorial especialmente en la elaboración de los estudios previos con un adecuado análisis y soporte de los </w:t>
      </w:r>
      <w:r w:rsidRPr="008372BA">
        <w:rPr>
          <w:rFonts w:ascii="Verdana" w:eastAsia="Calibri" w:hAnsi="Verdana" w:cs="Arial"/>
          <w:sz w:val="22"/>
          <w:szCs w:val="22"/>
          <w:lang w:val="es-CO" w:eastAsia="en-US"/>
        </w:rPr>
        <w:lastRenderedPageBreak/>
        <w:t>estudios de mercado, así como la evidencia en la etapa de supervisión o interventoría de cumplimiento a lo definido en la etapa de planeación contractual.</w:t>
      </w:r>
    </w:p>
    <w:p w14:paraId="6CB14004"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66F1C559"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2.2.1. Elaboración de estudios previos con estudios de mercado robustos que justifiquen el valor de la contratación y de los insumos necesarios para su desarrollo, debe incluir los soportes de cotizaciones que lo sustentan. Así mismo, presentar los informes de supervisión e interventoría para todos los contratos que evidencie la compra de los bienes o servicios estipulados en el estudio de mercado.</w:t>
      </w:r>
    </w:p>
    <w:p w14:paraId="642CD6C0"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2737616A" w14:textId="77777777" w:rsidR="00326102" w:rsidRPr="008372BA" w:rsidRDefault="00326102" w:rsidP="00326102">
      <w:pPr>
        <w:ind w:left="709"/>
        <w:contextualSpacing/>
        <w:jc w:val="both"/>
        <w:rPr>
          <w:rFonts w:ascii="Verdana" w:hAnsi="Verdana" w:cs="Arial"/>
          <w:sz w:val="22"/>
          <w:szCs w:val="22"/>
          <w:lang w:val="es-CO" w:eastAsia="en-US"/>
        </w:rPr>
      </w:pPr>
      <w:r w:rsidRPr="008372BA">
        <w:rPr>
          <w:rFonts w:ascii="Verdana" w:hAnsi="Verdana" w:cs="Arial"/>
          <w:b/>
          <w:sz w:val="22"/>
          <w:szCs w:val="22"/>
          <w:lang w:val="es-CO" w:eastAsia="en-US"/>
        </w:rPr>
        <w:t>Producto:</w:t>
      </w:r>
      <w:r w:rsidRPr="008372BA">
        <w:rPr>
          <w:rFonts w:ascii="Verdana" w:hAnsi="Verdana" w:cs="Arial"/>
          <w:sz w:val="22"/>
          <w:szCs w:val="22"/>
          <w:lang w:val="es-CO" w:eastAsia="en-US"/>
        </w:rPr>
        <w:t xml:space="preserve"> Copia de los estudios de mercado que integran los estudios previos de la contratación realizada con recursos de la Asignación de Ribereños.</w:t>
      </w:r>
    </w:p>
    <w:p w14:paraId="12A0D4EF" w14:textId="77777777" w:rsidR="00326102" w:rsidRPr="008372BA" w:rsidRDefault="00326102" w:rsidP="00326102">
      <w:pPr>
        <w:ind w:left="709"/>
        <w:contextualSpacing/>
        <w:jc w:val="both"/>
        <w:rPr>
          <w:rFonts w:ascii="Verdana" w:hAnsi="Verdana" w:cs="Arial"/>
          <w:sz w:val="22"/>
          <w:szCs w:val="22"/>
          <w:lang w:val="es-CO" w:eastAsia="en-US"/>
        </w:rPr>
      </w:pPr>
    </w:p>
    <w:p w14:paraId="3F159BDB"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sz w:val="22"/>
          <w:szCs w:val="22"/>
          <w:lang w:val="es-CO" w:eastAsia="en-US"/>
        </w:rPr>
        <w:t xml:space="preserve">Se revisaron los estudios previos del </w:t>
      </w:r>
      <w:r w:rsidRPr="008372BA">
        <w:rPr>
          <w:rFonts w:ascii="Verdana" w:eastAsia="Arial" w:hAnsi="Verdana" w:cs="Arial"/>
          <w:color w:val="000000" w:themeColor="text1"/>
          <w:sz w:val="22"/>
          <w:szCs w:val="22"/>
        </w:rPr>
        <w:t>CO1.PCCNTR.3099616</w:t>
      </w:r>
      <w:r w:rsidRPr="008372BA">
        <w:rPr>
          <w:rFonts w:ascii="Verdana" w:hAnsi="Verdana" w:cs="Arial"/>
          <w:sz w:val="22"/>
          <w:szCs w:val="22"/>
          <w:lang w:val="es-CO" w:eastAsia="en-US"/>
        </w:rPr>
        <w:t xml:space="preserve"> del 14 de diciembre de 2021 objeto del presente análisis y se logró evidenciar que contienen un apartado de análisis técnico o de la justificación del valor del Contrato donde se estipula el presupuesto oficial y se agrega una tabla con los precios de los insumos para cumplir con el objeto contractual de manera desagregada.</w:t>
      </w:r>
    </w:p>
    <w:p w14:paraId="3B0901E4" w14:textId="77777777" w:rsidR="00326102" w:rsidRPr="008372BA" w:rsidRDefault="00326102" w:rsidP="00326102">
      <w:pPr>
        <w:contextualSpacing/>
        <w:jc w:val="both"/>
        <w:rPr>
          <w:rFonts w:ascii="Verdana" w:hAnsi="Verdana" w:cs="Arial"/>
          <w:sz w:val="22"/>
          <w:szCs w:val="22"/>
          <w:lang w:val="es-CO" w:eastAsia="en-US"/>
        </w:rPr>
      </w:pPr>
    </w:p>
    <w:p w14:paraId="639A5FCB"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sz w:val="22"/>
          <w:szCs w:val="22"/>
          <w:lang w:val="es-CO" w:eastAsia="en-US"/>
        </w:rPr>
        <w:t>En consecuencia, la Actividad califica como cumplida pues</w:t>
      </w:r>
      <w:r>
        <w:rPr>
          <w:rFonts w:ascii="Verdana" w:hAnsi="Verdana" w:cs="Arial"/>
          <w:sz w:val="22"/>
          <w:szCs w:val="22"/>
          <w:lang w:val="es-CO" w:eastAsia="en-US"/>
        </w:rPr>
        <w:t xml:space="preserve">to que el Municipio realizó el </w:t>
      </w:r>
      <w:r w:rsidRPr="008372BA">
        <w:rPr>
          <w:rFonts w:ascii="Verdana" w:hAnsi="Verdana" w:cs="Arial"/>
          <w:sz w:val="22"/>
          <w:szCs w:val="22"/>
          <w:lang w:val="es-CO" w:eastAsia="en-US"/>
        </w:rPr>
        <w:t xml:space="preserve">análisis técnico que </w:t>
      </w:r>
      <w:r>
        <w:rPr>
          <w:rFonts w:ascii="Verdana" w:hAnsi="Verdana" w:cs="Arial"/>
          <w:sz w:val="22"/>
          <w:szCs w:val="22"/>
          <w:lang w:val="es-CO" w:eastAsia="en-US"/>
        </w:rPr>
        <w:t>justifica</w:t>
      </w:r>
      <w:r w:rsidRPr="008372BA">
        <w:rPr>
          <w:rFonts w:ascii="Verdana" w:hAnsi="Verdana" w:cs="Arial"/>
          <w:sz w:val="22"/>
          <w:szCs w:val="22"/>
          <w:lang w:val="es-CO" w:eastAsia="en-US"/>
        </w:rPr>
        <w:t xml:space="preserve"> el valor total del contrato objeto de financiación con recursos de AE Ribereños.</w:t>
      </w:r>
    </w:p>
    <w:p w14:paraId="3459D207" w14:textId="77777777" w:rsidR="00326102" w:rsidRPr="008372BA" w:rsidRDefault="00326102" w:rsidP="00326102">
      <w:pPr>
        <w:contextualSpacing/>
        <w:jc w:val="both"/>
        <w:rPr>
          <w:rFonts w:ascii="Verdana" w:eastAsia="Calibri" w:hAnsi="Verdana" w:cs="Arial"/>
          <w:sz w:val="22"/>
          <w:szCs w:val="22"/>
          <w:lang w:val="es-CO" w:eastAsia="en-US"/>
        </w:rPr>
      </w:pPr>
    </w:p>
    <w:p w14:paraId="74DB23DE" w14:textId="77777777" w:rsidR="00326102" w:rsidRPr="008372BA" w:rsidRDefault="00326102" w:rsidP="00326102">
      <w:pPr>
        <w:contextualSpacing/>
        <w:jc w:val="both"/>
        <w:rPr>
          <w:rFonts w:ascii="Verdana" w:hAnsi="Verdana" w:cs="Arial"/>
          <w:b/>
          <w:bCs/>
          <w:sz w:val="22"/>
          <w:szCs w:val="22"/>
          <w:lang w:val="es-CO" w:eastAsia="en-US"/>
        </w:rPr>
      </w:pPr>
      <w:r w:rsidRPr="008372BA">
        <w:rPr>
          <w:rFonts w:ascii="Verdana" w:hAnsi="Verdana" w:cs="Arial"/>
          <w:b/>
          <w:bCs/>
          <w:sz w:val="22"/>
          <w:szCs w:val="22"/>
          <w:lang w:val="es-CO" w:eastAsia="en-US"/>
        </w:rPr>
        <w:t xml:space="preserve">Evaluación: </w:t>
      </w:r>
      <w:r>
        <w:rPr>
          <w:rFonts w:ascii="Verdana" w:hAnsi="Verdana" w:cs="Arial"/>
          <w:sz w:val="22"/>
          <w:szCs w:val="22"/>
          <w:u w:val="single"/>
          <w:lang w:val="es-CO" w:eastAsia="en-US"/>
        </w:rPr>
        <w:t>C</w:t>
      </w:r>
      <w:r w:rsidRPr="008372BA">
        <w:rPr>
          <w:rFonts w:ascii="Verdana" w:hAnsi="Verdana" w:cs="Arial"/>
          <w:sz w:val="22"/>
          <w:szCs w:val="22"/>
          <w:u w:val="single"/>
          <w:lang w:val="es-CO" w:eastAsia="en-US"/>
        </w:rPr>
        <w:t>umple.</w:t>
      </w:r>
    </w:p>
    <w:p w14:paraId="15FBE6E0" w14:textId="77777777" w:rsidR="00326102" w:rsidRPr="008372BA" w:rsidRDefault="00326102" w:rsidP="00326102">
      <w:pPr>
        <w:contextualSpacing/>
        <w:jc w:val="both"/>
        <w:rPr>
          <w:rFonts w:ascii="Verdana" w:eastAsia="Calibri" w:hAnsi="Verdana" w:cs="Arial"/>
          <w:sz w:val="22"/>
          <w:szCs w:val="22"/>
          <w:lang w:val="es-CO" w:eastAsia="en-US"/>
        </w:rPr>
      </w:pPr>
    </w:p>
    <w:p w14:paraId="7BD4D026" w14:textId="77777777" w:rsidR="00326102" w:rsidRPr="008372BA" w:rsidRDefault="00326102" w:rsidP="00326102">
      <w:pPr>
        <w:numPr>
          <w:ilvl w:val="3"/>
          <w:numId w:val="3"/>
        </w:numPr>
        <w:ind w:left="284" w:hanging="284"/>
        <w:contextualSpacing/>
        <w:jc w:val="both"/>
        <w:rPr>
          <w:rFonts w:ascii="Verdana" w:eastAsia="Calibri" w:hAnsi="Verdana" w:cs="Arial"/>
          <w:b/>
          <w:bCs/>
          <w:sz w:val="22"/>
          <w:szCs w:val="22"/>
          <w:u w:val="single"/>
          <w:lang w:val="es-CO" w:eastAsia="en-US"/>
        </w:rPr>
      </w:pPr>
      <w:r w:rsidRPr="008372BA">
        <w:rPr>
          <w:rFonts w:ascii="Verdana" w:eastAsia="Calibri" w:hAnsi="Verdana" w:cs="Arial"/>
          <w:b/>
          <w:bCs/>
          <w:sz w:val="22"/>
          <w:szCs w:val="22"/>
          <w:u w:val="single"/>
          <w:lang w:val="es-CO" w:eastAsia="en-US"/>
        </w:rPr>
        <w:t>Categoría: Financiera y presupuestal.</w:t>
      </w:r>
    </w:p>
    <w:p w14:paraId="2E424B86" w14:textId="77777777" w:rsidR="00326102" w:rsidRPr="008372BA" w:rsidRDefault="00326102" w:rsidP="00326102">
      <w:pPr>
        <w:contextualSpacing/>
        <w:jc w:val="both"/>
        <w:rPr>
          <w:rFonts w:ascii="Verdana" w:eastAsia="Calibri" w:hAnsi="Verdana" w:cs="Arial"/>
          <w:sz w:val="22"/>
          <w:szCs w:val="22"/>
          <w:lang w:val="es-CO" w:eastAsia="en-US"/>
        </w:rPr>
      </w:pPr>
    </w:p>
    <w:p w14:paraId="40582820"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3.1. Manejar adecuadamente los recursos de la Asignación Especial para Municipios Ribereños del Río Magdalena.</w:t>
      </w:r>
    </w:p>
    <w:p w14:paraId="1108224E"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0018B32D"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3.1.1. Realizar la capacitación de Cuentas Maestras como medida de control en el proceso de superar la situación de riesgo.</w:t>
      </w:r>
    </w:p>
    <w:p w14:paraId="4E9E7899"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08568B7"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Soporte de asistencia a la capacitación de Cuentas Maestras con el equipo del Ministerio de Hacienda y Crédito Público en lo corrido del 2022.</w:t>
      </w:r>
    </w:p>
    <w:p w14:paraId="090F0183" w14:textId="77777777" w:rsidR="00326102" w:rsidRPr="008372BA" w:rsidRDefault="00326102" w:rsidP="00326102">
      <w:pPr>
        <w:contextualSpacing/>
        <w:jc w:val="both"/>
        <w:rPr>
          <w:rFonts w:ascii="Verdana" w:eastAsia="Calibri" w:hAnsi="Verdana" w:cs="Arial"/>
          <w:sz w:val="22"/>
          <w:szCs w:val="22"/>
          <w:lang w:val="es-CO" w:eastAsia="en-US"/>
        </w:rPr>
      </w:pPr>
    </w:p>
    <w:p w14:paraId="1FB9A794"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 xml:space="preserve">Dentro de la información enviada por la Entidad, no se encuentra constancia de la capacitación hecha al Municipio de Puerto Berrío – Antioquia. No obstante, de acuerdo con el proceso interno de verificación, el equipo de Cuentas Maestras de la Dirección nos hizo llegar el listado de asistencia de la capacitación que se llevó a cabo con los funcionarios del Municipio. En ese sentido, los funcionarios recibieron una capacitación de Cuentas Maestras y Cuentas Maestras Pagadoras el día 16 de noviembre de 2022 empezando dicha a las 10 a.m. En esta ocasión, por parte del </w:t>
      </w:r>
      <w:r w:rsidRPr="008372BA">
        <w:rPr>
          <w:rFonts w:ascii="Verdana" w:eastAsia="Calibri" w:hAnsi="Verdana" w:cs="Arial"/>
          <w:sz w:val="22"/>
          <w:szCs w:val="22"/>
          <w:lang w:eastAsia="en-US"/>
        </w:rPr>
        <w:lastRenderedPageBreak/>
        <w:t>Municipio asistieron: Julio Cesar Ochoa Fajardo, Martha Gutiérrez Munera y Cristian Vargas.</w:t>
      </w:r>
    </w:p>
    <w:p w14:paraId="305E99F4" w14:textId="77777777" w:rsidR="00326102" w:rsidRPr="008372BA" w:rsidRDefault="00326102" w:rsidP="00326102">
      <w:pPr>
        <w:contextualSpacing/>
        <w:jc w:val="both"/>
        <w:rPr>
          <w:rFonts w:ascii="Verdana" w:eastAsia="Calibri" w:hAnsi="Verdana" w:cs="Arial"/>
          <w:sz w:val="22"/>
          <w:szCs w:val="22"/>
          <w:lang w:eastAsia="en-US"/>
        </w:rPr>
      </w:pPr>
    </w:p>
    <w:p w14:paraId="38450088" w14:textId="77777777" w:rsidR="00326102" w:rsidRPr="008372BA" w:rsidRDefault="00326102" w:rsidP="00326102">
      <w:pPr>
        <w:contextualSpacing/>
        <w:jc w:val="both"/>
        <w:rPr>
          <w:rFonts w:ascii="Verdana" w:eastAsia="Calibri" w:hAnsi="Verdana" w:cs="Arial"/>
          <w:sz w:val="22"/>
          <w:szCs w:val="22"/>
          <w:u w:val="single"/>
          <w:lang w:eastAsia="en-US"/>
        </w:rPr>
      </w:pPr>
      <w:r w:rsidRPr="008372BA">
        <w:rPr>
          <w:rFonts w:ascii="Verdana" w:eastAsia="Calibri" w:hAnsi="Verdana" w:cs="Arial"/>
          <w:b/>
          <w:bCs/>
          <w:sz w:val="22"/>
          <w:szCs w:val="22"/>
          <w:lang w:eastAsia="en-US"/>
        </w:rPr>
        <w:t xml:space="preserve">Evaluación: </w:t>
      </w:r>
      <w:r w:rsidRPr="008372BA">
        <w:rPr>
          <w:rFonts w:ascii="Verdana" w:eastAsia="Calibri" w:hAnsi="Verdana" w:cs="Arial"/>
          <w:sz w:val="22"/>
          <w:szCs w:val="22"/>
          <w:u w:val="single"/>
          <w:lang w:eastAsia="en-US"/>
        </w:rPr>
        <w:t>Cumple.</w:t>
      </w:r>
    </w:p>
    <w:p w14:paraId="4A32218B" w14:textId="77777777" w:rsidR="00326102" w:rsidRPr="008372BA" w:rsidRDefault="00326102" w:rsidP="00326102">
      <w:pPr>
        <w:contextualSpacing/>
        <w:jc w:val="both"/>
        <w:rPr>
          <w:rFonts w:ascii="Verdana" w:eastAsia="Calibri" w:hAnsi="Verdana" w:cs="Arial"/>
          <w:sz w:val="22"/>
          <w:szCs w:val="22"/>
          <w:u w:val="single"/>
          <w:lang w:eastAsia="en-US"/>
        </w:rPr>
      </w:pPr>
    </w:p>
    <w:p w14:paraId="003DBDEC"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b/>
          <w:bCs/>
          <w:sz w:val="22"/>
          <w:szCs w:val="22"/>
          <w:lang w:eastAsia="en-US"/>
        </w:rPr>
        <w:t xml:space="preserve">Recomendación: </w:t>
      </w:r>
      <w:r w:rsidRPr="008372BA">
        <w:rPr>
          <w:rFonts w:ascii="Verdana" w:eastAsia="Calibri" w:hAnsi="Verdana" w:cs="Arial"/>
          <w:sz w:val="22"/>
          <w:szCs w:val="22"/>
          <w:lang w:eastAsia="en-US"/>
        </w:rPr>
        <w:t>Se espera que, de acuerdo con la información dada por el equipo de Cuentas Maestras, el Municipio no incurra en un mal manejo de la Cuenta Maestra, puesto que ya tiene conocimiento respecto al manejo de la cuenta.</w:t>
      </w:r>
    </w:p>
    <w:p w14:paraId="5BABB3D7" w14:textId="77777777" w:rsidR="00326102" w:rsidRPr="008372BA" w:rsidRDefault="00326102" w:rsidP="00326102">
      <w:pPr>
        <w:contextualSpacing/>
        <w:jc w:val="both"/>
        <w:rPr>
          <w:rFonts w:ascii="Verdana" w:eastAsia="Calibri" w:hAnsi="Verdana" w:cs="Arial"/>
          <w:sz w:val="22"/>
          <w:szCs w:val="22"/>
          <w:lang w:eastAsia="en-US"/>
        </w:rPr>
      </w:pPr>
    </w:p>
    <w:p w14:paraId="651F2648"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3.1. Manejar adecuadamente los recursos de la Asignación Especial para Municipios Ribereños del Río Magdalena.</w:t>
      </w:r>
    </w:p>
    <w:p w14:paraId="770C84F3"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6555497"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3.1.2. Realizar de manera adecuada los desembolsos con cargo a los recursos de la Asignación Especial para Municipios Ribereños del Río Magdalena siguiendo las disposiciones de la Resolución 4835 de 2015.</w:t>
      </w:r>
    </w:p>
    <w:p w14:paraId="029AF781"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0E15D0C1"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Comprobantes de egreso con cargo a los recursos de la Asignación que respondan a las disposiciones de la Resolución 4835 de 2015.</w:t>
      </w:r>
    </w:p>
    <w:p w14:paraId="75F63B21" w14:textId="77777777" w:rsidR="00326102" w:rsidRPr="008372BA" w:rsidRDefault="00326102" w:rsidP="00326102">
      <w:pPr>
        <w:contextualSpacing/>
        <w:jc w:val="both"/>
        <w:rPr>
          <w:rFonts w:ascii="Verdana" w:eastAsia="Calibri" w:hAnsi="Verdana" w:cs="Arial"/>
          <w:sz w:val="22"/>
          <w:szCs w:val="22"/>
          <w:lang w:val="es-CO" w:eastAsia="en-US"/>
        </w:rPr>
      </w:pPr>
    </w:p>
    <w:p w14:paraId="0247489E"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El Municipio de Puerto Berrío - Antioquia remitió dos comprobantes de egreso que se detallan a continuación:</w:t>
      </w:r>
    </w:p>
    <w:p w14:paraId="03B990F8" w14:textId="77777777" w:rsidR="00326102" w:rsidRPr="008372BA" w:rsidRDefault="00326102" w:rsidP="00326102">
      <w:pPr>
        <w:contextualSpacing/>
        <w:jc w:val="both"/>
        <w:rPr>
          <w:rFonts w:ascii="Verdana" w:eastAsia="Calibri" w:hAnsi="Verdana" w:cs="Arial"/>
          <w:b/>
          <w:bCs/>
          <w:sz w:val="22"/>
          <w:szCs w:val="22"/>
          <w:lang w:val="es-CO" w:eastAsia="en-US"/>
        </w:rPr>
      </w:pPr>
    </w:p>
    <w:p w14:paraId="00FB3D16" w14:textId="77777777" w:rsidR="00326102" w:rsidRPr="008372BA" w:rsidRDefault="00326102" w:rsidP="00326102">
      <w:pPr>
        <w:contextualSpacing/>
        <w:jc w:val="center"/>
        <w:rPr>
          <w:rFonts w:ascii="Verdana" w:hAnsi="Verdana" w:cs="Arial"/>
          <w:b/>
          <w:sz w:val="20"/>
          <w:szCs w:val="20"/>
          <w:lang w:eastAsia="en-US"/>
        </w:rPr>
      </w:pPr>
      <w:r w:rsidRPr="008372BA">
        <w:rPr>
          <w:rFonts w:ascii="Verdana" w:hAnsi="Verdana" w:cs="Arial"/>
          <w:b/>
          <w:sz w:val="20"/>
          <w:szCs w:val="20"/>
          <w:lang w:eastAsia="en-US"/>
        </w:rPr>
        <w:t xml:space="preserve">Tabla </w:t>
      </w:r>
      <w:r w:rsidRPr="008372BA">
        <w:rPr>
          <w:rFonts w:ascii="Verdana" w:hAnsi="Verdana" w:cs="Arial"/>
          <w:b/>
          <w:bCs/>
          <w:sz w:val="20"/>
          <w:szCs w:val="20"/>
          <w:lang w:eastAsia="en-US"/>
        </w:rPr>
        <w:t>2</w:t>
      </w:r>
      <w:r w:rsidRPr="008372BA">
        <w:rPr>
          <w:rFonts w:ascii="Verdana" w:hAnsi="Verdana" w:cs="Arial"/>
          <w:b/>
          <w:sz w:val="20"/>
          <w:szCs w:val="20"/>
          <w:lang w:eastAsia="en-US"/>
        </w:rPr>
        <w:t>. Comprobantes de egreso vigencia 2022</w:t>
      </w:r>
    </w:p>
    <w:tbl>
      <w:tblPr>
        <w:tblStyle w:val="Tablaconcuadrcula4-nfasis4111"/>
        <w:tblW w:w="9920"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9"/>
        <w:gridCol w:w="1591"/>
        <w:gridCol w:w="2749"/>
        <w:gridCol w:w="1728"/>
        <w:gridCol w:w="2033"/>
      </w:tblGrid>
      <w:tr w:rsidR="00326102" w:rsidRPr="008372BA" w14:paraId="569D6870" w14:textId="77777777" w:rsidTr="001563A5">
        <w:trPr>
          <w:cnfStyle w:val="100000000000" w:firstRow="1" w:lastRow="0" w:firstColumn="0" w:lastColumn="0" w:oddVBand="0" w:evenVBand="0" w:oddHBand="0" w:evenHBand="0" w:firstRowFirstColumn="0" w:firstRowLastColumn="0" w:lastRowFirstColumn="0" w:lastRowLastColumn="0"/>
          <w:trHeight w:val="454"/>
          <w:tblHeader/>
          <w:jc w:val="center"/>
        </w:trPr>
        <w:tc>
          <w:tcPr>
            <w:cnfStyle w:val="001000000000" w:firstRow="0" w:lastRow="0" w:firstColumn="1" w:lastColumn="0" w:oddVBand="0" w:evenVBand="0" w:oddHBand="0" w:evenHBand="0" w:firstRowFirstColumn="0" w:firstRowLastColumn="0" w:lastRowFirstColumn="0" w:lastRowLastColumn="0"/>
            <w:tcW w:w="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16327EF" w14:textId="77777777" w:rsidR="00326102" w:rsidRPr="008372BA" w:rsidRDefault="00326102" w:rsidP="001563A5">
            <w:pPr>
              <w:contextualSpacing/>
              <w:jc w:val="center"/>
              <w:rPr>
                <w:rFonts w:ascii="Verdana" w:eastAsia="Calibri" w:hAnsi="Verdana" w:cs="Arial"/>
                <w:color w:val="auto"/>
                <w:sz w:val="18"/>
                <w:szCs w:val="18"/>
                <w:lang w:val="es-CO" w:eastAsia="en-US"/>
              </w:rPr>
            </w:pPr>
            <w:r w:rsidRPr="008372BA">
              <w:rPr>
                <w:rFonts w:ascii="Verdana" w:eastAsia="Calibri" w:hAnsi="Verdana"/>
                <w:sz w:val="18"/>
                <w:szCs w:val="18"/>
                <w:lang w:eastAsia="en-US"/>
              </w:rPr>
              <w:t>No. CE</w:t>
            </w:r>
          </w:p>
        </w:tc>
        <w:tc>
          <w:tcPr>
            <w:tcW w:w="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13FFDA31"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Fecha de expedición</w:t>
            </w:r>
          </w:p>
        </w:tc>
        <w:tc>
          <w:tcPr>
            <w:tcW w:w="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9624418"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Concepto de egreso</w:t>
            </w:r>
          </w:p>
        </w:tc>
        <w:tc>
          <w:tcPr>
            <w:tcW w:w="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9DB32B3"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Beneficiario</w:t>
            </w:r>
          </w:p>
        </w:tc>
        <w:tc>
          <w:tcPr>
            <w:tcW w:w="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934B8AB"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Valor Ribereños</w:t>
            </w:r>
          </w:p>
        </w:tc>
      </w:tr>
      <w:tr w:rsidR="00326102" w:rsidRPr="008372BA" w14:paraId="5F224CE2" w14:textId="77777777" w:rsidTr="001563A5">
        <w:trPr>
          <w:cnfStyle w:val="000000100000" w:firstRow="0" w:lastRow="0" w:firstColumn="0" w:lastColumn="0" w:oddVBand="0" w:evenVBand="0" w:oddHBand="1" w:evenHBand="0" w:firstRowFirstColumn="0" w:firstRowLastColumn="0" w:lastRowFirstColumn="0" w:lastRowLastColumn="0"/>
          <w:trHeight w:val="454"/>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vAlign w:val="center"/>
            <w:hideMark/>
          </w:tcPr>
          <w:p w14:paraId="6FBC753D"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0000000005</w:t>
            </w:r>
          </w:p>
        </w:tc>
        <w:tc>
          <w:tcPr>
            <w:tcW w:w="6" w:type="dxa"/>
            <w:tcBorders>
              <w:top w:val="single" w:sz="4" w:space="0" w:color="auto"/>
              <w:left w:val="single" w:sz="4" w:space="0" w:color="auto"/>
              <w:bottom w:val="single" w:sz="4" w:space="0" w:color="auto"/>
              <w:right w:val="single" w:sz="4" w:space="0" w:color="auto"/>
            </w:tcBorders>
            <w:vAlign w:val="center"/>
            <w:hideMark/>
          </w:tcPr>
          <w:p w14:paraId="2BEA9C39"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s-CO" w:eastAsia="en-US"/>
              </w:rPr>
            </w:pPr>
            <w:r w:rsidRPr="008372BA">
              <w:rPr>
                <w:rFonts w:ascii="Verdana" w:hAnsi="Verdana"/>
                <w:sz w:val="18"/>
                <w:szCs w:val="18"/>
                <w:lang w:val="es-CO" w:eastAsia="en-US"/>
              </w:rPr>
              <w:t>28/02/2022</w:t>
            </w:r>
          </w:p>
        </w:tc>
        <w:tc>
          <w:tcPr>
            <w:tcW w:w="6" w:type="dxa"/>
            <w:tcBorders>
              <w:top w:val="single" w:sz="4" w:space="0" w:color="auto"/>
              <w:left w:val="single" w:sz="4" w:space="0" w:color="auto"/>
              <w:bottom w:val="single" w:sz="4" w:space="0" w:color="auto"/>
              <w:right w:val="single" w:sz="4" w:space="0" w:color="auto"/>
            </w:tcBorders>
            <w:vAlign w:val="center"/>
            <w:hideMark/>
          </w:tcPr>
          <w:p w14:paraId="6278024F" w14:textId="77777777" w:rsidR="00326102" w:rsidRPr="008372BA" w:rsidRDefault="00326102" w:rsidP="001563A5">
            <w:pPr>
              <w:contextualSpacing/>
              <w:jc w:val="both"/>
              <w:cnfStyle w:val="000000100000" w:firstRow="0" w:lastRow="0" w:firstColumn="0" w:lastColumn="0" w:oddVBand="0" w:evenVBand="0" w:oddHBand="1" w:evenHBand="0" w:firstRowFirstColumn="0" w:firstRowLastColumn="0" w:lastRowFirstColumn="0" w:lastRowLastColumn="0"/>
              <w:rPr>
                <w:rFonts w:ascii="Verdana" w:hAnsi="Verdana"/>
                <w:i/>
                <w:iCs/>
                <w:sz w:val="18"/>
                <w:szCs w:val="18"/>
                <w:lang w:val="es-CO" w:eastAsia="en-US"/>
              </w:rPr>
            </w:pPr>
            <w:r w:rsidRPr="008372BA">
              <w:rPr>
                <w:rFonts w:ascii="Verdana" w:hAnsi="Verdana"/>
                <w:i/>
                <w:iCs/>
                <w:sz w:val="18"/>
                <w:szCs w:val="18"/>
                <w:lang w:val="es-CO" w:eastAsia="en-US"/>
              </w:rPr>
              <w:t xml:space="preserve">Contrato </w:t>
            </w:r>
            <w:r w:rsidRPr="008372BA">
              <w:rPr>
                <w:rFonts w:ascii="Verdana" w:hAnsi="Verdana"/>
                <w:i/>
                <w:iCs/>
                <w:sz w:val="18"/>
                <w:szCs w:val="18"/>
                <w:lang w:eastAsia="en-US"/>
              </w:rPr>
              <w:t>CO1.PCCNTR.3099616</w:t>
            </w:r>
            <w:r w:rsidRPr="008372BA">
              <w:rPr>
                <w:rFonts w:ascii="Verdana" w:hAnsi="Verdana"/>
                <w:i/>
                <w:iCs/>
                <w:sz w:val="18"/>
                <w:szCs w:val="18"/>
                <w:lang w:val="es-CO" w:eastAsia="en-US"/>
              </w:rPr>
              <w:t xml:space="preserve"> del 14 de diciembre de 2021 </w:t>
            </w:r>
            <w:r w:rsidRPr="008372BA">
              <w:rPr>
                <w:rFonts w:ascii="Verdana" w:hAnsi="Verdana"/>
                <w:i/>
                <w:iCs/>
                <w:sz w:val="18"/>
                <w:szCs w:val="18"/>
                <w:lang w:eastAsia="en-US"/>
              </w:rPr>
              <w:t>“desarrollo de acciones para el cuidado y la conservación de los cuerpos de agua que favorezcan el recurso pesquero de los pescadores artesanales del municipio de Puerto Berrío, Antioquia. Factura No. FEFD-16</w:t>
            </w:r>
          </w:p>
        </w:tc>
        <w:tc>
          <w:tcPr>
            <w:tcW w:w="6" w:type="dxa"/>
            <w:tcBorders>
              <w:top w:val="single" w:sz="4" w:space="0" w:color="auto"/>
              <w:left w:val="single" w:sz="4" w:space="0" w:color="auto"/>
              <w:bottom w:val="single" w:sz="4" w:space="0" w:color="auto"/>
              <w:right w:val="single" w:sz="4" w:space="0" w:color="auto"/>
            </w:tcBorders>
            <w:vAlign w:val="center"/>
          </w:tcPr>
          <w:p w14:paraId="30FD751B"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s-CO" w:eastAsia="en-US"/>
              </w:rPr>
            </w:pPr>
            <w:r w:rsidRPr="008372BA">
              <w:rPr>
                <w:rFonts w:ascii="Verdana" w:hAnsi="Verdana"/>
                <w:sz w:val="18"/>
                <w:szCs w:val="18"/>
                <w:lang w:eastAsia="en-US"/>
              </w:rPr>
              <w:t>Fundación para el Desarrollo Integral de la Cuenca del Pacífico</w:t>
            </w:r>
          </w:p>
          <w:p w14:paraId="06824F93"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lang w:eastAsia="en-US"/>
              </w:rPr>
            </w:pPr>
          </w:p>
        </w:tc>
        <w:tc>
          <w:tcPr>
            <w:tcW w:w="6" w:type="dxa"/>
            <w:tcBorders>
              <w:top w:val="single" w:sz="4" w:space="0" w:color="auto"/>
              <w:left w:val="single" w:sz="4" w:space="0" w:color="auto"/>
              <w:bottom w:val="single" w:sz="4" w:space="0" w:color="auto"/>
              <w:right w:val="single" w:sz="4" w:space="0" w:color="auto"/>
            </w:tcBorders>
            <w:vAlign w:val="center"/>
            <w:hideMark/>
          </w:tcPr>
          <w:p w14:paraId="503367CF"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hAnsi="Verdana"/>
                <w:sz w:val="18"/>
                <w:szCs w:val="18"/>
                <w:lang w:val="es-CO" w:eastAsia="en-US"/>
              </w:rPr>
            </w:pPr>
            <w:r w:rsidRPr="008372BA">
              <w:rPr>
                <w:rFonts w:ascii="Verdana" w:hAnsi="Verdana"/>
                <w:sz w:val="18"/>
                <w:szCs w:val="18"/>
                <w:lang w:val="es-CO" w:eastAsia="en-US"/>
              </w:rPr>
              <w:t>$88.853.849,55</w:t>
            </w:r>
          </w:p>
        </w:tc>
      </w:tr>
      <w:tr w:rsidR="00326102" w:rsidRPr="008372BA" w14:paraId="069DC8F7" w14:textId="77777777" w:rsidTr="001563A5">
        <w:trPr>
          <w:trHeight w:val="454"/>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vAlign w:val="center"/>
            <w:hideMark/>
          </w:tcPr>
          <w:p w14:paraId="41EC6E64" w14:textId="77777777" w:rsidR="00326102" w:rsidRPr="008372BA" w:rsidRDefault="00326102" w:rsidP="001563A5">
            <w:pPr>
              <w:contextualSpacing/>
              <w:jc w:val="center"/>
              <w:rPr>
                <w:rFonts w:ascii="Verdana" w:eastAsia="Calibri" w:hAnsi="Verdana"/>
                <w:sz w:val="18"/>
                <w:szCs w:val="18"/>
                <w:lang w:val="es-CO" w:eastAsia="en-US"/>
              </w:rPr>
            </w:pPr>
            <w:r w:rsidRPr="008372BA">
              <w:rPr>
                <w:rFonts w:ascii="Verdana" w:eastAsia="Calibri" w:hAnsi="Verdana"/>
                <w:sz w:val="18"/>
                <w:szCs w:val="18"/>
                <w:lang w:eastAsia="en-US"/>
              </w:rPr>
              <w:t>0000000041</w:t>
            </w:r>
          </w:p>
        </w:tc>
        <w:tc>
          <w:tcPr>
            <w:tcW w:w="6" w:type="dxa"/>
            <w:tcBorders>
              <w:top w:val="single" w:sz="4" w:space="0" w:color="auto"/>
              <w:left w:val="single" w:sz="4" w:space="0" w:color="auto"/>
              <w:bottom w:val="single" w:sz="4" w:space="0" w:color="auto"/>
              <w:right w:val="single" w:sz="4" w:space="0" w:color="auto"/>
            </w:tcBorders>
            <w:vAlign w:val="center"/>
            <w:hideMark/>
          </w:tcPr>
          <w:p w14:paraId="2653C893"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30/06/2022</w:t>
            </w:r>
          </w:p>
        </w:tc>
        <w:tc>
          <w:tcPr>
            <w:tcW w:w="6" w:type="dxa"/>
            <w:tcBorders>
              <w:top w:val="single" w:sz="4" w:space="0" w:color="auto"/>
              <w:left w:val="single" w:sz="4" w:space="0" w:color="auto"/>
              <w:bottom w:val="single" w:sz="4" w:space="0" w:color="auto"/>
              <w:right w:val="single" w:sz="4" w:space="0" w:color="auto"/>
            </w:tcBorders>
            <w:vAlign w:val="center"/>
            <w:hideMark/>
          </w:tcPr>
          <w:p w14:paraId="7742657F" w14:textId="77777777" w:rsidR="00326102" w:rsidRPr="008372BA" w:rsidRDefault="00326102" w:rsidP="001563A5">
            <w:pPr>
              <w:contextualSpacing/>
              <w:jc w:val="both"/>
              <w:cnfStyle w:val="000000000000" w:firstRow="0" w:lastRow="0" w:firstColumn="0" w:lastColumn="0" w:oddVBand="0" w:evenVBand="0" w:oddHBand="0" w:evenHBand="0" w:firstRowFirstColumn="0" w:firstRowLastColumn="0" w:lastRowFirstColumn="0" w:lastRowLastColumn="0"/>
              <w:rPr>
                <w:rFonts w:ascii="Verdana" w:eastAsia="Calibri" w:hAnsi="Verdana"/>
                <w:i/>
                <w:iCs/>
                <w:sz w:val="18"/>
                <w:szCs w:val="18"/>
                <w:lang w:val="es-CO" w:eastAsia="en-US"/>
              </w:rPr>
            </w:pPr>
            <w:r w:rsidRPr="008372BA">
              <w:rPr>
                <w:rFonts w:ascii="Verdana" w:eastAsia="Calibri" w:hAnsi="Verdana"/>
                <w:i/>
                <w:iCs/>
                <w:sz w:val="18"/>
                <w:szCs w:val="18"/>
                <w:lang w:val="es-CO" w:eastAsia="en-US"/>
              </w:rPr>
              <w:t xml:space="preserve">Contrato </w:t>
            </w:r>
            <w:r w:rsidRPr="008372BA">
              <w:rPr>
                <w:rFonts w:ascii="Verdana" w:hAnsi="Verdana"/>
                <w:i/>
                <w:iCs/>
                <w:sz w:val="18"/>
                <w:szCs w:val="18"/>
                <w:lang w:eastAsia="en-US"/>
              </w:rPr>
              <w:t>CO1.PCCNTR.3099616</w:t>
            </w:r>
            <w:r w:rsidRPr="008372BA">
              <w:rPr>
                <w:rFonts w:ascii="Verdana" w:eastAsia="Calibri" w:hAnsi="Verdana"/>
                <w:i/>
                <w:iCs/>
                <w:sz w:val="18"/>
                <w:szCs w:val="18"/>
                <w:lang w:val="es-CO" w:eastAsia="en-US"/>
              </w:rPr>
              <w:t xml:space="preserve"> del 14 de diciembre de 2021 </w:t>
            </w:r>
            <w:r w:rsidRPr="008372BA">
              <w:rPr>
                <w:rFonts w:ascii="Verdana" w:eastAsia="Calibri" w:hAnsi="Verdana"/>
                <w:i/>
                <w:iCs/>
                <w:sz w:val="18"/>
                <w:szCs w:val="18"/>
                <w:lang w:eastAsia="en-US"/>
              </w:rPr>
              <w:t>“desarrollo de acciones para el cuidado y la conservación de los cuerpos de agua que favorezcan el recurso pesquero de los pescadores artesanales del municipio de Puerto Berrío, Antioquia. Factura No. FEFD-26</w:t>
            </w:r>
          </w:p>
        </w:tc>
        <w:tc>
          <w:tcPr>
            <w:tcW w:w="6" w:type="dxa"/>
            <w:tcBorders>
              <w:top w:val="single" w:sz="4" w:space="0" w:color="auto"/>
              <w:left w:val="single" w:sz="4" w:space="0" w:color="auto"/>
              <w:bottom w:val="single" w:sz="4" w:space="0" w:color="auto"/>
              <w:right w:val="single" w:sz="4" w:space="0" w:color="auto"/>
            </w:tcBorders>
            <w:vAlign w:val="center"/>
            <w:hideMark/>
          </w:tcPr>
          <w:p w14:paraId="493CBEE2"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Fundación para el Desarrollo Integral de la Cuenca del Pacífico</w:t>
            </w:r>
          </w:p>
        </w:tc>
        <w:tc>
          <w:tcPr>
            <w:tcW w:w="6" w:type="dxa"/>
            <w:tcBorders>
              <w:top w:val="single" w:sz="4" w:space="0" w:color="auto"/>
              <w:left w:val="single" w:sz="4" w:space="0" w:color="auto"/>
              <w:bottom w:val="single" w:sz="4" w:space="0" w:color="auto"/>
              <w:right w:val="single" w:sz="4" w:space="0" w:color="auto"/>
            </w:tcBorders>
            <w:vAlign w:val="center"/>
            <w:hideMark/>
          </w:tcPr>
          <w:p w14:paraId="3A73C6C8"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val="es-CO" w:eastAsia="en-US"/>
              </w:rPr>
            </w:pPr>
            <w:r w:rsidRPr="008372BA">
              <w:rPr>
                <w:rFonts w:ascii="Verdana" w:hAnsi="Verdana"/>
                <w:sz w:val="18"/>
                <w:szCs w:val="18"/>
                <w:lang w:val="es-CO" w:eastAsia="en-US"/>
              </w:rPr>
              <w:t>$88.853.849,55</w:t>
            </w:r>
          </w:p>
        </w:tc>
      </w:tr>
    </w:tbl>
    <w:p w14:paraId="6E336B31" w14:textId="77777777" w:rsidR="00326102" w:rsidRPr="008372BA" w:rsidRDefault="00326102" w:rsidP="00326102">
      <w:pPr>
        <w:contextualSpacing/>
        <w:jc w:val="center"/>
        <w:rPr>
          <w:rFonts w:ascii="Verdana" w:eastAsia="Calibri" w:hAnsi="Verdana" w:cs="Arial"/>
          <w:sz w:val="16"/>
          <w:szCs w:val="16"/>
          <w:lang w:val="es-CO" w:eastAsia="en-US"/>
        </w:rPr>
      </w:pPr>
      <w:r w:rsidRPr="008372BA">
        <w:rPr>
          <w:rFonts w:ascii="Verdana" w:eastAsia="Calibri" w:hAnsi="Verdana" w:cs="Arial"/>
          <w:sz w:val="16"/>
          <w:szCs w:val="16"/>
          <w:lang w:eastAsia="en-US"/>
        </w:rPr>
        <w:t>Fuente: DAF con información entregada por la Administración Municipal.</w:t>
      </w:r>
    </w:p>
    <w:p w14:paraId="45A4313C" w14:textId="77777777" w:rsidR="00326102" w:rsidRPr="008372BA" w:rsidRDefault="00326102" w:rsidP="00326102">
      <w:pPr>
        <w:contextualSpacing/>
        <w:jc w:val="both"/>
        <w:rPr>
          <w:rFonts w:ascii="Verdana" w:eastAsia="Calibri" w:hAnsi="Verdana" w:cs="Arial"/>
          <w:sz w:val="22"/>
          <w:szCs w:val="22"/>
          <w:lang w:val="es-CO" w:eastAsia="en-US"/>
        </w:rPr>
      </w:pPr>
    </w:p>
    <w:p w14:paraId="47019D25"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lastRenderedPageBreak/>
        <w:t>Al contrastar esta información con los extractos bancarios, se puede verificar que el valor de los comprobantes de egreso coincide con los egresos realizados por la Entidad Territorial durante la vigencia 2022 (enero – octubre). Por otra parte, en los documentos enviados por el Municipio se encontraron 2 documentos titulados “</w:t>
      </w:r>
      <w:r w:rsidRPr="008372BA">
        <w:rPr>
          <w:rFonts w:ascii="Verdana" w:hAnsi="Verdana" w:cs="Arial"/>
          <w:i/>
          <w:iCs/>
          <w:sz w:val="22"/>
          <w:szCs w:val="22"/>
          <w:lang w:eastAsia="en-US"/>
        </w:rPr>
        <w:t>reserva por pagar cancelada</w:t>
      </w:r>
      <w:r w:rsidRPr="008372BA">
        <w:rPr>
          <w:rFonts w:ascii="Verdana" w:hAnsi="Verdana" w:cs="Arial"/>
          <w:sz w:val="22"/>
          <w:szCs w:val="22"/>
          <w:lang w:eastAsia="en-US"/>
        </w:rPr>
        <w:t>” con No. 00000000005 con fecha al 28 de febrero por un valor de $88,8 millones y con No. 00000000041 con fecha al 30 de junio por un valor de $88,8 millones. Aunque al revisar los extractos bancarios, efectivamente, se pudo evidenciar que hubo egresos por esos mismos montos en la vigencia 2022 al beneficiario con razón social “</w:t>
      </w:r>
      <w:r w:rsidRPr="008372BA">
        <w:rPr>
          <w:rFonts w:ascii="Verdana" w:hAnsi="Verdana" w:cs="Arial"/>
          <w:i/>
          <w:iCs/>
          <w:sz w:val="22"/>
          <w:szCs w:val="22"/>
          <w:lang w:eastAsia="en-US"/>
        </w:rPr>
        <w:t>Fundación para el Desarrollo Integral de la Cuenca del Pacífico</w:t>
      </w:r>
      <w:r w:rsidRPr="008372BA">
        <w:rPr>
          <w:rFonts w:ascii="Verdana" w:hAnsi="Verdana" w:cs="Arial"/>
          <w:sz w:val="22"/>
          <w:szCs w:val="22"/>
          <w:lang w:eastAsia="en-US"/>
        </w:rPr>
        <w:t xml:space="preserve">”, no se pudo identificar si los documentos titulados </w:t>
      </w:r>
      <w:r w:rsidRPr="008372BA">
        <w:rPr>
          <w:rFonts w:ascii="Verdana" w:hAnsi="Verdana" w:cs="Arial"/>
          <w:i/>
          <w:iCs/>
          <w:sz w:val="22"/>
          <w:szCs w:val="22"/>
          <w:lang w:eastAsia="en-US"/>
        </w:rPr>
        <w:t>“reserva por pagar cancelada”</w:t>
      </w:r>
      <w:r w:rsidRPr="008372BA">
        <w:rPr>
          <w:rFonts w:ascii="Verdana" w:hAnsi="Verdana" w:cs="Arial"/>
          <w:sz w:val="22"/>
          <w:szCs w:val="22"/>
          <w:lang w:eastAsia="en-US"/>
        </w:rPr>
        <w:t xml:space="preserve"> corresponden al concepto de reserva presupuestal o se está hablando de la cancelación de una cuenta por pagar.</w:t>
      </w:r>
    </w:p>
    <w:p w14:paraId="23F65FD2" w14:textId="77777777" w:rsidR="00326102" w:rsidRPr="008372BA" w:rsidRDefault="00326102" w:rsidP="00326102">
      <w:pPr>
        <w:contextualSpacing/>
        <w:jc w:val="both"/>
        <w:rPr>
          <w:rFonts w:ascii="Verdana" w:eastAsia="Calibri" w:hAnsi="Verdana" w:cs="Arial"/>
          <w:sz w:val="22"/>
          <w:szCs w:val="22"/>
          <w:lang w:eastAsia="en-US"/>
        </w:rPr>
      </w:pPr>
    </w:p>
    <w:p w14:paraId="3DC6CACA"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No obstante, de acuerdo con el Contrato CO1.PCCNTR.3099616</w:t>
      </w:r>
      <w:r w:rsidRPr="008372BA">
        <w:rPr>
          <w:rFonts w:ascii="Verdana" w:hAnsi="Verdana" w:cs="Arial"/>
          <w:sz w:val="22"/>
          <w:szCs w:val="22"/>
          <w:lang w:val="es-CO" w:eastAsia="en-US"/>
        </w:rPr>
        <w:t xml:space="preserve"> del 14 de diciembre de 2021</w:t>
      </w:r>
      <w:r w:rsidRPr="008372BA">
        <w:rPr>
          <w:rFonts w:ascii="Verdana" w:hAnsi="Verdana" w:cs="Arial"/>
          <w:sz w:val="22"/>
          <w:szCs w:val="22"/>
          <w:lang w:eastAsia="en-US"/>
        </w:rPr>
        <w:t>, se evidenció que el dinero que se pagó al contratista con fecha al 30 de junio de 2022 y que parece ser aquel que se encuentra estipulado como último pago, equivale al 43 % del valor total del contrato, lo cual cambia las formas de pago establecidas en el Contrato en las cuales se determinaba que se realizarían tres (3) pagos de la siguiente manera:</w:t>
      </w:r>
    </w:p>
    <w:p w14:paraId="0E5E7683" w14:textId="77777777" w:rsidR="00326102" w:rsidRPr="008372BA" w:rsidRDefault="00326102" w:rsidP="00326102">
      <w:pPr>
        <w:contextualSpacing/>
        <w:jc w:val="both"/>
        <w:rPr>
          <w:rFonts w:ascii="Verdana" w:hAnsi="Verdana" w:cs="Arial"/>
          <w:sz w:val="22"/>
          <w:szCs w:val="22"/>
          <w:lang w:eastAsia="en-US"/>
        </w:rPr>
      </w:pPr>
    </w:p>
    <w:p w14:paraId="58F52BDF" w14:textId="77777777" w:rsidR="00326102" w:rsidRPr="008372BA" w:rsidRDefault="00326102" w:rsidP="00326102">
      <w:pPr>
        <w:numPr>
          <w:ilvl w:val="0"/>
          <w:numId w:val="5"/>
        </w:numPr>
        <w:contextualSpacing/>
        <w:jc w:val="both"/>
        <w:rPr>
          <w:rFonts w:ascii="Verdana" w:hAnsi="Verdana" w:cs="Arial"/>
          <w:sz w:val="22"/>
          <w:szCs w:val="22"/>
          <w:lang w:eastAsia="en-US"/>
        </w:rPr>
      </w:pPr>
      <w:r w:rsidRPr="008372BA">
        <w:rPr>
          <w:rFonts w:ascii="Verdana" w:hAnsi="Verdana" w:cs="Arial"/>
          <w:sz w:val="22"/>
          <w:szCs w:val="22"/>
          <w:lang w:eastAsia="en-US"/>
        </w:rPr>
        <w:t>Primer pago correspondiente al 50 % del valor del Contrato, que se realizaría una vez se perfeccionara el contrato.</w:t>
      </w:r>
    </w:p>
    <w:p w14:paraId="50A0F143" w14:textId="77777777" w:rsidR="00326102" w:rsidRPr="008372BA" w:rsidRDefault="00326102" w:rsidP="00326102">
      <w:pPr>
        <w:numPr>
          <w:ilvl w:val="0"/>
          <w:numId w:val="5"/>
        </w:numPr>
        <w:contextualSpacing/>
        <w:jc w:val="both"/>
        <w:rPr>
          <w:rFonts w:ascii="Verdana" w:hAnsi="Verdana" w:cs="Arial"/>
          <w:sz w:val="22"/>
          <w:szCs w:val="22"/>
          <w:lang w:eastAsia="en-US"/>
        </w:rPr>
      </w:pPr>
      <w:r w:rsidRPr="008372BA">
        <w:rPr>
          <w:rFonts w:ascii="Verdana" w:hAnsi="Verdana" w:cs="Arial"/>
          <w:sz w:val="22"/>
          <w:szCs w:val="22"/>
          <w:lang w:eastAsia="en-US"/>
        </w:rPr>
        <w:t>Segundo pago correspondiente al 25 % del valor del Contrato, que se realizaría una vez estuviera ejecutado el 50 % del Contrato.</w:t>
      </w:r>
    </w:p>
    <w:p w14:paraId="49547CB8" w14:textId="77777777" w:rsidR="00326102" w:rsidRPr="008372BA" w:rsidRDefault="00326102" w:rsidP="00326102">
      <w:pPr>
        <w:numPr>
          <w:ilvl w:val="0"/>
          <w:numId w:val="5"/>
        </w:numPr>
        <w:contextualSpacing/>
        <w:jc w:val="both"/>
        <w:rPr>
          <w:rFonts w:ascii="Verdana" w:hAnsi="Verdana" w:cs="Arial"/>
          <w:sz w:val="22"/>
          <w:szCs w:val="22"/>
          <w:lang w:eastAsia="en-US"/>
        </w:rPr>
      </w:pPr>
      <w:r w:rsidRPr="008372BA">
        <w:rPr>
          <w:rFonts w:ascii="Verdana" w:hAnsi="Verdana" w:cs="Arial"/>
          <w:sz w:val="22"/>
          <w:szCs w:val="22"/>
          <w:lang w:eastAsia="en-US"/>
        </w:rPr>
        <w:t>Tercer pago correspondiente al 25 % del valor del Contrato, que se realizaría una vez estuviera ejecutado el 100 % del Contrato.</w:t>
      </w:r>
    </w:p>
    <w:p w14:paraId="49416F77" w14:textId="77777777" w:rsidR="00326102" w:rsidRPr="008372BA" w:rsidRDefault="00326102" w:rsidP="00326102">
      <w:pPr>
        <w:contextualSpacing/>
        <w:jc w:val="both"/>
        <w:rPr>
          <w:rFonts w:ascii="Verdana" w:hAnsi="Verdana" w:cs="Arial"/>
          <w:sz w:val="22"/>
          <w:szCs w:val="22"/>
          <w:lang w:eastAsia="en-US"/>
        </w:rPr>
      </w:pPr>
    </w:p>
    <w:p w14:paraId="6E5E1327"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Esto deja expuesta una situación anómala a discutir dado que existe una vulneración a los términos establecidos para la forma de pago que se encuentran contenidos en la minuta contractual; situación para la cual no se evidencia algún tipo de explicación por parte de la Entidad Territorial en ninguno de los documentos remitidos a esta Dirección.</w:t>
      </w:r>
    </w:p>
    <w:p w14:paraId="2A11A0BA" w14:textId="77777777" w:rsidR="00326102" w:rsidRPr="008372BA" w:rsidRDefault="00326102" w:rsidP="00326102">
      <w:pPr>
        <w:contextualSpacing/>
        <w:jc w:val="both"/>
        <w:rPr>
          <w:rFonts w:ascii="Verdana" w:eastAsia="Calibri" w:hAnsi="Verdana" w:cs="Arial"/>
          <w:sz w:val="22"/>
          <w:szCs w:val="22"/>
          <w:lang w:eastAsia="en-US"/>
        </w:rPr>
      </w:pPr>
    </w:p>
    <w:p w14:paraId="014FC63B"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sz w:val="22"/>
          <w:szCs w:val="22"/>
          <w:lang w:eastAsia="en-US"/>
        </w:rPr>
        <w:t>Ahora, si bien no se ejecutaron recursos en la vigencia, se realizaron dos (2) pagos que hacen parte del proceso de pago del Contrato CO1.PCCNTR.3099616</w:t>
      </w:r>
      <w:r w:rsidRPr="008372BA">
        <w:rPr>
          <w:rFonts w:ascii="Verdana" w:hAnsi="Verdana" w:cs="Arial"/>
          <w:sz w:val="22"/>
          <w:szCs w:val="22"/>
          <w:lang w:val="es-CO" w:eastAsia="en-US"/>
        </w:rPr>
        <w:t xml:space="preserve"> del 14 de diciembre de 2021</w:t>
      </w:r>
      <w:r w:rsidRPr="008372BA">
        <w:rPr>
          <w:rFonts w:ascii="Verdana" w:hAnsi="Verdana" w:cs="Arial"/>
          <w:sz w:val="22"/>
          <w:szCs w:val="22"/>
          <w:lang w:eastAsia="en-US"/>
        </w:rPr>
        <w:t>. En adición, genera preocupación la forma como la Entidad Territorial realizó las retenciones en el pago del Contrato en mención, correspondientes para el pago del impuesto ICA, ya que se evidencia que, para el pago del 28 de febrero, la Entidad Territorial descontó tan solo $70 mil, mientras que, en el pago del 30 de junio, la Entidad Territorial retuvo $1,3 millones para el pago del mismo impuesto.</w:t>
      </w:r>
    </w:p>
    <w:p w14:paraId="6C7483EC" w14:textId="77777777" w:rsidR="00326102" w:rsidRDefault="00326102" w:rsidP="00326102">
      <w:pPr>
        <w:rPr>
          <w:rFonts w:ascii="Verdana" w:hAnsi="Verdana" w:cs="Arial"/>
          <w:b/>
          <w:sz w:val="20"/>
          <w:szCs w:val="20"/>
          <w:lang w:eastAsia="en-US"/>
        </w:rPr>
      </w:pPr>
      <w:r>
        <w:rPr>
          <w:rFonts w:ascii="Verdana" w:hAnsi="Verdana" w:cs="Arial"/>
          <w:b/>
          <w:sz w:val="20"/>
          <w:szCs w:val="20"/>
          <w:lang w:eastAsia="en-US"/>
        </w:rPr>
        <w:br w:type="page"/>
      </w:r>
    </w:p>
    <w:p w14:paraId="4CF5E14E" w14:textId="77777777" w:rsidR="00326102" w:rsidRPr="008372BA" w:rsidRDefault="00326102" w:rsidP="00326102">
      <w:pPr>
        <w:contextualSpacing/>
        <w:jc w:val="center"/>
        <w:rPr>
          <w:rFonts w:ascii="Verdana" w:hAnsi="Verdana" w:cs="Arial"/>
          <w:b/>
          <w:sz w:val="20"/>
          <w:szCs w:val="20"/>
          <w:lang w:eastAsia="en-US"/>
        </w:rPr>
      </w:pPr>
      <w:r w:rsidRPr="008372BA">
        <w:rPr>
          <w:rFonts w:ascii="Verdana" w:hAnsi="Verdana" w:cs="Arial"/>
          <w:b/>
          <w:sz w:val="20"/>
          <w:szCs w:val="20"/>
          <w:lang w:eastAsia="en-US"/>
        </w:rPr>
        <w:lastRenderedPageBreak/>
        <w:t xml:space="preserve">Tabla </w:t>
      </w:r>
      <w:r w:rsidRPr="008372BA">
        <w:rPr>
          <w:rFonts w:ascii="Verdana" w:hAnsi="Verdana" w:cs="Arial"/>
          <w:b/>
          <w:bCs/>
          <w:sz w:val="20"/>
          <w:szCs w:val="20"/>
          <w:lang w:eastAsia="en-US"/>
        </w:rPr>
        <w:t>3</w:t>
      </w:r>
      <w:r w:rsidRPr="008372BA">
        <w:rPr>
          <w:rFonts w:ascii="Verdana" w:hAnsi="Verdana" w:cs="Arial"/>
          <w:b/>
          <w:sz w:val="20"/>
          <w:szCs w:val="20"/>
          <w:lang w:eastAsia="en-US"/>
        </w:rPr>
        <w:t xml:space="preserve">. Descuentos realizados por la entidad territorial en la liquidación del Contrato CO1.PCCNTR.3099616 para el pago de impuestos territoriales. </w:t>
      </w:r>
    </w:p>
    <w:tbl>
      <w:tblPr>
        <w:tblStyle w:val="Tablaconcuadrcula4-nfasis4111"/>
        <w:tblW w:w="8835" w:type="dxa"/>
        <w:jc w:val="center"/>
        <w:tblInd w:w="0" w:type="dxa"/>
        <w:tblLayout w:type="fixed"/>
        <w:tblLook w:val="06A0" w:firstRow="1" w:lastRow="0" w:firstColumn="1" w:lastColumn="0" w:noHBand="1" w:noVBand="1"/>
      </w:tblPr>
      <w:tblGrid>
        <w:gridCol w:w="1472"/>
        <w:gridCol w:w="1472"/>
        <w:gridCol w:w="1472"/>
        <w:gridCol w:w="1473"/>
        <w:gridCol w:w="1473"/>
        <w:gridCol w:w="1473"/>
      </w:tblGrid>
      <w:tr w:rsidR="00326102" w:rsidRPr="008372BA" w14:paraId="3745FB77" w14:textId="77777777" w:rsidTr="001563A5">
        <w:trPr>
          <w:cnfStyle w:val="100000000000" w:firstRow="1" w:lastRow="0" w:firstColumn="0" w:lastColumn="0" w:oddVBand="0" w:evenVBand="0" w:oddHBand="0" w:evenHBand="0" w:firstRowFirstColumn="0" w:firstRowLastColumn="0" w:lastRowFirstColumn="0" w:lastRowLastColumn="0"/>
          <w:trHeight w:val="300"/>
          <w:jc w:val="center"/>
        </w:trPr>
        <w:tc>
          <w:tcPr>
            <w:cnfStyle w:val="001000000000" w:firstRow="0" w:lastRow="0" w:firstColumn="1" w:lastColumn="0" w:oddVBand="0" w:evenVBand="0" w:oddHBand="0" w:evenHBand="0" w:firstRowFirstColumn="0" w:firstRowLastColumn="0" w:lastRowFirstColumn="0" w:lastRowLastColumn="0"/>
            <w:tcW w:w="6" w:type="dxa"/>
            <w:gridSpan w:val="2"/>
            <w:tcBorders>
              <w:top w:val="single" w:sz="4" w:space="0" w:color="auto"/>
              <w:left w:val="single" w:sz="4" w:space="0" w:color="auto"/>
              <w:bottom w:val="single" w:sz="4" w:space="0" w:color="auto"/>
              <w:right w:val="single" w:sz="4" w:space="0" w:color="auto"/>
            </w:tcBorders>
            <w:shd w:val="clear" w:color="auto" w:fill="FFC000"/>
          </w:tcPr>
          <w:p w14:paraId="0FD15A5C" w14:textId="77777777" w:rsidR="00326102" w:rsidRPr="008372BA" w:rsidRDefault="00326102" w:rsidP="001563A5">
            <w:pPr>
              <w:contextualSpacing/>
              <w:rPr>
                <w:rFonts w:ascii="Verdana" w:hAnsi="Verdana" w:cs="Arial"/>
                <w:b w:val="0"/>
                <w:sz w:val="18"/>
                <w:szCs w:val="18"/>
                <w:lang w:eastAsia="en-US"/>
              </w:rPr>
            </w:pPr>
          </w:p>
        </w:tc>
        <w:tc>
          <w:tcPr>
            <w:tcW w:w="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6D8439E9"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eastAsia="en-US"/>
              </w:rPr>
            </w:pPr>
            <w:r w:rsidRPr="008372BA">
              <w:rPr>
                <w:rFonts w:ascii="Verdana" w:eastAsia="Calibri" w:hAnsi="Verdana"/>
                <w:sz w:val="18"/>
                <w:szCs w:val="18"/>
                <w:lang w:eastAsia="en-US"/>
              </w:rPr>
              <w:t>Valor a Pagar (con fecha al 28 de febrero de 2022): $88.853.849,55</w:t>
            </w:r>
          </w:p>
        </w:tc>
        <w:tc>
          <w:tcPr>
            <w:tcW w:w="6" w:type="dxa"/>
            <w:gridSpan w:val="2"/>
            <w:tcBorders>
              <w:top w:val="single" w:sz="4" w:space="0" w:color="auto"/>
              <w:left w:val="single" w:sz="4" w:space="0" w:color="auto"/>
              <w:bottom w:val="single" w:sz="4" w:space="0" w:color="auto"/>
              <w:right w:val="single" w:sz="4" w:space="0" w:color="auto"/>
            </w:tcBorders>
            <w:shd w:val="clear" w:color="auto" w:fill="FFC000"/>
            <w:hideMark/>
          </w:tcPr>
          <w:p w14:paraId="04AE8C38"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eastAsia="en-US"/>
              </w:rPr>
            </w:pPr>
            <w:r w:rsidRPr="008372BA">
              <w:rPr>
                <w:rFonts w:ascii="Verdana" w:eastAsia="Calibri" w:hAnsi="Verdana"/>
                <w:sz w:val="18"/>
                <w:szCs w:val="18"/>
                <w:lang w:eastAsia="en-US"/>
              </w:rPr>
              <w:t>Valor a Pagar (con fecha al 23 de junio de 2022): $88.853.850,01</w:t>
            </w:r>
          </w:p>
        </w:tc>
      </w:tr>
      <w:tr w:rsidR="00326102" w:rsidRPr="008372BA" w14:paraId="1DC7DB07" w14:textId="77777777" w:rsidTr="001563A5">
        <w:trPr>
          <w:trHeight w:val="30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2CCC3C6"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Tipo de Impuesto</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547F379A"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 De descuento según la ley</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2F850363"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Descuento efectivamente realizado (en pesos)</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CDFAAC8"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 De descuento efectivo</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BA78EE0"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Descuento efectivamente realizado (en pesos)</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tcPr>
          <w:p w14:paraId="76210781"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 De descuento efectivo</w:t>
            </w:r>
          </w:p>
          <w:p w14:paraId="6C29E1C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p>
        </w:tc>
      </w:tr>
      <w:tr w:rsidR="00326102" w:rsidRPr="008372BA" w14:paraId="7FE7A655" w14:textId="77777777" w:rsidTr="001563A5">
        <w:trPr>
          <w:trHeight w:val="30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72A4A87"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Industria y Comercio</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C79CC3F"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0.80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779D775B"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$70.561,40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EF8E287"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0.08</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5D175AA3"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$1.340.666,60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3FD1A52"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1.51</w:t>
            </w:r>
          </w:p>
        </w:tc>
      </w:tr>
      <w:tr w:rsidR="00326102" w:rsidRPr="008372BA" w14:paraId="1DBCFB1A" w14:textId="77777777" w:rsidTr="001563A5">
        <w:trPr>
          <w:trHeight w:val="30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74E51651"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Estampilla Universidad Antioquia</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39622FB"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1.00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1C8ACE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$882.017,49</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A9E2331"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1.0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FB8B94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$882.017,50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CA915FB"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1.0</w:t>
            </w:r>
          </w:p>
        </w:tc>
      </w:tr>
      <w:tr w:rsidR="00326102" w:rsidRPr="008372BA" w14:paraId="76DB1AF2" w14:textId="77777777" w:rsidTr="001563A5">
        <w:trPr>
          <w:trHeight w:val="30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75F9E1C5"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Proadulto Mayor</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E572DCB"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4.00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1847586"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$3.528.069,95</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19D790A"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4.0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1392290"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$3.528.069,98</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7EFD56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4.0</w:t>
            </w:r>
          </w:p>
        </w:tc>
      </w:tr>
      <w:tr w:rsidR="00326102" w:rsidRPr="008372BA" w14:paraId="544EF4FB" w14:textId="77777777" w:rsidTr="001563A5">
        <w:trPr>
          <w:trHeight w:val="30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EA5B524" w14:textId="77777777" w:rsidR="00326102" w:rsidRPr="008372BA" w:rsidRDefault="00326102" w:rsidP="001563A5">
            <w:pPr>
              <w:contextualSpacing/>
              <w:jc w:val="center"/>
              <w:rPr>
                <w:rFonts w:ascii="Verdana" w:hAnsi="Verdana"/>
                <w:sz w:val="18"/>
                <w:szCs w:val="18"/>
                <w:lang w:eastAsia="en-US"/>
              </w:rPr>
            </w:pPr>
            <w:r w:rsidRPr="008372BA">
              <w:rPr>
                <w:rFonts w:ascii="Verdana" w:hAnsi="Verdana"/>
                <w:sz w:val="18"/>
                <w:szCs w:val="18"/>
                <w:lang w:eastAsia="en-US"/>
              </w:rPr>
              <w:t>Tasa Deporte y Recreación</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6231067"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2.50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A390F97"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$2.250.043,72</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A17FB56"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2.5</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5511BFCC"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$2.250.043,74</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24F7DFBC"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hAnsi="Verdana"/>
                <w:sz w:val="18"/>
                <w:szCs w:val="18"/>
                <w:lang w:eastAsia="en-US"/>
              </w:rPr>
            </w:pPr>
            <w:r w:rsidRPr="008372BA">
              <w:rPr>
                <w:rFonts w:ascii="Verdana" w:hAnsi="Verdana"/>
                <w:sz w:val="18"/>
                <w:szCs w:val="18"/>
                <w:lang w:eastAsia="en-US"/>
              </w:rPr>
              <w:t>2.5</w:t>
            </w:r>
          </w:p>
        </w:tc>
      </w:tr>
    </w:tbl>
    <w:p w14:paraId="7419182C" w14:textId="77777777" w:rsidR="00326102" w:rsidRPr="008372BA" w:rsidRDefault="00326102" w:rsidP="00326102">
      <w:pPr>
        <w:contextualSpacing/>
        <w:jc w:val="center"/>
        <w:rPr>
          <w:rFonts w:ascii="Verdana" w:eastAsia="Calibri" w:hAnsi="Verdana" w:cs="Arial"/>
          <w:sz w:val="16"/>
          <w:szCs w:val="16"/>
          <w:lang w:eastAsia="en-US"/>
        </w:rPr>
      </w:pPr>
      <w:r w:rsidRPr="008372BA">
        <w:rPr>
          <w:rFonts w:ascii="Verdana" w:eastAsia="Calibri" w:hAnsi="Verdana" w:cs="Arial"/>
          <w:sz w:val="16"/>
          <w:szCs w:val="16"/>
          <w:lang w:eastAsia="en-US"/>
        </w:rPr>
        <w:t>Fuente: Elaboración de la DAF con información entregada por la administración municipal.</w:t>
      </w:r>
    </w:p>
    <w:p w14:paraId="01C14BC5" w14:textId="77777777" w:rsidR="00326102" w:rsidRPr="008372BA" w:rsidRDefault="00326102" w:rsidP="00326102">
      <w:pPr>
        <w:contextualSpacing/>
        <w:rPr>
          <w:rFonts w:ascii="Verdana" w:hAnsi="Verdana" w:cs="Arial"/>
          <w:sz w:val="22"/>
          <w:szCs w:val="22"/>
          <w:lang w:eastAsia="en-US"/>
        </w:rPr>
      </w:pPr>
    </w:p>
    <w:p w14:paraId="6F847ABD" w14:textId="77777777" w:rsidR="00326102" w:rsidRPr="008372BA" w:rsidRDefault="00326102" w:rsidP="00326102">
      <w:pPr>
        <w:contextualSpacing/>
        <w:jc w:val="both"/>
        <w:rPr>
          <w:rFonts w:ascii="Verdana" w:eastAsia="Arial" w:hAnsi="Verdana" w:cs="Arial"/>
          <w:sz w:val="22"/>
          <w:szCs w:val="22"/>
        </w:rPr>
      </w:pPr>
      <w:r w:rsidRPr="008372BA">
        <w:rPr>
          <w:rFonts w:ascii="Verdana" w:hAnsi="Verdana" w:cs="Arial"/>
          <w:sz w:val="22"/>
          <w:szCs w:val="22"/>
          <w:lang w:eastAsia="en-US"/>
        </w:rPr>
        <w:t>Entendiendo que el estatuto tributario del municipio de Puerto Berrío establece en su Título VI, Capítulo I, Articulo 152 que el sistema de retención del Impuesto de Industria y Comercio “</w:t>
      </w:r>
      <w:r w:rsidRPr="008372BA">
        <w:rPr>
          <w:rFonts w:ascii="Verdana" w:eastAsia="Arial" w:hAnsi="Verdana" w:cs="Arial"/>
          <w:i/>
          <w:iCs/>
          <w:sz w:val="22"/>
          <w:szCs w:val="22"/>
        </w:rPr>
        <w:t>deberá practicarse en el momento en que se realice el pago o abono en cuenta, lo que ocurra primero</w:t>
      </w:r>
      <w:r w:rsidRPr="008372BA">
        <w:rPr>
          <w:rFonts w:ascii="Verdana" w:eastAsia="Arial" w:hAnsi="Verdana" w:cs="Arial"/>
          <w:sz w:val="22"/>
          <w:szCs w:val="22"/>
        </w:rPr>
        <w:t xml:space="preserve">”, y el Articulo 158 dicta que: </w:t>
      </w:r>
      <w:r w:rsidRPr="008372BA">
        <w:rPr>
          <w:rFonts w:ascii="Verdana" w:eastAsia="Arial" w:hAnsi="Verdana" w:cs="Arial"/>
          <w:i/>
          <w:iCs/>
          <w:sz w:val="22"/>
          <w:szCs w:val="22"/>
        </w:rPr>
        <w:t xml:space="preserve">“La retención se efectuará sobre el valor total de la operación”, </w:t>
      </w:r>
      <w:r w:rsidRPr="008372BA">
        <w:rPr>
          <w:rFonts w:ascii="Verdana" w:eastAsia="Arial" w:hAnsi="Verdana" w:cs="Arial"/>
          <w:sz w:val="22"/>
          <w:szCs w:val="22"/>
        </w:rPr>
        <w:t>se puede evidenciar entonces, según la información consignada en la Tabla 3, que los descuentos realizados en el primer y segundo pago al contratista no obedecen al valor porcentual que dicta la ley y faltan al sistema de retención consignado en el estatuto tributario de la entidad territorial, aun cuando el porcentaje descontado en el pago total esté en sincronía con el porcentaje de descuento dictado por la ley.</w:t>
      </w:r>
    </w:p>
    <w:p w14:paraId="48658B04" w14:textId="77777777" w:rsidR="00326102" w:rsidRPr="008372BA" w:rsidRDefault="00326102" w:rsidP="00326102">
      <w:pPr>
        <w:contextualSpacing/>
        <w:jc w:val="both"/>
        <w:rPr>
          <w:rFonts w:ascii="Verdana" w:hAnsi="Verdana" w:cs="Arial"/>
          <w:sz w:val="22"/>
          <w:szCs w:val="22"/>
          <w:lang w:eastAsia="en-US"/>
        </w:rPr>
      </w:pPr>
    </w:p>
    <w:p w14:paraId="7A92E7A6"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sz w:val="22"/>
          <w:szCs w:val="22"/>
          <w:lang w:eastAsia="en-US"/>
        </w:rPr>
        <w:t>Teniendo en cuenta todo lo anterior, se da como no cumplida esta actividad, debido a las situaciones que se evidenciaron en los comprobantes de egreso.</w:t>
      </w:r>
    </w:p>
    <w:p w14:paraId="70CDCB48" w14:textId="77777777" w:rsidR="00326102" w:rsidRPr="008372BA" w:rsidRDefault="00326102" w:rsidP="00326102">
      <w:pPr>
        <w:contextualSpacing/>
        <w:jc w:val="both"/>
        <w:rPr>
          <w:rFonts w:ascii="Verdana" w:eastAsia="Calibri" w:hAnsi="Verdana" w:cs="Arial"/>
          <w:b/>
          <w:bCs/>
          <w:sz w:val="22"/>
          <w:szCs w:val="22"/>
          <w:lang w:val="es-CO" w:eastAsia="en-US"/>
        </w:rPr>
      </w:pPr>
    </w:p>
    <w:p w14:paraId="21FC6C4A" w14:textId="77777777" w:rsidR="00326102" w:rsidRPr="008372BA" w:rsidRDefault="00326102" w:rsidP="00326102">
      <w:pPr>
        <w:contextualSpacing/>
        <w:jc w:val="both"/>
        <w:rPr>
          <w:rFonts w:ascii="Verdana" w:eastAsia="Calibri" w:hAnsi="Verdana" w:cs="Arial"/>
          <w:b/>
          <w:bCs/>
          <w:sz w:val="22"/>
          <w:szCs w:val="22"/>
          <w:lang w:val="es-CO" w:eastAsia="en-US"/>
        </w:rPr>
      </w:pPr>
      <w:r w:rsidRPr="008372BA">
        <w:rPr>
          <w:rFonts w:ascii="Verdana" w:eastAsia="Calibri" w:hAnsi="Verdana" w:cs="Arial"/>
          <w:b/>
          <w:bCs/>
          <w:sz w:val="22"/>
          <w:szCs w:val="22"/>
          <w:lang w:val="es-CO" w:eastAsia="en-US"/>
        </w:rPr>
        <w:t xml:space="preserve">Evaluación: </w:t>
      </w:r>
      <w:r w:rsidRPr="008372BA">
        <w:rPr>
          <w:rFonts w:ascii="Verdana" w:eastAsia="Calibri" w:hAnsi="Verdana" w:cs="Arial"/>
          <w:sz w:val="22"/>
          <w:szCs w:val="22"/>
          <w:u w:val="single"/>
          <w:lang w:val="es-CO" w:eastAsia="en-US"/>
        </w:rPr>
        <w:t>No cumple.</w:t>
      </w:r>
    </w:p>
    <w:p w14:paraId="6BD31258" w14:textId="77777777" w:rsidR="00326102" w:rsidRPr="008372BA" w:rsidRDefault="00326102" w:rsidP="00326102">
      <w:pPr>
        <w:contextualSpacing/>
        <w:jc w:val="both"/>
        <w:rPr>
          <w:rFonts w:ascii="Verdana" w:eastAsia="Calibri" w:hAnsi="Verdana" w:cs="Arial"/>
          <w:b/>
          <w:bCs/>
          <w:sz w:val="22"/>
          <w:szCs w:val="22"/>
          <w:lang w:val="es-CO" w:eastAsia="en-US"/>
        </w:rPr>
      </w:pPr>
    </w:p>
    <w:p w14:paraId="1B73B467"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sz w:val="22"/>
          <w:szCs w:val="22"/>
          <w:lang w:val="es-CO" w:eastAsia="en-US"/>
        </w:rPr>
        <w:t xml:space="preserve">Recomendación: </w:t>
      </w:r>
      <w:r w:rsidRPr="008372BA">
        <w:rPr>
          <w:rFonts w:ascii="Verdana" w:eastAsia="Calibri" w:hAnsi="Verdana" w:cs="Arial"/>
          <w:sz w:val="22"/>
          <w:szCs w:val="22"/>
          <w:lang w:val="es-CO" w:eastAsia="en-US"/>
        </w:rPr>
        <w:t>Se recomienda a la Entidad Territorial que establezca unos lineamientos para el adecuado manejo del pago con los recursos de la Asignación Ribereños. En este sentido, se propone crear una tabla de seguimiento que les permita conocer el valor a pagar por la contratación, la forma de pago, el estado del pago y el comprobante de egreso relacionado con el pago. Ahora bien, el diligenciamiento de dicha tabla será responsabilidad del supervisor del contrato correspondiente.</w:t>
      </w:r>
    </w:p>
    <w:p w14:paraId="40DCA5C4" w14:textId="77777777" w:rsidR="00326102" w:rsidRDefault="00326102" w:rsidP="00326102">
      <w:pPr>
        <w:rPr>
          <w:rFonts w:ascii="Verdana" w:eastAsia="Calibri" w:hAnsi="Verdana" w:cs="Arial"/>
          <w:sz w:val="22"/>
          <w:szCs w:val="22"/>
          <w:lang w:val="es-CO" w:eastAsia="en-US"/>
        </w:rPr>
      </w:pPr>
      <w:r>
        <w:rPr>
          <w:rFonts w:ascii="Verdana" w:eastAsia="Calibri" w:hAnsi="Verdana" w:cs="Arial"/>
          <w:sz w:val="22"/>
          <w:szCs w:val="22"/>
          <w:lang w:val="es-CO" w:eastAsia="en-US"/>
        </w:rPr>
        <w:br w:type="page"/>
      </w:r>
    </w:p>
    <w:p w14:paraId="6BD01B94" w14:textId="77777777" w:rsidR="00326102" w:rsidRPr="008372BA" w:rsidRDefault="00326102" w:rsidP="00326102">
      <w:pPr>
        <w:contextualSpacing/>
        <w:jc w:val="center"/>
        <w:rPr>
          <w:rFonts w:ascii="Verdana" w:hAnsi="Verdana" w:cs="Arial"/>
          <w:b/>
          <w:sz w:val="20"/>
          <w:szCs w:val="20"/>
          <w:lang w:eastAsia="en-US"/>
        </w:rPr>
      </w:pPr>
      <w:r w:rsidRPr="008372BA">
        <w:rPr>
          <w:rFonts w:ascii="Verdana" w:hAnsi="Verdana" w:cs="Arial"/>
          <w:b/>
          <w:bCs/>
          <w:sz w:val="20"/>
          <w:szCs w:val="20"/>
          <w:lang w:eastAsia="en-US"/>
        </w:rPr>
        <w:lastRenderedPageBreak/>
        <w:t>Tabla 4. Ejemplo de tabla de seguimiento a los pagos de contratación.</w:t>
      </w:r>
    </w:p>
    <w:tbl>
      <w:tblPr>
        <w:tblStyle w:val="Tablaconcuadrcula4-nfasis4111"/>
        <w:tblW w:w="9885" w:type="dxa"/>
        <w:tblInd w:w="0" w:type="dxa"/>
        <w:tblLook w:val="04A0" w:firstRow="1" w:lastRow="0" w:firstColumn="1" w:lastColumn="0" w:noHBand="0" w:noVBand="1"/>
      </w:tblPr>
      <w:tblGrid>
        <w:gridCol w:w="1555"/>
        <w:gridCol w:w="1440"/>
        <w:gridCol w:w="1219"/>
        <w:gridCol w:w="1440"/>
        <w:gridCol w:w="975"/>
        <w:gridCol w:w="1646"/>
        <w:gridCol w:w="1610"/>
      </w:tblGrid>
      <w:tr w:rsidR="00326102" w:rsidRPr="008372BA" w14:paraId="6F4CFE83" w14:textId="77777777" w:rsidTr="001563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9BEF2A1" w14:textId="77777777" w:rsidR="00326102" w:rsidRPr="008372BA" w:rsidRDefault="00326102" w:rsidP="001563A5">
            <w:pPr>
              <w:contextualSpacing/>
              <w:jc w:val="center"/>
              <w:rPr>
                <w:rFonts w:ascii="Verdana" w:eastAsia="Calibri" w:hAnsi="Verdana" w:cs="Arial"/>
                <w:color w:val="auto"/>
                <w:sz w:val="18"/>
                <w:szCs w:val="18"/>
                <w:lang w:val="es-CO" w:eastAsia="en-US"/>
              </w:rPr>
            </w:pPr>
            <w:r w:rsidRPr="008372BA">
              <w:rPr>
                <w:rFonts w:ascii="Verdana" w:eastAsia="Calibri" w:hAnsi="Verdana"/>
                <w:sz w:val="18"/>
                <w:szCs w:val="18"/>
                <w:lang w:val="es-CO" w:eastAsia="en-US"/>
              </w:rPr>
              <w:t>Contrato</w:t>
            </w:r>
          </w:p>
        </w:tc>
        <w:tc>
          <w:tcPr>
            <w:tcW w:w="144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1D6ED9B1"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Valor total del contrato</w:t>
            </w:r>
          </w:p>
        </w:tc>
        <w:tc>
          <w:tcPr>
            <w:tcW w:w="1219"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0A20E8D"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Forma de pago</w:t>
            </w:r>
          </w:p>
        </w:tc>
        <w:tc>
          <w:tcPr>
            <w:tcW w:w="144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4151A5B"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Valor parcial</w:t>
            </w:r>
          </w:p>
        </w:tc>
        <w:tc>
          <w:tcPr>
            <w:tcW w:w="9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8A0D472"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Estado del pago</w:t>
            </w:r>
          </w:p>
        </w:tc>
        <w:tc>
          <w:tcPr>
            <w:tcW w:w="164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D030CE1"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Comprobante de egreso</w:t>
            </w:r>
          </w:p>
        </w:tc>
        <w:tc>
          <w:tcPr>
            <w:tcW w:w="1610"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911EA0E"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val="es-CO" w:eastAsia="en-US"/>
              </w:rPr>
              <w:t>Fecha del comprobante de egreso</w:t>
            </w:r>
          </w:p>
        </w:tc>
      </w:tr>
      <w:tr w:rsidR="00326102" w:rsidRPr="008372BA" w14:paraId="10C6D8B5" w14:textId="77777777" w:rsidTr="001563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 w:type="dxa"/>
            <w:vMerge w:val="restart"/>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77CCE936" w14:textId="77777777" w:rsidR="00326102" w:rsidRPr="008372BA" w:rsidRDefault="00326102" w:rsidP="001563A5">
            <w:pPr>
              <w:contextualSpacing/>
              <w:jc w:val="center"/>
              <w:rPr>
                <w:rFonts w:ascii="Verdana" w:eastAsia="Calibri" w:hAnsi="Verdana"/>
                <w:b w:val="0"/>
                <w:bCs w:val="0"/>
                <w:sz w:val="18"/>
                <w:szCs w:val="18"/>
                <w:lang w:val="es-CO" w:eastAsia="en-US"/>
              </w:rPr>
            </w:pPr>
            <w:r w:rsidRPr="008372BA">
              <w:rPr>
                <w:rFonts w:ascii="Verdana" w:eastAsia="Calibri" w:hAnsi="Verdana"/>
                <w:sz w:val="18"/>
                <w:szCs w:val="18"/>
                <w:lang w:val="es-CO" w:eastAsia="en-US"/>
              </w:rPr>
              <w:t>Contrato No. 123-xxxx-202x</w:t>
            </w:r>
          </w:p>
        </w:tc>
        <w:tc>
          <w:tcPr>
            <w:tcW w:w="6" w:type="dxa"/>
            <w:vMerge w:val="restart"/>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B1BC61D"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$50.000.000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38C0600"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Pago anticipado del 50 %.</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6DCF0211"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$25.000.000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398F3EBC"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Pagado</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766962D"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Comprobante de egreso No. 123</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59C1B0F"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xx del xxxx de 202x</w:t>
            </w:r>
          </w:p>
        </w:tc>
      </w:tr>
      <w:tr w:rsidR="00326102" w:rsidRPr="008372BA" w14:paraId="3B609504" w14:textId="77777777" w:rsidTr="001563A5">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37744B75" w14:textId="77777777" w:rsidR="00326102" w:rsidRPr="008372BA" w:rsidRDefault="00326102" w:rsidP="001563A5">
            <w:pPr>
              <w:contextualSpacing/>
              <w:rPr>
                <w:rFonts w:ascii="Verdana" w:eastAsia="Calibri" w:hAnsi="Verdana" w:cs="Arial"/>
                <w:sz w:val="18"/>
                <w:szCs w:val="18"/>
                <w:lang w:val="es-CO" w:eastAsia="en-US"/>
              </w:rPr>
            </w:pPr>
          </w:p>
        </w:tc>
        <w:tc>
          <w:tcPr>
            <w:tcW w:w="0" w:type="auto"/>
            <w:vMerge/>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037F87B9" w14:textId="77777777" w:rsidR="00326102" w:rsidRPr="008372BA" w:rsidRDefault="00326102" w:rsidP="001563A5">
            <w:pPr>
              <w:contextualSpacing/>
              <w:cnfStyle w:val="000000000000" w:firstRow="0" w:lastRow="0" w:firstColumn="0" w:lastColumn="0" w:oddVBand="0" w:evenVBand="0" w:oddHBand="0" w:evenHBand="0" w:firstRowFirstColumn="0" w:firstRowLastColumn="0" w:lastRowFirstColumn="0" w:lastRowLastColumn="0"/>
              <w:rPr>
                <w:rFonts w:ascii="Verdana" w:eastAsia="Calibri" w:hAnsi="Verdana" w:cs="Arial"/>
                <w:sz w:val="18"/>
                <w:szCs w:val="18"/>
                <w:lang w:val="es-CO" w:eastAsia="en-US"/>
              </w:rPr>
            </w:pP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4E866ADF"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Pago final del 50 %.</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5BEBC5D"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$25.000.000</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514CFCF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No pagado</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191B75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w:t>
            </w:r>
          </w:p>
        </w:tc>
        <w:tc>
          <w:tcPr>
            <w:tcW w:w="6" w:type="dxa"/>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tcBorders>
            <w:vAlign w:val="center"/>
            <w:hideMark/>
          </w:tcPr>
          <w:p w14:paraId="1E339179"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val="es-CO" w:eastAsia="en-US"/>
              </w:rPr>
              <w:t>-</w:t>
            </w:r>
          </w:p>
        </w:tc>
      </w:tr>
    </w:tbl>
    <w:p w14:paraId="03418DED" w14:textId="77777777" w:rsidR="00326102" w:rsidRPr="008372BA" w:rsidRDefault="00326102" w:rsidP="00326102">
      <w:pPr>
        <w:contextualSpacing/>
        <w:jc w:val="center"/>
        <w:rPr>
          <w:rFonts w:ascii="Verdana" w:eastAsia="Calibri" w:hAnsi="Verdana" w:cs="Arial"/>
          <w:sz w:val="16"/>
          <w:szCs w:val="16"/>
          <w:lang w:eastAsia="en-US"/>
        </w:rPr>
      </w:pPr>
      <w:r w:rsidRPr="008372BA">
        <w:rPr>
          <w:rFonts w:ascii="Verdana" w:eastAsia="Calibri" w:hAnsi="Verdana" w:cs="Arial"/>
          <w:sz w:val="16"/>
          <w:szCs w:val="16"/>
          <w:lang w:eastAsia="en-US"/>
        </w:rPr>
        <w:t>Fuente: Elaboración de la DAF.</w:t>
      </w:r>
    </w:p>
    <w:p w14:paraId="04EE7DEA" w14:textId="77777777" w:rsidR="00326102" w:rsidRPr="008372BA" w:rsidRDefault="00326102" w:rsidP="00326102">
      <w:pPr>
        <w:contextualSpacing/>
        <w:jc w:val="both"/>
        <w:rPr>
          <w:rFonts w:ascii="Verdana" w:eastAsia="Calibri" w:hAnsi="Verdana" w:cs="Arial"/>
          <w:sz w:val="22"/>
          <w:szCs w:val="22"/>
          <w:lang w:val="es-CO" w:eastAsia="en-US"/>
        </w:rPr>
      </w:pPr>
    </w:p>
    <w:p w14:paraId="4C61320E"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3.2. Articular los procesos presupuestales, contables y de tesorería, los cuales deben registrarse de manera armónica entre sí permitiendo un manejo adecuado en términos de planeación y ejecución de los recursos de la Asignación Especial.</w:t>
      </w:r>
    </w:p>
    <w:p w14:paraId="47CA2ED3"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27326DA"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3.2.1. Articular los procesos presupuestales y de tesorería, específicamente lo concerniente a los ingresos (créditos) y pagos (débitos) de las ejecuciones presupuestales y cierres de tesorería, debidamente soportadas con los libros de banco, extractos bancarios, las resoluciones de constitución de reservas y cuentas por pagar; con el fin de armonizar estos dos procesos administrativos, permitiendo un manejo adecuado en términos de planeación y ejecución de los recursos de la Asignación Especial.</w:t>
      </w:r>
    </w:p>
    <w:p w14:paraId="06A636A4"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18AE2F5"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w:t>
      </w:r>
      <w:r w:rsidRPr="008372BA">
        <w:rPr>
          <w:rFonts w:ascii="Verdana" w:eastAsia="Calibri" w:hAnsi="Verdana" w:cs="Arial"/>
          <w:sz w:val="22"/>
          <w:szCs w:val="22"/>
          <w:lang w:eastAsia="en-US"/>
        </w:rPr>
        <w:t xml:space="preserve">Archivo </w:t>
      </w:r>
      <w:r w:rsidRPr="008372BA">
        <w:rPr>
          <w:rFonts w:ascii="Verdana" w:eastAsia="Calibri" w:hAnsi="Verdana" w:cs="Arial"/>
          <w:i/>
          <w:iCs/>
          <w:sz w:val="22"/>
          <w:szCs w:val="22"/>
          <w:lang w:eastAsia="en-US"/>
        </w:rPr>
        <w:t>Excel</w:t>
      </w:r>
      <w:r w:rsidRPr="008372BA">
        <w:rPr>
          <w:rFonts w:ascii="Verdana" w:eastAsia="Calibri" w:hAnsi="Verdana" w:cs="Arial"/>
          <w:sz w:val="22"/>
          <w:szCs w:val="22"/>
          <w:lang w:eastAsia="en-US"/>
        </w:rPr>
        <w:t xml:space="preserve"> que contenga la información presupuestal debidamente contrastada con la información de tesorería para la vigencia 2022. Así mismo, copia de las ejecuciones presupuestales de ingresos y gastos; cierres de tesorería con el detalle de las cuentas por pagar, superávit o déficit fiscal, saldo en la caja y bancos; copia de libros de banco, extractos bancarios, resolución de constitución de reservas y cuentas por pagar y comprobantes de pago.</w:t>
      </w:r>
    </w:p>
    <w:p w14:paraId="38319F61" w14:textId="77777777" w:rsidR="00326102" w:rsidRPr="008372BA" w:rsidRDefault="00326102" w:rsidP="00326102">
      <w:pPr>
        <w:contextualSpacing/>
        <w:jc w:val="both"/>
        <w:rPr>
          <w:rFonts w:ascii="Verdana" w:eastAsia="Calibri" w:hAnsi="Verdana" w:cs="Arial"/>
          <w:sz w:val="22"/>
          <w:szCs w:val="22"/>
          <w:lang w:val="es-CO" w:eastAsia="en-US"/>
        </w:rPr>
      </w:pPr>
    </w:p>
    <w:p w14:paraId="62BC25ED"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 xml:space="preserve">De acuerdo con la Matriz de Seguimiento del Plan de Desempeño, al Municipio de Puerto Berrío se le solicitó para esta Actividad un archivo </w:t>
      </w:r>
      <w:r w:rsidRPr="008372BA">
        <w:rPr>
          <w:rFonts w:ascii="Verdana" w:eastAsia="Calibri" w:hAnsi="Verdana" w:cs="Arial"/>
          <w:i/>
          <w:iCs/>
          <w:sz w:val="22"/>
          <w:szCs w:val="22"/>
          <w:lang w:eastAsia="en-US"/>
        </w:rPr>
        <w:t>Excel</w:t>
      </w:r>
      <w:r w:rsidRPr="008372BA">
        <w:rPr>
          <w:rFonts w:ascii="Verdana" w:eastAsia="Calibri" w:hAnsi="Verdana" w:cs="Arial"/>
          <w:sz w:val="22"/>
          <w:szCs w:val="22"/>
          <w:lang w:eastAsia="en-US"/>
        </w:rPr>
        <w:t xml:space="preserve"> que contenga la información presupuestal debidamente contrastada con la información de tesorería hasta octubre de 2022. Sin embargo, el Municipio no hizo envío del archivo para ninguna de las dos vigencias solicitadas. En consecuencia, se revisaron los soportes presupuestales, tesorales y contables enviados por la Entidad para contrastarlos entre sí y así evaluar la presente Actividad.</w:t>
      </w:r>
    </w:p>
    <w:p w14:paraId="6707DF32" w14:textId="77777777" w:rsidR="00326102" w:rsidRPr="008372BA" w:rsidRDefault="00326102" w:rsidP="00326102">
      <w:pPr>
        <w:contextualSpacing/>
        <w:jc w:val="both"/>
        <w:rPr>
          <w:rFonts w:ascii="Verdana" w:eastAsia="Calibri" w:hAnsi="Verdana" w:cs="Arial"/>
          <w:sz w:val="22"/>
          <w:szCs w:val="22"/>
          <w:lang w:eastAsia="en-US"/>
        </w:rPr>
      </w:pPr>
    </w:p>
    <w:p w14:paraId="340A62CC"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eastAsia="en-US"/>
        </w:rPr>
        <w:t>Se realizó el análisis con la ejecución presupuestal del 2022, los contratos ejecutados durante las dos vigencias, la resolución de constitución de reservas y cuentas por pagar y los comprobantes de egresos. De acuerdo con esta información se pudieron hallar disparidades en la información presupuestal y tesoral, como se muestra a continuación:</w:t>
      </w:r>
    </w:p>
    <w:p w14:paraId="0D7CF997" w14:textId="77777777" w:rsidR="00326102" w:rsidRDefault="00326102" w:rsidP="00326102">
      <w:pPr>
        <w:rPr>
          <w:rFonts w:ascii="Verdana" w:eastAsia="Calibri" w:hAnsi="Verdana" w:cs="Arial"/>
          <w:b/>
          <w:bCs/>
          <w:sz w:val="22"/>
          <w:szCs w:val="22"/>
          <w:lang w:val="es-CO" w:eastAsia="en-US"/>
        </w:rPr>
      </w:pPr>
      <w:r>
        <w:rPr>
          <w:rFonts w:ascii="Verdana" w:eastAsia="Calibri" w:hAnsi="Verdana" w:cs="Arial"/>
          <w:b/>
          <w:bCs/>
          <w:sz w:val="22"/>
          <w:szCs w:val="22"/>
          <w:lang w:val="es-CO" w:eastAsia="en-US"/>
        </w:rPr>
        <w:br w:type="page"/>
      </w:r>
    </w:p>
    <w:p w14:paraId="0E7FC24B" w14:textId="77777777" w:rsidR="00326102" w:rsidRPr="008372BA" w:rsidRDefault="00326102" w:rsidP="00326102">
      <w:pPr>
        <w:contextualSpacing/>
        <w:jc w:val="center"/>
        <w:rPr>
          <w:rFonts w:ascii="Verdana" w:hAnsi="Verdana" w:cs="Arial"/>
          <w:b/>
          <w:sz w:val="20"/>
          <w:szCs w:val="20"/>
          <w:lang w:eastAsia="en-US"/>
        </w:rPr>
      </w:pPr>
      <w:r w:rsidRPr="008372BA">
        <w:rPr>
          <w:rFonts w:ascii="Verdana" w:hAnsi="Verdana" w:cs="Arial"/>
          <w:b/>
          <w:sz w:val="20"/>
          <w:szCs w:val="20"/>
          <w:lang w:eastAsia="en-US"/>
        </w:rPr>
        <w:lastRenderedPageBreak/>
        <w:t xml:space="preserve">Tabla </w:t>
      </w:r>
      <w:r w:rsidRPr="008372BA">
        <w:rPr>
          <w:rFonts w:ascii="Verdana" w:hAnsi="Verdana" w:cs="Arial"/>
          <w:b/>
          <w:bCs/>
          <w:sz w:val="20"/>
          <w:szCs w:val="20"/>
          <w:lang w:eastAsia="en-US"/>
        </w:rPr>
        <w:t>5</w:t>
      </w:r>
      <w:r w:rsidRPr="008372BA">
        <w:rPr>
          <w:rFonts w:ascii="Verdana" w:hAnsi="Verdana" w:cs="Arial"/>
          <w:b/>
          <w:sz w:val="20"/>
          <w:szCs w:val="20"/>
          <w:lang w:eastAsia="en-US"/>
        </w:rPr>
        <w:t>. Análisis presupuestal y financiero vigencia 2022 con corte a octubre</w:t>
      </w:r>
    </w:p>
    <w:p w14:paraId="564D5FB5" w14:textId="77777777" w:rsidR="00326102" w:rsidRPr="008372BA" w:rsidRDefault="00326102" w:rsidP="00326102">
      <w:pPr>
        <w:contextualSpacing/>
        <w:jc w:val="center"/>
        <w:rPr>
          <w:rFonts w:ascii="Verdana" w:eastAsia="Calibri" w:hAnsi="Verdana" w:cs="Arial"/>
          <w:b/>
          <w:bCs/>
          <w:sz w:val="20"/>
          <w:szCs w:val="20"/>
          <w:lang w:val="es-CO" w:eastAsia="en-US"/>
        </w:rPr>
      </w:pPr>
      <w:r w:rsidRPr="008372BA">
        <w:rPr>
          <w:rFonts w:ascii="Verdana" w:eastAsia="Calibri" w:hAnsi="Verdana" w:cs="Arial"/>
          <w:b/>
          <w:bCs/>
          <w:sz w:val="20"/>
          <w:szCs w:val="20"/>
          <w:lang w:eastAsia="en-US"/>
        </w:rPr>
        <w:t>Asignación Especial para Municipios Ribereños de Río Magdalena</w:t>
      </w:r>
    </w:p>
    <w:tbl>
      <w:tblPr>
        <w:tblW w:w="5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075"/>
        <w:gridCol w:w="1596"/>
      </w:tblGrid>
      <w:tr w:rsidR="00326102" w:rsidRPr="008372BA" w14:paraId="3EB9CB8F" w14:textId="77777777" w:rsidTr="001563A5">
        <w:trPr>
          <w:trHeight w:val="300"/>
          <w:tblHeader/>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15D7FE3" w14:textId="77777777" w:rsidR="00326102" w:rsidRPr="008372BA" w:rsidRDefault="00326102" w:rsidP="001563A5">
            <w:pPr>
              <w:contextualSpacing/>
              <w:jc w:val="both"/>
              <w:rPr>
                <w:rFonts w:ascii="Verdana" w:eastAsia="Times New Roman" w:hAnsi="Verdana" w:cs="Arial"/>
                <w:b/>
                <w:bCs/>
                <w:sz w:val="18"/>
                <w:szCs w:val="18"/>
                <w:lang w:val="es-CO" w:eastAsia="es-CO"/>
              </w:rPr>
            </w:pPr>
            <w:r w:rsidRPr="008372BA">
              <w:rPr>
                <w:rFonts w:ascii="Verdana" w:eastAsia="Times New Roman" w:hAnsi="Verdana" w:cs="Arial"/>
                <w:b/>
                <w:bCs/>
                <w:sz w:val="18"/>
                <w:szCs w:val="18"/>
                <w:lang w:val="es-CO" w:eastAsia="es-CO"/>
              </w:rPr>
              <w:t xml:space="preserve">SGP Ribereños </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B001F34" w14:textId="77777777" w:rsidR="00326102" w:rsidRPr="008372BA" w:rsidRDefault="00326102" w:rsidP="001563A5">
            <w:pPr>
              <w:contextualSpacing/>
              <w:jc w:val="both"/>
              <w:rPr>
                <w:rFonts w:ascii="Verdana" w:eastAsia="Times New Roman" w:hAnsi="Verdana" w:cs="Arial"/>
                <w:b/>
                <w:bCs/>
                <w:sz w:val="18"/>
                <w:szCs w:val="18"/>
                <w:lang w:val="es-CO" w:eastAsia="es-CO"/>
              </w:rPr>
            </w:pPr>
            <w:r w:rsidRPr="008372BA">
              <w:rPr>
                <w:rFonts w:ascii="Verdana" w:eastAsia="Times New Roman" w:hAnsi="Verdana" w:cs="Arial"/>
                <w:b/>
                <w:bCs/>
                <w:sz w:val="18"/>
                <w:szCs w:val="18"/>
                <w:lang w:val="es-CO" w:eastAsia="es-CO"/>
              </w:rPr>
              <w:t>oct-22</w:t>
            </w:r>
          </w:p>
        </w:tc>
      </w:tr>
      <w:tr w:rsidR="00326102" w:rsidRPr="008372BA" w14:paraId="37E40E17" w14:textId="77777777" w:rsidTr="001563A5">
        <w:trPr>
          <w:trHeight w:val="465"/>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8C2F33B"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Transferencias SGP</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9FA06CE" w14:textId="77777777" w:rsidR="00326102" w:rsidRPr="008372BA" w:rsidRDefault="00326102" w:rsidP="001563A5">
            <w:pPr>
              <w:contextualSpacing/>
              <w:rPr>
                <w:rFonts w:ascii="Verdana" w:eastAsia="Times New Roman" w:hAnsi="Verdana" w:cs="Arial"/>
                <w:b/>
                <w:bCs/>
                <w:color w:val="000000"/>
                <w:sz w:val="18"/>
                <w:szCs w:val="18"/>
                <w:lang w:val="es-CO" w:eastAsia="es-CO"/>
              </w:rPr>
            </w:pPr>
          </w:p>
        </w:tc>
      </w:tr>
      <w:tr w:rsidR="00326102" w:rsidRPr="008372BA" w14:paraId="7D3BAFA1"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2FD487F"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Presupuesto definitivo</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09D2F633" w14:textId="77777777" w:rsidR="00326102" w:rsidRPr="008372BA" w:rsidRDefault="00326102" w:rsidP="001563A5">
            <w:pPr>
              <w:contextualSpacing/>
              <w:jc w:val="both"/>
              <w:rPr>
                <w:rFonts w:ascii="Verdana" w:eastAsia="Times New Roman" w:hAnsi="Verdana" w:cs="Arial"/>
                <w:sz w:val="18"/>
                <w:szCs w:val="18"/>
                <w:lang w:val="es-CO" w:eastAsia="es-CO"/>
              </w:rPr>
            </w:pPr>
            <w:r w:rsidRPr="008372BA">
              <w:rPr>
                <w:rFonts w:ascii="Verdana" w:eastAsia="Times New Roman" w:hAnsi="Verdana" w:cs="Arial"/>
                <w:sz w:val="18"/>
                <w:szCs w:val="18"/>
                <w:lang w:val="es-CO" w:eastAsia="es-CO"/>
              </w:rPr>
              <w:t>$697.292.287</w:t>
            </w:r>
          </w:p>
        </w:tc>
      </w:tr>
      <w:tr w:rsidR="00326102" w:rsidRPr="008372BA" w14:paraId="6507D054"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5CDC106"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Recaudo efectivo</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1730806" w14:textId="77777777" w:rsidR="00326102" w:rsidRPr="008372BA" w:rsidRDefault="00326102" w:rsidP="001563A5">
            <w:pPr>
              <w:contextualSpacing/>
              <w:jc w:val="both"/>
              <w:rPr>
                <w:rFonts w:ascii="Verdana" w:eastAsia="Times New Roman" w:hAnsi="Verdana" w:cs="Arial"/>
                <w:sz w:val="18"/>
                <w:szCs w:val="18"/>
                <w:lang w:val="es-CO" w:eastAsia="es-CO"/>
              </w:rPr>
            </w:pPr>
            <w:r w:rsidRPr="008372BA">
              <w:rPr>
                <w:rFonts w:ascii="Verdana" w:eastAsia="Times New Roman" w:hAnsi="Verdana" w:cs="Arial"/>
                <w:sz w:val="18"/>
                <w:szCs w:val="18"/>
                <w:lang w:val="es-CO" w:eastAsia="es-CO"/>
              </w:rPr>
              <w:t>$521.487.559</w:t>
            </w:r>
          </w:p>
        </w:tc>
      </w:tr>
      <w:tr w:rsidR="00326102" w:rsidRPr="008372BA" w14:paraId="5F5D62AD" w14:textId="77777777" w:rsidTr="001563A5">
        <w:trPr>
          <w:trHeight w:val="48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77D013FC"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Documentos distribución DNP</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49B92DA"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eastAsia="es-CO"/>
              </w:rPr>
              <w:t>$697.292.287</w:t>
            </w:r>
          </w:p>
        </w:tc>
      </w:tr>
      <w:tr w:rsidR="00326102" w:rsidRPr="008372BA" w14:paraId="7AB196BC" w14:textId="77777777" w:rsidTr="001563A5">
        <w:trPr>
          <w:trHeight w:val="315"/>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1C9F6A81"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Superávit fiscal</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2AC5A0AB"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5BE0D48E" w14:textId="77777777" w:rsidTr="001563A5">
        <w:trPr>
          <w:trHeight w:val="495"/>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09F0A99B"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Resultado vig. Anterior según cierre de tesorería</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0A743CC" w14:textId="77777777" w:rsidR="00326102" w:rsidRPr="008372BA" w:rsidRDefault="00326102" w:rsidP="001563A5">
            <w:pPr>
              <w:contextualSpacing/>
              <w:rPr>
                <w:rFonts w:ascii="Verdana" w:eastAsia="Times New Roman" w:hAnsi="Verdana" w:cs="Arial"/>
                <w:color w:val="000000"/>
                <w:sz w:val="18"/>
                <w:szCs w:val="18"/>
                <w:lang w:val="es-CO" w:eastAsia="es-CO"/>
              </w:rPr>
            </w:pPr>
          </w:p>
        </w:tc>
      </w:tr>
      <w:tr w:rsidR="00326102" w:rsidRPr="008372BA" w14:paraId="2FC255C7" w14:textId="77777777" w:rsidTr="001563A5">
        <w:trPr>
          <w:trHeight w:val="495"/>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5B4737B5"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 xml:space="preserve">Libros bancarios </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630F8B7" w14:textId="77777777" w:rsidR="00326102" w:rsidRPr="008372BA" w:rsidRDefault="00326102" w:rsidP="001563A5">
            <w:pPr>
              <w:contextualSpacing/>
              <w:jc w:val="both"/>
              <w:rPr>
                <w:rFonts w:ascii="Verdana" w:eastAsia="Times New Roman" w:hAnsi="Verdana" w:cs="Arial"/>
                <w:color w:val="000000"/>
                <w:sz w:val="18"/>
                <w:szCs w:val="18"/>
                <w:lang w:eastAsia="es-CO"/>
              </w:rPr>
            </w:pPr>
            <w:r w:rsidRPr="008372BA">
              <w:rPr>
                <w:rFonts w:ascii="Verdana" w:eastAsia="Times New Roman" w:hAnsi="Verdana" w:cs="Arial"/>
                <w:color w:val="000000"/>
                <w:sz w:val="18"/>
                <w:szCs w:val="18"/>
                <w:lang w:eastAsia="es-CO"/>
              </w:rPr>
              <w:t>$698.918.648</w:t>
            </w:r>
          </w:p>
        </w:tc>
      </w:tr>
      <w:tr w:rsidR="00326102" w:rsidRPr="008372BA" w14:paraId="3C436C16" w14:textId="77777777" w:rsidTr="001563A5">
        <w:trPr>
          <w:trHeight w:val="48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D619034"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Rendimientos financieros</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32E5FDB9"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4BCD4CA5" w14:textId="77777777" w:rsidTr="001563A5">
        <w:trPr>
          <w:trHeight w:val="72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01966595"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Extractos bancarios y/o reporte Cuentas Maestras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01C3B397"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eastAsia="es-CO"/>
              </w:rPr>
              <w:t xml:space="preserve">$1.515.311 </w:t>
            </w:r>
          </w:p>
        </w:tc>
      </w:tr>
      <w:tr w:rsidR="00326102" w:rsidRPr="008372BA" w14:paraId="18F37A60" w14:textId="77777777" w:rsidTr="001563A5">
        <w:trPr>
          <w:trHeight w:val="735"/>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1E024266"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Total de ingresos; corrientes y de capital (1)</w:t>
            </w:r>
          </w:p>
        </w:tc>
        <w:tc>
          <w:tcPr>
            <w:tcW w:w="1596" w:type="dxa"/>
            <w:tcBorders>
              <w:top w:val="single" w:sz="4" w:space="0" w:color="auto"/>
              <w:left w:val="single" w:sz="4" w:space="0" w:color="auto"/>
              <w:bottom w:val="single" w:sz="4" w:space="0" w:color="auto"/>
              <w:right w:val="single" w:sz="4" w:space="0" w:color="auto"/>
            </w:tcBorders>
            <w:vAlign w:val="center"/>
            <w:hideMark/>
          </w:tcPr>
          <w:p w14:paraId="57BA1639"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5A1B28D0"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FAA7D68"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Compromisos (2)</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A99D206"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022C190A"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5EF99E55"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Valor ejecutado</w:t>
            </w:r>
          </w:p>
        </w:tc>
        <w:tc>
          <w:tcPr>
            <w:tcW w:w="1596" w:type="dxa"/>
            <w:tcBorders>
              <w:top w:val="single" w:sz="4" w:space="0" w:color="auto"/>
              <w:left w:val="single" w:sz="4" w:space="0" w:color="auto"/>
              <w:bottom w:val="single" w:sz="4" w:space="0" w:color="auto"/>
              <w:right w:val="single" w:sz="4" w:space="0" w:color="auto"/>
            </w:tcBorders>
            <w:vAlign w:val="center"/>
            <w:hideMark/>
          </w:tcPr>
          <w:p w14:paraId="293C1CDD"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3B84A938"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0C9446F"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Obligaciones (3)</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453522E"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3EE810CD" w14:textId="77777777" w:rsidTr="001563A5">
        <w:trPr>
          <w:trHeight w:val="30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B5CA295"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Pagos (4)</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BD614C8"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664E14AB" w14:textId="77777777" w:rsidTr="001563A5">
        <w:trPr>
          <w:trHeight w:val="72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67D961A3"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Desembolsos según comprobantes de egreso o acta de liquidación</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98389E7"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$177.707.700</w:t>
            </w:r>
          </w:p>
        </w:tc>
      </w:tr>
      <w:tr w:rsidR="00326102" w:rsidRPr="008372BA" w14:paraId="3C965EE9" w14:textId="77777777" w:rsidTr="001563A5">
        <w:trPr>
          <w:trHeight w:val="72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5C7BD556"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Extractos bancarios y/o reporte Cuentas Maestras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15B42FB1"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w:t>
            </w:r>
            <w:r w:rsidRPr="008372BA">
              <w:rPr>
                <w:rFonts w:ascii="Verdana" w:eastAsia="Times New Roman" w:hAnsi="Verdana" w:cs="Arial"/>
                <w:color w:val="000000"/>
                <w:sz w:val="18"/>
                <w:szCs w:val="18"/>
                <w:lang w:eastAsia="es-CO"/>
              </w:rPr>
              <w:t>167.816.968</w:t>
            </w:r>
          </w:p>
        </w:tc>
      </w:tr>
      <w:tr w:rsidR="00326102" w:rsidRPr="008372BA" w14:paraId="2B4104A2" w14:textId="77777777" w:rsidTr="001563A5">
        <w:trPr>
          <w:trHeight w:val="1005"/>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6FC3E0AA"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Resultado de Tesorería/ Presupuestal (1) - (2)</w:t>
            </w:r>
          </w:p>
        </w:tc>
        <w:tc>
          <w:tcPr>
            <w:tcW w:w="1596" w:type="dxa"/>
            <w:tcBorders>
              <w:top w:val="single" w:sz="4" w:space="0" w:color="auto"/>
              <w:left w:val="single" w:sz="4" w:space="0" w:color="auto"/>
              <w:bottom w:val="single" w:sz="4" w:space="0" w:color="auto"/>
              <w:right w:val="single" w:sz="4" w:space="0" w:color="auto"/>
            </w:tcBorders>
            <w:vAlign w:val="center"/>
            <w:hideMark/>
          </w:tcPr>
          <w:p w14:paraId="488ED9A9"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w:t>
            </w:r>
          </w:p>
        </w:tc>
      </w:tr>
      <w:tr w:rsidR="00326102" w:rsidRPr="008372BA" w14:paraId="092F2D57" w14:textId="77777777" w:rsidTr="001563A5">
        <w:trPr>
          <w:trHeight w:val="495"/>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85B8554"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Saldo disponible (1) - (4)</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A16D67B"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w:t>
            </w:r>
          </w:p>
        </w:tc>
      </w:tr>
      <w:tr w:rsidR="00326102" w:rsidRPr="008372BA" w14:paraId="160D5554" w14:textId="77777777" w:rsidTr="001563A5">
        <w:trPr>
          <w:trHeight w:val="72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71EB115C"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Extractos bancarios y/o reporte Cuentas Maestras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6205DD72"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$1.124.369.606</w:t>
            </w:r>
          </w:p>
        </w:tc>
      </w:tr>
      <w:tr w:rsidR="00326102" w:rsidRPr="008372BA" w14:paraId="019EAB8C" w14:textId="77777777" w:rsidTr="001563A5">
        <w:trPr>
          <w:trHeight w:val="48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188F351C"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t>Reservas presupuestales (2) - (3)</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8F5327C"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w:t>
            </w:r>
          </w:p>
        </w:tc>
      </w:tr>
      <w:tr w:rsidR="00326102" w:rsidRPr="008372BA" w14:paraId="220A9DFD" w14:textId="77777777" w:rsidTr="001563A5">
        <w:trPr>
          <w:trHeight w:val="660"/>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3F27CDEF"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Acto administrativo de constitución de reservas</w:t>
            </w:r>
          </w:p>
        </w:tc>
        <w:tc>
          <w:tcPr>
            <w:tcW w:w="1596" w:type="dxa"/>
            <w:tcBorders>
              <w:top w:val="single" w:sz="4" w:space="0" w:color="auto"/>
              <w:left w:val="single" w:sz="4" w:space="0" w:color="auto"/>
              <w:bottom w:val="single" w:sz="4" w:space="0" w:color="auto"/>
              <w:right w:val="single" w:sz="4" w:space="0" w:color="auto"/>
            </w:tcBorders>
            <w:vAlign w:val="center"/>
            <w:hideMark/>
          </w:tcPr>
          <w:p w14:paraId="75142CE1"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r w:rsidR="00326102" w:rsidRPr="008372BA" w14:paraId="0ECF0FAE" w14:textId="77777777" w:rsidTr="001563A5">
        <w:trPr>
          <w:trHeight w:val="480"/>
          <w:jc w:val="center"/>
        </w:trPr>
        <w:tc>
          <w:tcPr>
            <w:tcW w:w="4075"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0C5BBC45" w14:textId="77777777" w:rsidR="00326102" w:rsidRPr="008372BA" w:rsidRDefault="00326102" w:rsidP="001563A5">
            <w:pPr>
              <w:contextualSpacing/>
              <w:jc w:val="both"/>
              <w:rPr>
                <w:rFonts w:ascii="Verdana" w:eastAsia="Times New Roman" w:hAnsi="Verdana" w:cs="Arial"/>
                <w:b/>
                <w:bCs/>
                <w:color w:val="000000"/>
                <w:sz w:val="18"/>
                <w:szCs w:val="18"/>
                <w:lang w:val="es-CO" w:eastAsia="es-CO"/>
              </w:rPr>
            </w:pPr>
            <w:r w:rsidRPr="008372BA">
              <w:rPr>
                <w:rFonts w:ascii="Verdana" w:eastAsia="Times New Roman" w:hAnsi="Verdana" w:cs="Arial"/>
                <w:b/>
                <w:bCs/>
                <w:color w:val="000000"/>
                <w:sz w:val="18"/>
                <w:szCs w:val="18"/>
                <w:lang w:val="es-CO" w:eastAsia="es-CO"/>
              </w:rPr>
              <w:lastRenderedPageBreak/>
              <w:t>Cuentas por pagar (3) - (4)</w:t>
            </w:r>
          </w:p>
        </w:tc>
        <w:tc>
          <w:tcPr>
            <w:tcW w:w="159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36524FE0"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w:t>
            </w:r>
          </w:p>
        </w:tc>
      </w:tr>
      <w:tr w:rsidR="00326102" w:rsidRPr="008372BA" w14:paraId="6B540356" w14:textId="77777777" w:rsidTr="001563A5">
        <w:trPr>
          <w:trHeight w:val="705"/>
          <w:jc w:val="center"/>
        </w:trPr>
        <w:tc>
          <w:tcPr>
            <w:tcW w:w="4075" w:type="dxa"/>
            <w:tcBorders>
              <w:top w:val="single" w:sz="4" w:space="0" w:color="auto"/>
              <w:left w:val="single" w:sz="4" w:space="0" w:color="auto"/>
              <w:bottom w:val="single" w:sz="4" w:space="0" w:color="auto"/>
              <w:right w:val="single" w:sz="4" w:space="0" w:color="auto"/>
            </w:tcBorders>
            <w:vAlign w:val="center"/>
            <w:hideMark/>
          </w:tcPr>
          <w:p w14:paraId="38994EBE"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Acto administrativo de constitución de CxP</w:t>
            </w:r>
          </w:p>
        </w:tc>
        <w:tc>
          <w:tcPr>
            <w:tcW w:w="1596" w:type="dxa"/>
            <w:tcBorders>
              <w:top w:val="single" w:sz="4" w:space="0" w:color="auto"/>
              <w:left w:val="single" w:sz="4" w:space="0" w:color="auto"/>
              <w:bottom w:val="single" w:sz="4" w:space="0" w:color="auto"/>
              <w:right w:val="single" w:sz="4" w:space="0" w:color="auto"/>
            </w:tcBorders>
            <w:vAlign w:val="center"/>
            <w:hideMark/>
          </w:tcPr>
          <w:p w14:paraId="6C6EA244" w14:textId="77777777" w:rsidR="00326102" w:rsidRPr="008372BA" w:rsidRDefault="00326102" w:rsidP="001563A5">
            <w:pPr>
              <w:contextualSpacing/>
              <w:jc w:val="both"/>
              <w:rPr>
                <w:rFonts w:ascii="Verdana" w:eastAsia="Times New Roman" w:hAnsi="Verdana" w:cs="Arial"/>
                <w:color w:val="000000"/>
                <w:sz w:val="18"/>
                <w:szCs w:val="18"/>
                <w:lang w:val="es-CO" w:eastAsia="es-CO"/>
              </w:rPr>
            </w:pPr>
            <w:r w:rsidRPr="008372BA">
              <w:rPr>
                <w:rFonts w:ascii="Verdana" w:eastAsia="Times New Roman" w:hAnsi="Verdana" w:cs="Arial"/>
                <w:color w:val="000000"/>
                <w:sz w:val="18"/>
                <w:szCs w:val="18"/>
                <w:lang w:val="es-CO" w:eastAsia="es-CO"/>
              </w:rPr>
              <w:t>No incluido</w:t>
            </w:r>
          </w:p>
        </w:tc>
      </w:tr>
    </w:tbl>
    <w:p w14:paraId="1110E52B" w14:textId="77777777" w:rsidR="00326102" w:rsidRPr="008372BA" w:rsidRDefault="00326102" w:rsidP="00326102">
      <w:pPr>
        <w:contextualSpacing/>
        <w:jc w:val="center"/>
        <w:rPr>
          <w:rFonts w:ascii="Verdana" w:eastAsia="Calibri" w:hAnsi="Verdana" w:cs="Arial"/>
          <w:sz w:val="16"/>
          <w:szCs w:val="16"/>
          <w:lang w:val="es-CO" w:eastAsia="en-US"/>
        </w:rPr>
      </w:pPr>
      <w:r w:rsidRPr="008372BA">
        <w:rPr>
          <w:rFonts w:ascii="Verdana" w:eastAsia="Calibri" w:hAnsi="Verdana" w:cs="Arial"/>
          <w:sz w:val="16"/>
          <w:szCs w:val="16"/>
          <w:lang w:eastAsia="en-US"/>
        </w:rPr>
        <w:t>Fuente: Cálculos DAF con información entregada por la Administración Municipal y Documento de Distribución SGP-62-2022 del DNP.</w:t>
      </w:r>
    </w:p>
    <w:p w14:paraId="50345DE4" w14:textId="77777777" w:rsidR="00326102" w:rsidRPr="008372BA" w:rsidRDefault="00326102" w:rsidP="00326102">
      <w:pPr>
        <w:contextualSpacing/>
        <w:jc w:val="both"/>
        <w:rPr>
          <w:rFonts w:ascii="Verdana" w:eastAsia="Calibri" w:hAnsi="Verdana" w:cs="Arial"/>
          <w:b/>
          <w:bCs/>
          <w:sz w:val="22"/>
          <w:szCs w:val="22"/>
          <w:lang w:val="es-CO" w:eastAsia="en-US"/>
        </w:rPr>
      </w:pPr>
    </w:p>
    <w:p w14:paraId="0402C14F"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De acuerdo con la tabla anteriormente presentada, se presentan discrepancias en los procesos presupuestales y de tesorería de la Entidad Territorial. En este sentido, lo más importante y visible es que el Municipio no está incluyendo las diferentes categorías en los documentos planteados, en específico en las ejecuciones presupuestales. Por lo tanto, en el caso de ingresos no se incluyó el superávit fiscal y rendimiento financiero. Mientras que en las ejecuciones de gasto no se incluyeron ninguna de las categorías de compromisos, obligaciones y pagos. Al respecto de dicha situación, pues no fue posible conocer los movimientos.</w:t>
      </w:r>
    </w:p>
    <w:p w14:paraId="78BEA021" w14:textId="77777777" w:rsidR="00326102" w:rsidRPr="008372BA" w:rsidRDefault="00326102" w:rsidP="00326102">
      <w:pPr>
        <w:contextualSpacing/>
        <w:jc w:val="both"/>
        <w:rPr>
          <w:rFonts w:ascii="Verdana" w:eastAsia="Calibri" w:hAnsi="Verdana" w:cs="Arial"/>
          <w:sz w:val="22"/>
          <w:szCs w:val="22"/>
          <w:lang w:val="es-CO" w:eastAsia="en-US"/>
        </w:rPr>
      </w:pPr>
    </w:p>
    <w:p w14:paraId="4412072D" w14:textId="77777777" w:rsidR="00326102" w:rsidRPr="008372BA" w:rsidRDefault="00326102" w:rsidP="00326102">
      <w:pPr>
        <w:contextualSpacing/>
        <w:jc w:val="both"/>
        <w:rPr>
          <w:rFonts w:ascii="Verdana" w:eastAsia="Calibri" w:hAnsi="Verdana" w:cs="Arial"/>
          <w:b/>
          <w:bCs/>
          <w:sz w:val="22"/>
          <w:szCs w:val="22"/>
          <w:lang w:val="es-CO" w:eastAsia="en-US"/>
        </w:rPr>
      </w:pPr>
      <w:r w:rsidRPr="008372BA">
        <w:rPr>
          <w:rFonts w:ascii="Verdana" w:eastAsia="Calibri" w:hAnsi="Verdana" w:cs="Arial"/>
          <w:sz w:val="22"/>
          <w:szCs w:val="22"/>
          <w:lang w:eastAsia="en-US"/>
        </w:rPr>
        <w:t>Por todo lo anterior se concluye que el Municipio de Puerto Berrío sigue presentando desarticulación entre los procesos presupuestales y de tesorería. Por lo tanto, la Actividad se califica como no cumplida.</w:t>
      </w:r>
    </w:p>
    <w:p w14:paraId="02AA267D" w14:textId="77777777" w:rsidR="00326102" w:rsidRPr="008372BA" w:rsidRDefault="00326102" w:rsidP="00326102">
      <w:pPr>
        <w:contextualSpacing/>
        <w:jc w:val="both"/>
        <w:rPr>
          <w:rFonts w:ascii="Verdana" w:eastAsia="Calibri" w:hAnsi="Verdana" w:cs="Arial"/>
          <w:b/>
          <w:bCs/>
          <w:sz w:val="22"/>
          <w:szCs w:val="22"/>
          <w:lang w:val="es-CO" w:eastAsia="en-US"/>
        </w:rPr>
      </w:pPr>
    </w:p>
    <w:p w14:paraId="5493346B" w14:textId="77777777" w:rsidR="00326102" w:rsidRPr="008372BA" w:rsidRDefault="00326102" w:rsidP="00326102">
      <w:pPr>
        <w:contextualSpacing/>
        <w:jc w:val="both"/>
        <w:rPr>
          <w:rFonts w:ascii="Verdana" w:eastAsia="Calibri" w:hAnsi="Verdana" w:cs="Arial"/>
          <w:sz w:val="22"/>
          <w:szCs w:val="22"/>
          <w:u w:val="single"/>
          <w:lang w:val="es-CO" w:eastAsia="en-US"/>
        </w:rPr>
      </w:pPr>
      <w:r w:rsidRPr="008372BA">
        <w:rPr>
          <w:rFonts w:ascii="Verdana" w:eastAsia="Calibri" w:hAnsi="Verdana" w:cs="Arial"/>
          <w:b/>
          <w:bCs/>
          <w:sz w:val="22"/>
          <w:szCs w:val="22"/>
          <w:lang w:val="es-CO" w:eastAsia="en-US"/>
        </w:rPr>
        <w:t xml:space="preserve">Evaluación: </w:t>
      </w:r>
      <w:r w:rsidRPr="008372BA">
        <w:rPr>
          <w:rFonts w:ascii="Verdana" w:eastAsia="Calibri" w:hAnsi="Verdana" w:cs="Arial"/>
          <w:sz w:val="22"/>
          <w:szCs w:val="22"/>
          <w:u w:val="single"/>
          <w:lang w:val="es-CO" w:eastAsia="en-US"/>
        </w:rPr>
        <w:t>No cumple.</w:t>
      </w:r>
    </w:p>
    <w:p w14:paraId="2E4ED0C1" w14:textId="77777777" w:rsidR="00326102" w:rsidRPr="008372BA" w:rsidRDefault="00326102" w:rsidP="00326102">
      <w:pPr>
        <w:contextualSpacing/>
        <w:jc w:val="both"/>
        <w:rPr>
          <w:rFonts w:ascii="Verdana" w:eastAsia="Calibri" w:hAnsi="Verdana" w:cs="Arial"/>
          <w:b/>
          <w:bCs/>
          <w:sz w:val="22"/>
          <w:szCs w:val="22"/>
          <w:lang w:val="es-CO" w:eastAsia="en-US"/>
        </w:rPr>
      </w:pPr>
    </w:p>
    <w:p w14:paraId="20AB4B77" w14:textId="77777777" w:rsidR="00326102" w:rsidRPr="008372BA" w:rsidRDefault="00326102" w:rsidP="00326102">
      <w:pPr>
        <w:contextualSpacing/>
        <w:jc w:val="both"/>
        <w:rPr>
          <w:rFonts w:ascii="Verdana" w:eastAsia="Calibri" w:hAnsi="Verdana" w:cs="Arial"/>
          <w:b/>
          <w:bCs/>
          <w:sz w:val="22"/>
          <w:szCs w:val="22"/>
          <w:lang w:val="es-CO" w:eastAsia="en-US"/>
        </w:rPr>
      </w:pPr>
      <w:r w:rsidRPr="008372BA">
        <w:rPr>
          <w:rFonts w:ascii="Verdana" w:eastAsia="Calibri" w:hAnsi="Verdana" w:cs="Arial"/>
          <w:b/>
          <w:bCs/>
          <w:sz w:val="22"/>
          <w:szCs w:val="22"/>
          <w:lang w:val="es-CO" w:eastAsia="en-US"/>
        </w:rPr>
        <w:t>Recomendación:</w:t>
      </w:r>
      <w:r w:rsidRPr="008372BA">
        <w:rPr>
          <w:rFonts w:ascii="Verdana" w:eastAsia="Calibri" w:hAnsi="Verdana" w:cs="Arial"/>
          <w:sz w:val="22"/>
          <w:szCs w:val="22"/>
          <w:lang w:val="es-CO" w:eastAsia="en-US"/>
        </w:rPr>
        <w:t xml:space="preserve"> Establecer un control sobre el proceso normal del registro de cada uno de los momentos presupuestales, el cual garantice que cada uno de los valores registrados en las ejecuciones presupuestales de ingresos y gastos son fiables respecto con los hechos económicos que se generan en la ejecución del presupuesto y en congruencia con los soportes documentales que soportan tales hechos (para ingresos: Documentos de Distribución, cierre fiscal año anterior, extractos bancarios) (para el ciclo de ejecución:, minutas, RPS, CDPS, órdenes de pago, etc.,). Para ello, se recomienda la documentación del protocolo o control de conciliación de la información presupuestal, siguiendo la siguiente estructura:</w:t>
      </w:r>
    </w:p>
    <w:p w14:paraId="667AD56B" w14:textId="77777777" w:rsidR="00326102" w:rsidRDefault="00326102" w:rsidP="00326102">
      <w:pPr>
        <w:rPr>
          <w:rFonts w:ascii="Verdana" w:eastAsia="Calibri" w:hAnsi="Verdana" w:cs="Arial"/>
          <w:b/>
          <w:bCs/>
          <w:sz w:val="22"/>
          <w:szCs w:val="22"/>
          <w:lang w:val="es-CO" w:eastAsia="en-US"/>
        </w:rPr>
      </w:pPr>
    </w:p>
    <w:p w14:paraId="115A44C3" w14:textId="77777777" w:rsidR="00326102" w:rsidRPr="008372BA" w:rsidRDefault="00326102" w:rsidP="00326102">
      <w:pPr>
        <w:numPr>
          <w:ilvl w:val="3"/>
          <w:numId w:val="3"/>
        </w:numPr>
        <w:ind w:left="284"/>
        <w:contextualSpacing/>
        <w:jc w:val="both"/>
        <w:rPr>
          <w:rFonts w:ascii="Verdana" w:eastAsia="Calibri" w:hAnsi="Verdana" w:cs="Arial"/>
          <w:b/>
          <w:bCs/>
          <w:sz w:val="22"/>
          <w:szCs w:val="22"/>
          <w:u w:val="single"/>
          <w:lang w:val="es-CO" w:eastAsia="en-US"/>
        </w:rPr>
      </w:pPr>
      <w:r w:rsidRPr="008372BA">
        <w:rPr>
          <w:rFonts w:ascii="Verdana" w:eastAsia="Calibri" w:hAnsi="Verdana" w:cs="Arial"/>
          <w:b/>
          <w:bCs/>
          <w:sz w:val="22"/>
          <w:szCs w:val="22"/>
          <w:u w:val="single"/>
          <w:lang w:val="es-CO" w:eastAsia="en-US"/>
        </w:rPr>
        <w:t>Categoría: Reportes.</w:t>
      </w:r>
    </w:p>
    <w:p w14:paraId="4F0CACFA" w14:textId="77777777" w:rsidR="00326102" w:rsidRPr="008372BA" w:rsidRDefault="00326102" w:rsidP="00326102">
      <w:pPr>
        <w:contextualSpacing/>
        <w:jc w:val="both"/>
        <w:rPr>
          <w:rFonts w:ascii="Verdana" w:eastAsia="Calibri" w:hAnsi="Verdana" w:cs="Arial"/>
          <w:sz w:val="22"/>
          <w:szCs w:val="22"/>
          <w:lang w:val="es-CO" w:eastAsia="en-US"/>
        </w:rPr>
      </w:pPr>
    </w:p>
    <w:p w14:paraId="3454DF3E"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4.1. Garantizar la publicación de la completitud del expediente contractual de los contratos financiados con recursos de la AESGPRIM, en los términos y condiciones que exige la ley.</w:t>
      </w:r>
    </w:p>
    <w:p w14:paraId="370520FF"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5ACF9773"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4.1.1. Publicar oportunamente la totalidad de los documentos del proceso contractual.</w:t>
      </w:r>
    </w:p>
    <w:p w14:paraId="68F1F52F"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2558072F"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Copia de la versión impresa de la página del SECOP del respectivo expediente de cada contrato celebrado con cargo a los recursos de Ribereños, donde se evidencie la publicación de la totalidad de los documentos integrantes </w:t>
      </w:r>
      <w:r w:rsidRPr="008372BA">
        <w:rPr>
          <w:rFonts w:ascii="Verdana" w:eastAsia="Calibri" w:hAnsi="Verdana" w:cs="Arial"/>
          <w:sz w:val="22"/>
          <w:szCs w:val="22"/>
          <w:lang w:val="es-CO" w:eastAsia="en-US"/>
        </w:rPr>
        <w:lastRenderedPageBreak/>
        <w:t>del expediente contractual, su fecha de publicación y su respectivo número de expediente SECOP.</w:t>
      </w:r>
    </w:p>
    <w:p w14:paraId="3D185A42" w14:textId="77777777" w:rsidR="00326102" w:rsidRPr="008372BA" w:rsidRDefault="00326102" w:rsidP="00326102">
      <w:pPr>
        <w:contextualSpacing/>
        <w:jc w:val="both"/>
        <w:rPr>
          <w:rFonts w:ascii="Verdana" w:eastAsia="Calibri" w:hAnsi="Verdana" w:cs="Arial"/>
          <w:b/>
          <w:bCs/>
          <w:sz w:val="22"/>
          <w:szCs w:val="22"/>
          <w:lang w:val="es-CO" w:eastAsia="en-US"/>
        </w:rPr>
      </w:pPr>
    </w:p>
    <w:p w14:paraId="6A4B7B0D"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La Entidad territorial remitió un pantallazo de la publicación en el SECOP, relacionada con el único contrato suscrito por el municipio durante las vigencias 2021 y 2022: Contrato CO1. CO1.PCCNTR.3099616</w:t>
      </w:r>
      <w:r w:rsidRPr="008372BA">
        <w:rPr>
          <w:rFonts w:ascii="Verdana" w:eastAsia="Arial" w:hAnsi="Verdana" w:cs="Arial"/>
          <w:sz w:val="22"/>
          <w:szCs w:val="22"/>
        </w:rPr>
        <w:t xml:space="preserve"> del 14 de diciembre de 2021 cuyo objeto es </w:t>
      </w:r>
      <w:r w:rsidRPr="008372BA">
        <w:rPr>
          <w:rFonts w:ascii="Verdana" w:hAnsi="Verdana" w:cs="Arial"/>
          <w:i/>
          <w:iCs/>
          <w:sz w:val="22"/>
          <w:szCs w:val="22"/>
          <w:lang w:eastAsia="en-US"/>
        </w:rPr>
        <w:t>“desarrollo de acciones para el cuidado y la conservación de los cuerpos de agua que favorezcan el recurso pesquero de los pescadores artesanales del municipio de Puerto Berrío, Antioquia”</w:t>
      </w:r>
      <w:r w:rsidRPr="008372BA">
        <w:rPr>
          <w:rFonts w:ascii="Verdana" w:hAnsi="Verdana" w:cs="Arial"/>
          <w:sz w:val="22"/>
          <w:szCs w:val="22"/>
          <w:lang w:eastAsia="en-US"/>
        </w:rPr>
        <w:t>. Sin embargo, de acuerdo con el documento, solo se publicó: el CDP, los estudios previos, el análisis del sector y el aviso del proceso competitivo.</w:t>
      </w:r>
    </w:p>
    <w:p w14:paraId="6CBCA332" w14:textId="77777777" w:rsidR="00326102" w:rsidRPr="008372BA" w:rsidRDefault="00326102" w:rsidP="00326102">
      <w:pPr>
        <w:contextualSpacing/>
        <w:jc w:val="both"/>
        <w:rPr>
          <w:rFonts w:ascii="Verdana" w:hAnsi="Verdana" w:cs="Arial"/>
          <w:sz w:val="22"/>
          <w:szCs w:val="22"/>
          <w:lang w:eastAsia="en-US"/>
        </w:rPr>
      </w:pPr>
    </w:p>
    <w:p w14:paraId="1BCDB093" w14:textId="77777777" w:rsidR="00326102" w:rsidRPr="008372BA" w:rsidRDefault="00326102" w:rsidP="00326102">
      <w:pPr>
        <w:contextualSpacing/>
        <w:jc w:val="center"/>
        <w:rPr>
          <w:rFonts w:ascii="Verdana" w:hAnsi="Verdana" w:cs="Arial"/>
          <w:b/>
          <w:bCs/>
          <w:sz w:val="20"/>
          <w:szCs w:val="20"/>
          <w:lang w:val="es-CO" w:eastAsia="en-US"/>
        </w:rPr>
      </w:pPr>
      <w:r w:rsidRPr="008372BA">
        <w:rPr>
          <w:rFonts w:ascii="Verdana" w:hAnsi="Verdana" w:cs="Arial"/>
          <w:b/>
          <w:bCs/>
          <w:sz w:val="20"/>
          <w:szCs w:val="20"/>
          <w:lang w:eastAsia="en-US"/>
        </w:rPr>
        <w:t xml:space="preserve">Tabla 6. Documentos publicados en SECOP del proceso 21-PSCESAL-001 relacionado con el Contrato </w:t>
      </w:r>
      <w:r w:rsidRPr="008372BA">
        <w:rPr>
          <w:rFonts w:ascii="Verdana" w:hAnsi="Verdana" w:cs="Arial"/>
          <w:b/>
          <w:bCs/>
          <w:sz w:val="20"/>
          <w:szCs w:val="20"/>
          <w:lang w:val="es-CO" w:eastAsia="en-US"/>
        </w:rPr>
        <w:t xml:space="preserve">CO1. No </w:t>
      </w:r>
      <w:r w:rsidRPr="008372BA">
        <w:rPr>
          <w:rFonts w:ascii="Verdana" w:hAnsi="Verdana" w:cs="Arial"/>
          <w:b/>
          <w:bCs/>
          <w:sz w:val="20"/>
          <w:szCs w:val="20"/>
          <w:lang w:eastAsia="en-US"/>
        </w:rPr>
        <w:t>CO1.PCCNTR.3099616</w:t>
      </w:r>
      <w:r w:rsidRPr="008372BA">
        <w:rPr>
          <w:rFonts w:ascii="Verdana" w:hAnsi="Verdana" w:cs="Arial"/>
          <w:b/>
          <w:bCs/>
          <w:sz w:val="20"/>
          <w:szCs w:val="20"/>
          <w:lang w:val="es-CO" w:eastAsia="en-US"/>
        </w:rPr>
        <w:t xml:space="preserve"> del 14 de diciembre de 2021</w:t>
      </w:r>
    </w:p>
    <w:tbl>
      <w:tblPr>
        <w:tblW w:w="0"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25"/>
        <w:gridCol w:w="2925"/>
        <w:gridCol w:w="2925"/>
      </w:tblGrid>
      <w:tr w:rsidR="00326102" w:rsidRPr="008372BA" w14:paraId="1D14AB08" w14:textId="77777777" w:rsidTr="001563A5">
        <w:trPr>
          <w:trHeight w:val="300"/>
          <w:tblHeader/>
          <w:jc w:val="center"/>
        </w:trPr>
        <w:tc>
          <w:tcPr>
            <w:tcW w:w="2925" w:type="dxa"/>
            <w:tcBorders>
              <w:top w:val="single" w:sz="6" w:space="0" w:color="000000"/>
              <w:left w:val="single" w:sz="6" w:space="0" w:color="000000"/>
              <w:bottom w:val="single" w:sz="6" w:space="0" w:color="000000"/>
              <w:right w:val="single" w:sz="6" w:space="0" w:color="000000"/>
            </w:tcBorders>
            <w:shd w:val="clear" w:color="auto" w:fill="FDCF00"/>
            <w:vAlign w:val="center"/>
            <w:hideMark/>
          </w:tcPr>
          <w:p w14:paraId="3CFBB12C"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color w:val="FFFFFF"/>
                <w:sz w:val="18"/>
                <w:szCs w:val="18"/>
                <w:lang w:eastAsia="es-CO"/>
              </w:rPr>
              <w:t>Documento</w:t>
            </w:r>
            <w:r w:rsidRPr="008372BA">
              <w:rPr>
                <w:rFonts w:ascii="Verdana" w:eastAsia="Times New Roman" w:hAnsi="Verdana" w:cs="Segoe UI"/>
                <w:b/>
                <w:bCs/>
                <w:color w:val="FFFFFF"/>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FDCF00"/>
            <w:vAlign w:val="center"/>
            <w:hideMark/>
          </w:tcPr>
          <w:p w14:paraId="1EC8C08D"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color w:val="FFFFFF"/>
                <w:sz w:val="18"/>
                <w:szCs w:val="18"/>
                <w:lang w:eastAsia="es-CO"/>
              </w:rPr>
              <w:t>Fecha de expedición</w:t>
            </w:r>
            <w:r w:rsidRPr="008372BA">
              <w:rPr>
                <w:rFonts w:ascii="Verdana" w:eastAsia="Times New Roman" w:hAnsi="Verdana" w:cs="Segoe UI"/>
                <w:b/>
                <w:bCs/>
                <w:color w:val="FFFFFF"/>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shd w:val="clear" w:color="auto" w:fill="FDCF00"/>
            <w:vAlign w:val="center"/>
            <w:hideMark/>
          </w:tcPr>
          <w:p w14:paraId="168F935A"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color w:val="FFFFFF"/>
                <w:sz w:val="18"/>
                <w:szCs w:val="18"/>
                <w:lang w:eastAsia="es-CO"/>
              </w:rPr>
              <w:t>Fecha de publicación en SECOP</w:t>
            </w:r>
            <w:r w:rsidRPr="008372BA">
              <w:rPr>
                <w:rFonts w:ascii="Verdana" w:eastAsia="Times New Roman" w:hAnsi="Verdana" w:cs="Segoe UI"/>
                <w:b/>
                <w:bCs/>
                <w:color w:val="FFFFFF"/>
                <w:sz w:val="18"/>
                <w:szCs w:val="18"/>
                <w:lang w:val="es-CO" w:eastAsia="es-CO"/>
              </w:rPr>
              <w:t> </w:t>
            </w:r>
          </w:p>
        </w:tc>
      </w:tr>
      <w:tr w:rsidR="00326102" w:rsidRPr="008372BA" w14:paraId="1EF55E68"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3CF2026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eastAsia="es-CO"/>
              </w:rPr>
              <w:t>Estudios Previos</w:t>
            </w:r>
            <w:r w:rsidRPr="008372BA">
              <w:rPr>
                <w:rFonts w:ascii="Verdana" w:eastAsia="Times New Roman" w:hAnsi="Verdana" w:cs="Segoe UI"/>
                <w:b/>
                <w:bCs/>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2B52577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16/09/2021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0F19532"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21/10/2021</w:t>
            </w:r>
            <w:r w:rsidRPr="008372BA">
              <w:rPr>
                <w:rFonts w:ascii="Verdana" w:eastAsia="Times New Roman" w:hAnsi="Verdana" w:cs="Segoe UI"/>
                <w:sz w:val="18"/>
                <w:szCs w:val="18"/>
                <w:lang w:val="es-CO" w:eastAsia="es-CO"/>
              </w:rPr>
              <w:t> </w:t>
            </w:r>
          </w:p>
        </w:tc>
      </w:tr>
      <w:tr w:rsidR="00326102" w:rsidRPr="008372BA" w14:paraId="3200D786"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46337AF2"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Certificado de disponibilidad presupuestal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000747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16/09/2021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C8128A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21/10/2021</w:t>
            </w:r>
            <w:r w:rsidRPr="008372BA">
              <w:rPr>
                <w:rFonts w:ascii="Verdana" w:eastAsia="Times New Roman" w:hAnsi="Verdana" w:cs="Segoe UI"/>
                <w:sz w:val="18"/>
                <w:szCs w:val="18"/>
                <w:lang w:val="es-CO" w:eastAsia="es-CO"/>
              </w:rPr>
              <w:t> </w:t>
            </w:r>
          </w:p>
        </w:tc>
      </w:tr>
      <w:tr w:rsidR="00326102" w:rsidRPr="008372BA" w14:paraId="6C0B0BD2"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6558EF2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Pliego de condiciones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FDB328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21/10/2021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372D9DC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21/10/2021</w:t>
            </w:r>
            <w:r w:rsidRPr="008372BA">
              <w:rPr>
                <w:rFonts w:ascii="Verdana" w:eastAsia="Times New Roman" w:hAnsi="Verdana" w:cs="Segoe UI"/>
                <w:sz w:val="18"/>
                <w:szCs w:val="18"/>
                <w:lang w:val="es-CO" w:eastAsia="es-CO"/>
              </w:rPr>
              <w:t> </w:t>
            </w:r>
          </w:p>
        </w:tc>
      </w:tr>
      <w:tr w:rsidR="00326102" w:rsidRPr="008372BA" w14:paraId="6C698524"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7ED1756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Informe de evaluación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491722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06/12/2021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AD4AFD0"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07/12/2021</w:t>
            </w:r>
            <w:r w:rsidRPr="008372BA">
              <w:rPr>
                <w:rFonts w:ascii="Verdana" w:eastAsia="Times New Roman" w:hAnsi="Verdana" w:cs="Segoe UI"/>
                <w:sz w:val="18"/>
                <w:szCs w:val="18"/>
                <w:lang w:val="es-CO" w:eastAsia="es-CO"/>
              </w:rPr>
              <w:t> </w:t>
            </w:r>
          </w:p>
        </w:tc>
      </w:tr>
      <w:tr w:rsidR="00326102" w:rsidRPr="008372BA" w14:paraId="4E095FD9"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2725BA5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Adenda 1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D69F2EB"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27/10/2021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4990960"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27/10/2021</w:t>
            </w:r>
            <w:r w:rsidRPr="008372BA">
              <w:rPr>
                <w:rFonts w:ascii="Verdana" w:eastAsia="Times New Roman" w:hAnsi="Verdana" w:cs="Segoe UI"/>
                <w:sz w:val="18"/>
                <w:szCs w:val="18"/>
                <w:lang w:val="es-CO" w:eastAsia="es-CO"/>
              </w:rPr>
              <w:t> </w:t>
            </w:r>
          </w:p>
        </w:tc>
      </w:tr>
      <w:tr w:rsidR="00326102" w:rsidRPr="008372BA" w14:paraId="2FAB9351"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58AED59B"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Adenda 2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64589FA"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04/11/2021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74CB2085"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04/11/2021</w:t>
            </w:r>
            <w:r w:rsidRPr="008372BA">
              <w:rPr>
                <w:rFonts w:ascii="Verdana" w:eastAsia="Times New Roman" w:hAnsi="Verdana" w:cs="Segoe UI"/>
                <w:sz w:val="18"/>
                <w:szCs w:val="18"/>
                <w:lang w:val="es-CO" w:eastAsia="es-CO"/>
              </w:rPr>
              <w:t> </w:t>
            </w:r>
          </w:p>
        </w:tc>
      </w:tr>
      <w:tr w:rsidR="00326102" w:rsidRPr="008372BA" w14:paraId="485D542C"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643F4DC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Adenda 3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B97FD2C"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08/11/2021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0D86311"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08/11/2021</w:t>
            </w:r>
            <w:r w:rsidRPr="008372BA">
              <w:rPr>
                <w:rFonts w:ascii="Verdana" w:eastAsia="Times New Roman" w:hAnsi="Verdana" w:cs="Segoe UI"/>
                <w:sz w:val="18"/>
                <w:szCs w:val="18"/>
                <w:lang w:val="es-CO" w:eastAsia="es-CO"/>
              </w:rPr>
              <w:t> </w:t>
            </w:r>
          </w:p>
        </w:tc>
      </w:tr>
      <w:tr w:rsidR="00326102" w:rsidRPr="008372BA" w14:paraId="3956956C"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3F73036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Adenda 4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3A55B9EB"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19/11/2021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05CA34C1"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19/11/2021</w:t>
            </w:r>
            <w:r w:rsidRPr="008372BA">
              <w:rPr>
                <w:rFonts w:ascii="Verdana" w:eastAsia="Times New Roman" w:hAnsi="Verdana" w:cs="Segoe UI"/>
                <w:sz w:val="18"/>
                <w:szCs w:val="18"/>
                <w:lang w:val="es-CO" w:eastAsia="es-CO"/>
              </w:rPr>
              <w:t> </w:t>
            </w:r>
          </w:p>
        </w:tc>
      </w:tr>
      <w:tr w:rsidR="00326102" w:rsidRPr="008372BA" w14:paraId="4ECFB7CC"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49AF2ABF"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Informe de adjudicación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007CB6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06/12/2021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261355CF"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07/12/2021</w:t>
            </w:r>
            <w:r w:rsidRPr="008372BA">
              <w:rPr>
                <w:rFonts w:ascii="Verdana" w:eastAsia="Times New Roman" w:hAnsi="Verdana" w:cs="Segoe UI"/>
                <w:sz w:val="18"/>
                <w:szCs w:val="18"/>
                <w:lang w:val="es-CO" w:eastAsia="es-CO"/>
              </w:rPr>
              <w:t> </w:t>
            </w:r>
          </w:p>
        </w:tc>
      </w:tr>
      <w:tr w:rsidR="00326102" w:rsidRPr="008372BA" w14:paraId="2B579246"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11CADF8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Minuta contractual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2EEE36C1"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Sin Fecha</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03B7557F"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07/12/2021</w:t>
            </w:r>
            <w:r w:rsidRPr="008372BA">
              <w:rPr>
                <w:rFonts w:ascii="Verdana" w:eastAsia="Times New Roman" w:hAnsi="Verdana" w:cs="Segoe UI"/>
                <w:sz w:val="18"/>
                <w:szCs w:val="18"/>
                <w:lang w:val="es-CO" w:eastAsia="es-CO"/>
              </w:rPr>
              <w:t> </w:t>
            </w:r>
          </w:p>
        </w:tc>
      </w:tr>
      <w:tr w:rsidR="00326102" w:rsidRPr="008372BA" w14:paraId="4A4A3CF4"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5993568D"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Certificado de registro y compromiso presupuestal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046C583C"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14/12/2021</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B81B6AF"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6FC9DB0F"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1D112D4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Resolución constitución de garantías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37024E43"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17/02/2022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E8141E5"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5DB43F0C"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2DE5CBCE"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Acta de Inicio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3C8735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08/02/2022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BFD4106"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71D0BF2E"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66E38E37"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Autorización de pagos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2D3D28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14/02/2022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5340A397"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481B2117"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7043340E"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Informe final de actividades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5D30F01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22/06/2022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3977E864"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4CFC0C32"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53D14440"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Informe de supervisión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1E341D60"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23/06/2022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5057A25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10A707A9"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7C6CA82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Acta de finalización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6F7C3077"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23/06/2022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0A5C43F0"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76DE3DE0"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72DD9E15"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Acta de terminación del contrato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3B06749B"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23/06/2022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01B4243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r w:rsidR="00326102" w:rsidRPr="008372BA" w14:paraId="1E734F82" w14:textId="77777777" w:rsidTr="001563A5">
        <w:trPr>
          <w:trHeight w:val="300"/>
          <w:jc w:val="center"/>
        </w:trPr>
        <w:tc>
          <w:tcPr>
            <w:tcW w:w="2925" w:type="dxa"/>
            <w:tcBorders>
              <w:top w:val="single" w:sz="6" w:space="0" w:color="000000"/>
              <w:left w:val="single" w:sz="6" w:space="0" w:color="000000"/>
              <w:bottom w:val="single" w:sz="6" w:space="0" w:color="000000"/>
              <w:right w:val="single" w:sz="6" w:space="0" w:color="000000"/>
            </w:tcBorders>
            <w:vAlign w:val="center"/>
            <w:hideMark/>
          </w:tcPr>
          <w:p w14:paraId="46F8A9CC"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b/>
                <w:bCs/>
                <w:sz w:val="18"/>
                <w:szCs w:val="18"/>
                <w:lang w:val="es-CO" w:eastAsia="es-CO"/>
              </w:rPr>
              <w:t>Acta de liquidación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C96C569"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26/07/2022</w:t>
            </w:r>
            <w:r w:rsidRPr="008372BA">
              <w:rPr>
                <w:rFonts w:ascii="Verdana" w:eastAsia="Times New Roman" w:hAnsi="Verdana" w:cs="Segoe UI"/>
                <w:sz w:val="18"/>
                <w:szCs w:val="18"/>
                <w:lang w:val="es-CO" w:eastAsia="es-CO"/>
              </w:rPr>
              <w:t> </w:t>
            </w:r>
          </w:p>
        </w:tc>
        <w:tc>
          <w:tcPr>
            <w:tcW w:w="2925" w:type="dxa"/>
            <w:tcBorders>
              <w:top w:val="single" w:sz="6" w:space="0" w:color="000000"/>
              <w:left w:val="single" w:sz="6" w:space="0" w:color="000000"/>
              <w:bottom w:val="single" w:sz="6" w:space="0" w:color="000000"/>
              <w:right w:val="single" w:sz="6" w:space="0" w:color="000000"/>
            </w:tcBorders>
            <w:vAlign w:val="center"/>
            <w:hideMark/>
          </w:tcPr>
          <w:p w14:paraId="4F201FDD" w14:textId="77777777" w:rsidR="00326102" w:rsidRPr="008372BA" w:rsidRDefault="00326102" w:rsidP="001563A5">
            <w:pPr>
              <w:contextualSpacing/>
              <w:jc w:val="center"/>
              <w:textAlignment w:val="baseline"/>
              <w:rPr>
                <w:rFonts w:ascii="Segoe UI" w:eastAsia="Times New Roman" w:hAnsi="Segoe UI" w:cs="Segoe UI"/>
                <w:sz w:val="18"/>
                <w:szCs w:val="18"/>
                <w:lang w:val="es-CO" w:eastAsia="es-CO"/>
              </w:rPr>
            </w:pPr>
            <w:r w:rsidRPr="008372BA">
              <w:rPr>
                <w:rFonts w:ascii="Verdana" w:eastAsia="Times New Roman" w:hAnsi="Verdana" w:cs="Segoe UI"/>
                <w:sz w:val="18"/>
                <w:szCs w:val="18"/>
                <w:lang w:eastAsia="es-CO"/>
              </w:rPr>
              <w:t>No publicada</w:t>
            </w:r>
            <w:r w:rsidRPr="008372BA">
              <w:rPr>
                <w:rFonts w:ascii="Verdana" w:eastAsia="Times New Roman" w:hAnsi="Verdana" w:cs="Segoe UI"/>
                <w:sz w:val="18"/>
                <w:szCs w:val="18"/>
                <w:lang w:val="es-CO" w:eastAsia="es-CO"/>
              </w:rPr>
              <w:t> </w:t>
            </w:r>
          </w:p>
        </w:tc>
      </w:tr>
    </w:tbl>
    <w:p w14:paraId="48BDE91F" w14:textId="77777777" w:rsidR="00326102" w:rsidRPr="008372BA" w:rsidRDefault="00326102" w:rsidP="00326102">
      <w:pPr>
        <w:contextualSpacing/>
        <w:jc w:val="center"/>
        <w:rPr>
          <w:rFonts w:ascii="Verdana" w:eastAsia="Arial" w:hAnsi="Verdana" w:cs="Arial"/>
          <w:sz w:val="18"/>
          <w:szCs w:val="18"/>
        </w:rPr>
      </w:pPr>
      <w:r w:rsidRPr="008372BA">
        <w:rPr>
          <w:rFonts w:ascii="Verdana" w:eastAsia="Arial" w:hAnsi="Verdana" w:cs="Arial"/>
          <w:color w:val="000000" w:themeColor="text1"/>
          <w:sz w:val="16"/>
          <w:szCs w:val="16"/>
        </w:rPr>
        <w:t>Fuente: Elaboración propia de la DAF con información de la plataforma SECOP.</w:t>
      </w:r>
    </w:p>
    <w:p w14:paraId="38A51B43" w14:textId="77777777" w:rsidR="00326102" w:rsidRPr="008372BA" w:rsidRDefault="00326102" w:rsidP="00326102">
      <w:pPr>
        <w:contextualSpacing/>
        <w:jc w:val="both"/>
        <w:rPr>
          <w:rFonts w:ascii="Verdana" w:hAnsi="Verdana" w:cs="Arial"/>
          <w:b/>
          <w:bCs/>
          <w:sz w:val="22"/>
          <w:szCs w:val="22"/>
          <w:lang w:val="es-CO" w:eastAsia="en-US"/>
        </w:rPr>
      </w:pPr>
    </w:p>
    <w:p w14:paraId="31139A61" w14:textId="77777777" w:rsidR="00326102" w:rsidRPr="008372BA" w:rsidRDefault="00326102" w:rsidP="00326102">
      <w:pPr>
        <w:contextualSpacing/>
        <w:jc w:val="both"/>
        <w:rPr>
          <w:rFonts w:ascii="Verdana" w:hAnsi="Verdana" w:cs="Arial"/>
          <w:sz w:val="22"/>
          <w:szCs w:val="22"/>
          <w:lang w:val="es-CO" w:eastAsia="en-US"/>
        </w:rPr>
      </w:pPr>
      <w:r w:rsidRPr="008372BA">
        <w:rPr>
          <w:rFonts w:ascii="Verdana" w:hAnsi="Verdana" w:cs="Arial"/>
          <w:sz w:val="22"/>
          <w:szCs w:val="22"/>
          <w:lang w:eastAsia="en-US"/>
        </w:rPr>
        <w:t xml:space="preserve">En este sentido, se evidenció que el Municipio no ha publicado en SECOP la totalidad de los documentos del proceso contractual y las fechas de publicación de los estudios previos y el certificado de disponibilidad presupuestal reportadas en SECOP no </w:t>
      </w:r>
      <w:r w:rsidRPr="008372BA">
        <w:rPr>
          <w:rFonts w:ascii="Verdana" w:hAnsi="Verdana" w:cs="Arial"/>
          <w:sz w:val="22"/>
          <w:szCs w:val="22"/>
          <w:lang w:eastAsia="en-US"/>
        </w:rPr>
        <w:lastRenderedPageBreak/>
        <w:t xml:space="preserve">obedecen a los plazos establecidos por el </w:t>
      </w:r>
      <w:r w:rsidRPr="008372BA">
        <w:rPr>
          <w:rFonts w:ascii="Verdana" w:hAnsi="Verdana" w:cs="Arial"/>
          <w:sz w:val="22"/>
          <w:szCs w:val="22"/>
          <w:lang w:val="es-CO" w:eastAsia="en-US"/>
        </w:rPr>
        <w:t>artículo 2.2.1.1.1.7.1 del Decreto 1082 de 2015</w:t>
      </w:r>
      <w:r w:rsidRPr="008372BA">
        <w:rPr>
          <w:rFonts w:ascii="Verdana" w:hAnsi="Verdana" w:cs="Arial"/>
          <w:sz w:val="22"/>
          <w:szCs w:val="22"/>
          <w:lang w:eastAsia="en-US"/>
        </w:rPr>
        <w:t>. Por lo tanto, se considera esta Actividad como no cumplida.</w:t>
      </w:r>
    </w:p>
    <w:p w14:paraId="58164830" w14:textId="77777777" w:rsidR="00326102" w:rsidRPr="008372BA" w:rsidRDefault="00326102" w:rsidP="00326102">
      <w:pPr>
        <w:contextualSpacing/>
        <w:jc w:val="both"/>
        <w:rPr>
          <w:rFonts w:ascii="Verdana" w:eastAsia="Calibri" w:hAnsi="Verdana" w:cs="Arial"/>
          <w:b/>
          <w:bCs/>
          <w:sz w:val="22"/>
          <w:szCs w:val="22"/>
          <w:lang w:val="es-CO" w:eastAsia="en-US"/>
        </w:rPr>
      </w:pPr>
    </w:p>
    <w:p w14:paraId="69DC482E" w14:textId="77777777" w:rsidR="00326102" w:rsidRPr="008372BA" w:rsidRDefault="00326102" w:rsidP="00326102">
      <w:pPr>
        <w:contextualSpacing/>
        <w:jc w:val="both"/>
        <w:rPr>
          <w:rFonts w:ascii="Verdana" w:eastAsia="Calibri" w:hAnsi="Verdana" w:cs="Arial"/>
          <w:b/>
          <w:bCs/>
          <w:sz w:val="22"/>
          <w:szCs w:val="22"/>
          <w:lang w:val="es-CO" w:eastAsia="en-US"/>
        </w:rPr>
      </w:pPr>
      <w:r w:rsidRPr="008372BA">
        <w:rPr>
          <w:rFonts w:ascii="Verdana" w:eastAsia="Calibri" w:hAnsi="Verdana" w:cs="Arial"/>
          <w:b/>
          <w:bCs/>
          <w:sz w:val="22"/>
          <w:szCs w:val="22"/>
          <w:lang w:val="es-CO" w:eastAsia="en-US"/>
        </w:rPr>
        <w:t xml:space="preserve">Evaluación: </w:t>
      </w:r>
      <w:r w:rsidRPr="008372BA">
        <w:rPr>
          <w:rFonts w:ascii="Verdana" w:eastAsia="Calibri" w:hAnsi="Verdana" w:cs="Arial"/>
          <w:sz w:val="22"/>
          <w:szCs w:val="22"/>
          <w:u w:val="single"/>
          <w:lang w:val="es-CO" w:eastAsia="en-US"/>
        </w:rPr>
        <w:t>No cumple.</w:t>
      </w:r>
    </w:p>
    <w:p w14:paraId="42C9F862" w14:textId="77777777" w:rsidR="00326102" w:rsidRPr="008372BA" w:rsidRDefault="00326102" w:rsidP="00326102">
      <w:pPr>
        <w:contextualSpacing/>
        <w:jc w:val="both"/>
        <w:rPr>
          <w:rFonts w:ascii="Verdana" w:eastAsia="Calibri" w:hAnsi="Verdana" w:cs="Arial"/>
          <w:b/>
          <w:bCs/>
          <w:sz w:val="22"/>
          <w:szCs w:val="22"/>
          <w:lang w:val="es-CO" w:eastAsia="en-US"/>
        </w:rPr>
      </w:pPr>
    </w:p>
    <w:p w14:paraId="594AA21D"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hAnsi="Verdana" w:cs="Arial"/>
          <w:b/>
          <w:bCs/>
          <w:sz w:val="22"/>
          <w:szCs w:val="22"/>
          <w:lang w:val="es-CO" w:eastAsia="en-US"/>
        </w:rPr>
        <w:t xml:space="preserve">Recomendación: </w:t>
      </w:r>
      <w:r w:rsidRPr="008372BA">
        <w:rPr>
          <w:rFonts w:ascii="Verdana" w:eastAsia="Calibri" w:hAnsi="Verdana" w:cs="Arial"/>
          <w:sz w:val="22"/>
          <w:szCs w:val="22"/>
          <w:lang w:val="es-CO" w:eastAsia="en-US"/>
        </w:rPr>
        <w:t>Elaborar un manual de procesos de operación de publicidad de la gestión que se realice en la administración con los recursos de la Asignación Especial para Municipios Ribereños, de esta forma se garantiza la oportunidad y suficiencia en la publicación de los contratos de administración y de ejecución suscritos con cargo a los recursos de la Asignación Ribereños. A partir de lo anterior, dicho manual debe determinar el alcance de la información a publicar, indicando los objetivos, los responsables de la publicación, el cronograma, entre otros.</w:t>
      </w:r>
    </w:p>
    <w:p w14:paraId="1F3A1C90" w14:textId="77777777" w:rsidR="00326102" w:rsidRPr="008372BA" w:rsidRDefault="00326102" w:rsidP="00326102">
      <w:pPr>
        <w:contextualSpacing/>
        <w:jc w:val="both"/>
        <w:rPr>
          <w:rFonts w:ascii="Verdana" w:hAnsi="Verdana" w:cs="Arial"/>
          <w:sz w:val="22"/>
          <w:szCs w:val="22"/>
          <w:lang w:eastAsia="en-US"/>
        </w:rPr>
      </w:pPr>
    </w:p>
    <w:p w14:paraId="1366749E"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Adicionalmente, se adjunta una breve capacitación en la cual se muestran herramientas normativas y elementos claves sobre el buen uso de la plataforma SECOP:</w:t>
      </w:r>
    </w:p>
    <w:p w14:paraId="5C947CA1" w14:textId="77777777" w:rsidR="00326102" w:rsidRPr="008372BA" w:rsidRDefault="00326102" w:rsidP="00326102">
      <w:pPr>
        <w:contextualSpacing/>
        <w:jc w:val="both"/>
        <w:rPr>
          <w:rFonts w:ascii="Verdana" w:hAnsi="Verdana" w:cs="Arial"/>
          <w:sz w:val="22"/>
          <w:szCs w:val="22"/>
          <w:lang w:eastAsia="en-US"/>
        </w:rPr>
      </w:pPr>
    </w:p>
    <w:p w14:paraId="477E2546" w14:textId="77777777" w:rsidR="00326102" w:rsidRPr="00B5238C" w:rsidRDefault="002F71C5" w:rsidP="00326102">
      <w:pPr>
        <w:contextualSpacing/>
        <w:jc w:val="both"/>
        <w:rPr>
          <w:rFonts w:ascii="Verdana" w:hAnsi="Verdana" w:cs="Arial"/>
          <w:sz w:val="20"/>
          <w:szCs w:val="20"/>
          <w:lang w:eastAsia="en-US"/>
        </w:rPr>
      </w:pPr>
      <w:hyperlink r:id="rId12" w:tgtFrame="_blank" w:history="1">
        <w:r w:rsidR="00326102" w:rsidRPr="00B5238C">
          <w:rPr>
            <w:rFonts w:ascii="Verdana" w:eastAsia="Calibri" w:hAnsi="Verdana" w:cs="Arial"/>
            <w:color w:val="0000FF" w:themeColor="hyperlink"/>
            <w:sz w:val="20"/>
            <w:szCs w:val="20"/>
            <w:u w:val="single"/>
            <w:lang w:val="es-CO" w:eastAsia="en-US"/>
          </w:rPr>
          <w:t>https://www.colombiacompra.gov.co/sites/default/files/capacitacion/I-inicial.pdf</w:t>
        </w:r>
      </w:hyperlink>
    </w:p>
    <w:p w14:paraId="4D68C0C6" w14:textId="77777777" w:rsidR="00326102" w:rsidRPr="008372BA" w:rsidRDefault="00326102" w:rsidP="00326102">
      <w:pPr>
        <w:contextualSpacing/>
        <w:jc w:val="both"/>
        <w:rPr>
          <w:rFonts w:ascii="Verdana" w:eastAsia="Calibri" w:hAnsi="Verdana" w:cs="Arial"/>
          <w:sz w:val="22"/>
          <w:szCs w:val="22"/>
          <w:lang w:val="es-CO" w:eastAsia="en-US"/>
        </w:rPr>
      </w:pPr>
    </w:p>
    <w:p w14:paraId="46B85DAC"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Objetivo:</w:t>
      </w:r>
      <w:r w:rsidRPr="008372BA">
        <w:rPr>
          <w:rFonts w:ascii="Verdana" w:eastAsia="Calibri" w:hAnsi="Verdana" w:cs="Arial"/>
          <w:sz w:val="22"/>
          <w:szCs w:val="22"/>
          <w:lang w:val="es-CO" w:eastAsia="en-US"/>
        </w:rPr>
        <w:t xml:space="preserve"> 4.2. Garantizar la publicación de los bienes y servicios a contratar durante la vigencia en el SECOP cuando la ley lo exija.</w:t>
      </w:r>
    </w:p>
    <w:p w14:paraId="29EE5EFC"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38BEB8AC"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Actividad:</w:t>
      </w:r>
      <w:r w:rsidRPr="008372BA">
        <w:rPr>
          <w:rFonts w:ascii="Verdana" w:eastAsia="Calibri" w:hAnsi="Verdana" w:cs="Arial"/>
          <w:sz w:val="22"/>
          <w:szCs w:val="22"/>
          <w:lang w:val="es-CO" w:eastAsia="en-US"/>
        </w:rPr>
        <w:t xml:space="preserve"> 4.2.1. Publicar oportunamente la lista de bienes y servicios a contratar en cada vigencia con cargo a los recursos de la AESGPRIM.</w:t>
      </w:r>
    </w:p>
    <w:p w14:paraId="07BF7122" w14:textId="77777777" w:rsidR="00326102" w:rsidRPr="008372BA" w:rsidRDefault="00326102" w:rsidP="00326102">
      <w:pPr>
        <w:ind w:left="709"/>
        <w:contextualSpacing/>
        <w:jc w:val="both"/>
        <w:rPr>
          <w:rFonts w:ascii="Verdana" w:eastAsia="Calibri" w:hAnsi="Verdana" w:cs="Arial"/>
          <w:sz w:val="22"/>
          <w:szCs w:val="22"/>
          <w:lang w:val="es-CO" w:eastAsia="en-US"/>
        </w:rPr>
      </w:pPr>
    </w:p>
    <w:p w14:paraId="5663E63D" w14:textId="77777777" w:rsidR="00326102" w:rsidRPr="008372BA" w:rsidRDefault="00326102" w:rsidP="00326102">
      <w:pPr>
        <w:ind w:left="709"/>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Producto:</w:t>
      </w:r>
      <w:r w:rsidRPr="008372BA">
        <w:rPr>
          <w:rFonts w:ascii="Verdana" w:eastAsia="Calibri" w:hAnsi="Verdana" w:cs="Arial"/>
          <w:sz w:val="22"/>
          <w:szCs w:val="22"/>
          <w:lang w:val="es-CO" w:eastAsia="en-US"/>
        </w:rPr>
        <w:t xml:space="preserve"> Archivo </w:t>
      </w:r>
      <w:r w:rsidRPr="008372BA">
        <w:rPr>
          <w:rFonts w:ascii="Verdana" w:eastAsia="Calibri" w:hAnsi="Verdana" w:cs="Arial"/>
          <w:i/>
          <w:iCs/>
          <w:sz w:val="22"/>
          <w:szCs w:val="22"/>
          <w:lang w:val="es-CO" w:eastAsia="en-US"/>
        </w:rPr>
        <w:t>Excel</w:t>
      </w:r>
      <w:r w:rsidRPr="008372BA">
        <w:rPr>
          <w:rFonts w:ascii="Verdana" w:eastAsia="Calibri" w:hAnsi="Verdana" w:cs="Arial"/>
          <w:sz w:val="22"/>
          <w:szCs w:val="22"/>
          <w:lang w:val="es-CO" w:eastAsia="en-US"/>
        </w:rPr>
        <w:t xml:space="preserve"> de reporte del PAA donde se evidencie la inclusión de bienes y servicios contratados con cargo la AESGPRIM.</w:t>
      </w:r>
    </w:p>
    <w:p w14:paraId="5184978A" w14:textId="77777777" w:rsidR="00326102" w:rsidRPr="008372BA" w:rsidRDefault="00326102" w:rsidP="00326102">
      <w:pPr>
        <w:contextualSpacing/>
        <w:jc w:val="both"/>
        <w:rPr>
          <w:rFonts w:ascii="Verdana" w:eastAsia="Calibri" w:hAnsi="Verdana" w:cs="Arial"/>
          <w:sz w:val="22"/>
          <w:szCs w:val="22"/>
          <w:lang w:val="es-CO" w:eastAsia="en-US"/>
        </w:rPr>
      </w:pPr>
    </w:p>
    <w:p w14:paraId="66B659C1"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El Plan Anual de Adquisiciones – PAA para la vigencia 2022 contaba con la desagregación de las adquisiciones planeadas con la Asignación Especial para Municipios Ribereños del Río Magdalena, identificando los bienes y servicios que se planeaban adquirir en la vigencia con cargo a la Asignación.</w:t>
      </w:r>
    </w:p>
    <w:p w14:paraId="7C9E2C08" w14:textId="77777777" w:rsidR="00326102" w:rsidRPr="008372BA" w:rsidRDefault="00326102" w:rsidP="00326102">
      <w:pPr>
        <w:contextualSpacing/>
        <w:rPr>
          <w:rFonts w:ascii="Verdana" w:eastAsia="Calibri" w:hAnsi="Verdana" w:cs="Arial"/>
          <w:sz w:val="22"/>
          <w:szCs w:val="22"/>
          <w:lang w:eastAsia="en-US"/>
        </w:rPr>
      </w:pPr>
    </w:p>
    <w:p w14:paraId="5B0C36D3" w14:textId="77777777" w:rsidR="00326102" w:rsidRPr="008372BA" w:rsidRDefault="00326102" w:rsidP="00326102">
      <w:pPr>
        <w:contextualSpacing/>
        <w:jc w:val="center"/>
        <w:rPr>
          <w:rFonts w:ascii="Verdana" w:hAnsi="Verdana" w:cs="Arial"/>
          <w:b/>
          <w:bCs/>
          <w:sz w:val="20"/>
          <w:szCs w:val="20"/>
          <w:lang w:eastAsia="en-US"/>
        </w:rPr>
      </w:pPr>
      <w:r w:rsidRPr="008372BA">
        <w:rPr>
          <w:rFonts w:ascii="Verdana" w:hAnsi="Verdana" w:cs="Arial"/>
          <w:b/>
          <w:sz w:val="20"/>
          <w:szCs w:val="20"/>
          <w:lang w:eastAsia="en-US"/>
        </w:rPr>
        <w:t xml:space="preserve">Tabla </w:t>
      </w:r>
      <w:r w:rsidRPr="008372BA">
        <w:rPr>
          <w:rFonts w:ascii="Verdana" w:hAnsi="Verdana" w:cs="Arial"/>
          <w:b/>
          <w:bCs/>
          <w:sz w:val="20"/>
          <w:szCs w:val="20"/>
          <w:lang w:eastAsia="en-US"/>
        </w:rPr>
        <w:t>7. Adquisiciones planeadas en el PAA con fuente SGP Ribereños - vigencia 2022 (Cifras en pesos)</w:t>
      </w:r>
    </w:p>
    <w:tbl>
      <w:tblPr>
        <w:tblStyle w:val="Tablaconcuadrcula4-nfasis4111"/>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143"/>
        <w:gridCol w:w="1295"/>
        <w:gridCol w:w="1367"/>
        <w:gridCol w:w="1111"/>
        <w:gridCol w:w="1492"/>
      </w:tblGrid>
      <w:tr w:rsidR="00326102" w:rsidRPr="008372BA" w14:paraId="31C0449D" w14:textId="77777777" w:rsidTr="001563A5">
        <w:trPr>
          <w:cnfStyle w:val="100000000000" w:firstRow="1" w:lastRow="0" w:firstColumn="0" w:lastColumn="0" w:oddVBand="0" w:evenVBand="0" w:oddHBand="0" w:evenHBand="0" w:firstRowFirstColumn="0" w:firstRowLastColumn="0" w:lastRowFirstColumn="0" w:lastRowLastColumn="0"/>
          <w:tblHeader/>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EA029AB" w14:textId="77777777" w:rsidR="00326102" w:rsidRPr="008372BA" w:rsidRDefault="00326102" w:rsidP="001563A5">
            <w:pPr>
              <w:contextualSpacing/>
              <w:jc w:val="center"/>
              <w:rPr>
                <w:rFonts w:ascii="Verdana" w:eastAsia="Calibri" w:hAnsi="Verdana" w:cs="Arial"/>
                <w:color w:val="auto"/>
                <w:sz w:val="18"/>
                <w:szCs w:val="18"/>
                <w:lang w:val="es-CO" w:eastAsia="en-US"/>
              </w:rPr>
            </w:pPr>
            <w:r w:rsidRPr="008372BA">
              <w:rPr>
                <w:rFonts w:ascii="Verdana" w:eastAsia="Calibri" w:hAnsi="Verdana"/>
                <w:sz w:val="18"/>
                <w:szCs w:val="18"/>
                <w:lang w:eastAsia="en-US"/>
              </w:rPr>
              <w:t>Descripción</w:t>
            </w:r>
          </w:p>
        </w:tc>
        <w:tc>
          <w:tcPr>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16B9056"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Duración estimada del contrato</w:t>
            </w:r>
          </w:p>
        </w:tc>
        <w:tc>
          <w:tcPr>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768D1FF6"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eastAsia="en-US"/>
              </w:rPr>
            </w:pPr>
            <w:r w:rsidRPr="008372BA">
              <w:rPr>
                <w:rFonts w:ascii="Verdana" w:eastAsia="Calibri" w:hAnsi="Verdana"/>
                <w:sz w:val="18"/>
                <w:szCs w:val="18"/>
                <w:lang w:eastAsia="en-US"/>
              </w:rPr>
              <w:t>Fecha estimada de inicio de proceso de selección</w:t>
            </w:r>
          </w:p>
        </w:tc>
        <w:tc>
          <w:tcPr>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1F100FB7"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Modalidad de selección</w:t>
            </w:r>
          </w:p>
        </w:tc>
        <w:tc>
          <w:tcPr>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46378FF6"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Fuente de los recursos</w:t>
            </w:r>
          </w:p>
        </w:tc>
        <w:tc>
          <w:tcPr>
            <w:tcW w:w="6"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5C9A97D9" w14:textId="77777777" w:rsidR="00326102" w:rsidRPr="008372BA" w:rsidRDefault="00326102" w:rsidP="001563A5">
            <w:pPr>
              <w:contextualSpacing/>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olor w:val="auto"/>
                <w:sz w:val="18"/>
                <w:szCs w:val="18"/>
                <w:lang w:val="es-CO" w:eastAsia="en-US"/>
              </w:rPr>
            </w:pPr>
            <w:r w:rsidRPr="008372BA">
              <w:rPr>
                <w:rFonts w:ascii="Verdana" w:eastAsia="Calibri" w:hAnsi="Verdana"/>
                <w:sz w:val="18"/>
                <w:szCs w:val="18"/>
                <w:lang w:eastAsia="en-US"/>
              </w:rPr>
              <w:t>Valor estimado</w:t>
            </w:r>
          </w:p>
        </w:tc>
      </w:tr>
      <w:tr w:rsidR="00326102" w:rsidRPr="008372BA" w14:paraId="5FB8052D" w14:textId="77777777" w:rsidTr="001563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vAlign w:val="center"/>
            <w:hideMark/>
          </w:tcPr>
          <w:p w14:paraId="3814FA47" w14:textId="77777777" w:rsidR="00326102" w:rsidRPr="008372BA" w:rsidRDefault="00326102" w:rsidP="001563A5">
            <w:pPr>
              <w:contextualSpacing/>
              <w:jc w:val="center"/>
              <w:rPr>
                <w:rFonts w:ascii="Verdana" w:eastAsia="Calibri" w:hAnsi="Verdana"/>
                <w:sz w:val="18"/>
                <w:szCs w:val="18"/>
                <w:lang w:val="es-CO" w:eastAsia="en-US"/>
              </w:rPr>
            </w:pPr>
            <w:r w:rsidRPr="008372BA">
              <w:rPr>
                <w:rFonts w:ascii="Verdana" w:eastAsia="Calibri" w:hAnsi="Verdana"/>
                <w:sz w:val="18"/>
                <w:szCs w:val="18"/>
                <w:lang w:eastAsia="en-US"/>
              </w:rPr>
              <w:t>Lotes de terrenos gubernamentales</w:t>
            </w:r>
          </w:p>
        </w:tc>
        <w:tc>
          <w:tcPr>
            <w:tcW w:w="6" w:type="dxa"/>
            <w:tcBorders>
              <w:top w:val="single" w:sz="4" w:space="0" w:color="auto"/>
              <w:left w:val="single" w:sz="4" w:space="0" w:color="auto"/>
              <w:bottom w:val="single" w:sz="4" w:space="0" w:color="auto"/>
              <w:right w:val="single" w:sz="4" w:space="0" w:color="auto"/>
            </w:tcBorders>
            <w:vAlign w:val="center"/>
            <w:hideMark/>
          </w:tcPr>
          <w:p w14:paraId="17D234F6"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9 meses</w:t>
            </w:r>
          </w:p>
        </w:tc>
        <w:tc>
          <w:tcPr>
            <w:tcW w:w="6" w:type="dxa"/>
            <w:tcBorders>
              <w:top w:val="single" w:sz="4" w:space="0" w:color="auto"/>
              <w:left w:val="single" w:sz="4" w:space="0" w:color="auto"/>
              <w:bottom w:val="single" w:sz="4" w:space="0" w:color="auto"/>
              <w:right w:val="single" w:sz="4" w:space="0" w:color="auto"/>
            </w:tcBorders>
            <w:vAlign w:val="center"/>
            <w:hideMark/>
          </w:tcPr>
          <w:p w14:paraId="7646798F"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eastAsia="en-US"/>
              </w:rPr>
            </w:pPr>
            <w:r w:rsidRPr="008372BA">
              <w:rPr>
                <w:rFonts w:ascii="Verdana" w:eastAsia="Calibri" w:hAnsi="Verdana"/>
                <w:sz w:val="18"/>
                <w:szCs w:val="18"/>
                <w:lang w:eastAsia="en-US"/>
              </w:rPr>
              <w:t>25/01/2022</w:t>
            </w:r>
          </w:p>
        </w:tc>
        <w:tc>
          <w:tcPr>
            <w:tcW w:w="6" w:type="dxa"/>
            <w:tcBorders>
              <w:top w:val="single" w:sz="4" w:space="0" w:color="auto"/>
              <w:left w:val="single" w:sz="4" w:space="0" w:color="auto"/>
              <w:bottom w:val="single" w:sz="4" w:space="0" w:color="auto"/>
              <w:right w:val="single" w:sz="4" w:space="0" w:color="auto"/>
            </w:tcBorders>
            <w:vAlign w:val="center"/>
            <w:hideMark/>
          </w:tcPr>
          <w:p w14:paraId="08B26BFF"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Contratación directa</w:t>
            </w:r>
          </w:p>
        </w:tc>
        <w:tc>
          <w:tcPr>
            <w:tcW w:w="6" w:type="dxa"/>
            <w:tcBorders>
              <w:top w:val="single" w:sz="4" w:space="0" w:color="auto"/>
              <w:left w:val="single" w:sz="4" w:space="0" w:color="auto"/>
              <w:bottom w:val="single" w:sz="4" w:space="0" w:color="auto"/>
              <w:right w:val="single" w:sz="4" w:space="0" w:color="auto"/>
            </w:tcBorders>
            <w:vAlign w:val="center"/>
            <w:hideMark/>
          </w:tcPr>
          <w:p w14:paraId="3FE5D1A8"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SGP Ribereños</w:t>
            </w:r>
          </w:p>
        </w:tc>
        <w:tc>
          <w:tcPr>
            <w:tcW w:w="6" w:type="dxa"/>
            <w:tcBorders>
              <w:top w:val="single" w:sz="4" w:space="0" w:color="auto"/>
              <w:left w:val="single" w:sz="4" w:space="0" w:color="auto"/>
              <w:bottom w:val="single" w:sz="4" w:space="0" w:color="auto"/>
              <w:right w:val="single" w:sz="4" w:space="0" w:color="auto"/>
            </w:tcBorders>
            <w:vAlign w:val="center"/>
            <w:hideMark/>
          </w:tcPr>
          <w:p w14:paraId="6EA8E076"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$250.000.000</w:t>
            </w:r>
          </w:p>
        </w:tc>
      </w:tr>
      <w:tr w:rsidR="00326102" w:rsidRPr="008372BA" w14:paraId="32AF8E30" w14:textId="77777777" w:rsidTr="001563A5">
        <w:trPr>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vAlign w:val="center"/>
            <w:hideMark/>
          </w:tcPr>
          <w:p w14:paraId="31AB885C" w14:textId="77777777" w:rsidR="00326102" w:rsidRPr="008372BA" w:rsidRDefault="00326102" w:rsidP="001563A5">
            <w:pPr>
              <w:contextualSpacing/>
              <w:jc w:val="center"/>
              <w:rPr>
                <w:rFonts w:ascii="Verdana" w:eastAsia="Calibri" w:hAnsi="Verdana"/>
                <w:sz w:val="18"/>
                <w:szCs w:val="18"/>
                <w:lang w:val="es-CO" w:eastAsia="en-US"/>
              </w:rPr>
            </w:pPr>
            <w:r w:rsidRPr="008372BA">
              <w:rPr>
                <w:rFonts w:ascii="Verdana" w:eastAsia="Calibri" w:hAnsi="Verdana"/>
                <w:sz w:val="18"/>
                <w:szCs w:val="18"/>
                <w:lang w:eastAsia="en-US"/>
              </w:rPr>
              <w:t>Arboles urbanos</w:t>
            </w:r>
          </w:p>
        </w:tc>
        <w:tc>
          <w:tcPr>
            <w:tcW w:w="6" w:type="dxa"/>
            <w:tcBorders>
              <w:top w:val="single" w:sz="4" w:space="0" w:color="auto"/>
              <w:left w:val="single" w:sz="4" w:space="0" w:color="auto"/>
              <w:bottom w:val="single" w:sz="4" w:space="0" w:color="auto"/>
              <w:right w:val="single" w:sz="4" w:space="0" w:color="auto"/>
            </w:tcBorders>
            <w:vAlign w:val="center"/>
            <w:hideMark/>
          </w:tcPr>
          <w:p w14:paraId="1C9AF250"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6 meses</w:t>
            </w:r>
          </w:p>
        </w:tc>
        <w:tc>
          <w:tcPr>
            <w:tcW w:w="6" w:type="dxa"/>
            <w:tcBorders>
              <w:top w:val="single" w:sz="4" w:space="0" w:color="auto"/>
              <w:left w:val="single" w:sz="4" w:space="0" w:color="auto"/>
              <w:bottom w:val="single" w:sz="4" w:space="0" w:color="auto"/>
              <w:right w:val="single" w:sz="4" w:space="0" w:color="auto"/>
            </w:tcBorders>
            <w:vAlign w:val="center"/>
            <w:hideMark/>
          </w:tcPr>
          <w:p w14:paraId="7F4EA613"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eastAsia="en-US"/>
              </w:rPr>
            </w:pPr>
            <w:r w:rsidRPr="008372BA">
              <w:rPr>
                <w:rFonts w:ascii="Verdana" w:eastAsia="Calibri" w:hAnsi="Verdana"/>
                <w:sz w:val="18"/>
                <w:szCs w:val="18"/>
                <w:lang w:eastAsia="en-US"/>
              </w:rPr>
              <w:t>1/02/2022</w:t>
            </w:r>
          </w:p>
        </w:tc>
        <w:tc>
          <w:tcPr>
            <w:tcW w:w="6" w:type="dxa"/>
            <w:tcBorders>
              <w:top w:val="single" w:sz="4" w:space="0" w:color="auto"/>
              <w:left w:val="single" w:sz="4" w:space="0" w:color="auto"/>
              <w:bottom w:val="single" w:sz="4" w:space="0" w:color="auto"/>
              <w:right w:val="single" w:sz="4" w:space="0" w:color="auto"/>
            </w:tcBorders>
            <w:vAlign w:val="center"/>
            <w:hideMark/>
          </w:tcPr>
          <w:p w14:paraId="07461DE4"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Mínima cuantía</w:t>
            </w:r>
          </w:p>
        </w:tc>
        <w:tc>
          <w:tcPr>
            <w:tcW w:w="6" w:type="dxa"/>
            <w:tcBorders>
              <w:top w:val="single" w:sz="4" w:space="0" w:color="auto"/>
              <w:left w:val="single" w:sz="4" w:space="0" w:color="auto"/>
              <w:bottom w:val="single" w:sz="4" w:space="0" w:color="auto"/>
              <w:right w:val="single" w:sz="4" w:space="0" w:color="auto"/>
            </w:tcBorders>
            <w:vAlign w:val="center"/>
            <w:hideMark/>
          </w:tcPr>
          <w:p w14:paraId="27F57864"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SGP Ribereños</w:t>
            </w:r>
          </w:p>
        </w:tc>
        <w:tc>
          <w:tcPr>
            <w:tcW w:w="6" w:type="dxa"/>
            <w:tcBorders>
              <w:top w:val="single" w:sz="4" w:space="0" w:color="auto"/>
              <w:left w:val="single" w:sz="4" w:space="0" w:color="auto"/>
              <w:bottom w:val="single" w:sz="4" w:space="0" w:color="auto"/>
              <w:right w:val="single" w:sz="4" w:space="0" w:color="auto"/>
            </w:tcBorders>
            <w:vAlign w:val="center"/>
            <w:hideMark/>
          </w:tcPr>
          <w:p w14:paraId="0F184F86" w14:textId="77777777" w:rsidR="00326102" w:rsidRPr="008372BA" w:rsidRDefault="00326102" w:rsidP="001563A5">
            <w:pPr>
              <w:contextualSpacing/>
              <w:jc w:val="center"/>
              <w:cnfStyle w:val="000000000000" w:firstRow="0" w:lastRow="0" w:firstColumn="0" w:lastColumn="0" w:oddVBand="0" w:evenVBand="0" w:oddHBand="0"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$26.000.000</w:t>
            </w:r>
          </w:p>
        </w:tc>
      </w:tr>
      <w:tr w:rsidR="00326102" w:rsidRPr="008372BA" w14:paraId="1EE43228" w14:textId="77777777" w:rsidTr="001563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 w:type="dxa"/>
            <w:tcBorders>
              <w:top w:val="single" w:sz="4" w:space="0" w:color="auto"/>
              <w:left w:val="single" w:sz="4" w:space="0" w:color="auto"/>
              <w:bottom w:val="single" w:sz="4" w:space="0" w:color="auto"/>
              <w:right w:val="single" w:sz="4" w:space="0" w:color="auto"/>
            </w:tcBorders>
            <w:vAlign w:val="center"/>
            <w:hideMark/>
          </w:tcPr>
          <w:p w14:paraId="13EE9E5B" w14:textId="77777777" w:rsidR="00326102" w:rsidRPr="008372BA" w:rsidRDefault="00326102" w:rsidP="001563A5">
            <w:pPr>
              <w:contextualSpacing/>
              <w:jc w:val="center"/>
              <w:rPr>
                <w:rFonts w:ascii="Verdana" w:eastAsia="Calibri" w:hAnsi="Verdana"/>
                <w:sz w:val="18"/>
                <w:szCs w:val="18"/>
                <w:lang w:val="es-CO" w:eastAsia="en-US"/>
              </w:rPr>
            </w:pPr>
            <w:r w:rsidRPr="008372BA">
              <w:rPr>
                <w:rFonts w:ascii="Verdana" w:eastAsia="Calibri" w:hAnsi="Verdana"/>
                <w:sz w:val="18"/>
                <w:szCs w:val="18"/>
                <w:lang w:eastAsia="en-US"/>
              </w:rPr>
              <w:lastRenderedPageBreak/>
              <w:t>Tanques sépticos</w:t>
            </w:r>
          </w:p>
        </w:tc>
        <w:tc>
          <w:tcPr>
            <w:tcW w:w="6" w:type="dxa"/>
            <w:tcBorders>
              <w:top w:val="single" w:sz="4" w:space="0" w:color="auto"/>
              <w:left w:val="single" w:sz="4" w:space="0" w:color="auto"/>
              <w:bottom w:val="single" w:sz="4" w:space="0" w:color="auto"/>
              <w:right w:val="single" w:sz="4" w:space="0" w:color="auto"/>
            </w:tcBorders>
            <w:vAlign w:val="center"/>
            <w:hideMark/>
          </w:tcPr>
          <w:p w14:paraId="443DD782"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1 mes</w:t>
            </w:r>
          </w:p>
        </w:tc>
        <w:tc>
          <w:tcPr>
            <w:tcW w:w="6" w:type="dxa"/>
            <w:tcBorders>
              <w:top w:val="single" w:sz="4" w:space="0" w:color="auto"/>
              <w:left w:val="single" w:sz="4" w:space="0" w:color="auto"/>
              <w:bottom w:val="single" w:sz="4" w:space="0" w:color="auto"/>
              <w:right w:val="single" w:sz="4" w:space="0" w:color="auto"/>
            </w:tcBorders>
            <w:vAlign w:val="center"/>
            <w:hideMark/>
          </w:tcPr>
          <w:p w14:paraId="138176E3"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eastAsia="en-US"/>
              </w:rPr>
            </w:pPr>
            <w:r w:rsidRPr="008372BA">
              <w:rPr>
                <w:rFonts w:ascii="Verdana" w:eastAsia="Calibri" w:hAnsi="Verdana"/>
                <w:sz w:val="18"/>
                <w:szCs w:val="18"/>
                <w:lang w:eastAsia="en-US"/>
              </w:rPr>
              <w:t>1/02/2022</w:t>
            </w:r>
          </w:p>
        </w:tc>
        <w:tc>
          <w:tcPr>
            <w:tcW w:w="6" w:type="dxa"/>
            <w:tcBorders>
              <w:top w:val="single" w:sz="4" w:space="0" w:color="auto"/>
              <w:left w:val="single" w:sz="4" w:space="0" w:color="auto"/>
              <w:bottom w:val="single" w:sz="4" w:space="0" w:color="auto"/>
              <w:right w:val="single" w:sz="4" w:space="0" w:color="auto"/>
            </w:tcBorders>
            <w:vAlign w:val="center"/>
            <w:hideMark/>
          </w:tcPr>
          <w:p w14:paraId="68BAA214"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Mínima cuantía</w:t>
            </w:r>
          </w:p>
        </w:tc>
        <w:tc>
          <w:tcPr>
            <w:tcW w:w="6" w:type="dxa"/>
            <w:tcBorders>
              <w:top w:val="single" w:sz="4" w:space="0" w:color="auto"/>
              <w:left w:val="single" w:sz="4" w:space="0" w:color="auto"/>
              <w:bottom w:val="single" w:sz="4" w:space="0" w:color="auto"/>
              <w:right w:val="single" w:sz="4" w:space="0" w:color="auto"/>
            </w:tcBorders>
            <w:vAlign w:val="center"/>
            <w:hideMark/>
          </w:tcPr>
          <w:p w14:paraId="5AE8BB45"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SGP Ribereños</w:t>
            </w:r>
          </w:p>
        </w:tc>
        <w:tc>
          <w:tcPr>
            <w:tcW w:w="6" w:type="dxa"/>
            <w:tcBorders>
              <w:top w:val="single" w:sz="4" w:space="0" w:color="auto"/>
              <w:left w:val="single" w:sz="4" w:space="0" w:color="auto"/>
              <w:bottom w:val="single" w:sz="4" w:space="0" w:color="auto"/>
              <w:right w:val="single" w:sz="4" w:space="0" w:color="auto"/>
            </w:tcBorders>
            <w:vAlign w:val="center"/>
            <w:hideMark/>
          </w:tcPr>
          <w:p w14:paraId="2D653663" w14:textId="77777777" w:rsidR="00326102" w:rsidRPr="008372BA" w:rsidRDefault="00326102" w:rsidP="001563A5">
            <w:pPr>
              <w:contextualSpacing/>
              <w:jc w:val="center"/>
              <w:cnfStyle w:val="000000100000" w:firstRow="0" w:lastRow="0" w:firstColumn="0" w:lastColumn="0" w:oddVBand="0" w:evenVBand="0" w:oddHBand="1" w:evenHBand="0" w:firstRowFirstColumn="0" w:firstRowLastColumn="0" w:lastRowFirstColumn="0" w:lastRowLastColumn="0"/>
              <w:rPr>
                <w:rFonts w:ascii="Verdana" w:eastAsia="Calibri" w:hAnsi="Verdana"/>
                <w:sz w:val="18"/>
                <w:szCs w:val="18"/>
                <w:lang w:val="es-CO" w:eastAsia="en-US"/>
              </w:rPr>
            </w:pPr>
            <w:r w:rsidRPr="008372BA">
              <w:rPr>
                <w:rFonts w:ascii="Verdana" w:eastAsia="Calibri" w:hAnsi="Verdana"/>
                <w:sz w:val="18"/>
                <w:szCs w:val="18"/>
                <w:lang w:eastAsia="en-US"/>
              </w:rPr>
              <w:t>$150.000.000</w:t>
            </w:r>
          </w:p>
        </w:tc>
      </w:tr>
    </w:tbl>
    <w:p w14:paraId="3364F93B" w14:textId="77777777" w:rsidR="00326102" w:rsidRPr="008372BA" w:rsidRDefault="00326102" w:rsidP="00326102">
      <w:pPr>
        <w:contextualSpacing/>
        <w:jc w:val="center"/>
        <w:rPr>
          <w:rFonts w:ascii="Verdana" w:eastAsia="Calibri" w:hAnsi="Verdana" w:cs="Arial"/>
          <w:sz w:val="16"/>
          <w:szCs w:val="16"/>
          <w:lang w:eastAsia="en-US"/>
        </w:rPr>
      </w:pPr>
      <w:r w:rsidRPr="008372BA">
        <w:rPr>
          <w:rFonts w:ascii="Verdana" w:eastAsia="Calibri" w:hAnsi="Verdana" w:cs="Arial"/>
          <w:sz w:val="16"/>
          <w:szCs w:val="16"/>
          <w:lang w:eastAsia="en-US"/>
        </w:rPr>
        <w:t>Fuente: DAF con información entregada por la Administración Municipal.</w:t>
      </w:r>
    </w:p>
    <w:p w14:paraId="43BA17F6" w14:textId="77777777" w:rsidR="00326102" w:rsidRPr="008372BA" w:rsidRDefault="00326102" w:rsidP="00326102">
      <w:pPr>
        <w:contextualSpacing/>
        <w:jc w:val="both"/>
        <w:rPr>
          <w:rFonts w:ascii="Verdana" w:eastAsia="Calibri" w:hAnsi="Verdana" w:cs="Arial"/>
          <w:sz w:val="22"/>
          <w:szCs w:val="22"/>
          <w:lang w:val="es-CO" w:eastAsia="en-US"/>
        </w:rPr>
      </w:pPr>
    </w:p>
    <w:p w14:paraId="553615CD" w14:textId="77777777" w:rsidR="00326102" w:rsidRPr="008372BA" w:rsidRDefault="00326102" w:rsidP="00326102">
      <w:pPr>
        <w:contextualSpacing/>
        <w:jc w:val="both"/>
        <w:rPr>
          <w:rFonts w:ascii="Verdana" w:hAnsi="Verdana" w:cs="Arial"/>
          <w:sz w:val="22"/>
          <w:szCs w:val="22"/>
          <w:lang w:eastAsia="en-US"/>
        </w:rPr>
      </w:pPr>
      <w:r w:rsidRPr="008372BA">
        <w:rPr>
          <w:rFonts w:ascii="Verdana" w:hAnsi="Verdana" w:cs="Arial"/>
          <w:sz w:val="22"/>
          <w:szCs w:val="22"/>
          <w:lang w:eastAsia="en-US"/>
        </w:rPr>
        <w:t xml:space="preserve">Como se puede observar en la Tabla 5, se incluyen tres adquisiciones: la primera corresponde a </w:t>
      </w:r>
      <w:r w:rsidRPr="008372BA">
        <w:rPr>
          <w:rFonts w:ascii="Verdana" w:hAnsi="Verdana" w:cs="Arial"/>
          <w:i/>
          <w:sz w:val="22"/>
          <w:szCs w:val="22"/>
          <w:lang w:eastAsia="en-US"/>
        </w:rPr>
        <w:t>“lotes de terrenos gubernamentales”</w:t>
      </w:r>
      <w:r w:rsidRPr="008372BA">
        <w:rPr>
          <w:rFonts w:ascii="Verdana" w:hAnsi="Verdana" w:cs="Arial"/>
          <w:sz w:val="22"/>
          <w:szCs w:val="22"/>
          <w:lang w:eastAsia="en-US"/>
        </w:rPr>
        <w:t xml:space="preserve"> que tiene un valor estimado de $250 millones, la segunda </w:t>
      </w:r>
      <w:r w:rsidRPr="008372BA">
        <w:rPr>
          <w:rFonts w:ascii="Verdana" w:hAnsi="Verdana" w:cs="Arial"/>
          <w:i/>
          <w:sz w:val="22"/>
          <w:szCs w:val="22"/>
          <w:lang w:eastAsia="en-US"/>
        </w:rPr>
        <w:t>“árboles urbanos”</w:t>
      </w:r>
      <w:r w:rsidRPr="008372BA">
        <w:rPr>
          <w:rFonts w:ascii="Verdana" w:hAnsi="Verdana" w:cs="Arial"/>
          <w:sz w:val="22"/>
          <w:szCs w:val="22"/>
          <w:lang w:eastAsia="en-US"/>
        </w:rPr>
        <w:t xml:space="preserve"> que estima su valor en $26 millones y finalmente </w:t>
      </w:r>
      <w:r w:rsidRPr="008372BA">
        <w:rPr>
          <w:rFonts w:ascii="Verdana" w:hAnsi="Verdana" w:cs="Arial"/>
          <w:i/>
          <w:sz w:val="22"/>
          <w:szCs w:val="22"/>
          <w:lang w:eastAsia="en-US"/>
        </w:rPr>
        <w:t>“tanques sépticos”</w:t>
      </w:r>
      <w:r w:rsidRPr="008372BA">
        <w:rPr>
          <w:rFonts w:ascii="Verdana" w:hAnsi="Verdana" w:cs="Arial"/>
          <w:sz w:val="22"/>
          <w:szCs w:val="22"/>
          <w:lang w:eastAsia="en-US"/>
        </w:rPr>
        <w:t xml:space="preserve"> que tiene un valor estimado de $150 millones.</w:t>
      </w:r>
    </w:p>
    <w:p w14:paraId="16EF46B9" w14:textId="77777777" w:rsidR="00326102" w:rsidRPr="008372BA" w:rsidRDefault="00326102" w:rsidP="00326102">
      <w:pPr>
        <w:contextualSpacing/>
        <w:jc w:val="both"/>
        <w:rPr>
          <w:rFonts w:ascii="Verdana" w:eastAsia="Calibri" w:hAnsi="Verdana" w:cs="Arial"/>
          <w:sz w:val="22"/>
          <w:szCs w:val="22"/>
          <w:lang w:eastAsia="en-US"/>
        </w:rPr>
      </w:pPr>
    </w:p>
    <w:p w14:paraId="7478D43C"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t xml:space="preserve">Si bien las tres posibles contrataciones planteadas concuerdan con las líneas de inversión planteadas, puesto que lotes urbanos se asocia con la compra de tierras, árboles urbanos se asocia con reforestación y tanques sépticos con el manejo de aguas residuales y que el documento </w:t>
      </w:r>
      <w:r w:rsidRPr="008372BA">
        <w:rPr>
          <w:rFonts w:ascii="Verdana" w:eastAsia="Calibri" w:hAnsi="Verdana" w:cs="Arial"/>
          <w:i/>
          <w:sz w:val="22"/>
          <w:szCs w:val="22"/>
          <w:lang w:eastAsia="en-US"/>
        </w:rPr>
        <w:t xml:space="preserve">“PAA_2022” </w:t>
      </w:r>
      <w:r w:rsidRPr="008372BA">
        <w:rPr>
          <w:rFonts w:ascii="Verdana" w:eastAsia="Calibri" w:hAnsi="Verdana" w:cs="Arial"/>
          <w:sz w:val="22"/>
          <w:szCs w:val="22"/>
          <w:lang w:eastAsia="en-US"/>
        </w:rPr>
        <w:t xml:space="preserve">está bien estructurado y posee la desagregación de las fuentes de inversión. Las descripciones planteadas para la vigencia 2022, son las mismas descripciones de gasto que de acuerdo con el anterior informe se ejecutaron en la vigencia 2021. Motivo por el cual no se considera pertinente que sea la misma programación, puesto que esto va en contravía de la correcta planeación del recurso. </w:t>
      </w:r>
    </w:p>
    <w:p w14:paraId="5A73085E" w14:textId="77777777" w:rsidR="00326102" w:rsidRPr="008372BA" w:rsidRDefault="00326102" w:rsidP="00326102">
      <w:pPr>
        <w:contextualSpacing/>
        <w:jc w:val="both"/>
        <w:rPr>
          <w:rFonts w:ascii="Verdana" w:eastAsia="Calibri" w:hAnsi="Verdana" w:cs="Arial"/>
          <w:sz w:val="22"/>
          <w:szCs w:val="22"/>
          <w:lang w:eastAsia="en-US"/>
        </w:rPr>
      </w:pPr>
    </w:p>
    <w:p w14:paraId="0A14E0AF"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eastAsia="en-US"/>
        </w:rPr>
        <w:t>Evaluación:</w:t>
      </w:r>
      <w:r w:rsidRPr="008372BA">
        <w:rPr>
          <w:rFonts w:ascii="Verdana" w:eastAsia="Calibri" w:hAnsi="Verdana" w:cs="Arial"/>
          <w:sz w:val="22"/>
          <w:szCs w:val="22"/>
          <w:lang w:eastAsia="en-US"/>
        </w:rPr>
        <w:t xml:space="preserve"> </w:t>
      </w:r>
      <w:r w:rsidRPr="008372BA">
        <w:rPr>
          <w:rFonts w:ascii="Verdana" w:eastAsia="Calibri" w:hAnsi="Verdana" w:cs="Arial"/>
          <w:sz w:val="22"/>
          <w:szCs w:val="22"/>
          <w:u w:val="single"/>
          <w:lang w:eastAsia="en-US"/>
        </w:rPr>
        <w:t>No cumple.</w:t>
      </w:r>
    </w:p>
    <w:p w14:paraId="5DFC4794" w14:textId="77777777" w:rsidR="00326102" w:rsidRPr="008372BA" w:rsidRDefault="00326102" w:rsidP="00326102">
      <w:pPr>
        <w:contextualSpacing/>
        <w:jc w:val="both"/>
        <w:rPr>
          <w:rFonts w:ascii="Verdana" w:eastAsia="Calibri" w:hAnsi="Verdana" w:cs="Arial"/>
          <w:sz w:val="22"/>
          <w:szCs w:val="22"/>
          <w:lang w:val="es-CO" w:eastAsia="en-US"/>
        </w:rPr>
      </w:pPr>
    </w:p>
    <w:p w14:paraId="3252E6D6"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b/>
          <w:bCs/>
          <w:sz w:val="22"/>
          <w:szCs w:val="22"/>
          <w:lang w:val="es-CO" w:eastAsia="en-US"/>
        </w:rPr>
        <w:t xml:space="preserve">Recomendación: </w:t>
      </w:r>
      <w:r w:rsidRPr="008372BA">
        <w:rPr>
          <w:rFonts w:ascii="Verdana" w:eastAsia="Calibri" w:hAnsi="Verdana" w:cs="Arial"/>
          <w:sz w:val="22"/>
          <w:szCs w:val="22"/>
          <w:lang w:val="es-CO" w:eastAsia="en-US"/>
        </w:rPr>
        <w:t>El proceso de fortalecimiento y articulación de las herramientas de planificación debe verse reflejado en un adecuado y oportuno reporte al Sistema de Información para la Evaluación de la Eficacia - SIEE. Es importante recordar, que los lineamientos, plazos y procedimientos para realizar dicho reporte se encuentran ubicados en la página del portal territorial del DNP (</w:t>
      </w:r>
      <w:hyperlink r:id="rId13" w:history="1">
        <w:r w:rsidRPr="008372BA">
          <w:rPr>
            <w:rFonts w:ascii="Verdana" w:eastAsia="Calibri" w:hAnsi="Verdana" w:cs="Arial"/>
            <w:color w:val="0000FF" w:themeColor="hyperlink"/>
            <w:sz w:val="22"/>
            <w:szCs w:val="22"/>
            <w:u w:val="single"/>
            <w:lang w:val="es-CO" w:eastAsia="en-US"/>
          </w:rPr>
          <w:t>https://portalterritorial.dnp.gov.co/PDT/</w:t>
        </w:r>
      </w:hyperlink>
      <w:r w:rsidRPr="008372BA">
        <w:rPr>
          <w:rFonts w:ascii="Verdana" w:eastAsia="Calibri" w:hAnsi="Verdana" w:cs="Arial"/>
          <w:sz w:val="22"/>
          <w:szCs w:val="22"/>
          <w:lang w:val="es-CO" w:eastAsia="en-US"/>
        </w:rPr>
        <w:t>); dicha herramienta permite hacer seguimiento a los planes de desarrollo territorial y a su vez refleja el trabajo institucional realizado por el Municipio.</w:t>
      </w:r>
    </w:p>
    <w:p w14:paraId="316E7310" w14:textId="77777777" w:rsidR="00326102" w:rsidRPr="008372BA" w:rsidRDefault="00326102" w:rsidP="00326102">
      <w:pPr>
        <w:contextualSpacing/>
        <w:jc w:val="both"/>
        <w:rPr>
          <w:rFonts w:ascii="Verdana" w:eastAsia="Calibri" w:hAnsi="Verdana" w:cs="Arial"/>
          <w:sz w:val="22"/>
          <w:szCs w:val="22"/>
          <w:lang w:val="es-CO" w:eastAsia="en-US"/>
        </w:rPr>
      </w:pPr>
    </w:p>
    <w:p w14:paraId="7541060D" w14:textId="77777777" w:rsidR="00326102"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Es fundamental que el Municipio tenga muy clara la articulación entre la planificación de la inversión pública y la programación presupuestal, por lo tanto, a continuación, se presenta un esquema que refleja la estructuración que existe entre dichos procesos y que es importante que el Municipio lo tenga en cuenta al momento de planificar y ejecutar los recursos de SGP- Ribereños.</w:t>
      </w:r>
    </w:p>
    <w:p w14:paraId="5A920760" w14:textId="77777777" w:rsidR="00326102" w:rsidRDefault="00B5238C" w:rsidP="00326102">
      <w:pPr>
        <w:contextualSpacing/>
        <w:jc w:val="both"/>
        <w:rPr>
          <w:rFonts w:ascii="Verdana" w:eastAsia="Calibri" w:hAnsi="Verdana" w:cs="Arial"/>
          <w:sz w:val="22"/>
          <w:szCs w:val="22"/>
          <w:lang w:val="es-CO" w:eastAsia="en-US"/>
        </w:rPr>
      </w:pPr>
      <w:r w:rsidRPr="008372BA">
        <w:rPr>
          <w:noProof/>
        </w:rPr>
        <w:lastRenderedPageBreak/>
        <w:drawing>
          <wp:anchor distT="0" distB="0" distL="114300" distR="114300" simplePos="0" relativeHeight="251659264" behindDoc="0" locked="0" layoutInCell="1" allowOverlap="1" wp14:anchorId="11289749" wp14:editId="5D4095EC">
            <wp:simplePos x="0" y="0"/>
            <wp:positionH relativeFrom="margin">
              <wp:align>left</wp:align>
            </wp:positionH>
            <wp:positionV relativeFrom="paragraph">
              <wp:posOffset>294640</wp:posOffset>
            </wp:positionV>
            <wp:extent cx="5605145" cy="5875655"/>
            <wp:effectExtent l="0" t="0" r="0" b="0"/>
            <wp:wrapTopAndBottom/>
            <wp:docPr id="950816224" name="Imagen 950816224" descr="Escala de tiem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6010490" descr="Escala de tiempo&#10;&#10;Descripción generada automáticament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13356" cy="5884622"/>
                    </a:xfrm>
                    <a:prstGeom prst="rect">
                      <a:avLst/>
                    </a:prstGeom>
                    <a:noFill/>
                  </pic:spPr>
                </pic:pic>
              </a:graphicData>
            </a:graphic>
          </wp:anchor>
        </w:drawing>
      </w:r>
    </w:p>
    <w:p w14:paraId="2F31C205" w14:textId="77777777" w:rsidR="00326102" w:rsidRPr="008372BA" w:rsidRDefault="00326102" w:rsidP="00326102">
      <w:pPr>
        <w:contextualSpacing/>
        <w:jc w:val="both"/>
        <w:rPr>
          <w:rFonts w:ascii="Verdana" w:eastAsia="Calibri" w:hAnsi="Verdana" w:cs="Arial"/>
          <w:sz w:val="22"/>
          <w:szCs w:val="22"/>
          <w:lang w:val="es-CO" w:eastAsia="en-US"/>
        </w:rPr>
      </w:pPr>
    </w:p>
    <w:p w14:paraId="22ED12FC"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Como bien se muestra en la imagen anterior, el Municipio debe propender por cumplir a cabalidad todo el ciclo de la inversión pública. Lo anterior, implica disponer de los instrumentos de planeación necesarios, entre ellos, la planeación en el Plan Anual de Adquisiciones. Para ello, recuerde que el DNP dispone de un Portal Territorial que es una plataforma que promueve la gestión de conocimiento, brindando diferentes herramientas y guías metodológicas que le permiten robustecer su proceso de planificación y programación.</w:t>
      </w:r>
    </w:p>
    <w:p w14:paraId="7BFE06DD" w14:textId="77777777" w:rsidR="00326102" w:rsidRPr="008372BA" w:rsidRDefault="00326102" w:rsidP="00326102">
      <w:pPr>
        <w:contextualSpacing/>
        <w:jc w:val="both"/>
        <w:rPr>
          <w:rFonts w:ascii="Verdana" w:eastAsia="Calibri" w:hAnsi="Verdana" w:cs="Arial"/>
          <w:sz w:val="22"/>
          <w:szCs w:val="22"/>
          <w:lang w:val="es-CO" w:eastAsia="en-US"/>
        </w:rPr>
      </w:pPr>
    </w:p>
    <w:p w14:paraId="5B5A4AC3" w14:textId="77777777" w:rsidR="00326102" w:rsidRPr="008372BA" w:rsidRDefault="00326102" w:rsidP="00326102">
      <w:pPr>
        <w:contextualSpacing/>
        <w:jc w:val="both"/>
        <w:rPr>
          <w:rFonts w:ascii="Verdana" w:eastAsia="Calibri" w:hAnsi="Verdana" w:cs="Arial"/>
          <w:sz w:val="22"/>
          <w:szCs w:val="22"/>
          <w:lang w:eastAsia="en-US"/>
        </w:rPr>
      </w:pPr>
      <w:r w:rsidRPr="008372BA">
        <w:rPr>
          <w:rFonts w:ascii="Verdana" w:eastAsia="Calibri" w:hAnsi="Verdana" w:cs="Arial"/>
          <w:sz w:val="22"/>
          <w:szCs w:val="22"/>
          <w:lang w:eastAsia="en-US"/>
        </w:rPr>
        <w:lastRenderedPageBreak/>
        <w:t>Acceda al Portal Territorial a través del siguiente enlace:</w:t>
      </w:r>
    </w:p>
    <w:p w14:paraId="31F30C0F" w14:textId="77777777" w:rsidR="00326102" w:rsidRPr="008372BA" w:rsidRDefault="002F71C5" w:rsidP="00326102">
      <w:pPr>
        <w:contextualSpacing/>
        <w:jc w:val="both"/>
        <w:rPr>
          <w:rFonts w:ascii="Verdana" w:eastAsia="Calibri" w:hAnsi="Verdana" w:cs="Arial"/>
          <w:sz w:val="18"/>
          <w:szCs w:val="18"/>
          <w:lang w:val="es-CO" w:eastAsia="en-US"/>
        </w:rPr>
      </w:pPr>
      <w:hyperlink r:id="rId15" w:history="1">
        <w:r w:rsidR="00326102" w:rsidRPr="008372BA">
          <w:rPr>
            <w:rFonts w:ascii="Verdana" w:eastAsia="Calibri" w:hAnsi="Verdana" w:cs="Arial"/>
            <w:color w:val="0000FF" w:themeColor="hyperlink"/>
            <w:sz w:val="18"/>
            <w:szCs w:val="18"/>
            <w:u w:val="single"/>
            <w:lang w:val="es-CO" w:eastAsia="en-US"/>
          </w:rPr>
          <w:t>https://portalterritorial.dnp.gov.co/kpt/</w:t>
        </w:r>
      </w:hyperlink>
    </w:p>
    <w:p w14:paraId="54226088" w14:textId="77777777" w:rsidR="00326102" w:rsidRPr="008372BA" w:rsidRDefault="00326102" w:rsidP="00326102">
      <w:pPr>
        <w:contextualSpacing/>
        <w:jc w:val="both"/>
        <w:rPr>
          <w:rFonts w:ascii="Verdana" w:eastAsia="Calibri" w:hAnsi="Verdana" w:cs="Arial"/>
          <w:sz w:val="22"/>
          <w:szCs w:val="22"/>
          <w:lang w:val="es-CO" w:eastAsia="en-US"/>
        </w:rPr>
      </w:pPr>
    </w:p>
    <w:p w14:paraId="45DE2D61"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Acceda a la Biblioteca del Portal Territorial a través del siguiente enlace:</w:t>
      </w:r>
    </w:p>
    <w:p w14:paraId="777FB242" w14:textId="77777777" w:rsidR="00326102" w:rsidRPr="008372BA" w:rsidRDefault="002F71C5" w:rsidP="00326102">
      <w:pPr>
        <w:contextualSpacing/>
        <w:jc w:val="both"/>
        <w:rPr>
          <w:rFonts w:ascii="Verdana" w:eastAsia="Calibri" w:hAnsi="Verdana" w:cs="Arial"/>
          <w:sz w:val="18"/>
          <w:szCs w:val="18"/>
          <w:lang w:val="es-CO" w:eastAsia="en-US"/>
        </w:rPr>
      </w:pPr>
      <w:hyperlink r:id="rId16" w:history="1">
        <w:r w:rsidR="00326102" w:rsidRPr="008372BA">
          <w:rPr>
            <w:rFonts w:ascii="Verdana" w:eastAsia="Calibri" w:hAnsi="Verdana" w:cs="Arial"/>
            <w:color w:val="0000FF" w:themeColor="hyperlink"/>
            <w:sz w:val="18"/>
            <w:szCs w:val="18"/>
            <w:u w:val="single"/>
            <w:lang w:val="es-CO" w:eastAsia="en-US"/>
          </w:rPr>
          <w:t>https://portalterritorial.dnp.gov.co/AdmBiblioteca/BibliotecaLista?grupoId=4</w:t>
        </w:r>
      </w:hyperlink>
    </w:p>
    <w:p w14:paraId="78E68DE0" w14:textId="77777777" w:rsidR="00326102" w:rsidRPr="008372BA" w:rsidRDefault="00326102" w:rsidP="00326102">
      <w:pPr>
        <w:contextualSpacing/>
        <w:jc w:val="both"/>
        <w:rPr>
          <w:rFonts w:ascii="Verdana" w:eastAsia="Calibri" w:hAnsi="Verdana" w:cs="Arial"/>
          <w:sz w:val="22"/>
          <w:szCs w:val="22"/>
          <w:lang w:val="es-CO" w:eastAsia="en-US"/>
        </w:rPr>
      </w:pPr>
    </w:p>
    <w:p w14:paraId="3FDDCCFA"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Acceda al Kit Territorial a través del siguiente enlace:</w:t>
      </w:r>
    </w:p>
    <w:p w14:paraId="3B0D5D60" w14:textId="77777777" w:rsidR="00326102" w:rsidRPr="008372BA" w:rsidRDefault="002F71C5" w:rsidP="00326102">
      <w:pPr>
        <w:contextualSpacing/>
        <w:jc w:val="both"/>
        <w:rPr>
          <w:rFonts w:ascii="Verdana" w:eastAsia="Calibri" w:hAnsi="Verdana" w:cs="Arial"/>
          <w:sz w:val="18"/>
          <w:szCs w:val="18"/>
          <w:lang w:val="es-CO" w:eastAsia="en-US"/>
        </w:rPr>
      </w:pPr>
      <w:hyperlink r:id="rId17" w:history="1">
        <w:r w:rsidR="00326102" w:rsidRPr="008372BA">
          <w:rPr>
            <w:rFonts w:ascii="Verdana" w:eastAsia="Calibri" w:hAnsi="Verdana" w:cs="Arial"/>
            <w:color w:val="0000FF" w:themeColor="hyperlink"/>
            <w:sz w:val="18"/>
            <w:szCs w:val="18"/>
            <w:u w:val="single"/>
            <w:lang w:val="es-CO" w:eastAsia="en-US"/>
          </w:rPr>
          <w:t>https://portalterritorial.dnp.gov.co/kpt/</w:t>
        </w:r>
      </w:hyperlink>
    </w:p>
    <w:p w14:paraId="0AC3FB74" w14:textId="77777777" w:rsidR="00326102" w:rsidRPr="008372BA" w:rsidRDefault="00326102" w:rsidP="00326102">
      <w:pPr>
        <w:contextualSpacing/>
        <w:jc w:val="both"/>
        <w:rPr>
          <w:rFonts w:ascii="Verdana" w:eastAsia="Calibri" w:hAnsi="Verdana" w:cs="Arial"/>
          <w:sz w:val="22"/>
          <w:szCs w:val="22"/>
          <w:lang w:val="es-CO" w:eastAsia="en-US"/>
        </w:rPr>
      </w:pPr>
    </w:p>
    <w:p w14:paraId="1B9240DF" w14:textId="77777777" w:rsidR="00326102" w:rsidRPr="008372BA" w:rsidRDefault="00326102" w:rsidP="00326102">
      <w:pPr>
        <w:contextualSpacing/>
        <w:jc w:val="both"/>
        <w:rPr>
          <w:rFonts w:ascii="Verdana" w:eastAsia="Calibri" w:hAnsi="Verdana" w:cs="Arial"/>
          <w:sz w:val="22"/>
          <w:szCs w:val="22"/>
          <w:lang w:val="es-CO" w:eastAsia="en-US"/>
        </w:rPr>
      </w:pPr>
      <w:r w:rsidRPr="008372BA">
        <w:rPr>
          <w:rFonts w:ascii="Verdana" w:eastAsia="Calibri" w:hAnsi="Verdana" w:cs="Arial"/>
          <w:sz w:val="22"/>
          <w:szCs w:val="22"/>
          <w:lang w:val="es-CO" w:eastAsia="en-US"/>
        </w:rPr>
        <w:t>Acceda al Manual De Usuario SIEE a través del siguiente enlace:</w:t>
      </w:r>
    </w:p>
    <w:p w14:paraId="54CF7989" w14:textId="77777777" w:rsidR="00326102" w:rsidRPr="008372BA" w:rsidRDefault="002F71C5" w:rsidP="00326102">
      <w:pPr>
        <w:contextualSpacing/>
        <w:jc w:val="both"/>
        <w:rPr>
          <w:rFonts w:ascii="Verdana" w:eastAsia="Calibri" w:hAnsi="Verdana" w:cs="Arial"/>
          <w:sz w:val="18"/>
          <w:szCs w:val="18"/>
          <w:lang w:val="es-CO" w:eastAsia="en-US"/>
        </w:rPr>
      </w:pPr>
      <w:hyperlink r:id="rId18" w:history="1">
        <w:r w:rsidR="00326102" w:rsidRPr="008372BA">
          <w:rPr>
            <w:rFonts w:ascii="Verdana" w:eastAsia="Calibri" w:hAnsi="Verdana" w:cs="Arial"/>
            <w:color w:val="0000FF" w:themeColor="hyperlink"/>
            <w:sz w:val="18"/>
            <w:szCs w:val="18"/>
            <w:u w:val="single"/>
            <w:lang w:val="es-CO" w:eastAsia="en-US"/>
          </w:rPr>
          <w:t>https://colaboracion.dnp.gov.co/CDT/Desarrollo%20Territorial/PDT/SIEE%20-%20Manual%20de%20Usuario.pdf</w:t>
        </w:r>
      </w:hyperlink>
    </w:p>
    <w:p w14:paraId="36766465" w14:textId="77777777" w:rsidR="00326102" w:rsidRPr="008372BA" w:rsidRDefault="00326102" w:rsidP="00326102">
      <w:pPr>
        <w:contextualSpacing/>
        <w:jc w:val="both"/>
        <w:rPr>
          <w:rFonts w:ascii="Verdana" w:eastAsia="Calibri" w:hAnsi="Verdana" w:cs="Arial"/>
          <w:sz w:val="22"/>
          <w:szCs w:val="22"/>
          <w:lang w:val="es-CO" w:eastAsia="en-US"/>
        </w:rPr>
      </w:pPr>
    </w:p>
    <w:p w14:paraId="76F6588B" w14:textId="77777777" w:rsidR="00326102" w:rsidRPr="008372BA" w:rsidRDefault="00326102" w:rsidP="00326102">
      <w:pPr>
        <w:keepNext/>
        <w:keepLines/>
        <w:numPr>
          <w:ilvl w:val="0"/>
          <w:numId w:val="3"/>
        </w:numPr>
        <w:contextualSpacing/>
        <w:jc w:val="both"/>
        <w:outlineLvl w:val="0"/>
        <w:rPr>
          <w:rFonts w:ascii="Verdana" w:eastAsia="MS Gothic" w:hAnsi="Verdana" w:cs="Arial"/>
          <w:b/>
          <w:bCs/>
          <w:sz w:val="22"/>
          <w:szCs w:val="22"/>
          <w:lang w:val="es-CO"/>
        </w:rPr>
      </w:pPr>
      <w:r>
        <w:rPr>
          <w:rFonts w:ascii="Verdana" w:eastAsia="MS Gothic" w:hAnsi="Verdana" w:cs="Arial"/>
          <w:b/>
          <w:bCs/>
          <w:sz w:val="22"/>
          <w:szCs w:val="22"/>
          <w:lang w:val="es-CO"/>
        </w:rPr>
        <w:t>SITUACIÓN</w:t>
      </w:r>
      <w:r w:rsidRPr="008372BA">
        <w:rPr>
          <w:rFonts w:ascii="Verdana" w:eastAsia="MS Gothic" w:hAnsi="Verdana" w:cs="Arial"/>
          <w:b/>
          <w:bCs/>
          <w:sz w:val="22"/>
          <w:szCs w:val="22"/>
          <w:lang w:val="es-CO"/>
        </w:rPr>
        <w:t xml:space="preserve"> DE RIESGO SOBREVINIENTE</w:t>
      </w:r>
    </w:p>
    <w:p w14:paraId="63AFD53D" w14:textId="77777777" w:rsidR="00326102" w:rsidRDefault="00326102" w:rsidP="00326102">
      <w:pPr>
        <w:contextualSpacing/>
        <w:jc w:val="both"/>
        <w:rPr>
          <w:rFonts w:ascii="Verdana" w:eastAsia="Arial" w:hAnsi="Verdana" w:cs="Arial"/>
          <w:b/>
          <w:bCs/>
          <w:sz w:val="22"/>
          <w:szCs w:val="22"/>
        </w:rPr>
      </w:pPr>
    </w:p>
    <w:p w14:paraId="6B947207" w14:textId="77777777" w:rsidR="00326102" w:rsidRPr="001C2CBA" w:rsidRDefault="00326102" w:rsidP="00326102">
      <w:pPr>
        <w:contextualSpacing/>
        <w:jc w:val="both"/>
        <w:rPr>
          <w:rFonts w:ascii="Verdana" w:eastAsia="Arial" w:hAnsi="Verdana" w:cs="Arial"/>
          <w:sz w:val="22"/>
          <w:szCs w:val="22"/>
        </w:rPr>
      </w:pPr>
      <w:r>
        <w:rPr>
          <w:rFonts w:ascii="Verdana" w:eastAsia="Arial" w:hAnsi="Verdana" w:cs="Arial"/>
          <w:sz w:val="22"/>
          <w:szCs w:val="22"/>
        </w:rPr>
        <w:t>En el análisis de la información se evidenció que existen aún falencias en los estudios previos, en espec</w:t>
      </w:r>
      <w:r w:rsidR="00847CA6">
        <w:rPr>
          <w:rFonts w:ascii="Verdana" w:eastAsia="Arial" w:hAnsi="Verdana" w:cs="Arial"/>
          <w:sz w:val="22"/>
          <w:szCs w:val="22"/>
        </w:rPr>
        <w:t>í</w:t>
      </w:r>
      <w:r>
        <w:rPr>
          <w:rFonts w:ascii="Verdana" w:eastAsia="Arial" w:hAnsi="Verdana" w:cs="Arial"/>
          <w:sz w:val="22"/>
          <w:szCs w:val="22"/>
        </w:rPr>
        <w:t xml:space="preserve">fico en la selección del contratista. En este sentido, teniendo en cuenta que la situación afecta el proceso precontractual que lleva la Entidad se hace importante mencionar la siguiente situación que se permite sea enmarcada en el </w:t>
      </w:r>
      <w:r w:rsidR="00847CA6">
        <w:rPr>
          <w:rFonts w:ascii="Verdana" w:eastAsia="Arial" w:hAnsi="Verdana" w:cs="Arial"/>
          <w:sz w:val="22"/>
          <w:szCs w:val="22"/>
        </w:rPr>
        <w:t>E</w:t>
      </w:r>
      <w:r>
        <w:rPr>
          <w:rFonts w:ascii="Verdana" w:eastAsia="Arial" w:hAnsi="Verdana" w:cs="Arial"/>
          <w:sz w:val="22"/>
          <w:szCs w:val="22"/>
        </w:rPr>
        <w:t xml:space="preserve">vento de </w:t>
      </w:r>
      <w:r w:rsidR="00847CA6">
        <w:rPr>
          <w:rFonts w:ascii="Verdana" w:eastAsia="Arial" w:hAnsi="Verdana" w:cs="Arial"/>
          <w:sz w:val="22"/>
          <w:szCs w:val="22"/>
        </w:rPr>
        <w:t>R</w:t>
      </w:r>
      <w:r>
        <w:rPr>
          <w:rFonts w:ascii="Verdana" w:eastAsia="Arial" w:hAnsi="Verdana" w:cs="Arial"/>
          <w:sz w:val="22"/>
          <w:szCs w:val="22"/>
        </w:rPr>
        <w:t xml:space="preserve">iesgo 9.18, previamente configurado en la </w:t>
      </w:r>
      <w:r w:rsidRPr="00041C24">
        <w:rPr>
          <w:rFonts w:ascii="Verdana" w:eastAsia="Arial" w:hAnsi="Verdana" w:cs="Arial"/>
          <w:sz w:val="22"/>
          <w:szCs w:val="22"/>
        </w:rPr>
        <w:t>Resolución No. 0468 del 15 de febrero de 2019</w:t>
      </w:r>
      <w:r>
        <w:rPr>
          <w:rFonts w:ascii="Verdana" w:eastAsia="Arial" w:hAnsi="Verdana" w:cs="Arial"/>
          <w:sz w:val="22"/>
          <w:szCs w:val="22"/>
        </w:rPr>
        <w:t xml:space="preserve"> y que busca subsanar las problemáticas contractuales evidenciadas en el Diagnóstico en la Entidad Territorial.</w:t>
      </w:r>
    </w:p>
    <w:p w14:paraId="38E773D3" w14:textId="77777777" w:rsidR="00326102" w:rsidRPr="00C86055" w:rsidRDefault="00326102" w:rsidP="00326102">
      <w:pPr>
        <w:contextualSpacing/>
        <w:jc w:val="both"/>
        <w:rPr>
          <w:rFonts w:ascii="Verdana" w:eastAsia="Arial" w:hAnsi="Verdana" w:cs="Arial"/>
          <w:b/>
          <w:bCs/>
          <w:sz w:val="22"/>
          <w:szCs w:val="22"/>
        </w:rPr>
      </w:pPr>
    </w:p>
    <w:p w14:paraId="2253341B" w14:textId="77777777" w:rsidR="00326102" w:rsidRPr="008372BA" w:rsidRDefault="00847CA6" w:rsidP="00326102">
      <w:pPr>
        <w:contextualSpacing/>
        <w:jc w:val="both"/>
        <w:rPr>
          <w:rFonts w:ascii="Verdana" w:eastAsia="Arial" w:hAnsi="Verdana" w:cs="Arial"/>
          <w:sz w:val="22"/>
          <w:szCs w:val="22"/>
        </w:rPr>
      </w:pPr>
      <w:r>
        <w:rPr>
          <w:rFonts w:ascii="Verdana" w:eastAsia="Arial" w:hAnsi="Verdana" w:cs="Arial"/>
          <w:sz w:val="22"/>
          <w:szCs w:val="22"/>
        </w:rPr>
        <w:t>Así las cosas, es preciso tener en cuenta que e</w:t>
      </w:r>
      <w:r w:rsidR="00326102" w:rsidRPr="008372BA">
        <w:rPr>
          <w:rFonts w:ascii="Verdana" w:eastAsia="Arial" w:hAnsi="Verdana" w:cs="Arial"/>
          <w:sz w:val="22"/>
          <w:szCs w:val="22"/>
        </w:rPr>
        <w:t>l numeral 6 del artículo 30 de la Ley 80 de 1993 establece que las propuestas en el proceso de selección deben referirse y sujetarse a todos y cada uno de los puntos contenidos en el pliego de condiciones o términos de referencia. Mientras el numeral 9 del mismo artículo dicta que los plazos para efectuar la adjudicación y la firma del contrato se señalarán en los pliegos de condiciones o términos de referencia, teniendo en cuenta su naturaleza, objeto y cuantía.</w:t>
      </w:r>
    </w:p>
    <w:p w14:paraId="6D02AA1A" w14:textId="77777777" w:rsidR="00326102" w:rsidRPr="008372BA" w:rsidRDefault="00326102" w:rsidP="00326102">
      <w:pPr>
        <w:contextualSpacing/>
        <w:jc w:val="both"/>
        <w:rPr>
          <w:rFonts w:ascii="Verdana" w:eastAsia="Arial" w:hAnsi="Verdana" w:cs="Arial"/>
          <w:sz w:val="22"/>
          <w:szCs w:val="22"/>
        </w:rPr>
      </w:pPr>
    </w:p>
    <w:p w14:paraId="1A448D6D"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Adicionalmente, el artículo 5 de la Ley 1150 de 2007 establece que “</w:t>
      </w:r>
      <w:r w:rsidRPr="008372BA">
        <w:rPr>
          <w:rFonts w:ascii="Verdana" w:eastAsia="Arial" w:hAnsi="Verdana" w:cs="Arial"/>
          <w:i/>
          <w:iCs/>
          <w:sz w:val="22"/>
          <w:szCs w:val="22"/>
        </w:rPr>
        <w:t>es objetiva la selección en la cual la escogencia se haga al ofrecimiento más favorable a la entidad y a los fines que ella busca, sin tener en consideración factores de afecto o de interés y, en general, cualquier clase de motivación subjetiva”</w:t>
      </w:r>
      <w:r w:rsidRPr="008372BA">
        <w:rPr>
          <w:rFonts w:ascii="Verdana" w:eastAsia="Arial" w:hAnsi="Verdana" w:cs="Arial"/>
          <w:sz w:val="22"/>
          <w:szCs w:val="22"/>
        </w:rPr>
        <w:t xml:space="preserve">. En concordancia con ello, el numeral 2 del mismo artículo (modificado por el artículo 88 de la Ley 1474 de 2011) establece que </w:t>
      </w:r>
      <w:r w:rsidRPr="008372BA">
        <w:rPr>
          <w:rFonts w:ascii="Verdana" w:eastAsia="Arial" w:hAnsi="Verdana" w:cs="Arial"/>
          <w:i/>
          <w:iCs/>
          <w:sz w:val="22"/>
          <w:szCs w:val="22"/>
        </w:rPr>
        <w:t>“la oferta más favorable será aquella que, teniendo en cuenta los factores técnicos y económicos de escogencia y la ponderación precisa y detallada de los mismos contenida en los pliegos de condiciones o sus equivalentes, resulte ser la más ventajosa para la entidad, sin que la favorabilidad la constituyan factores diferentes a los contenidos en dichos documentos</w:t>
      </w:r>
      <w:r w:rsidRPr="008372BA">
        <w:rPr>
          <w:rFonts w:ascii="Verdana" w:eastAsia="Arial" w:hAnsi="Verdana" w:cs="Arial"/>
          <w:sz w:val="22"/>
          <w:szCs w:val="22"/>
        </w:rPr>
        <w:t>”.</w:t>
      </w:r>
    </w:p>
    <w:p w14:paraId="52F24A51" w14:textId="77777777" w:rsidR="00326102" w:rsidRPr="008372BA" w:rsidRDefault="00326102" w:rsidP="00326102">
      <w:pPr>
        <w:contextualSpacing/>
        <w:jc w:val="both"/>
        <w:rPr>
          <w:rFonts w:ascii="Verdana" w:eastAsia="Arial" w:hAnsi="Verdana" w:cs="Arial"/>
          <w:sz w:val="22"/>
          <w:szCs w:val="22"/>
        </w:rPr>
      </w:pPr>
    </w:p>
    <w:p w14:paraId="3419D659"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 xml:space="preserve">En relación con el principio de selección objetiva, el Consejo de Estado a través de la Sala de Consulta en el marco de la Sentencia 11001-03-06-000-2010-00034-00(1992) del 20 de mayo de 2010, con Consejero ponente: Enrique José Arboleda </w:t>
      </w:r>
      <w:r w:rsidRPr="008372BA">
        <w:rPr>
          <w:rFonts w:ascii="Verdana" w:eastAsia="Arial" w:hAnsi="Verdana" w:cs="Arial"/>
          <w:sz w:val="22"/>
          <w:szCs w:val="22"/>
        </w:rPr>
        <w:lastRenderedPageBreak/>
        <w:t>Perdomo y con fundamento en lo determinado por la Sección Tercera de la Corporación manifestó:</w:t>
      </w:r>
    </w:p>
    <w:p w14:paraId="5E40F4C3" w14:textId="77777777" w:rsidR="00326102" w:rsidRPr="008372BA" w:rsidRDefault="00326102" w:rsidP="00326102">
      <w:pPr>
        <w:contextualSpacing/>
        <w:jc w:val="both"/>
        <w:rPr>
          <w:rFonts w:ascii="Verdana" w:eastAsia="Arial" w:hAnsi="Verdana" w:cs="Arial"/>
          <w:sz w:val="22"/>
          <w:szCs w:val="22"/>
        </w:rPr>
      </w:pPr>
    </w:p>
    <w:p w14:paraId="7CFAD446" w14:textId="77777777" w:rsidR="00326102" w:rsidRPr="008372BA" w:rsidRDefault="00326102" w:rsidP="00326102">
      <w:pPr>
        <w:ind w:left="709"/>
        <w:contextualSpacing/>
        <w:jc w:val="both"/>
        <w:rPr>
          <w:rFonts w:ascii="Verdana" w:eastAsia="Arial" w:hAnsi="Verdana" w:cs="Arial"/>
          <w:i/>
          <w:iCs/>
          <w:sz w:val="18"/>
          <w:szCs w:val="18"/>
        </w:rPr>
      </w:pPr>
      <w:r w:rsidRPr="008372BA">
        <w:rPr>
          <w:rFonts w:ascii="Verdana" w:eastAsia="Arial" w:hAnsi="Verdana" w:cs="Arial"/>
          <w:sz w:val="18"/>
          <w:szCs w:val="18"/>
        </w:rPr>
        <w:t>“</w:t>
      </w:r>
      <w:r w:rsidRPr="008372BA">
        <w:rPr>
          <w:rFonts w:ascii="Verdana" w:eastAsia="Arial" w:hAnsi="Verdana" w:cs="Arial"/>
          <w:i/>
          <w:iCs/>
          <w:sz w:val="18"/>
          <w:szCs w:val="18"/>
        </w:rPr>
        <w:t>SELECCION OBJETIVA - Concepto. Finalidad / ACTO REGLADO - Concepto /ACTO DISCRECIONAL – Concepto.</w:t>
      </w:r>
    </w:p>
    <w:p w14:paraId="3DAE6FCD" w14:textId="77777777" w:rsidR="00326102" w:rsidRPr="008372BA" w:rsidRDefault="00326102" w:rsidP="00326102">
      <w:pPr>
        <w:ind w:left="709"/>
        <w:contextualSpacing/>
        <w:jc w:val="both"/>
        <w:rPr>
          <w:rFonts w:ascii="Verdana" w:eastAsia="Arial" w:hAnsi="Verdana" w:cs="Arial"/>
          <w:i/>
          <w:iCs/>
          <w:sz w:val="18"/>
          <w:szCs w:val="18"/>
        </w:rPr>
      </w:pPr>
    </w:p>
    <w:p w14:paraId="6803D460" w14:textId="77777777" w:rsidR="00326102" w:rsidRPr="008372BA" w:rsidRDefault="00326102" w:rsidP="00326102">
      <w:pPr>
        <w:ind w:left="709"/>
        <w:contextualSpacing/>
        <w:jc w:val="both"/>
        <w:rPr>
          <w:rFonts w:ascii="Verdana" w:eastAsia="Arial" w:hAnsi="Verdana" w:cs="Arial"/>
          <w:sz w:val="18"/>
          <w:szCs w:val="18"/>
        </w:rPr>
      </w:pPr>
      <w:r w:rsidRPr="008372BA">
        <w:rPr>
          <w:rFonts w:ascii="Verdana" w:eastAsia="Arial" w:hAnsi="Verdana" w:cs="Arial"/>
          <w:i/>
          <w:iCs/>
          <w:sz w:val="18"/>
          <w:szCs w:val="18"/>
        </w:rPr>
        <w:t>La selección objetiva, según lo enseña la jurisprudencia de la Sección Tercera del Consejo de Estado, es una regla de conducta de la actividad contractual, así́ como un principio que orienta los procesos de selección tanto de licitación pública como de contratación directa, y un fin, pues apunta a un resultado, cual es, la escogencia de la oferta más ventajosa para los intereses colectivos perseguidos con la contratación. El Legislador al definir lo que se entiende por selección objetiva, pretende regular la escogencia de la mejor oferta mediante un proceso en el que prime la transparencia, la imparcialidad e igualdad de oportunidades, ajena a consideraciones subjetivas, para lo cual juegan un papel preponderante los factores y criterios de selección que en función de la específica necesidad pública haya fijado la administración en los pliegos de condiciones. Por estas razones la consagración legal del deber de selección objetiva se enmarca dentro de la institución del acto reglado. Una decisión administrativa encaja en la noción de acto reglado cuando su contenido es el único posible en razón de la ley y los reglamentos, siendo ilegal si los desconoce. Por el contrario, se entiende como acto discrecional, aquella determinación en la cual la administración puede optar entre varias soluciones posibles, siendo válida aquella que escoja. Lo anterior significa que cualquier persona que aplique a la misma realidad fáctica la ley y los reglamentos debe llegar a la misma decisión, de aquí́ que se califique como totalmente objetiva. Ello explica que para la actividad contractual de las entidades estatales, el legislador haya establecido un conjunto de normas que obligan a la administración a seleccionar objetivamente a su contratista imponiendo, como se explicó́ en el punto precedente, un procedimiento estricto y detallado de selección, para que todo el que evalué las propuestas llegue a la misma conclusión sobre el adjudicatario del contrato. Si los pliegos, que son el reglamento del procedimiento de selección del contratista y del contrato, están correctamente elaborados y las etapas del procedimiento de selección se cumplen como lo ordenan las normas aplicables, no debe haber discrecionalidad por parte de la autoridad a la hora de adjudicar y, por lo mismo, se dice que la selección ha sido objetiva; por el contrario, si hay margen para escoger al contratista con base en criterios que no estén expresamente definidos en la ley, los reglamentos y los pliegos, se dice que se violó la objetividad del proceso puesto que la selección se hizo en forma subjetiva</w:t>
      </w:r>
      <w:r w:rsidRPr="008372BA">
        <w:rPr>
          <w:rFonts w:ascii="Verdana" w:eastAsia="Arial" w:hAnsi="Verdana" w:cs="Arial"/>
          <w:sz w:val="18"/>
          <w:szCs w:val="18"/>
        </w:rPr>
        <w:t>”.</w:t>
      </w:r>
    </w:p>
    <w:p w14:paraId="75F75CF6" w14:textId="77777777" w:rsidR="00326102" w:rsidRPr="008372BA" w:rsidRDefault="00326102" w:rsidP="00326102">
      <w:pPr>
        <w:contextualSpacing/>
        <w:jc w:val="both"/>
        <w:rPr>
          <w:rFonts w:ascii="Verdana" w:eastAsia="Arial" w:hAnsi="Verdana" w:cs="Arial"/>
          <w:sz w:val="22"/>
          <w:szCs w:val="22"/>
        </w:rPr>
      </w:pPr>
    </w:p>
    <w:p w14:paraId="2DB62D66"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Por otro lado, el Decreto 092 de 2017, donde se reglamenta la contratación con entidades privadas sin ánimo de lucro, dicta en su artículo 4 que en el proceso competitivo de selección cuando existe más de una entidad sin ánimo de lucro de reconocida idoneidad debe cumplir las siguientes fases: (i) definición y publicación de los indicadores de idoneidad, experiencia, eficacia, eficiencia, economía y de manejo del riesgo y los criterios de ponderación para comparar las ofertas; (ii) definición de un plazo razonable para que las entidades privadas sin ánimo de lucro de reconocida idoneidad presenten a la entidad estatal sus ofertas y los documentos que acrediten su idoneidad y (iii) evaluación de las ofertas por parte de la entidad estatal teniendo en cuenta los criterios definidos para el efecto.</w:t>
      </w:r>
    </w:p>
    <w:p w14:paraId="40F8686A" w14:textId="77777777" w:rsidR="00326102" w:rsidRPr="008372BA" w:rsidRDefault="00326102" w:rsidP="00326102">
      <w:pPr>
        <w:contextualSpacing/>
        <w:jc w:val="both"/>
        <w:rPr>
          <w:rFonts w:ascii="Verdana" w:eastAsia="Arial" w:hAnsi="Verdana" w:cs="Arial"/>
          <w:sz w:val="22"/>
          <w:szCs w:val="22"/>
        </w:rPr>
      </w:pPr>
    </w:p>
    <w:p w14:paraId="14CA737E"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Adicional a lo anterior, el artículo 5 del decreto 092 de 2017, en el marco de la aplicación del principio de selección objetiva indicó que:</w:t>
      </w:r>
    </w:p>
    <w:p w14:paraId="35BD591A" w14:textId="77777777" w:rsidR="00326102" w:rsidRPr="008372BA" w:rsidRDefault="00326102" w:rsidP="00326102">
      <w:pPr>
        <w:contextualSpacing/>
        <w:jc w:val="both"/>
        <w:rPr>
          <w:rFonts w:ascii="Verdana" w:eastAsia="Arial" w:hAnsi="Verdana" w:cs="Arial"/>
          <w:sz w:val="22"/>
          <w:szCs w:val="22"/>
        </w:rPr>
      </w:pPr>
    </w:p>
    <w:p w14:paraId="3C101A5B" w14:textId="77777777" w:rsidR="00326102" w:rsidRPr="008372BA" w:rsidRDefault="00326102" w:rsidP="00326102">
      <w:pPr>
        <w:ind w:left="709"/>
        <w:contextualSpacing/>
        <w:jc w:val="both"/>
        <w:rPr>
          <w:rFonts w:ascii="Verdana" w:eastAsia="Arial" w:hAnsi="Verdana" w:cs="Arial"/>
          <w:i/>
          <w:iCs/>
          <w:sz w:val="18"/>
          <w:szCs w:val="18"/>
        </w:rPr>
      </w:pPr>
      <w:r w:rsidRPr="008372BA">
        <w:rPr>
          <w:rFonts w:ascii="Verdana" w:eastAsia="Arial" w:hAnsi="Verdana" w:cs="Arial"/>
          <w:sz w:val="18"/>
          <w:szCs w:val="18"/>
        </w:rPr>
        <w:t>“</w:t>
      </w:r>
      <w:r w:rsidRPr="008372BA">
        <w:rPr>
          <w:rFonts w:ascii="Verdana" w:eastAsia="Arial" w:hAnsi="Verdana" w:cs="Arial"/>
          <w:i/>
          <w:iCs/>
          <w:sz w:val="18"/>
          <w:szCs w:val="18"/>
        </w:rPr>
        <w:t xml:space="preserve">Artículo 5. Asociación con entidades privadas sin ánimo de lucro para cumplir actividades propias de las entidades estatales. </w:t>
      </w:r>
      <w:r w:rsidRPr="008372BA">
        <w:rPr>
          <w:rFonts w:ascii="Verdana" w:eastAsia="Arial" w:hAnsi="Verdana" w:cs="Arial"/>
          <w:b/>
          <w:bCs/>
          <w:i/>
          <w:iCs/>
          <w:sz w:val="18"/>
          <w:szCs w:val="18"/>
          <w:u w:val="single"/>
        </w:rPr>
        <w:t xml:space="preserve">Los convenios de asociación que celebren entidades privadas sin ánimo de lucro de reconocida idoneidad y Entidades Estatales para el desarrollo </w:t>
      </w:r>
      <w:r w:rsidRPr="008372BA">
        <w:rPr>
          <w:rFonts w:ascii="Verdana" w:eastAsia="Arial" w:hAnsi="Verdana" w:cs="Arial"/>
          <w:b/>
          <w:bCs/>
          <w:i/>
          <w:iCs/>
          <w:sz w:val="18"/>
          <w:szCs w:val="18"/>
          <w:u w:val="single"/>
        </w:rPr>
        <w:lastRenderedPageBreak/>
        <w:t>conjunto de actividades relacionadas con los cometidos y funciones que a estas les asigna la ley a los que hace referencia el artículo 96 de la Ley 489 de 1998, no estarán sujetos a competencia cuando la entidad sin ánimo de lucro comprometa recursos en dinero para la ejecución de esas actividades en una proporción no inferior al 30% del valor total del convenio</w:t>
      </w:r>
      <w:r w:rsidRPr="008372BA">
        <w:rPr>
          <w:rFonts w:ascii="Verdana" w:eastAsia="Arial" w:hAnsi="Verdana" w:cs="Arial"/>
          <w:i/>
          <w:iCs/>
          <w:sz w:val="18"/>
          <w:szCs w:val="18"/>
        </w:rPr>
        <w:t>. Los recursos que compromete la entidad sin ánimo de lucro pueden ser propios o de cooperación internacional.</w:t>
      </w:r>
    </w:p>
    <w:p w14:paraId="50CFDBB7" w14:textId="77777777" w:rsidR="00326102" w:rsidRPr="008372BA" w:rsidRDefault="00326102" w:rsidP="00326102">
      <w:pPr>
        <w:ind w:left="709"/>
        <w:contextualSpacing/>
        <w:jc w:val="both"/>
        <w:rPr>
          <w:rFonts w:ascii="Verdana" w:eastAsia="Arial" w:hAnsi="Verdana" w:cs="Arial"/>
          <w:i/>
          <w:iCs/>
          <w:sz w:val="18"/>
          <w:szCs w:val="18"/>
        </w:rPr>
      </w:pPr>
    </w:p>
    <w:p w14:paraId="512CE055" w14:textId="77777777" w:rsidR="00326102" w:rsidRPr="008372BA" w:rsidRDefault="00326102" w:rsidP="00326102">
      <w:pPr>
        <w:ind w:left="709"/>
        <w:contextualSpacing/>
        <w:jc w:val="both"/>
        <w:rPr>
          <w:rFonts w:ascii="Verdana" w:eastAsia="Arial" w:hAnsi="Verdana" w:cs="Arial"/>
          <w:i/>
          <w:iCs/>
          <w:sz w:val="18"/>
          <w:szCs w:val="18"/>
        </w:rPr>
      </w:pPr>
      <w:r w:rsidRPr="008372BA">
        <w:rPr>
          <w:rFonts w:ascii="Verdana" w:eastAsia="Arial" w:hAnsi="Verdana" w:cs="Arial"/>
          <w:b/>
          <w:bCs/>
          <w:i/>
          <w:iCs/>
          <w:sz w:val="18"/>
          <w:szCs w:val="18"/>
          <w:u w:val="single"/>
        </w:rPr>
        <w:t>Si hay más de una entidad privada sin ánimo de lucro que ofrezca su compromiso de recursos en dinero para el desarrollo conjunto de actividades relacionadas con los cometidos y funciones asignadas por ley a una Entidad Estatal, en una proporción no inferior al 30% del valor total del convenio, la Entidad Estatal debe seleccionar de forma objetiva a tal entidad y justificar los criterios para tal selección</w:t>
      </w:r>
      <w:r w:rsidRPr="008372BA">
        <w:rPr>
          <w:rFonts w:ascii="Verdana" w:eastAsia="Arial" w:hAnsi="Verdana" w:cs="Arial"/>
          <w:i/>
          <w:iCs/>
          <w:sz w:val="18"/>
          <w:szCs w:val="18"/>
        </w:rPr>
        <w:t>.</w:t>
      </w:r>
    </w:p>
    <w:p w14:paraId="41A70973" w14:textId="77777777" w:rsidR="00326102" w:rsidRPr="008372BA" w:rsidRDefault="00326102" w:rsidP="00326102">
      <w:pPr>
        <w:ind w:left="709"/>
        <w:contextualSpacing/>
        <w:jc w:val="both"/>
        <w:rPr>
          <w:rFonts w:ascii="Verdana" w:eastAsia="Arial" w:hAnsi="Verdana" w:cs="Arial"/>
          <w:i/>
          <w:iCs/>
          <w:sz w:val="18"/>
          <w:szCs w:val="18"/>
        </w:rPr>
      </w:pPr>
    </w:p>
    <w:p w14:paraId="4022622F" w14:textId="77777777" w:rsidR="00326102" w:rsidRPr="008372BA" w:rsidRDefault="00326102" w:rsidP="00326102">
      <w:pPr>
        <w:ind w:left="709"/>
        <w:contextualSpacing/>
        <w:jc w:val="both"/>
        <w:rPr>
          <w:rFonts w:ascii="Verdana" w:eastAsia="Arial" w:hAnsi="Verdana" w:cs="Arial"/>
          <w:b/>
          <w:bCs/>
          <w:sz w:val="18"/>
          <w:szCs w:val="18"/>
        </w:rPr>
      </w:pPr>
      <w:r w:rsidRPr="008372BA">
        <w:rPr>
          <w:rFonts w:ascii="Verdana" w:eastAsia="Arial" w:hAnsi="Verdana" w:cs="Arial"/>
          <w:i/>
          <w:iCs/>
          <w:sz w:val="18"/>
          <w:szCs w:val="18"/>
        </w:rPr>
        <w:t>Estos convenios de asociación son distintos a los contratos a los que hace referencia el artículo 2o y están regidos por el artículo 96 de la Ley 489 de 1998 y los artículos 5o, 6o, 7o y 8o del presente decreto</w:t>
      </w:r>
      <w:r w:rsidRPr="008372BA">
        <w:rPr>
          <w:rFonts w:ascii="Verdana" w:eastAsia="Arial" w:hAnsi="Verdana" w:cs="Arial"/>
          <w:sz w:val="18"/>
          <w:szCs w:val="18"/>
        </w:rPr>
        <w:t xml:space="preserve">”. </w:t>
      </w:r>
      <w:r w:rsidRPr="008372BA">
        <w:rPr>
          <w:rFonts w:ascii="Verdana" w:eastAsia="Arial" w:hAnsi="Verdana" w:cs="Arial"/>
          <w:b/>
          <w:bCs/>
          <w:sz w:val="18"/>
          <w:szCs w:val="18"/>
        </w:rPr>
        <w:t>(Énfasis por fuera de texto)</w:t>
      </w:r>
    </w:p>
    <w:p w14:paraId="021D8403" w14:textId="77777777" w:rsidR="00326102" w:rsidRPr="008372BA" w:rsidRDefault="00326102" w:rsidP="00326102">
      <w:pPr>
        <w:contextualSpacing/>
        <w:jc w:val="both"/>
        <w:rPr>
          <w:rFonts w:ascii="Verdana" w:eastAsia="Arial" w:hAnsi="Verdana" w:cs="Arial"/>
          <w:sz w:val="22"/>
          <w:szCs w:val="22"/>
        </w:rPr>
      </w:pPr>
    </w:p>
    <w:p w14:paraId="415E1FE3"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Es así como, mediante la revisión del expediente contractual relacionado al Contrato CO1.PCCNTR.3099616 adjudicado a la FUNDACION PARA EL DESARROLLO INTEGRAL DE LA CUENCA DEL PACIFICO, se identificó lo siguiente:</w:t>
      </w:r>
    </w:p>
    <w:p w14:paraId="52FA152B" w14:textId="77777777" w:rsidR="00326102" w:rsidRPr="008372BA" w:rsidRDefault="00326102" w:rsidP="00326102">
      <w:pPr>
        <w:contextualSpacing/>
        <w:jc w:val="both"/>
        <w:rPr>
          <w:rFonts w:ascii="Verdana" w:eastAsia="Arial" w:hAnsi="Verdana" w:cs="Arial"/>
          <w:sz w:val="22"/>
          <w:szCs w:val="22"/>
        </w:rPr>
      </w:pPr>
    </w:p>
    <w:p w14:paraId="5F0AEAF6"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El día 25 de octubre de 2021 se llevó a cabo una primera evaluación de las propuestas presentadas por dos entidades privadas sin ánimo de lucro: ASOCIACION DE PESCADORES INDEPENDIENTE – ASOPINDE y FUNDACION PARA EL DESARROLLO INTEGRAL DE LA CUENCA DEL PACIFICO – FUNDEPA. En esta evaluación, el comité evaluador de la Entidad Territorial llegó a la conclusión de que ASOPINDE cumplía con todos los requisitos habilitantes jurídicos y técnicos, establecidos en el pliego de condiciones, mientras que FUNDEPA no cumplía con los requisitos habilitantes jurídicos al no aportar el Registro Único Tributario - RUT, como tampoco cumplía con los requisitos habilitantes técnicos al aportar un certificado de experiencia especifica que no cumplía los requerimientos establecidos por la Entidad Territorial y no aportar certificaciones para acreditar reconocida idoneidad.</w:t>
      </w:r>
    </w:p>
    <w:p w14:paraId="40E4BF20" w14:textId="77777777" w:rsidR="00326102" w:rsidRPr="008372BA" w:rsidRDefault="00326102" w:rsidP="00326102">
      <w:pPr>
        <w:contextualSpacing/>
        <w:jc w:val="both"/>
        <w:rPr>
          <w:rFonts w:ascii="Verdana" w:eastAsia="Arial" w:hAnsi="Verdana" w:cs="Arial"/>
          <w:sz w:val="22"/>
          <w:szCs w:val="22"/>
        </w:rPr>
      </w:pPr>
    </w:p>
    <w:p w14:paraId="22850DB6"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 xml:space="preserve">Posteriormente, en el documento </w:t>
      </w:r>
      <w:r w:rsidRPr="008372BA">
        <w:rPr>
          <w:rFonts w:ascii="Verdana" w:eastAsia="Arial" w:hAnsi="Verdana" w:cs="Arial"/>
          <w:i/>
          <w:sz w:val="22"/>
          <w:szCs w:val="22"/>
        </w:rPr>
        <w:t>“RESPUESTA A LAS OBSERVACIONES PRESENTADAS AL PROCESO COMPETITIVO PARA ENTIDADES SIN ANIMO DE LUCRO Nro 21-PSCESAL-001"</w:t>
      </w:r>
      <w:r w:rsidRPr="008372BA">
        <w:rPr>
          <w:rFonts w:ascii="Verdana" w:eastAsia="Arial" w:hAnsi="Verdana" w:cs="Arial"/>
          <w:sz w:val="22"/>
          <w:szCs w:val="22"/>
        </w:rPr>
        <w:t>, la Entidad Territorial responde a la observación presentada por parte de FUNDEPA sobre el primer proceso de evaluación, en la cual se hace un llamado a una nueva revisión sobre el Certificado de Existencia y Representación Legal y la experiencia especifica de ASOPINDE, aclarando que el comité evaluador reitera el cumplimiento de la experiencia especifica de ASOPINDE y haciendo un llamado a la misma para subsanar los problemas de documentación. En virtud de ello, el día 27 de octubre de 2021 el Municipio expide la Adenda No.1 con el fin de ampliar el plazo para que el comité evaluador verifique los requisitos habilitantes y los proponentes subsanen problemas de documentación. Esta Adenda establece que la publicación del nuevo informe de evaluación se publicara el día 2 de noviembre de 2021 y se publicara la selección del contratista el día 4 de noviembre de 2021.</w:t>
      </w:r>
    </w:p>
    <w:p w14:paraId="656BC5D9" w14:textId="77777777" w:rsidR="00326102" w:rsidRPr="008372BA" w:rsidRDefault="00326102" w:rsidP="00326102">
      <w:pPr>
        <w:contextualSpacing/>
        <w:jc w:val="both"/>
        <w:rPr>
          <w:rFonts w:ascii="Verdana" w:eastAsia="Arial" w:hAnsi="Verdana" w:cs="Arial"/>
          <w:sz w:val="22"/>
          <w:szCs w:val="22"/>
        </w:rPr>
      </w:pPr>
    </w:p>
    <w:p w14:paraId="729201A7"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lastRenderedPageBreak/>
        <w:t>El día 2 de noviembre de 2021 se lleva a cabo la segunda evaluación, donde el comité evaluador de la Entidad Territorial evidencia que ASOPINDE subsanó los problemas de documentación y cumplía con todos los requisitos habilitantes, mientras que FUNDEPA seguía sin cumplir con los requisitos habilitantes técnicos. Al respecto, se señala en las observaciones de la evaluación, que FUNDEPA aportó certificación de experiencia especifica que no pudo ser sustentada ni confirmada según el cronograma establecido. El día 4 de noviembre, cuando se tendría que haber publicado la selección del contratista, el Municipio expide la adenda No. 2 con el fin de ampliar el plazo para que el comité evaluador verifique los requisitos habilitantes, estableciendo que tanto el informe de evaluación definitivo como la selección del contratista, se publicaría el día 8 de noviembre de 2021.</w:t>
      </w:r>
    </w:p>
    <w:p w14:paraId="66564C1E" w14:textId="77777777" w:rsidR="00326102" w:rsidRPr="008372BA" w:rsidRDefault="00326102" w:rsidP="00326102">
      <w:pPr>
        <w:contextualSpacing/>
        <w:jc w:val="both"/>
        <w:rPr>
          <w:rFonts w:ascii="Verdana" w:eastAsia="Arial" w:hAnsi="Verdana" w:cs="Arial"/>
          <w:sz w:val="20"/>
          <w:szCs w:val="20"/>
        </w:rPr>
      </w:pPr>
    </w:p>
    <w:p w14:paraId="17B2FCD5" w14:textId="77777777" w:rsidR="00326102" w:rsidRPr="008372BA" w:rsidRDefault="00326102" w:rsidP="00326102">
      <w:pPr>
        <w:contextualSpacing/>
        <w:jc w:val="center"/>
        <w:rPr>
          <w:rFonts w:ascii="Verdana" w:eastAsia="Arial" w:hAnsi="Verdana" w:cs="Arial"/>
          <w:b/>
          <w:bCs/>
          <w:sz w:val="22"/>
          <w:szCs w:val="22"/>
        </w:rPr>
      </w:pPr>
      <w:r w:rsidRPr="008372BA">
        <w:rPr>
          <w:rFonts w:ascii="Verdana" w:eastAsia="Arial" w:hAnsi="Verdana" w:cs="Arial"/>
          <w:b/>
          <w:bCs/>
          <w:sz w:val="20"/>
          <w:szCs w:val="20"/>
        </w:rPr>
        <w:t>Tabla 8. Evaluación de requisitos jurídicos para la adjudicación del contrato CO1.PCCNTR.3099616</w:t>
      </w:r>
    </w:p>
    <w:tbl>
      <w:tblPr>
        <w:tblStyle w:val="Tablaconcuadrcula1"/>
        <w:tblW w:w="0" w:type="auto"/>
        <w:jc w:val="center"/>
        <w:tblInd w:w="0" w:type="dxa"/>
        <w:tblLayout w:type="fixed"/>
        <w:tblLook w:val="02A0" w:firstRow="1" w:lastRow="0" w:firstColumn="1" w:lastColumn="0" w:noHBand="1" w:noVBand="0"/>
      </w:tblPr>
      <w:tblGrid>
        <w:gridCol w:w="1350"/>
        <w:gridCol w:w="1174"/>
        <w:gridCol w:w="1125"/>
        <w:gridCol w:w="1399"/>
        <w:gridCol w:w="1262"/>
        <w:gridCol w:w="1262"/>
        <w:gridCol w:w="1262"/>
      </w:tblGrid>
      <w:tr w:rsidR="00326102" w:rsidRPr="008372BA" w14:paraId="1A5D8DE0" w14:textId="77777777" w:rsidTr="001563A5">
        <w:trPr>
          <w:trHeight w:val="300"/>
          <w:tblHeader/>
          <w:jc w:val="center"/>
        </w:trPr>
        <w:tc>
          <w:tcPr>
            <w:tcW w:w="1350" w:type="dxa"/>
            <w:tcBorders>
              <w:top w:val="single" w:sz="4" w:space="0" w:color="auto"/>
              <w:left w:val="single" w:sz="4" w:space="0" w:color="auto"/>
              <w:bottom w:val="single" w:sz="4" w:space="0" w:color="auto"/>
              <w:right w:val="single" w:sz="4" w:space="0" w:color="auto"/>
            </w:tcBorders>
            <w:shd w:val="clear" w:color="auto" w:fill="FDCF00"/>
            <w:vAlign w:val="center"/>
          </w:tcPr>
          <w:p w14:paraId="489A3A5D" w14:textId="77777777" w:rsidR="00326102" w:rsidRPr="008372BA" w:rsidRDefault="00326102" w:rsidP="001563A5">
            <w:pPr>
              <w:contextualSpacing/>
              <w:jc w:val="center"/>
              <w:rPr>
                <w:rFonts w:ascii="Verdana" w:eastAsia="Arial" w:hAnsi="Verdana" w:cs="Arial"/>
                <w:b/>
                <w:bCs/>
                <w:sz w:val="16"/>
                <w:szCs w:val="16"/>
              </w:rPr>
            </w:pPr>
          </w:p>
        </w:tc>
        <w:tc>
          <w:tcPr>
            <w:tcW w:w="2299" w:type="dxa"/>
            <w:gridSpan w:val="2"/>
            <w:tcBorders>
              <w:top w:val="single" w:sz="4" w:space="0" w:color="auto"/>
              <w:left w:val="single" w:sz="4" w:space="0" w:color="auto"/>
              <w:bottom w:val="single" w:sz="4" w:space="0" w:color="auto"/>
              <w:right w:val="single" w:sz="4" w:space="0" w:color="auto"/>
            </w:tcBorders>
            <w:shd w:val="clear" w:color="auto" w:fill="FDCF00"/>
            <w:vAlign w:val="center"/>
            <w:hideMark/>
          </w:tcPr>
          <w:p w14:paraId="5FBDEA75"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Primera evaluación</w:t>
            </w:r>
          </w:p>
        </w:tc>
        <w:tc>
          <w:tcPr>
            <w:tcW w:w="2661" w:type="dxa"/>
            <w:gridSpan w:val="2"/>
            <w:tcBorders>
              <w:top w:val="single" w:sz="4" w:space="0" w:color="auto"/>
              <w:left w:val="single" w:sz="4" w:space="0" w:color="auto"/>
              <w:bottom w:val="single" w:sz="4" w:space="0" w:color="auto"/>
              <w:right w:val="single" w:sz="4" w:space="0" w:color="auto"/>
            </w:tcBorders>
            <w:shd w:val="clear" w:color="auto" w:fill="FDCF00"/>
            <w:vAlign w:val="center"/>
            <w:hideMark/>
          </w:tcPr>
          <w:p w14:paraId="13D88131"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Segunda evaluación</w:t>
            </w:r>
          </w:p>
        </w:tc>
        <w:tc>
          <w:tcPr>
            <w:tcW w:w="2524" w:type="dxa"/>
            <w:gridSpan w:val="2"/>
            <w:tcBorders>
              <w:top w:val="single" w:sz="4" w:space="0" w:color="auto"/>
              <w:left w:val="single" w:sz="4" w:space="0" w:color="auto"/>
              <w:bottom w:val="single" w:sz="4" w:space="0" w:color="auto"/>
              <w:right w:val="single" w:sz="4" w:space="0" w:color="auto"/>
            </w:tcBorders>
            <w:shd w:val="clear" w:color="auto" w:fill="FDCF00"/>
            <w:vAlign w:val="center"/>
            <w:hideMark/>
          </w:tcPr>
          <w:p w14:paraId="73E103D9"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Evaluación definitiva</w:t>
            </w:r>
          </w:p>
        </w:tc>
      </w:tr>
      <w:tr w:rsidR="00326102" w:rsidRPr="008372BA" w14:paraId="6E41EFE1"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12188F89" w14:textId="77777777" w:rsidR="00326102" w:rsidRPr="008372BA" w:rsidRDefault="00326102" w:rsidP="001563A5">
            <w:pPr>
              <w:contextualSpacing/>
              <w:rPr>
                <w:rFonts w:ascii="Verdana" w:eastAsia="Arial" w:hAnsi="Verdana"/>
                <w:b/>
                <w:bCs/>
                <w:sz w:val="16"/>
                <w:szCs w:val="16"/>
              </w:rPr>
            </w:pPr>
            <w:r w:rsidRPr="008372BA">
              <w:rPr>
                <w:rFonts w:ascii="Verdana" w:eastAsia="Arial" w:hAnsi="Verdana"/>
                <w:b/>
                <w:bCs/>
                <w:sz w:val="16"/>
                <w:szCs w:val="16"/>
              </w:rPr>
              <w:t>Condición del pliego</w:t>
            </w:r>
          </w:p>
        </w:tc>
        <w:tc>
          <w:tcPr>
            <w:tcW w:w="1174" w:type="dxa"/>
            <w:tcBorders>
              <w:top w:val="single" w:sz="4" w:space="0" w:color="auto"/>
              <w:left w:val="single" w:sz="4" w:space="0" w:color="auto"/>
              <w:bottom w:val="single" w:sz="4" w:space="0" w:color="auto"/>
              <w:right w:val="single" w:sz="4" w:space="0" w:color="auto"/>
            </w:tcBorders>
            <w:vAlign w:val="center"/>
            <w:hideMark/>
          </w:tcPr>
          <w:p w14:paraId="53474758"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088ED3B"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001F0B6"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57C4EC1"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CE63DBF"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7DB9722"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r>
      <w:tr w:rsidR="00326102" w:rsidRPr="008372BA" w14:paraId="69B69F10"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729C8698"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Carta de presentación de la propuesta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9E458C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82F736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F6A586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DCD830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027FB0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8D54B4D"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0B71C759"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1E011DB4"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Propuesta económica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BDD43A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2793F8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086DA0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0685E3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EF466D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119F24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1EEBDD3E"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26F9648B"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 xml:space="preserve">Certificado de existencia y representación legal </w:t>
            </w:r>
          </w:p>
        </w:tc>
        <w:tc>
          <w:tcPr>
            <w:tcW w:w="1174" w:type="dxa"/>
            <w:tcBorders>
              <w:top w:val="single" w:sz="4" w:space="0" w:color="auto"/>
              <w:left w:val="single" w:sz="4" w:space="0" w:color="auto"/>
              <w:bottom w:val="single" w:sz="4" w:space="0" w:color="auto"/>
              <w:right w:val="single" w:sz="4" w:space="0" w:color="auto"/>
            </w:tcBorders>
            <w:vAlign w:val="center"/>
            <w:hideMark/>
          </w:tcPr>
          <w:p w14:paraId="4892FFB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A68D371"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284663A"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C52802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40C5EF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9A520E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5A029C8E"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59934427"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RUT</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1AA619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06E940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2D31B6E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74264A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91D0059"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8A3410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2D79B121"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313CECD2"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de responsabilidad fiscal</w:t>
            </w:r>
          </w:p>
        </w:tc>
        <w:tc>
          <w:tcPr>
            <w:tcW w:w="1174" w:type="dxa"/>
            <w:tcBorders>
              <w:top w:val="single" w:sz="4" w:space="0" w:color="auto"/>
              <w:left w:val="single" w:sz="4" w:space="0" w:color="auto"/>
              <w:bottom w:val="single" w:sz="4" w:space="0" w:color="auto"/>
              <w:right w:val="single" w:sz="4" w:space="0" w:color="auto"/>
            </w:tcBorders>
            <w:vAlign w:val="center"/>
            <w:hideMark/>
          </w:tcPr>
          <w:p w14:paraId="09560A1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4CDA0A5"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F98ABB1"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EFF5F4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5F7B0B6"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A43289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2C175FB7"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308D0B44"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de antecedentes disciplinarios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DF60619"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254B11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161BA30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D4A99FD"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202533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E3ED8F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77003721"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17BFC859"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de antecedentes judiciales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375C225"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7A5C7A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3DEA2791"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AFCB8D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C4C282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0AC8F4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1F7FFFED"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5E4FE59F"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registro nacional de medidas correctivas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A28FB1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5134DA79"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73AE343D"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D16F1A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441B0A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722721A"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098BD2F0"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0C89EE95"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Pago seguridad social y parafiscales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2292888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6A8D2219"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361FE9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171853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B110B1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7E439D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5C105F32"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5427EEF8"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de multas y/o sanciones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1B07794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08C3B8AA"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5790038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AE38371"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536718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4AD011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2BDDE617"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7B20DAB3"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Certificado de inhabilidades o incompatibilidades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673078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75F5963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6991C98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8EDF7F9"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C4EC57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4F9BD3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04F44A20"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7AD0CFDA"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lastRenderedPageBreak/>
              <w:t>Fotocopia de cedula de ciudadanía</w:t>
            </w:r>
          </w:p>
        </w:tc>
        <w:tc>
          <w:tcPr>
            <w:tcW w:w="1174" w:type="dxa"/>
            <w:tcBorders>
              <w:top w:val="single" w:sz="4" w:space="0" w:color="auto"/>
              <w:left w:val="single" w:sz="4" w:space="0" w:color="auto"/>
              <w:bottom w:val="single" w:sz="4" w:space="0" w:color="auto"/>
              <w:right w:val="single" w:sz="4" w:space="0" w:color="auto"/>
            </w:tcBorders>
            <w:vAlign w:val="center"/>
            <w:hideMark/>
          </w:tcPr>
          <w:p w14:paraId="37C2D3A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483FB33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ECB529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92C769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9CE9C3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64B61D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067FBBC0" w14:textId="77777777" w:rsidTr="001563A5">
        <w:trPr>
          <w:trHeight w:val="300"/>
          <w:jc w:val="center"/>
        </w:trPr>
        <w:tc>
          <w:tcPr>
            <w:tcW w:w="1350" w:type="dxa"/>
            <w:tcBorders>
              <w:top w:val="single" w:sz="4" w:space="0" w:color="auto"/>
              <w:left w:val="single" w:sz="4" w:space="0" w:color="auto"/>
              <w:bottom w:val="single" w:sz="4" w:space="0" w:color="auto"/>
              <w:right w:val="single" w:sz="4" w:space="0" w:color="auto"/>
            </w:tcBorders>
            <w:vAlign w:val="center"/>
            <w:hideMark/>
          </w:tcPr>
          <w:p w14:paraId="2ACC4DC5"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Conclusión requisitos jurídicos</w:t>
            </w:r>
          </w:p>
        </w:tc>
        <w:tc>
          <w:tcPr>
            <w:tcW w:w="1174" w:type="dxa"/>
            <w:tcBorders>
              <w:top w:val="single" w:sz="4" w:space="0" w:color="auto"/>
              <w:left w:val="single" w:sz="4" w:space="0" w:color="auto"/>
              <w:bottom w:val="single" w:sz="4" w:space="0" w:color="auto"/>
              <w:right w:val="single" w:sz="4" w:space="0" w:color="auto"/>
            </w:tcBorders>
            <w:vAlign w:val="center"/>
            <w:hideMark/>
          </w:tcPr>
          <w:p w14:paraId="7AD0557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4" w:space="0" w:color="auto"/>
              <w:left w:val="single" w:sz="4" w:space="0" w:color="auto"/>
              <w:bottom w:val="single" w:sz="4" w:space="0" w:color="auto"/>
              <w:right w:val="single" w:sz="4" w:space="0" w:color="auto"/>
            </w:tcBorders>
            <w:vAlign w:val="center"/>
            <w:hideMark/>
          </w:tcPr>
          <w:p w14:paraId="256C448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399" w:type="dxa"/>
            <w:tcBorders>
              <w:top w:val="single" w:sz="4" w:space="0" w:color="auto"/>
              <w:left w:val="single" w:sz="4" w:space="0" w:color="auto"/>
              <w:bottom w:val="single" w:sz="4" w:space="0" w:color="auto"/>
              <w:right w:val="single" w:sz="4" w:space="0" w:color="auto"/>
            </w:tcBorders>
            <w:vAlign w:val="center"/>
            <w:hideMark/>
          </w:tcPr>
          <w:p w14:paraId="458C9CD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E6ADD98"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4C3EE1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B924C2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bl>
    <w:p w14:paraId="6D5270D7" w14:textId="77777777" w:rsidR="00326102" w:rsidRPr="008372BA" w:rsidRDefault="00326102" w:rsidP="00326102">
      <w:pPr>
        <w:contextualSpacing/>
        <w:jc w:val="center"/>
        <w:rPr>
          <w:rFonts w:ascii="Verdana" w:eastAsia="Arial" w:hAnsi="Verdana" w:cs="Arial"/>
          <w:sz w:val="16"/>
          <w:szCs w:val="16"/>
        </w:rPr>
      </w:pPr>
      <w:r w:rsidRPr="008372BA">
        <w:rPr>
          <w:rFonts w:ascii="Verdana" w:eastAsia="Arial" w:hAnsi="Verdana" w:cs="Arial"/>
          <w:sz w:val="16"/>
          <w:szCs w:val="16"/>
        </w:rPr>
        <w:t>Fuente: Elaboración de la DAF a partir de informes de evaluación cargados por la entidad territorial a la plataforma SECOP.</w:t>
      </w:r>
    </w:p>
    <w:p w14:paraId="0EBFDBDF" w14:textId="77777777" w:rsidR="00326102" w:rsidRPr="008372BA" w:rsidRDefault="00326102" w:rsidP="00326102">
      <w:pPr>
        <w:contextualSpacing/>
        <w:jc w:val="center"/>
        <w:rPr>
          <w:rFonts w:ascii="Verdana" w:eastAsia="Arial" w:hAnsi="Verdana" w:cs="Arial"/>
          <w:sz w:val="16"/>
          <w:szCs w:val="16"/>
        </w:rPr>
      </w:pPr>
    </w:p>
    <w:p w14:paraId="7162C5E9" w14:textId="77777777" w:rsidR="00326102" w:rsidRPr="008372BA" w:rsidRDefault="00326102" w:rsidP="00326102">
      <w:pPr>
        <w:contextualSpacing/>
        <w:jc w:val="center"/>
        <w:rPr>
          <w:rFonts w:ascii="Verdana" w:eastAsia="Arial" w:hAnsi="Verdana" w:cs="Arial"/>
          <w:b/>
          <w:bCs/>
          <w:sz w:val="20"/>
          <w:szCs w:val="20"/>
        </w:rPr>
      </w:pPr>
      <w:r w:rsidRPr="008372BA">
        <w:rPr>
          <w:rFonts w:ascii="Verdana" w:eastAsia="Arial" w:hAnsi="Verdana" w:cs="Arial"/>
          <w:b/>
          <w:bCs/>
          <w:sz w:val="20"/>
          <w:szCs w:val="20"/>
        </w:rPr>
        <w:t>Tabla 9. Evaluación de requisitos técnicos para adjudicación del contrato CO1.PCCNTR.3099616</w:t>
      </w:r>
    </w:p>
    <w:tbl>
      <w:tblPr>
        <w:tblStyle w:val="Tablaconcuadrcula1"/>
        <w:tblW w:w="0" w:type="auto"/>
        <w:jc w:val="center"/>
        <w:tblInd w:w="0" w:type="dxa"/>
        <w:tblLayout w:type="fixed"/>
        <w:tblLook w:val="06A0" w:firstRow="1" w:lastRow="0" w:firstColumn="1" w:lastColumn="0" w:noHBand="1" w:noVBand="1"/>
      </w:tblPr>
      <w:tblGrid>
        <w:gridCol w:w="1350"/>
        <w:gridCol w:w="1174"/>
        <w:gridCol w:w="1125"/>
        <w:gridCol w:w="1399"/>
        <w:gridCol w:w="1262"/>
        <w:gridCol w:w="1262"/>
        <w:gridCol w:w="1262"/>
      </w:tblGrid>
      <w:tr w:rsidR="00326102" w:rsidRPr="008372BA" w14:paraId="1593FB1F"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shd w:val="clear" w:color="auto" w:fill="FDCF00"/>
            <w:vAlign w:val="center"/>
          </w:tcPr>
          <w:p w14:paraId="754F7BEB" w14:textId="77777777" w:rsidR="00326102" w:rsidRPr="008372BA" w:rsidRDefault="00326102" w:rsidP="001563A5">
            <w:pPr>
              <w:contextualSpacing/>
              <w:jc w:val="center"/>
              <w:rPr>
                <w:rFonts w:ascii="Verdana" w:eastAsia="Arial" w:hAnsi="Verdana" w:cs="Arial"/>
                <w:sz w:val="16"/>
                <w:szCs w:val="16"/>
              </w:rPr>
            </w:pPr>
          </w:p>
        </w:tc>
        <w:tc>
          <w:tcPr>
            <w:tcW w:w="2299" w:type="dxa"/>
            <w:gridSpan w:val="2"/>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DCF00"/>
            <w:vAlign w:val="center"/>
            <w:hideMark/>
          </w:tcPr>
          <w:p w14:paraId="0551E561"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Primera evaluación</w:t>
            </w:r>
          </w:p>
        </w:tc>
        <w:tc>
          <w:tcPr>
            <w:tcW w:w="2661" w:type="dxa"/>
            <w:gridSpan w:val="2"/>
            <w:tcBorders>
              <w:top w:val="single" w:sz="4" w:space="0" w:color="auto"/>
              <w:left w:val="single" w:sz="8" w:space="0" w:color="000000" w:themeColor="text1"/>
              <w:bottom w:val="single" w:sz="4" w:space="0" w:color="auto"/>
              <w:right w:val="single" w:sz="4" w:space="0" w:color="auto"/>
            </w:tcBorders>
            <w:shd w:val="clear" w:color="auto" w:fill="FDCF00"/>
            <w:vAlign w:val="center"/>
            <w:hideMark/>
          </w:tcPr>
          <w:p w14:paraId="31D96938"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Segunda evaluación</w:t>
            </w:r>
          </w:p>
        </w:tc>
        <w:tc>
          <w:tcPr>
            <w:tcW w:w="2524" w:type="dxa"/>
            <w:gridSpan w:val="2"/>
            <w:tcBorders>
              <w:top w:val="single" w:sz="4" w:space="0" w:color="auto"/>
              <w:left w:val="single" w:sz="4" w:space="0" w:color="auto"/>
              <w:bottom w:val="single" w:sz="4" w:space="0" w:color="auto"/>
              <w:right w:val="single" w:sz="4" w:space="0" w:color="auto"/>
            </w:tcBorders>
            <w:shd w:val="clear" w:color="auto" w:fill="FDCF00"/>
            <w:vAlign w:val="center"/>
            <w:hideMark/>
          </w:tcPr>
          <w:p w14:paraId="7CA65EE9"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Evaluación definitiva</w:t>
            </w:r>
          </w:p>
        </w:tc>
      </w:tr>
      <w:tr w:rsidR="00326102" w:rsidRPr="008372BA" w14:paraId="4945A7D2"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vAlign w:val="center"/>
            <w:hideMark/>
          </w:tcPr>
          <w:p w14:paraId="69158C15" w14:textId="77777777" w:rsidR="00326102" w:rsidRPr="008372BA" w:rsidRDefault="00326102" w:rsidP="001563A5">
            <w:pPr>
              <w:contextualSpacing/>
              <w:rPr>
                <w:rFonts w:ascii="Verdana" w:eastAsia="Arial" w:hAnsi="Verdana"/>
                <w:b/>
                <w:bCs/>
                <w:sz w:val="16"/>
                <w:szCs w:val="16"/>
              </w:rPr>
            </w:pPr>
            <w:r w:rsidRPr="008372BA">
              <w:rPr>
                <w:rFonts w:ascii="Verdana" w:eastAsia="Arial" w:hAnsi="Verdana"/>
                <w:b/>
                <w:bCs/>
                <w:sz w:val="16"/>
                <w:szCs w:val="16"/>
              </w:rPr>
              <w:t>Condición del pliego</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7AABE7D4"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2FE9A6EE"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c>
          <w:tcPr>
            <w:tcW w:w="1399" w:type="dxa"/>
            <w:tcBorders>
              <w:top w:val="single" w:sz="4" w:space="0" w:color="auto"/>
              <w:left w:val="single" w:sz="8" w:space="0" w:color="000000" w:themeColor="text1"/>
              <w:bottom w:val="single" w:sz="4" w:space="0" w:color="auto"/>
              <w:right w:val="single" w:sz="4" w:space="0" w:color="auto"/>
            </w:tcBorders>
            <w:vAlign w:val="center"/>
            <w:hideMark/>
          </w:tcPr>
          <w:p w14:paraId="31B5B621"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318D646"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AE0FD72"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ASOPINDE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467B2DC" w14:textId="77777777" w:rsidR="00326102" w:rsidRPr="008372BA" w:rsidRDefault="00326102" w:rsidP="001563A5">
            <w:pPr>
              <w:contextualSpacing/>
              <w:jc w:val="center"/>
              <w:rPr>
                <w:rFonts w:ascii="Verdana" w:eastAsia="Arial" w:hAnsi="Verdana"/>
                <w:b/>
                <w:bCs/>
                <w:sz w:val="16"/>
                <w:szCs w:val="16"/>
              </w:rPr>
            </w:pPr>
            <w:r w:rsidRPr="008372BA">
              <w:rPr>
                <w:rFonts w:ascii="Verdana" w:eastAsia="Arial" w:hAnsi="Verdana"/>
                <w:b/>
                <w:bCs/>
                <w:sz w:val="16"/>
                <w:szCs w:val="16"/>
              </w:rPr>
              <w:t>FUNDEPA</w:t>
            </w:r>
          </w:p>
        </w:tc>
      </w:tr>
      <w:tr w:rsidR="00326102" w:rsidRPr="008372BA" w14:paraId="0764A030"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vAlign w:val="center"/>
            <w:hideMark/>
          </w:tcPr>
          <w:p w14:paraId="1043ED8C"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Experiencia General</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8FCC79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34809F8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399" w:type="dxa"/>
            <w:tcBorders>
              <w:top w:val="single" w:sz="4" w:space="0" w:color="auto"/>
              <w:left w:val="single" w:sz="8" w:space="0" w:color="000000" w:themeColor="text1"/>
              <w:bottom w:val="single" w:sz="4" w:space="0" w:color="auto"/>
              <w:right w:val="single" w:sz="4" w:space="0" w:color="auto"/>
            </w:tcBorders>
            <w:vAlign w:val="center"/>
            <w:hideMark/>
          </w:tcPr>
          <w:p w14:paraId="4574CB1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2C9F40E4"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4892C0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D6A705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2F0648C0"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vAlign w:val="center"/>
            <w:hideMark/>
          </w:tcPr>
          <w:p w14:paraId="3A61F81A"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Experiencia Especifica</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B77CCCB"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DF86F4D"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399" w:type="dxa"/>
            <w:tcBorders>
              <w:top w:val="single" w:sz="4" w:space="0" w:color="auto"/>
              <w:left w:val="single" w:sz="8" w:space="0" w:color="000000" w:themeColor="text1"/>
              <w:bottom w:val="single" w:sz="4" w:space="0" w:color="auto"/>
              <w:right w:val="single" w:sz="4" w:space="0" w:color="auto"/>
            </w:tcBorders>
            <w:vAlign w:val="center"/>
            <w:hideMark/>
          </w:tcPr>
          <w:p w14:paraId="5ED2917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F249BA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4A73A8A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521948AF"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3ECB08D7"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vAlign w:val="center"/>
            <w:hideMark/>
          </w:tcPr>
          <w:p w14:paraId="1F21CC29"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Reconocida Idoneidad</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6EA215A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B24F8C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399" w:type="dxa"/>
            <w:tcBorders>
              <w:top w:val="single" w:sz="4" w:space="0" w:color="auto"/>
              <w:left w:val="single" w:sz="8" w:space="0" w:color="000000" w:themeColor="text1"/>
              <w:bottom w:val="single" w:sz="4" w:space="0" w:color="auto"/>
              <w:right w:val="single" w:sz="4" w:space="0" w:color="auto"/>
            </w:tcBorders>
            <w:vAlign w:val="center"/>
            <w:hideMark/>
          </w:tcPr>
          <w:p w14:paraId="34683612"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CEF133A"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1AC164E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08479FD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r w:rsidR="00326102" w:rsidRPr="008372BA" w14:paraId="018F8F36" w14:textId="77777777" w:rsidTr="001563A5">
        <w:trPr>
          <w:trHeight w:val="300"/>
          <w:jc w:val="center"/>
        </w:trPr>
        <w:tc>
          <w:tcPr>
            <w:tcW w:w="1350" w:type="dxa"/>
            <w:tcBorders>
              <w:top w:val="single" w:sz="4" w:space="0" w:color="auto"/>
              <w:left w:val="single" w:sz="4" w:space="0" w:color="auto"/>
              <w:bottom w:val="single" w:sz="4" w:space="0" w:color="auto"/>
              <w:right w:val="single" w:sz="8" w:space="0" w:color="000000" w:themeColor="text1"/>
            </w:tcBorders>
            <w:vAlign w:val="center"/>
            <w:hideMark/>
          </w:tcPr>
          <w:p w14:paraId="0E1EF9DF" w14:textId="77777777" w:rsidR="00326102" w:rsidRPr="008372BA" w:rsidRDefault="00326102" w:rsidP="001563A5">
            <w:pPr>
              <w:contextualSpacing/>
              <w:rPr>
                <w:rFonts w:ascii="Verdana" w:eastAsia="Arial" w:hAnsi="Verdana"/>
                <w:sz w:val="16"/>
                <w:szCs w:val="16"/>
              </w:rPr>
            </w:pPr>
            <w:r w:rsidRPr="008372BA">
              <w:rPr>
                <w:rFonts w:ascii="Verdana" w:eastAsia="Arial" w:hAnsi="Verdana"/>
                <w:sz w:val="16"/>
                <w:szCs w:val="16"/>
              </w:rPr>
              <w:t>Conclusión requisitos técnicos</w:t>
            </w:r>
          </w:p>
        </w:tc>
        <w:tc>
          <w:tcPr>
            <w:tcW w:w="117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5564AAB7"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125"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hideMark/>
          </w:tcPr>
          <w:p w14:paraId="11F60BFE"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399" w:type="dxa"/>
            <w:tcBorders>
              <w:top w:val="single" w:sz="4" w:space="0" w:color="auto"/>
              <w:left w:val="single" w:sz="8" w:space="0" w:color="000000" w:themeColor="text1"/>
              <w:bottom w:val="single" w:sz="4" w:space="0" w:color="auto"/>
              <w:right w:val="single" w:sz="4" w:space="0" w:color="auto"/>
            </w:tcBorders>
            <w:vAlign w:val="center"/>
            <w:hideMark/>
          </w:tcPr>
          <w:p w14:paraId="2736DD20"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7ECDE3E5"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No 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3BACCF23"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c>
          <w:tcPr>
            <w:tcW w:w="1262" w:type="dxa"/>
            <w:tcBorders>
              <w:top w:val="single" w:sz="4" w:space="0" w:color="auto"/>
              <w:left w:val="single" w:sz="4" w:space="0" w:color="auto"/>
              <w:bottom w:val="single" w:sz="4" w:space="0" w:color="auto"/>
              <w:right w:val="single" w:sz="4" w:space="0" w:color="auto"/>
            </w:tcBorders>
            <w:vAlign w:val="center"/>
            <w:hideMark/>
          </w:tcPr>
          <w:p w14:paraId="6F9350CC" w14:textId="77777777" w:rsidR="00326102" w:rsidRPr="008372BA" w:rsidRDefault="00326102" w:rsidP="001563A5">
            <w:pPr>
              <w:contextualSpacing/>
              <w:jc w:val="center"/>
              <w:rPr>
                <w:rFonts w:ascii="Verdana" w:eastAsia="Arial" w:hAnsi="Verdana"/>
                <w:sz w:val="16"/>
                <w:szCs w:val="16"/>
              </w:rPr>
            </w:pPr>
            <w:r w:rsidRPr="008372BA">
              <w:rPr>
                <w:rFonts w:ascii="Verdana" w:eastAsia="Arial" w:hAnsi="Verdana"/>
                <w:sz w:val="16"/>
                <w:szCs w:val="16"/>
              </w:rPr>
              <w:t>Cumple</w:t>
            </w:r>
          </w:p>
        </w:tc>
      </w:tr>
    </w:tbl>
    <w:p w14:paraId="7B75A9B6" w14:textId="77777777" w:rsidR="00326102" w:rsidRPr="008372BA" w:rsidRDefault="00326102" w:rsidP="00326102">
      <w:pPr>
        <w:contextualSpacing/>
        <w:jc w:val="center"/>
        <w:rPr>
          <w:rFonts w:ascii="Verdana" w:eastAsia="Arial" w:hAnsi="Verdana" w:cs="Arial"/>
          <w:sz w:val="16"/>
          <w:szCs w:val="16"/>
        </w:rPr>
      </w:pPr>
      <w:r w:rsidRPr="008372BA">
        <w:rPr>
          <w:rFonts w:ascii="Verdana" w:eastAsia="Arial" w:hAnsi="Verdana" w:cs="Arial"/>
          <w:sz w:val="16"/>
          <w:szCs w:val="16"/>
        </w:rPr>
        <w:t>Fuente: Elaboración de la DAF a partir de informes de evaluación subidos por la entidad territorial a la plataforma SECOP.</w:t>
      </w:r>
    </w:p>
    <w:p w14:paraId="6BFC9391" w14:textId="77777777" w:rsidR="00326102" w:rsidRPr="008372BA" w:rsidRDefault="00326102" w:rsidP="00326102">
      <w:pPr>
        <w:contextualSpacing/>
        <w:jc w:val="both"/>
        <w:rPr>
          <w:rFonts w:ascii="Verdana" w:eastAsia="Arial" w:hAnsi="Verdana" w:cs="Arial"/>
          <w:sz w:val="22"/>
          <w:szCs w:val="22"/>
        </w:rPr>
      </w:pPr>
    </w:p>
    <w:p w14:paraId="53B60EFF"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Aunque la Entidad Territorial no adjunta a esta Dirección el informe de evaluación definitivo entre los documentos contenidos en el expediente contractual, se identificó en la plataforma SECOP un informe de evaluación definitivo realizado el día 6 de diciembre de 2021 y publicado el día 7 de diciembre de 2021, en donde se evidencia que ahora tanto ASOPINDE como FUNDEPA cumplen con todos los requisitos habilitantes, pero en cuyas observaciones se señala que la experiencia especifica de FUNDEPA no fue aportada según el cronograma establecido. Por último, se encuentra que se adjudicó el contrato el día 6 de diciembre de 2021 a la FUNDACION PARA EL DESARROLLO INTEGRAL DE LA CUENCA DEL PACIFICO – FUNDEPA.</w:t>
      </w:r>
    </w:p>
    <w:p w14:paraId="0A6A2714" w14:textId="77777777" w:rsidR="00326102" w:rsidRPr="008372BA" w:rsidRDefault="00326102" w:rsidP="00326102">
      <w:pPr>
        <w:contextualSpacing/>
        <w:jc w:val="both"/>
        <w:rPr>
          <w:rFonts w:ascii="Verdana" w:eastAsia="Arial" w:hAnsi="Verdana" w:cs="Arial"/>
          <w:sz w:val="22"/>
          <w:szCs w:val="22"/>
        </w:rPr>
      </w:pPr>
    </w:p>
    <w:p w14:paraId="2569E6F6" w14:textId="77777777" w:rsidR="00326102" w:rsidRPr="008372BA" w:rsidRDefault="00326102" w:rsidP="00326102">
      <w:pPr>
        <w:contextualSpacing/>
        <w:jc w:val="center"/>
        <w:rPr>
          <w:rFonts w:ascii="Verdana" w:hAnsi="Verdana" w:cs="Arial"/>
          <w:b/>
          <w:bCs/>
          <w:sz w:val="20"/>
          <w:szCs w:val="20"/>
          <w:lang w:eastAsia="en-US"/>
        </w:rPr>
      </w:pPr>
      <w:r w:rsidRPr="008372BA">
        <w:rPr>
          <w:rFonts w:ascii="Verdana" w:hAnsi="Verdana" w:cs="Arial"/>
          <w:b/>
          <w:bCs/>
          <w:sz w:val="20"/>
          <w:szCs w:val="20"/>
          <w:lang w:eastAsia="en-US"/>
        </w:rPr>
        <w:t>Tabla 10. Cronograma de eventos del periodo precontractual</w:t>
      </w:r>
    </w:p>
    <w:tbl>
      <w:tblPr>
        <w:tblStyle w:val="Tablaconcuadrcula1"/>
        <w:tblW w:w="0" w:type="auto"/>
        <w:jc w:val="center"/>
        <w:tblInd w:w="0" w:type="dxa"/>
        <w:tblLayout w:type="fixed"/>
        <w:tblLook w:val="06A0" w:firstRow="1" w:lastRow="0" w:firstColumn="1" w:lastColumn="0" w:noHBand="1" w:noVBand="1"/>
      </w:tblPr>
      <w:tblGrid>
        <w:gridCol w:w="4418"/>
        <w:gridCol w:w="4418"/>
      </w:tblGrid>
      <w:tr w:rsidR="00326102" w:rsidRPr="008372BA" w14:paraId="07BF8941" w14:textId="77777777" w:rsidTr="001563A5">
        <w:trPr>
          <w:trHeight w:val="300"/>
          <w:tblHeader/>
          <w:jc w:val="center"/>
        </w:trPr>
        <w:tc>
          <w:tcPr>
            <w:tcW w:w="4418"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6ACE23C9" w14:textId="77777777" w:rsidR="00326102" w:rsidRPr="008372BA" w:rsidRDefault="00326102" w:rsidP="001563A5">
            <w:pPr>
              <w:contextualSpacing/>
              <w:jc w:val="center"/>
              <w:rPr>
                <w:rFonts w:ascii="Verdana" w:eastAsia="Arial" w:hAnsi="Verdana" w:cs="Arial"/>
                <w:b/>
                <w:bCs/>
                <w:sz w:val="18"/>
                <w:szCs w:val="18"/>
              </w:rPr>
            </w:pPr>
            <w:r w:rsidRPr="008372BA">
              <w:rPr>
                <w:rFonts w:ascii="Verdana" w:eastAsia="Arial" w:hAnsi="Verdana"/>
                <w:b/>
                <w:bCs/>
                <w:sz w:val="18"/>
                <w:szCs w:val="18"/>
              </w:rPr>
              <w:t>Evento</w:t>
            </w:r>
          </w:p>
        </w:tc>
        <w:tc>
          <w:tcPr>
            <w:tcW w:w="4418" w:type="dxa"/>
            <w:tcBorders>
              <w:top w:val="single" w:sz="4" w:space="0" w:color="auto"/>
              <w:left w:val="single" w:sz="4" w:space="0" w:color="auto"/>
              <w:bottom w:val="single" w:sz="4" w:space="0" w:color="auto"/>
              <w:right w:val="single" w:sz="4" w:space="0" w:color="auto"/>
            </w:tcBorders>
            <w:shd w:val="clear" w:color="auto" w:fill="FDCF00"/>
            <w:vAlign w:val="center"/>
            <w:hideMark/>
          </w:tcPr>
          <w:p w14:paraId="013FCD9C" w14:textId="77777777" w:rsidR="00326102" w:rsidRPr="008372BA" w:rsidRDefault="00326102" w:rsidP="001563A5">
            <w:pPr>
              <w:contextualSpacing/>
              <w:jc w:val="center"/>
              <w:rPr>
                <w:rFonts w:ascii="Verdana" w:eastAsia="Arial" w:hAnsi="Verdana"/>
                <w:b/>
                <w:bCs/>
                <w:sz w:val="18"/>
                <w:szCs w:val="18"/>
              </w:rPr>
            </w:pPr>
            <w:r w:rsidRPr="008372BA">
              <w:rPr>
                <w:rFonts w:ascii="Verdana" w:eastAsia="Arial" w:hAnsi="Verdana"/>
                <w:b/>
                <w:bCs/>
                <w:sz w:val="18"/>
                <w:szCs w:val="18"/>
              </w:rPr>
              <w:t>Fecha</w:t>
            </w:r>
          </w:p>
        </w:tc>
      </w:tr>
      <w:tr w:rsidR="00326102" w:rsidRPr="008372BA" w14:paraId="17BB9EFD"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5A014334"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 xml:space="preserve">Apertura de convocatoria </w:t>
            </w:r>
          </w:p>
        </w:tc>
        <w:tc>
          <w:tcPr>
            <w:tcW w:w="4418" w:type="dxa"/>
            <w:tcBorders>
              <w:top w:val="single" w:sz="4" w:space="0" w:color="auto"/>
              <w:left w:val="single" w:sz="4" w:space="0" w:color="auto"/>
              <w:bottom w:val="single" w:sz="4" w:space="0" w:color="auto"/>
              <w:right w:val="single" w:sz="4" w:space="0" w:color="auto"/>
            </w:tcBorders>
            <w:vAlign w:val="center"/>
            <w:hideMark/>
          </w:tcPr>
          <w:p w14:paraId="7D7BF6E5"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21 de octubre de 2021</w:t>
            </w:r>
          </w:p>
        </w:tc>
      </w:tr>
      <w:tr w:rsidR="00326102" w:rsidRPr="008372BA" w14:paraId="67D4F42A"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13CF03B0"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Fecha máxima para la presentación de ofertas</w:t>
            </w:r>
          </w:p>
        </w:tc>
        <w:tc>
          <w:tcPr>
            <w:tcW w:w="4418" w:type="dxa"/>
            <w:tcBorders>
              <w:top w:val="single" w:sz="4" w:space="0" w:color="auto"/>
              <w:left w:val="single" w:sz="4" w:space="0" w:color="auto"/>
              <w:bottom w:val="single" w:sz="4" w:space="0" w:color="auto"/>
              <w:right w:val="single" w:sz="4" w:space="0" w:color="auto"/>
            </w:tcBorders>
            <w:vAlign w:val="center"/>
            <w:hideMark/>
          </w:tcPr>
          <w:p w14:paraId="07CD3E20"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22 de octubre de 2021</w:t>
            </w:r>
          </w:p>
        </w:tc>
      </w:tr>
      <w:tr w:rsidR="00326102" w:rsidRPr="008372BA" w14:paraId="4C61D75B"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6FA7E558"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 xml:space="preserve">Primer informe de evaluación </w:t>
            </w:r>
          </w:p>
        </w:tc>
        <w:tc>
          <w:tcPr>
            <w:tcW w:w="4418" w:type="dxa"/>
            <w:tcBorders>
              <w:top w:val="single" w:sz="4" w:space="0" w:color="auto"/>
              <w:left w:val="single" w:sz="4" w:space="0" w:color="auto"/>
              <w:bottom w:val="single" w:sz="4" w:space="0" w:color="auto"/>
              <w:right w:val="single" w:sz="4" w:space="0" w:color="auto"/>
            </w:tcBorders>
            <w:vAlign w:val="center"/>
            <w:hideMark/>
          </w:tcPr>
          <w:p w14:paraId="17164500"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25 de octubre de 2021</w:t>
            </w:r>
          </w:p>
        </w:tc>
      </w:tr>
      <w:tr w:rsidR="00326102" w:rsidRPr="008372BA" w14:paraId="1D425515"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608FAD66"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Adenda 1 por la cual se extiende el periodo de verificación de requisitos habilitantes hasta el 29 de octubre de 2021</w:t>
            </w:r>
          </w:p>
        </w:tc>
        <w:tc>
          <w:tcPr>
            <w:tcW w:w="4418" w:type="dxa"/>
            <w:tcBorders>
              <w:top w:val="single" w:sz="4" w:space="0" w:color="auto"/>
              <w:left w:val="single" w:sz="4" w:space="0" w:color="auto"/>
              <w:bottom w:val="single" w:sz="4" w:space="0" w:color="auto"/>
              <w:right w:val="single" w:sz="4" w:space="0" w:color="auto"/>
            </w:tcBorders>
            <w:vAlign w:val="center"/>
            <w:hideMark/>
          </w:tcPr>
          <w:p w14:paraId="02FC1F1D"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27 de octubre de 2021</w:t>
            </w:r>
          </w:p>
        </w:tc>
      </w:tr>
      <w:tr w:rsidR="00326102" w:rsidRPr="008372BA" w14:paraId="0843F762"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14C6CD4B"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Segundo informe de evaluación</w:t>
            </w:r>
          </w:p>
        </w:tc>
        <w:tc>
          <w:tcPr>
            <w:tcW w:w="4418" w:type="dxa"/>
            <w:tcBorders>
              <w:top w:val="single" w:sz="4" w:space="0" w:color="auto"/>
              <w:left w:val="single" w:sz="4" w:space="0" w:color="auto"/>
              <w:bottom w:val="single" w:sz="4" w:space="0" w:color="auto"/>
              <w:right w:val="single" w:sz="4" w:space="0" w:color="auto"/>
            </w:tcBorders>
            <w:vAlign w:val="center"/>
            <w:hideMark/>
          </w:tcPr>
          <w:p w14:paraId="29BE6561"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2 de noviembre de 2021</w:t>
            </w:r>
          </w:p>
        </w:tc>
      </w:tr>
      <w:tr w:rsidR="00326102" w:rsidRPr="008372BA" w14:paraId="3C814255"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32762678"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Adenda 2 por la cual se extiende la publicación del informe de evaluación hasta el 08 de noviembre de 2021</w:t>
            </w:r>
          </w:p>
        </w:tc>
        <w:tc>
          <w:tcPr>
            <w:tcW w:w="4418" w:type="dxa"/>
            <w:tcBorders>
              <w:top w:val="single" w:sz="4" w:space="0" w:color="auto"/>
              <w:left w:val="single" w:sz="4" w:space="0" w:color="auto"/>
              <w:bottom w:val="single" w:sz="4" w:space="0" w:color="auto"/>
              <w:right w:val="single" w:sz="4" w:space="0" w:color="auto"/>
            </w:tcBorders>
            <w:vAlign w:val="center"/>
            <w:hideMark/>
          </w:tcPr>
          <w:p w14:paraId="79AEA873"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4 de noviembre de 2021</w:t>
            </w:r>
          </w:p>
        </w:tc>
      </w:tr>
      <w:tr w:rsidR="00326102" w:rsidRPr="008372BA" w14:paraId="73682CEE"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45DA88C7"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lastRenderedPageBreak/>
              <w:t>Adenda 3 por la cual se extiende la publicación del informe de evaluación definitivo hasta el 19 de noviembre de 2021</w:t>
            </w:r>
          </w:p>
        </w:tc>
        <w:tc>
          <w:tcPr>
            <w:tcW w:w="4418" w:type="dxa"/>
            <w:tcBorders>
              <w:top w:val="single" w:sz="4" w:space="0" w:color="auto"/>
              <w:left w:val="single" w:sz="4" w:space="0" w:color="auto"/>
              <w:bottom w:val="single" w:sz="4" w:space="0" w:color="auto"/>
              <w:right w:val="single" w:sz="4" w:space="0" w:color="auto"/>
            </w:tcBorders>
            <w:vAlign w:val="center"/>
            <w:hideMark/>
          </w:tcPr>
          <w:p w14:paraId="6BBE0239"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8 de noviembre de 2021</w:t>
            </w:r>
          </w:p>
        </w:tc>
      </w:tr>
      <w:tr w:rsidR="00326102" w:rsidRPr="008372BA" w14:paraId="13FCA51B"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7E9099C6"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Adenda 4 por la cual se extiende la publicación del informe de evaluación definitivo hasta el 06 de diciembre de 2021</w:t>
            </w:r>
          </w:p>
        </w:tc>
        <w:tc>
          <w:tcPr>
            <w:tcW w:w="4418" w:type="dxa"/>
            <w:tcBorders>
              <w:top w:val="single" w:sz="4" w:space="0" w:color="auto"/>
              <w:left w:val="single" w:sz="4" w:space="0" w:color="auto"/>
              <w:bottom w:val="single" w:sz="4" w:space="0" w:color="auto"/>
              <w:right w:val="single" w:sz="4" w:space="0" w:color="auto"/>
            </w:tcBorders>
            <w:vAlign w:val="center"/>
            <w:hideMark/>
          </w:tcPr>
          <w:p w14:paraId="0C682FC1"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19 de noviembre de 2021</w:t>
            </w:r>
          </w:p>
        </w:tc>
      </w:tr>
      <w:tr w:rsidR="00326102" w:rsidRPr="008372BA" w14:paraId="1A6F4C0E"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5E56B3CE"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Informe de evaluación definitivo</w:t>
            </w:r>
          </w:p>
        </w:tc>
        <w:tc>
          <w:tcPr>
            <w:tcW w:w="4418" w:type="dxa"/>
            <w:tcBorders>
              <w:top w:val="single" w:sz="4" w:space="0" w:color="auto"/>
              <w:left w:val="single" w:sz="4" w:space="0" w:color="auto"/>
              <w:bottom w:val="single" w:sz="4" w:space="0" w:color="auto"/>
              <w:right w:val="single" w:sz="4" w:space="0" w:color="auto"/>
            </w:tcBorders>
            <w:vAlign w:val="center"/>
            <w:hideMark/>
          </w:tcPr>
          <w:p w14:paraId="3F3CCC1D"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6 de diciembre de 2021</w:t>
            </w:r>
          </w:p>
        </w:tc>
      </w:tr>
      <w:tr w:rsidR="00326102" w:rsidRPr="008372BA" w14:paraId="02770D32" w14:textId="77777777" w:rsidTr="001563A5">
        <w:trPr>
          <w:trHeight w:val="300"/>
          <w:jc w:val="center"/>
        </w:trPr>
        <w:tc>
          <w:tcPr>
            <w:tcW w:w="4418" w:type="dxa"/>
            <w:tcBorders>
              <w:top w:val="single" w:sz="4" w:space="0" w:color="auto"/>
              <w:left w:val="single" w:sz="4" w:space="0" w:color="auto"/>
              <w:bottom w:val="single" w:sz="4" w:space="0" w:color="auto"/>
              <w:right w:val="single" w:sz="4" w:space="0" w:color="auto"/>
            </w:tcBorders>
            <w:vAlign w:val="center"/>
            <w:hideMark/>
          </w:tcPr>
          <w:p w14:paraId="3AC56E8E" w14:textId="77777777" w:rsidR="00326102" w:rsidRPr="008372BA" w:rsidRDefault="00326102" w:rsidP="001563A5">
            <w:pPr>
              <w:contextualSpacing/>
              <w:rPr>
                <w:rFonts w:ascii="Verdana" w:eastAsia="Arial" w:hAnsi="Verdana"/>
                <w:sz w:val="18"/>
                <w:szCs w:val="18"/>
              </w:rPr>
            </w:pPr>
            <w:r w:rsidRPr="008372BA">
              <w:rPr>
                <w:rFonts w:ascii="Verdana" w:eastAsia="Arial" w:hAnsi="Verdana"/>
                <w:sz w:val="18"/>
                <w:szCs w:val="18"/>
              </w:rPr>
              <w:t>Informe de adjudicación</w:t>
            </w:r>
          </w:p>
        </w:tc>
        <w:tc>
          <w:tcPr>
            <w:tcW w:w="4418" w:type="dxa"/>
            <w:tcBorders>
              <w:top w:val="single" w:sz="4" w:space="0" w:color="auto"/>
              <w:left w:val="single" w:sz="4" w:space="0" w:color="auto"/>
              <w:bottom w:val="single" w:sz="4" w:space="0" w:color="auto"/>
              <w:right w:val="single" w:sz="4" w:space="0" w:color="auto"/>
            </w:tcBorders>
            <w:vAlign w:val="center"/>
            <w:hideMark/>
          </w:tcPr>
          <w:p w14:paraId="432F23A3" w14:textId="77777777" w:rsidR="00326102" w:rsidRPr="008372BA" w:rsidRDefault="00326102" w:rsidP="001563A5">
            <w:pPr>
              <w:contextualSpacing/>
              <w:jc w:val="center"/>
              <w:rPr>
                <w:rFonts w:ascii="Verdana" w:eastAsia="Arial" w:hAnsi="Verdana"/>
                <w:sz w:val="18"/>
                <w:szCs w:val="18"/>
              </w:rPr>
            </w:pPr>
            <w:r w:rsidRPr="008372BA">
              <w:rPr>
                <w:rFonts w:ascii="Verdana" w:eastAsia="Arial" w:hAnsi="Verdana"/>
                <w:sz w:val="18"/>
                <w:szCs w:val="18"/>
              </w:rPr>
              <w:t>6 de diciembre de 2021</w:t>
            </w:r>
          </w:p>
        </w:tc>
      </w:tr>
    </w:tbl>
    <w:p w14:paraId="2C41D6A3" w14:textId="77777777" w:rsidR="00326102" w:rsidRPr="008372BA" w:rsidRDefault="00326102" w:rsidP="00326102">
      <w:pPr>
        <w:contextualSpacing/>
        <w:jc w:val="center"/>
        <w:rPr>
          <w:rFonts w:ascii="Verdana" w:eastAsia="Arial" w:hAnsi="Verdana" w:cs="Arial"/>
          <w:sz w:val="16"/>
          <w:szCs w:val="16"/>
        </w:rPr>
      </w:pPr>
      <w:r w:rsidRPr="008372BA">
        <w:rPr>
          <w:rFonts w:ascii="Verdana" w:eastAsia="Arial" w:hAnsi="Verdana" w:cs="Arial"/>
          <w:sz w:val="16"/>
          <w:szCs w:val="16"/>
        </w:rPr>
        <w:t>Fuente: Elaboración propia de la DAF con información remitida por el Municipio e información de la plataforma SECOP.</w:t>
      </w:r>
    </w:p>
    <w:p w14:paraId="74D3E9C8" w14:textId="77777777" w:rsidR="00326102" w:rsidRPr="008372BA" w:rsidRDefault="00326102" w:rsidP="00326102">
      <w:pPr>
        <w:contextualSpacing/>
        <w:jc w:val="both"/>
        <w:rPr>
          <w:rFonts w:ascii="Verdana" w:eastAsia="Arial" w:hAnsi="Verdana" w:cs="Arial"/>
          <w:sz w:val="22"/>
          <w:szCs w:val="22"/>
        </w:rPr>
      </w:pPr>
    </w:p>
    <w:p w14:paraId="00BC81D7"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En ese orden de ideas, la Entidad Territorial falta al capítulo 3, sección 3.4, del pliego de condiciones desarrollado para este proceso de contratación, donde se establece que se rechazara toda propuesta:</w:t>
      </w:r>
    </w:p>
    <w:p w14:paraId="5ACDC309" w14:textId="77777777" w:rsidR="00326102" w:rsidRPr="008372BA" w:rsidRDefault="00326102" w:rsidP="00326102">
      <w:pPr>
        <w:contextualSpacing/>
        <w:jc w:val="both"/>
        <w:rPr>
          <w:rFonts w:ascii="Verdana" w:eastAsia="Arial" w:hAnsi="Verdana" w:cs="Arial"/>
          <w:sz w:val="22"/>
          <w:szCs w:val="22"/>
        </w:rPr>
      </w:pPr>
    </w:p>
    <w:p w14:paraId="22C01760" w14:textId="77777777" w:rsidR="00326102" w:rsidRPr="008372BA" w:rsidRDefault="00326102" w:rsidP="00326102">
      <w:pPr>
        <w:numPr>
          <w:ilvl w:val="0"/>
          <w:numId w:val="6"/>
        </w:numPr>
        <w:contextualSpacing/>
        <w:jc w:val="both"/>
        <w:rPr>
          <w:rFonts w:ascii="Verdana" w:hAnsi="Verdana" w:cs="Arial"/>
          <w:i/>
          <w:iCs/>
          <w:sz w:val="18"/>
          <w:szCs w:val="18"/>
        </w:rPr>
      </w:pPr>
      <w:r w:rsidRPr="008372BA">
        <w:rPr>
          <w:rFonts w:ascii="Verdana" w:eastAsia="Arial" w:hAnsi="Verdana" w:cs="Arial"/>
          <w:i/>
          <w:iCs/>
          <w:sz w:val="18"/>
          <w:szCs w:val="18"/>
        </w:rPr>
        <w:t>“Cuando no se</w:t>
      </w:r>
      <w:r w:rsidRPr="008372BA">
        <w:rPr>
          <w:rFonts w:ascii="Verdana" w:eastAsia="Arial" w:hAnsi="Verdana" w:cs="Arial"/>
          <w:i/>
          <w:sz w:val="18"/>
          <w:szCs w:val="18"/>
        </w:rPr>
        <w:t xml:space="preserve"> hayan presentado todos los documentos esenciales para la comparación objetiva de la propuesta</w:t>
      </w:r>
      <w:r w:rsidRPr="008372BA">
        <w:rPr>
          <w:rFonts w:ascii="Verdana" w:eastAsia="Arial" w:hAnsi="Verdana" w:cs="Arial"/>
          <w:i/>
          <w:iCs/>
          <w:sz w:val="18"/>
          <w:szCs w:val="18"/>
        </w:rPr>
        <w:t xml:space="preserve">”. </w:t>
      </w:r>
    </w:p>
    <w:p w14:paraId="3E4D7A6B" w14:textId="77777777" w:rsidR="00326102" w:rsidRPr="008372BA" w:rsidRDefault="00326102" w:rsidP="00326102">
      <w:pPr>
        <w:numPr>
          <w:ilvl w:val="0"/>
          <w:numId w:val="6"/>
        </w:numPr>
        <w:contextualSpacing/>
        <w:jc w:val="both"/>
        <w:rPr>
          <w:rFonts w:ascii="Verdana" w:eastAsia="Arial" w:hAnsi="Verdana" w:cs="Arial"/>
          <w:i/>
          <w:iCs/>
          <w:sz w:val="18"/>
          <w:szCs w:val="18"/>
        </w:rPr>
      </w:pPr>
      <w:r w:rsidRPr="008372BA">
        <w:rPr>
          <w:rFonts w:ascii="Verdana" w:eastAsia="Arial" w:hAnsi="Verdana" w:cs="Arial"/>
          <w:i/>
          <w:iCs/>
          <w:sz w:val="18"/>
          <w:szCs w:val="18"/>
        </w:rPr>
        <w:t>“Cuando</w:t>
      </w:r>
      <w:r w:rsidRPr="008372BA">
        <w:rPr>
          <w:rFonts w:ascii="Verdana" w:eastAsia="Arial" w:hAnsi="Verdana" w:cs="Arial"/>
          <w:i/>
          <w:sz w:val="18"/>
          <w:szCs w:val="18"/>
        </w:rPr>
        <w:t xml:space="preserve"> se haya omitido información jurídica, de experiencia o financiera esencial para la verificación de los requisitos habilitantes</w:t>
      </w:r>
      <w:r w:rsidRPr="008372BA">
        <w:rPr>
          <w:rFonts w:ascii="Verdana" w:eastAsia="Arial" w:hAnsi="Verdana" w:cs="Arial"/>
          <w:i/>
          <w:iCs/>
          <w:sz w:val="18"/>
          <w:szCs w:val="18"/>
        </w:rPr>
        <w:t>”.</w:t>
      </w:r>
    </w:p>
    <w:p w14:paraId="3D5E2BB8" w14:textId="77777777" w:rsidR="00326102" w:rsidRPr="008372BA" w:rsidRDefault="00326102" w:rsidP="00326102">
      <w:pPr>
        <w:numPr>
          <w:ilvl w:val="0"/>
          <w:numId w:val="6"/>
        </w:numPr>
        <w:contextualSpacing/>
        <w:jc w:val="both"/>
        <w:rPr>
          <w:rFonts w:ascii="Verdana" w:hAnsi="Verdana" w:cs="Arial"/>
          <w:i/>
          <w:iCs/>
          <w:sz w:val="18"/>
          <w:szCs w:val="18"/>
        </w:rPr>
      </w:pPr>
      <w:r w:rsidRPr="008372BA">
        <w:rPr>
          <w:rFonts w:ascii="Verdana" w:eastAsia="Arial" w:hAnsi="Verdana" w:cs="Arial"/>
          <w:i/>
          <w:iCs/>
          <w:sz w:val="18"/>
          <w:szCs w:val="18"/>
        </w:rPr>
        <w:t>“Cuando</w:t>
      </w:r>
      <w:r w:rsidRPr="008372BA">
        <w:rPr>
          <w:rFonts w:ascii="Verdana" w:eastAsia="Arial" w:hAnsi="Verdana" w:cs="Arial"/>
          <w:i/>
          <w:sz w:val="18"/>
          <w:szCs w:val="18"/>
        </w:rPr>
        <w:t xml:space="preserve"> no se cumpla con los requisitos exigidos para la calificación de los criterios de evaluación establecidos en esta convocatoria pública</w:t>
      </w:r>
      <w:r w:rsidRPr="008372BA">
        <w:rPr>
          <w:rFonts w:ascii="Verdana" w:eastAsia="Arial" w:hAnsi="Verdana" w:cs="Arial"/>
          <w:i/>
          <w:iCs/>
          <w:sz w:val="18"/>
          <w:szCs w:val="18"/>
        </w:rPr>
        <w:t xml:space="preserve">”. </w:t>
      </w:r>
    </w:p>
    <w:p w14:paraId="60C00B4E" w14:textId="77777777" w:rsidR="00326102" w:rsidRPr="008372BA" w:rsidRDefault="00326102" w:rsidP="00326102">
      <w:pPr>
        <w:numPr>
          <w:ilvl w:val="0"/>
          <w:numId w:val="6"/>
        </w:numPr>
        <w:contextualSpacing/>
        <w:jc w:val="both"/>
        <w:rPr>
          <w:rFonts w:ascii="Verdana" w:hAnsi="Verdana" w:cs="Arial"/>
          <w:i/>
          <w:sz w:val="18"/>
          <w:szCs w:val="18"/>
        </w:rPr>
      </w:pPr>
      <w:r w:rsidRPr="008372BA">
        <w:rPr>
          <w:rFonts w:ascii="Verdana" w:eastAsia="Arial" w:hAnsi="Verdana" w:cs="Arial"/>
          <w:i/>
          <w:iCs/>
          <w:sz w:val="18"/>
          <w:szCs w:val="18"/>
        </w:rPr>
        <w:t>“Cuando llamado a subsanar por presentación incompleta de requisitos habilitantes no lo haga o haciéndolo no los presente dentro del tiempo fijado en el cronograma para tal efecto”.</w:t>
      </w:r>
    </w:p>
    <w:p w14:paraId="427EAAE5" w14:textId="77777777" w:rsidR="00326102" w:rsidRPr="008372BA" w:rsidRDefault="00326102" w:rsidP="00326102">
      <w:pPr>
        <w:contextualSpacing/>
        <w:jc w:val="both"/>
        <w:rPr>
          <w:rFonts w:ascii="Verdana" w:eastAsia="Arial" w:hAnsi="Verdana" w:cs="Arial"/>
          <w:i/>
          <w:iCs/>
          <w:sz w:val="18"/>
          <w:szCs w:val="18"/>
        </w:rPr>
      </w:pPr>
    </w:p>
    <w:p w14:paraId="106EDAD3"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Por otro lado, según los criterios de selección reportados por la entidad en la plataforma SECOP, el certificado de idoneidad tendría una preponderancia del 20 % en la calificación final y la experiencia tendría una preponderancia del 80 %. En este sentido, entendiendo que ASOPINDE cumplía con todos los requisitos habilitantes técnicos y jurídicos desde que se llevó a cabo el primer proceso de evaluación, su calificación siempre fue superior a la calificación obtenida por FUNDEPA, por lo menos hasta ante de proyectarse el último informe de evaluación.</w:t>
      </w:r>
    </w:p>
    <w:p w14:paraId="07CD9D02" w14:textId="77777777" w:rsidR="00326102" w:rsidRPr="008372BA" w:rsidRDefault="00326102" w:rsidP="00326102">
      <w:pPr>
        <w:contextualSpacing/>
        <w:jc w:val="both"/>
        <w:rPr>
          <w:rFonts w:ascii="Verdana" w:eastAsia="Arial" w:hAnsi="Verdana" w:cs="Arial"/>
          <w:sz w:val="22"/>
          <w:szCs w:val="22"/>
        </w:rPr>
      </w:pPr>
    </w:p>
    <w:p w14:paraId="760D0CB9"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 xml:space="preserve">En adición, se evidencia que, para el último informe de evaluación, ambas entidades se encontraban en un empate de condiciones técnicas y jurídicas, para lo cual el pliego de condiciones establecía: </w:t>
      </w:r>
      <w:r w:rsidRPr="008372BA">
        <w:rPr>
          <w:rFonts w:ascii="Verdana" w:eastAsia="Arial" w:hAnsi="Verdana" w:cs="Arial"/>
          <w:i/>
          <w:iCs/>
          <w:sz w:val="22"/>
          <w:szCs w:val="22"/>
        </w:rPr>
        <w:t xml:space="preserve">“En caso de empate en el puntaje resultado de la ponderación, la entidad aceptará la oferta que haya sido entregada primero entre los empatados, según el orden de entrega de las mismas”. </w:t>
      </w:r>
      <w:r w:rsidRPr="008372BA">
        <w:rPr>
          <w:rFonts w:ascii="Verdana" w:eastAsia="Arial" w:hAnsi="Verdana" w:cs="Arial"/>
          <w:sz w:val="22"/>
          <w:szCs w:val="22"/>
        </w:rPr>
        <w:t>Entendiendo que ASOPINDE fue la primera entidad en entregar la documentación completa y cumplir con todos los requisitos técnicos y jurídicos evaluados, genera desconcierto la adjudicación del contrato a FUNDEPA.</w:t>
      </w:r>
    </w:p>
    <w:p w14:paraId="6DADFB7B" w14:textId="77777777" w:rsidR="00326102" w:rsidRPr="008372BA" w:rsidRDefault="00326102" w:rsidP="00326102">
      <w:pPr>
        <w:contextualSpacing/>
        <w:jc w:val="both"/>
        <w:rPr>
          <w:rFonts w:ascii="Verdana" w:eastAsia="Arial" w:hAnsi="Verdana" w:cs="Arial"/>
          <w:sz w:val="22"/>
          <w:szCs w:val="22"/>
        </w:rPr>
      </w:pPr>
    </w:p>
    <w:p w14:paraId="46959BA3" w14:textId="77777777" w:rsidR="00326102" w:rsidRPr="008372BA" w:rsidRDefault="00326102" w:rsidP="00326102">
      <w:pPr>
        <w:contextualSpacing/>
        <w:jc w:val="both"/>
        <w:rPr>
          <w:rFonts w:ascii="Verdana" w:eastAsia="Arial" w:hAnsi="Verdana" w:cs="Arial"/>
          <w:sz w:val="22"/>
          <w:szCs w:val="22"/>
        </w:rPr>
      </w:pPr>
      <w:r w:rsidRPr="008372BA">
        <w:rPr>
          <w:rFonts w:ascii="Verdana" w:eastAsia="Arial" w:hAnsi="Verdana" w:cs="Arial"/>
          <w:sz w:val="22"/>
          <w:szCs w:val="22"/>
        </w:rPr>
        <w:t xml:space="preserve">En consecuencia, se habrían vulnerado los artículos 30.6 y 30.9 de la Ley 80 de 1993 entendiendo que el contrato se adjudicó fuera de los tiempos establecidos por el pliego de condiciones y sus adendas, a un contratista que no envió la documentación solicitada en el plazo indicado. En la misma línea, teniendo en cuenta que el artículo 8 del Decreto 092 de 2017 dicta que la contratación con entidades privadas sin ánimo de lucro está sujeta a las normas generales aplicables a la contratación pública, el </w:t>
      </w:r>
      <w:r w:rsidRPr="008372BA">
        <w:rPr>
          <w:rFonts w:ascii="Verdana" w:eastAsia="Arial" w:hAnsi="Verdana" w:cs="Arial"/>
          <w:sz w:val="22"/>
          <w:szCs w:val="22"/>
        </w:rPr>
        <w:lastRenderedPageBreak/>
        <w:t>Municipio habría vulnerado el parágrafo 1 del artículo 5 de la Ley 1882 de 2008 donde se dicta que</w:t>
      </w:r>
      <w:r w:rsidRPr="008372BA">
        <w:rPr>
          <w:rFonts w:ascii="Verdana" w:eastAsia="Arial" w:hAnsi="Verdana" w:cs="Arial"/>
          <w:i/>
          <w:iCs/>
          <w:sz w:val="22"/>
          <w:szCs w:val="22"/>
        </w:rPr>
        <w:t xml:space="preserve"> “serán rechazadas las ofertas de aquellos proponentes que no suministren la información y la documentación solicitada por la entidad estatal hasta el plazo del término de traslado del informe de evaluación”</w:t>
      </w:r>
      <w:r w:rsidRPr="008372BA">
        <w:rPr>
          <w:rFonts w:ascii="Verdana" w:eastAsia="Arial" w:hAnsi="Verdana" w:cs="Arial"/>
          <w:sz w:val="22"/>
          <w:szCs w:val="22"/>
        </w:rPr>
        <w:t>, dado que se adjudicó el contrato a un contratista que no envió la documentación solicitada en el plazo indicado, por encima de un contratista que desde la primera evaluación era idóneo para el desarrollo del objeto contractual y se sujetó a las fechas del pliego de condiciones y cuyo proceso estuvo acorde a lo dictado en la Ley 80 de 1993 y la Ley 1150 de 2007.</w:t>
      </w:r>
    </w:p>
    <w:p w14:paraId="7480A317" w14:textId="77777777" w:rsidR="00326102" w:rsidRPr="008372BA" w:rsidRDefault="00326102" w:rsidP="00326102">
      <w:pPr>
        <w:contextualSpacing/>
        <w:rPr>
          <w:rFonts w:ascii="Verdana" w:hAnsi="Verdana"/>
          <w:lang w:val="es-CO"/>
        </w:rPr>
      </w:pPr>
    </w:p>
    <w:p w14:paraId="05FD9242" w14:textId="77777777" w:rsidR="00326102" w:rsidRPr="008372BA" w:rsidRDefault="00326102" w:rsidP="00326102">
      <w:pPr>
        <w:keepNext/>
        <w:keepLines/>
        <w:numPr>
          <w:ilvl w:val="0"/>
          <w:numId w:val="3"/>
        </w:numPr>
        <w:contextualSpacing/>
        <w:jc w:val="both"/>
        <w:outlineLvl w:val="0"/>
        <w:rPr>
          <w:rFonts w:ascii="Verdana" w:eastAsia="MS Gothic" w:hAnsi="Verdana" w:cs="Arial"/>
          <w:b/>
          <w:sz w:val="22"/>
          <w:szCs w:val="22"/>
          <w:lang w:val="es-CO"/>
        </w:rPr>
      </w:pPr>
      <w:r w:rsidRPr="008372BA">
        <w:rPr>
          <w:rFonts w:ascii="Verdana" w:eastAsia="MS Gothic" w:hAnsi="Verdana" w:cs="Arial"/>
          <w:b/>
          <w:sz w:val="22"/>
          <w:szCs w:val="22"/>
          <w:lang w:val="es-CO"/>
        </w:rPr>
        <w:t>CONCLUSIONES Y RECOMENDACIONES.</w:t>
      </w:r>
    </w:p>
    <w:p w14:paraId="6BE0ACD7" w14:textId="77777777" w:rsidR="00326102" w:rsidRPr="008372BA" w:rsidRDefault="00326102" w:rsidP="00326102">
      <w:pPr>
        <w:contextualSpacing/>
        <w:jc w:val="both"/>
        <w:rPr>
          <w:rFonts w:ascii="Verdana" w:hAnsi="Verdana" w:cs="Arial"/>
          <w:sz w:val="22"/>
          <w:szCs w:val="22"/>
          <w:lang w:val="es-CO"/>
        </w:rPr>
      </w:pPr>
    </w:p>
    <w:p w14:paraId="25539D28" w14:textId="77777777" w:rsidR="00326102" w:rsidRPr="008372BA" w:rsidRDefault="00326102" w:rsidP="00326102">
      <w:pPr>
        <w:contextualSpacing/>
        <w:jc w:val="both"/>
        <w:rPr>
          <w:rFonts w:ascii="Verdana" w:hAnsi="Verdana" w:cs="Arial"/>
          <w:sz w:val="22"/>
          <w:szCs w:val="22"/>
        </w:rPr>
      </w:pPr>
      <w:r w:rsidRPr="008372BA">
        <w:rPr>
          <w:rFonts w:ascii="Verdana" w:hAnsi="Verdana" w:cs="Arial"/>
          <w:sz w:val="22"/>
          <w:szCs w:val="22"/>
        </w:rPr>
        <w:t xml:space="preserve">Como resultado de la evaluación realizada a lo largo del presente informe, se concluye que el Municipio de Puerto Berrío – Antioquia ha cumplido con solamente </w:t>
      </w:r>
      <w:r>
        <w:rPr>
          <w:rFonts w:ascii="Verdana" w:hAnsi="Verdana" w:cs="Arial"/>
          <w:sz w:val="22"/>
          <w:szCs w:val="22"/>
        </w:rPr>
        <w:t>tres</w:t>
      </w:r>
      <w:r w:rsidRPr="008372BA">
        <w:rPr>
          <w:rFonts w:ascii="Verdana" w:hAnsi="Verdana" w:cs="Arial"/>
          <w:sz w:val="22"/>
          <w:szCs w:val="22"/>
        </w:rPr>
        <w:t xml:space="preserve"> (</w:t>
      </w:r>
      <w:r>
        <w:rPr>
          <w:rFonts w:ascii="Verdana" w:hAnsi="Verdana" w:cs="Arial"/>
          <w:sz w:val="22"/>
          <w:szCs w:val="22"/>
        </w:rPr>
        <w:t>3</w:t>
      </w:r>
      <w:r w:rsidRPr="008372BA">
        <w:rPr>
          <w:rFonts w:ascii="Verdana" w:hAnsi="Verdana" w:cs="Arial"/>
          <w:sz w:val="22"/>
          <w:szCs w:val="22"/>
        </w:rPr>
        <w:t xml:space="preserve">) de las nueve (9) actividades contenidas en el Plan de Desempeño lo cual se traduce en un cumplimiento de tan solo el </w:t>
      </w:r>
      <w:r>
        <w:rPr>
          <w:rFonts w:ascii="Verdana" w:hAnsi="Verdana" w:cs="Arial"/>
          <w:sz w:val="22"/>
          <w:szCs w:val="22"/>
        </w:rPr>
        <w:t>33</w:t>
      </w:r>
      <w:r w:rsidR="00847CA6">
        <w:rPr>
          <w:rFonts w:ascii="Verdana" w:hAnsi="Verdana" w:cs="Arial"/>
          <w:sz w:val="22"/>
          <w:szCs w:val="22"/>
        </w:rPr>
        <w:t xml:space="preserve"> </w:t>
      </w:r>
      <w:r w:rsidRPr="008372BA">
        <w:rPr>
          <w:rFonts w:ascii="Verdana" w:hAnsi="Verdana" w:cs="Arial"/>
          <w:sz w:val="22"/>
          <w:szCs w:val="22"/>
        </w:rPr>
        <w:t xml:space="preserve">%. Lo anterior refleja poca disposición por parte de la Administración Municipal para cumplir con el Plan de Desempeño y con las actividades pactadas para la superación de los eventos de riesgo identificados inicialmente. Al respecto, es importante mencionar la reiteración en el cambio en la destinación de los recursos ya que la Entidad sigue invirtiendo los recursos de la Asignación en líneas no permitidas, específicamente en actividades de talleres y campañas educativas, lo cual ha sido aclarado en ocasiones anteriores por esta Dirección al explicar la razón por la cual estas actividades no son financiables con estos recursos. </w:t>
      </w:r>
    </w:p>
    <w:p w14:paraId="13C0D47C" w14:textId="77777777" w:rsidR="00326102" w:rsidRPr="008372BA" w:rsidRDefault="00326102" w:rsidP="00326102">
      <w:pPr>
        <w:contextualSpacing/>
        <w:jc w:val="both"/>
        <w:rPr>
          <w:rFonts w:ascii="Verdana" w:hAnsi="Verdana" w:cs="Arial"/>
          <w:sz w:val="22"/>
          <w:szCs w:val="22"/>
        </w:rPr>
      </w:pPr>
    </w:p>
    <w:p w14:paraId="67A4616D" w14:textId="77777777" w:rsidR="00326102" w:rsidRPr="008372BA" w:rsidRDefault="00326102" w:rsidP="00326102">
      <w:pPr>
        <w:contextualSpacing/>
        <w:jc w:val="both"/>
        <w:rPr>
          <w:rFonts w:ascii="Verdana" w:hAnsi="Verdana" w:cs="Arial"/>
          <w:sz w:val="22"/>
          <w:szCs w:val="22"/>
          <w:lang w:val="es-CO"/>
        </w:rPr>
      </w:pPr>
      <w:r w:rsidRPr="008372BA">
        <w:rPr>
          <w:rFonts w:ascii="Verdana" w:hAnsi="Verdana" w:cs="Arial"/>
          <w:sz w:val="22"/>
          <w:szCs w:val="22"/>
        </w:rPr>
        <w:t>A</w:t>
      </w:r>
      <w:r w:rsidR="00847CA6">
        <w:rPr>
          <w:rFonts w:ascii="Verdana" w:hAnsi="Verdana" w:cs="Arial"/>
          <w:sz w:val="22"/>
          <w:szCs w:val="22"/>
        </w:rPr>
        <w:t>demás de lo anterior, a</w:t>
      </w:r>
      <w:r w:rsidRPr="008372BA">
        <w:rPr>
          <w:rFonts w:ascii="Verdana" w:hAnsi="Verdana" w:cs="Arial"/>
          <w:sz w:val="22"/>
          <w:szCs w:val="22"/>
        </w:rPr>
        <w:t xml:space="preserve"> partir del análisis de las actividades contractuales, se evidenció </w:t>
      </w:r>
      <w:r>
        <w:rPr>
          <w:rFonts w:ascii="Verdana" w:hAnsi="Verdana" w:cs="Arial"/>
          <w:sz w:val="22"/>
          <w:szCs w:val="22"/>
        </w:rPr>
        <w:t>una situación de riesgo sobreviniente</w:t>
      </w:r>
      <w:r w:rsidRPr="008372BA">
        <w:rPr>
          <w:rFonts w:ascii="Verdana" w:hAnsi="Verdana" w:cs="Arial"/>
          <w:sz w:val="22"/>
          <w:szCs w:val="22"/>
        </w:rPr>
        <w:t xml:space="preserve">, debido a que, el Municipio realizó un proceso de contratación irregular en el Contrato </w:t>
      </w:r>
      <w:r w:rsidRPr="008372BA">
        <w:rPr>
          <w:rFonts w:ascii="Verdana" w:eastAsia="Arial" w:hAnsi="Verdana" w:cs="Arial"/>
          <w:sz w:val="22"/>
          <w:szCs w:val="22"/>
        </w:rPr>
        <w:t>CO1.PCCNTR.3099616.</w:t>
      </w:r>
    </w:p>
    <w:p w14:paraId="283A7E45" w14:textId="77777777" w:rsidR="00326102" w:rsidRPr="008372BA" w:rsidRDefault="00326102" w:rsidP="00326102">
      <w:pPr>
        <w:contextualSpacing/>
        <w:jc w:val="both"/>
        <w:rPr>
          <w:rFonts w:ascii="Verdana" w:hAnsi="Verdana" w:cs="Arial"/>
          <w:sz w:val="22"/>
          <w:szCs w:val="22"/>
          <w:lang w:val="es-CO"/>
        </w:rPr>
      </w:pPr>
    </w:p>
    <w:p w14:paraId="670AF794" w14:textId="77777777" w:rsidR="00326102" w:rsidRDefault="00326102" w:rsidP="00326102">
      <w:pPr>
        <w:contextualSpacing/>
        <w:jc w:val="both"/>
        <w:rPr>
          <w:rFonts w:ascii="Verdana" w:hAnsi="Verdana" w:cs="Arial"/>
          <w:sz w:val="22"/>
          <w:szCs w:val="22"/>
        </w:rPr>
      </w:pPr>
      <w:r w:rsidRPr="008372BA">
        <w:rPr>
          <w:rFonts w:ascii="Verdana" w:hAnsi="Verdana" w:cs="Arial"/>
          <w:sz w:val="22"/>
          <w:szCs w:val="22"/>
        </w:rPr>
        <w:t>Por consiguiente</w:t>
      </w:r>
      <w:r>
        <w:rPr>
          <w:rFonts w:ascii="Verdana" w:hAnsi="Verdana" w:cs="Arial"/>
          <w:sz w:val="22"/>
          <w:szCs w:val="22"/>
        </w:rPr>
        <w:t xml:space="preserve">, </w:t>
      </w:r>
      <w:r w:rsidRPr="00B806C2">
        <w:rPr>
          <w:rFonts w:ascii="Verdana" w:hAnsi="Verdana" w:cs="Arial"/>
          <w:sz w:val="22"/>
          <w:szCs w:val="22"/>
        </w:rPr>
        <w:t xml:space="preserve">se le recomienda </w:t>
      </w:r>
      <w:r>
        <w:rPr>
          <w:rFonts w:ascii="Verdana" w:hAnsi="Verdana" w:cs="Arial"/>
          <w:sz w:val="22"/>
          <w:szCs w:val="22"/>
        </w:rPr>
        <w:t>al Municipio</w:t>
      </w:r>
      <w:r w:rsidRPr="00B806C2">
        <w:rPr>
          <w:rFonts w:ascii="Verdana" w:hAnsi="Verdana" w:cs="Arial"/>
          <w:sz w:val="22"/>
          <w:szCs w:val="22"/>
        </w:rPr>
        <w:t xml:space="preserve"> revisar de manera detallada los seguimientos realizados</w:t>
      </w:r>
      <w:r w:rsidR="00B5238C">
        <w:rPr>
          <w:rFonts w:ascii="Verdana" w:hAnsi="Verdana" w:cs="Arial"/>
          <w:sz w:val="22"/>
          <w:szCs w:val="22"/>
        </w:rPr>
        <w:t>, así como</w:t>
      </w:r>
      <w:r w:rsidRPr="00B806C2">
        <w:rPr>
          <w:rFonts w:ascii="Verdana" w:hAnsi="Verdana" w:cs="Arial"/>
          <w:sz w:val="22"/>
          <w:szCs w:val="22"/>
        </w:rPr>
        <w:t xml:space="preserve"> la evaluación y recomendaciones </w:t>
      </w:r>
      <w:r w:rsidR="00B5238C">
        <w:rPr>
          <w:rFonts w:ascii="Verdana" w:hAnsi="Verdana" w:cs="Arial"/>
          <w:sz w:val="22"/>
          <w:szCs w:val="22"/>
        </w:rPr>
        <w:t xml:space="preserve">hechas </w:t>
      </w:r>
      <w:r w:rsidRPr="00B806C2">
        <w:rPr>
          <w:rFonts w:ascii="Verdana" w:hAnsi="Verdana" w:cs="Arial"/>
          <w:sz w:val="22"/>
          <w:szCs w:val="22"/>
        </w:rPr>
        <w:t>para cada actividad</w:t>
      </w:r>
      <w:r w:rsidR="00B5238C">
        <w:rPr>
          <w:rFonts w:ascii="Verdana" w:hAnsi="Verdana" w:cs="Arial"/>
          <w:sz w:val="22"/>
          <w:szCs w:val="22"/>
        </w:rPr>
        <w:t>; esto, con el fin de</w:t>
      </w:r>
      <w:r w:rsidRPr="00B806C2">
        <w:rPr>
          <w:rFonts w:ascii="Verdana" w:hAnsi="Verdana" w:cs="Arial"/>
          <w:sz w:val="22"/>
          <w:szCs w:val="22"/>
        </w:rPr>
        <w:t xml:space="preserve"> comenzar a implementar las mejoras al interior de la </w:t>
      </w:r>
      <w:r w:rsidR="00847CA6">
        <w:rPr>
          <w:rFonts w:ascii="Verdana" w:hAnsi="Verdana" w:cs="Arial"/>
          <w:sz w:val="22"/>
          <w:szCs w:val="22"/>
        </w:rPr>
        <w:t>A</w:t>
      </w:r>
      <w:r w:rsidRPr="00B806C2">
        <w:rPr>
          <w:rFonts w:ascii="Verdana" w:hAnsi="Verdana" w:cs="Arial"/>
          <w:sz w:val="22"/>
          <w:szCs w:val="22"/>
        </w:rPr>
        <w:t xml:space="preserve">dministración, pues del cumplimiento de las actividades depende un eventual levantamiento del </w:t>
      </w:r>
      <w:r w:rsidR="00B5238C">
        <w:rPr>
          <w:rFonts w:ascii="Verdana" w:hAnsi="Verdana" w:cs="Arial"/>
          <w:sz w:val="22"/>
          <w:szCs w:val="22"/>
        </w:rPr>
        <w:t>Plan de Desempeño, así como su incumplimiento podría dar lugar a la</w:t>
      </w:r>
      <w:r w:rsidRPr="00B806C2">
        <w:rPr>
          <w:rFonts w:ascii="Verdana" w:hAnsi="Verdana" w:cs="Arial"/>
          <w:sz w:val="22"/>
          <w:szCs w:val="22"/>
        </w:rPr>
        <w:t xml:space="preserve"> adopción de una medida correctiva.</w:t>
      </w:r>
    </w:p>
    <w:p w14:paraId="2AC8D2CA" w14:textId="77777777" w:rsidR="00326102" w:rsidRPr="00B806C2" w:rsidRDefault="00326102" w:rsidP="00326102">
      <w:pPr>
        <w:contextualSpacing/>
        <w:jc w:val="both"/>
        <w:rPr>
          <w:rFonts w:ascii="Verdana" w:hAnsi="Verdana" w:cs="Arial"/>
          <w:sz w:val="22"/>
          <w:szCs w:val="22"/>
        </w:rPr>
      </w:pPr>
    </w:p>
    <w:p w14:paraId="754B6A0B" w14:textId="77777777" w:rsidR="00326102" w:rsidRPr="00B806C2" w:rsidRDefault="00326102" w:rsidP="00326102">
      <w:pPr>
        <w:contextualSpacing/>
        <w:jc w:val="both"/>
        <w:rPr>
          <w:rFonts w:ascii="Verdana" w:hAnsi="Verdana" w:cs="Arial"/>
          <w:sz w:val="22"/>
          <w:szCs w:val="22"/>
        </w:rPr>
      </w:pPr>
      <w:r w:rsidRPr="00B806C2">
        <w:rPr>
          <w:rFonts w:ascii="Verdana" w:hAnsi="Verdana" w:cs="Arial"/>
          <w:sz w:val="22"/>
          <w:szCs w:val="22"/>
        </w:rPr>
        <w:t>En síntesis, se espera que en el próximo seguimiento se pueda</w:t>
      </w:r>
      <w:r w:rsidR="00B5238C">
        <w:rPr>
          <w:rFonts w:ascii="Verdana" w:hAnsi="Verdana" w:cs="Arial"/>
          <w:sz w:val="22"/>
          <w:szCs w:val="22"/>
        </w:rPr>
        <w:t>n</w:t>
      </w:r>
      <w:r w:rsidRPr="00B806C2">
        <w:rPr>
          <w:rFonts w:ascii="Verdana" w:hAnsi="Verdana" w:cs="Arial"/>
          <w:sz w:val="22"/>
          <w:szCs w:val="22"/>
        </w:rPr>
        <w:t xml:space="preserve"> observar avances significativos en las actividades del Plan de Desempeño de acuerdo con los comentarios y recomendaciones que se han realizado a lo largo del presente informe. </w:t>
      </w:r>
    </w:p>
    <w:p w14:paraId="69301FF4" w14:textId="77777777" w:rsidR="00326102" w:rsidRPr="008372BA" w:rsidRDefault="00326102" w:rsidP="00326102">
      <w:pPr>
        <w:contextualSpacing/>
        <w:jc w:val="both"/>
        <w:rPr>
          <w:rFonts w:ascii="Verdana" w:hAnsi="Verdana" w:cs="Arial"/>
          <w:sz w:val="22"/>
          <w:szCs w:val="22"/>
          <w:lang w:val="es-CO"/>
        </w:rPr>
      </w:pPr>
    </w:p>
    <w:p w14:paraId="7646CC7F" w14:textId="77777777" w:rsidR="00326102" w:rsidRPr="008372BA" w:rsidRDefault="00326102" w:rsidP="00326102">
      <w:pPr>
        <w:contextualSpacing/>
        <w:jc w:val="both"/>
        <w:rPr>
          <w:rFonts w:ascii="Verdana" w:hAnsi="Verdana" w:cs="Arial"/>
          <w:sz w:val="22"/>
          <w:szCs w:val="22"/>
          <w:lang w:val="es-CO"/>
        </w:rPr>
      </w:pPr>
    </w:p>
    <w:p w14:paraId="152023D1" w14:textId="77777777" w:rsidR="00326102" w:rsidRPr="008372BA" w:rsidRDefault="00326102" w:rsidP="00326102">
      <w:pPr>
        <w:contextualSpacing/>
        <w:jc w:val="both"/>
        <w:rPr>
          <w:rFonts w:ascii="Verdana" w:hAnsi="Verdana" w:cs="Arial"/>
          <w:sz w:val="22"/>
          <w:szCs w:val="22"/>
          <w:lang w:val="es-CO"/>
        </w:rPr>
      </w:pPr>
    </w:p>
    <w:p w14:paraId="0D0AD030" w14:textId="77777777" w:rsidR="00326102" w:rsidRPr="008372BA" w:rsidRDefault="00326102" w:rsidP="00326102">
      <w:pPr>
        <w:contextualSpacing/>
        <w:jc w:val="both"/>
        <w:rPr>
          <w:rFonts w:ascii="Verdana" w:hAnsi="Verdana" w:cs="Arial"/>
          <w:sz w:val="16"/>
          <w:szCs w:val="16"/>
          <w:lang w:val="es-CO"/>
        </w:rPr>
      </w:pPr>
      <w:r w:rsidRPr="008372BA">
        <w:rPr>
          <w:rFonts w:ascii="Verdana" w:hAnsi="Verdana" w:cs="Arial"/>
          <w:b/>
          <w:bCs/>
          <w:sz w:val="16"/>
          <w:szCs w:val="16"/>
          <w:lang w:val="es-CO"/>
        </w:rPr>
        <w:t>APROBÓ:</w:t>
      </w:r>
      <w:r w:rsidRPr="008372BA">
        <w:rPr>
          <w:rFonts w:ascii="Verdana" w:hAnsi="Verdana" w:cs="Arial"/>
          <w:sz w:val="16"/>
          <w:szCs w:val="16"/>
          <w:lang w:val="es-CO"/>
        </w:rPr>
        <w:t xml:space="preserve"> Fernando Olivera Villanueva</w:t>
      </w:r>
    </w:p>
    <w:p w14:paraId="72E16AF2" w14:textId="77777777" w:rsidR="00326102" w:rsidRPr="008372BA" w:rsidRDefault="00326102" w:rsidP="00326102">
      <w:pPr>
        <w:contextualSpacing/>
        <w:jc w:val="both"/>
        <w:rPr>
          <w:rFonts w:ascii="Verdana" w:hAnsi="Verdana" w:cs="Arial"/>
          <w:sz w:val="16"/>
          <w:szCs w:val="16"/>
          <w:lang w:val="es-CO"/>
        </w:rPr>
      </w:pPr>
      <w:r w:rsidRPr="008372BA">
        <w:rPr>
          <w:rFonts w:ascii="Verdana" w:hAnsi="Verdana" w:cs="Arial"/>
          <w:b/>
          <w:bCs/>
          <w:sz w:val="16"/>
          <w:szCs w:val="16"/>
          <w:lang w:val="es-CO"/>
        </w:rPr>
        <w:t>REVISIÓN JURÍDICA:</w:t>
      </w:r>
      <w:r w:rsidRPr="008372BA">
        <w:rPr>
          <w:rFonts w:ascii="Verdana" w:hAnsi="Verdana" w:cs="Arial"/>
          <w:sz w:val="16"/>
          <w:szCs w:val="16"/>
          <w:lang w:val="es-CO"/>
        </w:rPr>
        <w:t xml:space="preserve"> Carlos Barona</w:t>
      </w:r>
    </w:p>
    <w:p w14:paraId="4CD0B7E1" w14:textId="77777777" w:rsidR="00326102" w:rsidRPr="008372BA" w:rsidRDefault="00326102" w:rsidP="00326102">
      <w:pPr>
        <w:contextualSpacing/>
        <w:jc w:val="both"/>
      </w:pPr>
      <w:r w:rsidRPr="008372BA">
        <w:rPr>
          <w:rFonts w:ascii="Verdana" w:hAnsi="Verdana" w:cs="Arial"/>
          <w:b/>
          <w:bCs/>
          <w:sz w:val="16"/>
          <w:szCs w:val="16"/>
          <w:lang w:val="es-CO"/>
        </w:rPr>
        <w:t>ELABORÓ:</w:t>
      </w:r>
      <w:r w:rsidRPr="008372BA">
        <w:rPr>
          <w:rFonts w:ascii="Verdana" w:hAnsi="Verdana" w:cs="Arial"/>
          <w:sz w:val="16"/>
          <w:szCs w:val="16"/>
          <w:lang w:val="es-CO"/>
        </w:rPr>
        <w:t xml:space="preserve"> Diego Cortés Silva / Nicolas Osorio Almario</w:t>
      </w:r>
    </w:p>
    <w:p w14:paraId="7E2B1737" w14:textId="77777777" w:rsidR="00D92691" w:rsidRPr="00326102" w:rsidRDefault="00D92691" w:rsidP="00326102"/>
    <w:sectPr w:rsidR="00D92691" w:rsidRPr="00326102" w:rsidSect="00AF70F7">
      <w:headerReference w:type="default" r:id="rId19"/>
      <w:footerReference w:type="default" r:id="rId20"/>
      <w:headerReference w:type="first" r:id="rId21"/>
      <w:footerReference w:type="first" r:id="rId22"/>
      <w:pgSz w:w="12240" w:h="15840" w:code="1"/>
      <w:pgMar w:top="1701" w:right="1418" w:bottom="1418" w:left="1418"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E2C474" w14:textId="77777777" w:rsidR="00D949C6" w:rsidRDefault="00D949C6" w:rsidP="00F71345">
      <w:r>
        <w:separator/>
      </w:r>
    </w:p>
  </w:endnote>
  <w:endnote w:type="continuationSeparator" w:id="0">
    <w:p w14:paraId="76A7FBCA" w14:textId="77777777" w:rsidR="00D949C6" w:rsidRDefault="00D949C6" w:rsidP="00F71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charset w:val="80"/>
    <w:family w:val="auto"/>
    <w:pitch w:val="variable"/>
    <w:sig w:usb0="00000001" w:usb1="08070000" w:usb2="00000010" w:usb3="00000000" w:csb0="00020000" w:csb1="00000000"/>
  </w:font>
  <w:font w:name="Futura Std Book">
    <w:altName w:val="Gadugi"/>
    <w:charset w:val="B1"/>
    <w:family w:val="swiss"/>
    <w:pitch w:val="variable"/>
    <w:sig w:usb0="80000867" w:usb1="00000000" w:usb2="00000000" w:usb3="00000000" w:csb0="000001FB"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991A1" w14:textId="77777777" w:rsidR="00AF70F7" w:rsidRDefault="00AF70F7" w:rsidP="00AF70F7">
    <w:pPr>
      <w:pStyle w:val="Piedepgina"/>
      <w:jc w:val="right"/>
      <w:rPr>
        <w:rFonts w:ascii="Verdana" w:hAnsi="Verdana"/>
      </w:rPr>
    </w:pPr>
    <w:r w:rsidRPr="00AF70F7">
      <w:rPr>
        <w:rFonts w:ascii="Verdana" w:hAnsi="Verdana"/>
        <w:lang w:val="es-ES"/>
      </w:rPr>
      <w:t xml:space="preserve">Página </w:t>
    </w:r>
    <w:r w:rsidRPr="00AF70F7">
      <w:rPr>
        <w:rFonts w:ascii="Verdana" w:hAnsi="Verdana"/>
      </w:rPr>
      <w:fldChar w:fldCharType="begin"/>
    </w:r>
    <w:r w:rsidRPr="00AF70F7">
      <w:rPr>
        <w:rFonts w:ascii="Verdana" w:hAnsi="Verdana"/>
      </w:rPr>
      <w:instrText>PAGE  \* Arabic  \* MERGEFORMAT</w:instrText>
    </w:r>
    <w:r w:rsidRPr="00AF70F7">
      <w:rPr>
        <w:rFonts w:ascii="Verdana" w:hAnsi="Verdana"/>
      </w:rPr>
      <w:fldChar w:fldCharType="separate"/>
    </w:r>
    <w:r w:rsidRPr="00AF70F7">
      <w:rPr>
        <w:rFonts w:ascii="Verdana" w:hAnsi="Verdana"/>
        <w:lang w:val="es-ES"/>
      </w:rPr>
      <w:t>2</w:t>
    </w:r>
    <w:r w:rsidRPr="00AF70F7">
      <w:rPr>
        <w:rFonts w:ascii="Verdana" w:hAnsi="Verdana"/>
      </w:rPr>
      <w:fldChar w:fldCharType="end"/>
    </w:r>
    <w:r w:rsidRPr="00AF70F7">
      <w:rPr>
        <w:rFonts w:ascii="Verdana" w:hAnsi="Verdana"/>
        <w:lang w:val="es-ES"/>
      </w:rPr>
      <w:t xml:space="preserve"> de </w:t>
    </w:r>
    <w:r w:rsidRPr="00AF70F7">
      <w:rPr>
        <w:rFonts w:ascii="Verdana" w:hAnsi="Verdana"/>
      </w:rPr>
      <w:fldChar w:fldCharType="begin"/>
    </w:r>
    <w:r w:rsidRPr="00AF70F7">
      <w:rPr>
        <w:rFonts w:ascii="Verdana" w:hAnsi="Verdana"/>
      </w:rPr>
      <w:instrText>NUMPAGES  \* Arabic  \* MERGEFORMAT</w:instrText>
    </w:r>
    <w:r w:rsidRPr="00AF70F7">
      <w:rPr>
        <w:rFonts w:ascii="Verdana" w:hAnsi="Verdana"/>
      </w:rPr>
      <w:fldChar w:fldCharType="separate"/>
    </w:r>
    <w:r w:rsidRPr="00AF70F7">
      <w:rPr>
        <w:rFonts w:ascii="Verdana" w:hAnsi="Verdana"/>
        <w:lang w:val="es-ES"/>
      </w:rPr>
      <w:t>2</w:t>
    </w:r>
    <w:r w:rsidRPr="00AF70F7">
      <w:rPr>
        <w:rFonts w:ascii="Verdana" w:hAnsi="Verdana"/>
      </w:rPr>
      <w:fldChar w:fldCharType="end"/>
    </w:r>
  </w:p>
  <w:p w14:paraId="5E049711" w14:textId="77777777" w:rsidR="00AF70F7" w:rsidRPr="00AF70F7" w:rsidRDefault="00AF70F7" w:rsidP="00AF70F7">
    <w:pPr>
      <w:pStyle w:val="Piedepgina"/>
      <w:jc w:val="right"/>
      <w:rPr>
        <w:rFonts w:ascii="Verdana" w:hAnsi="Verdana"/>
      </w:rPr>
    </w:pPr>
  </w:p>
  <w:p w14:paraId="71244F40" w14:textId="77777777" w:rsidR="00627337" w:rsidRPr="00F01F75" w:rsidRDefault="00627337" w:rsidP="002F2BC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D714" w14:textId="77777777" w:rsidR="00627337" w:rsidRPr="00F01F75" w:rsidRDefault="00FF4985" w:rsidP="002F2BCC">
    <w:pPr>
      <w:pStyle w:val="Piedepgina"/>
    </w:pPr>
    <w:r>
      <w:rPr>
        <w:noProof/>
        <w:lang w:eastAsia="es-CO"/>
      </w:rPr>
      <w:drawing>
        <wp:anchor distT="0" distB="0" distL="114300" distR="114300" simplePos="0" relativeHeight="251659264" behindDoc="0" locked="0" layoutInCell="1" allowOverlap="1" wp14:anchorId="75E3B5B1" wp14:editId="3BBE3CDD">
          <wp:simplePos x="0" y="0"/>
          <wp:positionH relativeFrom="margin">
            <wp:align>left</wp:align>
          </wp:positionH>
          <wp:positionV relativeFrom="paragraph">
            <wp:posOffset>-742950</wp:posOffset>
          </wp:positionV>
          <wp:extent cx="3150870" cy="869950"/>
          <wp:effectExtent l="0" t="0" r="0" b="635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150870" cy="869950"/>
                  </a:xfrm>
                  <a:prstGeom prst="rect">
                    <a:avLst/>
                  </a:prstGeom>
                  <a:noFill/>
                  <a:ln>
                    <a:noFill/>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466BD" w14:textId="77777777" w:rsidR="00D949C6" w:rsidRDefault="00D949C6" w:rsidP="00F71345">
      <w:r>
        <w:separator/>
      </w:r>
    </w:p>
  </w:footnote>
  <w:footnote w:type="continuationSeparator" w:id="0">
    <w:p w14:paraId="1D0BCCA1" w14:textId="77777777" w:rsidR="00D949C6" w:rsidRDefault="00D949C6" w:rsidP="00F71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8E87A" w14:textId="77777777" w:rsidR="00627337" w:rsidRDefault="00627337" w:rsidP="00A82889">
    <w:pPr>
      <w:jc w:val="right"/>
      <w:rPr>
        <w:rFonts w:ascii="Arial" w:hAnsi="Arial" w:cs="Arial"/>
        <w:sz w:val="16"/>
        <w:szCs w:val="16"/>
      </w:rPr>
    </w:pPr>
  </w:p>
  <w:p w14:paraId="3CFB85F5" w14:textId="77777777" w:rsidR="00627337" w:rsidRDefault="00627337" w:rsidP="00FF4985">
    <w:pPr>
      <w:rPr>
        <w:noProof/>
        <w:lang w:val="es-CO" w:eastAsia="es-CO"/>
      </w:rPr>
    </w:pPr>
  </w:p>
  <w:p w14:paraId="184EE897" w14:textId="77777777" w:rsidR="00627337" w:rsidRPr="00F01F75" w:rsidRDefault="00C93C22" w:rsidP="00AF70F7">
    <w:pPr>
      <w:rPr>
        <w:rFonts w:ascii="Arial" w:hAnsi="Arial" w:cs="Arial"/>
        <w:sz w:val="16"/>
        <w:szCs w:val="16"/>
      </w:rPr>
    </w:pPr>
    <w:r>
      <w:rPr>
        <w:noProof/>
      </w:rPr>
      <w:drawing>
        <wp:inline distT="0" distB="0" distL="0" distR="0" wp14:anchorId="2D9C2D21" wp14:editId="5B7C0DE6">
          <wp:extent cx="5612130" cy="904875"/>
          <wp:effectExtent l="0" t="0" r="0" b="0"/>
          <wp:docPr id="1170187753" name="Imagen 1170187753"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64645" name="Imagen 1022964645" descr="Imagen que contiene Rectángul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612130" cy="9048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A243D" w14:textId="77777777" w:rsidR="00627337" w:rsidRDefault="00C93C22" w:rsidP="00FF4985">
    <w:pPr>
      <w:pStyle w:val="Encabezado"/>
    </w:pPr>
    <w:r>
      <w:rPr>
        <w:noProof/>
      </w:rPr>
      <w:drawing>
        <wp:inline distT="0" distB="0" distL="0" distR="0" wp14:anchorId="412E1243" wp14:editId="1F7F68C9">
          <wp:extent cx="5612130" cy="904875"/>
          <wp:effectExtent l="0" t="0" r="0" b="0"/>
          <wp:docPr id="1022964645" name="Imagen 1" descr="Imagen que contiene Rectángu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964645" name="Imagen 1022964645" descr="Imagen que contiene Rectángulo&#10;&#10;Descripción generada automáticamente"/>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12493" b="91008"/>
                  <a:stretch/>
                </pic:blipFill>
                <pic:spPr bwMode="auto">
                  <a:xfrm>
                    <a:off x="0" y="0"/>
                    <a:ext cx="5612130" cy="90487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8757C"/>
    <w:multiLevelType w:val="hybridMultilevel"/>
    <w:tmpl w:val="50E242FC"/>
    <w:lvl w:ilvl="0" w:tplc="223A68F2">
      <w:start w:val="1"/>
      <w:numFmt w:val="bullet"/>
      <w:lvlText w:val=""/>
      <w:lvlJc w:val="left"/>
      <w:pPr>
        <w:ind w:left="720" w:hanging="360"/>
      </w:pPr>
      <w:rPr>
        <w:rFonts w:ascii="Symbol" w:hAnsi="Symbol" w:hint="default"/>
      </w:rPr>
    </w:lvl>
    <w:lvl w:ilvl="1" w:tplc="81FE83C4">
      <w:start w:val="1"/>
      <w:numFmt w:val="bullet"/>
      <w:lvlText w:val="o"/>
      <w:lvlJc w:val="left"/>
      <w:pPr>
        <w:ind w:left="1440" w:hanging="360"/>
      </w:pPr>
      <w:rPr>
        <w:rFonts w:ascii="Courier New" w:hAnsi="Courier New" w:cs="Times New Roman" w:hint="default"/>
      </w:rPr>
    </w:lvl>
    <w:lvl w:ilvl="2" w:tplc="541A0064">
      <w:start w:val="1"/>
      <w:numFmt w:val="bullet"/>
      <w:lvlText w:val=""/>
      <w:lvlJc w:val="left"/>
      <w:pPr>
        <w:ind w:left="2160" w:hanging="360"/>
      </w:pPr>
      <w:rPr>
        <w:rFonts w:ascii="Wingdings" w:hAnsi="Wingdings" w:hint="default"/>
      </w:rPr>
    </w:lvl>
    <w:lvl w:ilvl="3" w:tplc="42DC4908">
      <w:start w:val="1"/>
      <w:numFmt w:val="bullet"/>
      <w:lvlText w:val=""/>
      <w:lvlJc w:val="left"/>
      <w:pPr>
        <w:ind w:left="2880" w:hanging="360"/>
      </w:pPr>
      <w:rPr>
        <w:rFonts w:ascii="Symbol" w:hAnsi="Symbol" w:hint="default"/>
      </w:rPr>
    </w:lvl>
    <w:lvl w:ilvl="4" w:tplc="2F620B5C">
      <w:start w:val="1"/>
      <w:numFmt w:val="bullet"/>
      <w:lvlText w:val="o"/>
      <w:lvlJc w:val="left"/>
      <w:pPr>
        <w:ind w:left="3600" w:hanging="360"/>
      </w:pPr>
      <w:rPr>
        <w:rFonts w:ascii="Courier New" w:hAnsi="Courier New" w:cs="Times New Roman" w:hint="default"/>
      </w:rPr>
    </w:lvl>
    <w:lvl w:ilvl="5" w:tplc="29D09A10">
      <w:start w:val="1"/>
      <w:numFmt w:val="bullet"/>
      <w:lvlText w:val=""/>
      <w:lvlJc w:val="left"/>
      <w:pPr>
        <w:ind w:left="4320" w:hanging="360"/>
      </w:pPr>
      <w:rPr>
        <w:rFonts w:ascii="Wingdings" w:hAnsi="Wingdings" w:hint="default"/>
      </w:rPr>
    </w:lvl>
    <w:lvl w:ilvl="6" w:tplc="ED8CB07C">
      <w:start w:val="1"/>
      <w:numFmt w:val="bullet"/>
      <w:lvlText w:val=""/>
      <w:lvlJc w:val="left"/>
      <w:pPr>
        <w:ind w:left="5040" w:hanging="360"/>
      </w:pPr>
      <w:rPr>
        <w:rFonts w:ascii="Symbol" w:hAnsi="Symbol" w:hint="default"/>
      </w:rPr>
    </w:lvl>
    <w:lvl w:ilvl="7" w:tplc="2662E0EE">
      <w:start w:val="1"/>
      <w:numFmt w:val="bullet"/>
      <w:lvlText w:val="o"/>
      <w:lvlJc w:val="left"/>
      <w:pPr>
        <w:ind w:left="5760" w:hanging="360"/>
      </w:pPr>
      <w:rPr>
        <w:rFonts w:ascii="Courier New" w:hAnsi="Courier New" w:cs="Times New Roman" w:hint="default"/>
      </w:rPr>
    </w:lvl>
    <w:lvl w:ilvl="8" w:tplc="93B29CAE">
      <w:start w:val="1"/>
      <w:numFmt w:val="bullet"/>
      <w:lvlText w:val=""/>
      <w:lvlJc w:val="left"/>
      <w:pPr>
        <w:ind w:left="6480" w:hanging="360"/>
      </w:pPr>
      <w:rPr>
        <w:rFonts w:ascii="Wingdings" w:hAnsi="Wingdings" w:hint="default"/>
      </w:rPr>
    </w:lvl>
  </w:abstractNum>
  <w:abstractNum w:abstractNumId="1" w15:restartNumberingAfterBreak="0">
    <w:nsid w:val="0E6C01EB"/>
    <w:multiLevelType w:val="hybridMultilevel"/>
    <w:tmpl w:val="FFFFFFFF"/>
    <w:lvl w:ilvl="0" w:tplc="DB32886E">
      <w:start w:val="1"/>
      <w:numFmt w:val="bullet"/>
      <w:lvlText w:val=""/>
      <w:lvlJc w:val="left"/>
      <w:pPr>
        <w:ind w:left="720" w:hanging="360"/>
      </w:pPr>
      <w:rPr>
        <w:rFonts w:ascii="Symbol" w:hAnsi="Symbol" w:hint="default"/>
      </w:rPr>
    </w:lvl>
    <w:lvl w:ilvl="1" w:tplc="457054E6">
      <w:start w:val="1"/>
      <w:numFmt w:val="bullet"/>
      <w:lvlText w:val="o"/>
      <w:lvlJc w:val="left"/>
      <w:pPr>
        <w:ind w:left="1440" w:hanging="360"/>
      </w:pPr>
      <w:rPr>
        <w:rFonts w:ascii="Courier New" w:hAnsi="Courier New" w:cs="Times New Roman" w:hint="default"/>
      </w:rPr>
    </w:lvl>
    <w:lvl w:ilvl="2" w:tplc="4B24014E">
      <w:start w:val="1"/>
      <w:numFmt w:val="bullet"/>
      <w:lvlText w:val=""/>
      <w:lvlJc w:val="left"/>
      <w:pPr>
        <w:ind w:left="2160" w:hanging="360"/>
      </w:pPr>
      <w:rPr>
        <w:rFonts w:ascii="Wingdings" w:hAnsi="Wingdings" w:hint="default"/>
      </w:rPr>
    </w:lvl>
    <w:lvl w:ilvl="3" w:tplc="5960246E">
      <w:start w:val="1"/>
      <w:numFmt w:val="bullet"/>
      <w:lvlText w:val=""/>
      <w:lvlJc w:val="left"/>
      <w:pPr>
        <w:ind w:left="2880" w:hanging="360"/>
      </w:pPr>
      <w:rPr>
        <w:rFonts w:ascii="Symbol" w:hAnsi="Symbol" w:hint="default"/>
      </w:rPr>
    </w:lvl>
    <w:lvl w:ilvl="4" w:tplc="DC8A23D6">
      <w:start w:val="1"/>
      <w:numFmt w:val="bullet"/>
      <w:lvlText w:val="o"/>
      <w:lvlJc w:val="left"/>
      <w:pPr>
        <w:ind w:left="3600" w:hanging="360"/>
      </w:pPr>
      <w:rPr>
        <w:rFonts w:ascii="Courier New" w:hAnsi="Courier New" w:cs="Times New Roman" w:hint="default"/>
      </w:rPr>
    </w:lvl>
    <w:lvl w:ilvl="5" w:tplc="2D58EF48">
      <w:start w:val="1"/>
      <w:numFmt w:val="bullet"/>
      <w:lvlText w:val=""/>
      <w:lvlJc w:val="left"/>
      <w:pPr>
        <w:ind w:left="4320" w:hanging="360"/>
      </w:pPr>
      <w:rPr>
        <w:rFonts w:ascii="Wingdings" w:hAnsi="Wingdings" w:hint="default"/>
      </w:rPr>
    </w:lvl>
    <w:lvl w:ilvl="6" w:tplc="5228263A">
      <w:start w:val="1"/>
      <w:numFmt w:val="bullet"/>
      <w:lvlText w:val=""/>
      <w:lvlJc w:val="left"/>
      <w:pPr>
        <w:ind w:left="5040" w:hanging="360"/>
      </w:pPr>
      <w:rPr>
        <w:rFonts w:ascii="Symbol" w:hAnsi="Symbol" w:hint="default"/>
      </w:rPr>
    </w:lvl>
    <w:lvl w:ilvl="7" w:tplc="D25C9ED2">
      <w:start w:val="1"/>
      <w:numFmt w:val="bullet"/>
      <w:lvlText w:val="o"/>
      <w:lvlJc w:val="left"/>
      <w:pPr>
        <w:ind w:left="5760" w:hanging="360"/>
      </w:pPr>
      <w:rPr>
        <w:rFonts w:ascii="Courier New" w:hAnsi="Courier New" w:cs="Times New Roman" w:hint="default"/>
      </w:rPr>
    </w:lvl>
    <w:lvl w:ilvl="8" w:tplc="8780B14E">
      <w:start w:val="1"/>
      <w:numFmt w:val="bullet"/>
      <w:lvlText w:val=""/>
      <w:lvlJc w:val="left"/>
      <w:pPr>
        <w:ind w:left="6480" w:hanging="360"/>
      </w:pPr>
      <w:rPr>
        <w:rFonts w:ascii="Wingdings" w:hAnsi="Wingdings" w:hint="default"/>
      </w:rPr>
    </w:lvl>
  </w:abstractNum>
  <w:abstractNum w:abstractNumId="2" w15:restartNumberingAfterBreak="0">
    <w:nsid w:val="24063A16"/>
    <w:multiLevelType w:val="hybridMultilevel"/>
    <w:tmpl w:val="CB12026C"/>
    <w:lvl w:ilvl="0" w:tplc="38E6503C">
      <w:start w:val="1"/>
      <w:numFmt w:val="upperLetter"/>
      <w:lvlText w:val="%1."/>
      <w:lvlJc w:val="left"/>
      <w:pPr>
        <w:ind w:left="720" w:hanging="360"/>
      </w:pPr>
      <w:rPr>
        <w:rFonts w:ascii="Arial" w:hAnsi="Arial" w:cs="Arial" w:hint="default"/>
        <w:b/>
        <w:sz w:val="22"/>
        <w:szCs w:val="22"/>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3" w15:restartNumberingAfterBreak="0">
    <w:nsid w:val="33381839"/>
    <w:multiLevelType w:val="hybridMultilevel"/>
    <w:tmpl w:val="707A65DC"/>
    <w:lvl w:ilvl="0" w:tplc="AE348AE8">
      <w:start w:val="1"/>
      <w:numFmt w:val="upperRoman"/>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EF41FA0">
      <w:start w:val="1"/>
      <w:numFmt w:val="decimal"/>
      <w:lvlText w:val="%4."/>
      <w:lvlJc w:val="left"/>
      <w:pPr>
        <w:ind w:left="2880" w:hanging="360"/>
      </w:pPr>
      <w:rPr>
        <w:rFonts w:ascii="Arial" w:hAnsi="Arial" w:cs="Arial" w:hint="default"/>
        <w:sz w:val="22"/>
        <w:szCs w:val="22"/>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D8A6D2D"/>
    <w:multiLevelType w:val="hybridMultilevel"/>
    <w:tmpl w:val="38F6AC22"/>
    <w:lvl w:ilvl="0" w:tplc="025CCFEA">
      <w:start w:val="1"/>
      <w:numFmt w:val="bullet"/>
      <w:lvlText w:val=""/>
      <w:lvlJc w:val="left"/>
      <w:pPr>
        <w:ind w:left="720" w:hanging="360"/>
      </w:pPr>
      <w:rPr>
        <w:rFonts w:ascii="Symbol" w:hAnsi="Symbol" w:hint="default"/>
      </w:rPr>
    </w:lvl>
    <w:lvl w:ilvl="1" w:tplc="EE12AF50">
      <w:start w:val="1"/>
      <w:numFmt w:val="bullet"/>
      <w:lvlText w:val="o"/>
      <w:lvlJc w:val="left"/>
      <w:pPr>
        <w:ind w:left="1440" w:hanging="360"/>
      </w:pPr>
      <w:rPr>
        <w:rFonts w:ascii="Courier New" w:hAnsi="Courier New" w:cs="Times New Roman" w:hint="default"/>
      </w:rPr>
    </w:lvl>
    <w:lvl w:ilvl="2" w:tplc="278C68F6">
      <w:start w:val="1"/>
      <w:numFmt w:val="bullet"/>
      <w:lvlText w:val=""/>
      <w:lvlJc w:val="left"/>
      <w:pPr>
        <w:ind w:left="2160" w:hanging="360"/>
      </w:pPr>
      <w:rPr>
        <w:rFonts w:ascii="Wingdings" w:hAnsi="Wingdings" w:hint="default"/>
      </w:rPr>
    </w:lvl>
    <w:lvl w:ilvl="3" w:tplc="3E56C270">
      <w:start w:val="1"/>
      <w:numFmt w:val="bullet"/>
      <w:lvlText w:val=""/>
      <w:lvlJc w:val="left"/>
      <w:pPr>
        <w:ind w:left="2880" w:hanging="360"/>
      </w:pPr>
      <w:rPr>
        <w:rFonts w:ascii="Symbol" w:hAnsi="Symbol" w:hint="default"/>
      </w:rPr>
    </w:lvl>
    <w:lvl w:ilvl="4" w:tplc="F3BAD3AC">
      <w:start w:val="1"/>
      <w:numFmt w:val="bullet"/>
      <w:lvlText w:val="o"/>
      <w:lvlJc w:val="left"/>
      <w:pPr>
        <w:ind w:left="3600" w:hanging="360"/>
      </w:pPr>
      <w:rPr>
        <w:rFonts w:ascii="Courier New" w:hAnsi="Courier New" w:cs="Times New Roman" w:hint="default"/>
      </w:rPr>
    </w:lvl>
    <w:lvl w:ilvl="5" w:tplc="23F8631E">
      <w:start w:val="1"/>
      <w:numFmt w:val="bullet"/>
      <w:lvlText w:val=""/>
      <w:lvlJc w:val="left"/>
      <w:pPr>
        <w:ind w:left="4320" w:hanging="360"/>
      </w:pPr>
      <w:rPr>
        <w:rFonts w:ascii="Wingdings" w:hAnsi="Wingdings" w:hint="default"/>
      </w:rPr>
    </w:lvl>
    <w:lvl w:ilvl="6" w:tplc="0238809E">
      <w:start w:val="1"/>
      <w:numFmt w:val="bullet"/>
      <w:lvlText w:val=""/>
      <w:lvlJc w:val="left"/>
      <w:pPr>
        <w:ind w:left="5040" w:hanging="360"/>
      </w:pPr>
      <w:rPr>
        <w:rFonts w:ascii="Symbol" w:hAnsi="Symbol" w:hint="default"/>
      </w:rPr>
    </w:lvl>
    <w:lvl w:ilvl="7" w:tplc="9FB45A84">
      <w:start w:val="1"/>
      <w:numFmt w:val="bullet"/>
      <w:lvlText w:val="o"/>
      <w:lvlJc w:val="left"/>
      <w:pPr>
        <w:ind w:left="5760" w:hanging="360"/>
      </w:pPr>
      <w:rPr>
        <w:rFonts w:ascii="Courier New" w:hAnsi="Courier New" w:cs="Times New Roman" w:hint="default"/>
      </w:rPr>
    </w:lvl>
    <w:lvl w:ilvl="8" w:tplc="ED3EEEAC">
      <w:start w:val="1"/>
      <w:numFmt w:val="bullet"/>
      <w:lvlText w:val=""/>
      <w:lvlJc w:val="left"/>
      <w:pPr>
        <w:ind w:left="6480" w:hanging="360"/>
      </w:pPr>
      <w:rPr>
        <w:rFonts w:ascii="Wingdings" w:hAnsi="Wingdings" w:hint="default"/>
      </w:rPr>
    </w:lvl>
  </w:abstractNum>
  <w:abstractNum w:abstractNumId="5" w15:restartNumberingAfterBreak="0">
    <w:nsid w:val="71C0304B"/>
    <w:multiLevelType w:val="hybridMultilevel"/>
    <w:tmpl w:val="A8A8CF2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7069714">
    <w:abstractNumId w:val="3"/>
  </w:num>
  <w:num w:numId="2" w16cid:durableId="669673112">
    <w:abstractNumId w:val="5"/>
  </w:num>
  <w:num w:numId="3" w16cid:durableId="5599423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722141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1346938">
    <w:abstractNumId w:val="1"/>
  </w:num>
  <w:num w:numId="6" w16cid:durableId="1859812426">
    <w:abstractNumId w:val="0"/>
  </w:num>
  <w:num w:numId="7" w16cid:durableId="675839237">
    <w:abstractNumId w:val="4"/>
  </w:num>
  <w:num w:numId="8" w16cid:durableId="1270090942">
    <w:abstractNumId w:val="1"/>
  </w:num>
  <w:num w:numId="9" w16cid:durableId="1913271083">
    <w:abstractNumId w:val="0"/>
  </w:num>
  <w:num w:numId="10" w16cid:durableId="464465188">
    <w:abstractNumId w:val="4"/>
  </w:num>
  <w:num w:numId="11" w16cid:durableId="1929534335">
    <w:abstractNumId w:val="1"/>
  </w:num>
  <w:num w:numId="12" w16cid:durableId="1738673869">
    <w:abstractNumId w:val="0"/>
  </w:num>
  <w:num w:numId="13" w16cid:durableId="1770616169">
    <w:abstractNumId w:val="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99"/>
    <w:rsid w:val="0000363C"/>
    <w:rsid w:val="00011854"/>
    <w:rsid w:val="00015D8E"/>
    <w:rsid w:val="000219D4"/>
    <w:rsid w:val="00023A69"/>
    <w:rsid w:val="00025168"/>
    <w:rsid w:val="000322E3"/>
    <w:rsid w:val="00042D32"/>
    <w:rsid w:val="00043DE6"/>
    <w:rsid w:val="000463D3"/>
    <w:rsid w:val="0005197E"/>
    <w:rsid w:val="000533EF"/>
    <w:rsid w:val="00057AF8"/>
    <w:rsid w:val="00057CB6"/>
    <w:rsid w:val="000643E9"/>
    <w:rsid w:val="00065034"/>
    <w:rsid w:val="000665D7"/>
    <w:rsid w:val="00066D3A"/>
    <w:rsid w:val="00070C78"/>
    <w:rsid w:val="00073A1F"/>
    <w:rsid w:val="00075AD5"/>
    <w:rsid w:val="00077AA2"/>
    <w:rsid w:val="0008210A"/>
    <w:rsid w:val="0008330B"/>
    <w:rsid w:val="000842A4"/>
    <w:rsid w:val="0008507C"/>
    <w:rsid w:val="000877D1"/>
    <w:rsid w:val="00093EB8"/>
    <w:rsid w:val="000A07D3"/>
    <w:rsid w:val="000A1163"/>
    <w:rsid w:val="000A2FC8"/>
    <w:rsid w:val="000A31BA"/>
    <w:rsid w:val="000A3B34"/>
    <w:rsid w:val="000A4383"/>
    <w:rsid w:val="000A71F1"/>
    <w:rsid w:val="000A791C"/>
    <w:rsid w:val="000B20AE"/>
    <w:rsid w:val="000C2C96"/>
    <w:rsid w:val="000C34A0"/>
    <w:rsid w:val="000C4465"/>
    <w:rsid w:val="000D09AB"/>
    <w:rsid w:val="000D466B"/>
    <w:rsid w:val="000D6114"/>
    <w:rsid w:val="000E1037"/>
    <w:rsid w:val="000E1ECA"/>
    <w:rsid w:val="000E42D0"/>
    <w:rsid w:val="000E4714"/>
    <w:rsid w:val="000E5163"/>
    <w:rsid w:val="000E5748"/>
    <w:rsid w:val="000E6513"/>
    <w:rsid w:val="000F0372"/>
    <w:rsid w:val="000F0EAD"/>
    <w:rsid w:val="000F1CBA"/>
    <w:rsid w:val="000F3807"/>
    <w:rsid w:val="000F417C"/>
    <w:rsid w:val="000F4D2E"/>
    <w:rsid w:val="000F6620"/>
    <w:rsid w:val="00101484"/>
    <w:rsid w:val="00102684"/>
    <w:rsid w:val="0010321F"/>
    <w:rsid w:val="00103AE9"/>
    <w:rsid w:val="0010497F"/>
    <w:rsid w:val="001067F4"/>
    <w:rsid w:val="001100A5"/>
    <w:rsid w:val="001107D5"/>
    <w:rsid w:val="0011263A"/>
    <w:rsid w:val="0011350E"/>
    <w:rsid w:val="00113CC1"/>
    <w:rsid w:val="00114AE3"/>
    <w:rsid w:val="00117B7B"/>
    <w:rsid w:val="00120EEB"/>
    <w:rsid w:val="00122182"/>
    <w:rsid w:val="001258D6"/>
    <w:rsid w:val="00126E32"/>
    <w:rsid w:val="00127CD2"/>
    <w:rsid w:val="00130944"/>
    <w:rsid w:val="001339E2"/>
    <w:rsid w:val="0013472A"/>
    <w:rsid w:val="001419E5"/>
    <w:rsid w:val="00144777"/>
    <w:rsid w:val="001448E3"/>
    <w:rsid w:val="001454CA"/>
    <w:rsid w:val="00147E82"/>
    <w:rsid w:val="001515F9"/>
    <w:rsid w:val="001518F2"/>
    <w:rsid w:val="00153869"/>
    <w:rsid w:val="00153C65"/>
    <w:rsid w:val="00155650"/>
    <w:rsid w:val="001557D0"/>
    <w:rsid w:val="00156301"/>
    <w:rsid w:val="00162B69"/>
    <w:rsid w:val="00166790"/>
    <w:rsid w:val="00167BE4"/>
    <w:rsid w:val="0017111C"/>
    <w:rsid w:val="001741BB"/>
    <w:rsid w:val="0017545B"/>
    <w:rsid w:val="00182DEA"/>
    <w:rsid w:val="0019035D"/>
    <w:rsid w:val="00191CE9"/>
    <w:rsid w:val="00191D96"/>
    <w:rsid w:val="00191E93"/>
    <w:rsid w:val="00191EBC"/>
    <w:rsid w:val="00193284"/>
    <w:rsid w:val="0019444E"/>
    <w:rsid w:val="001971ED"/>
    <w:rsid w:val="001972B2"/>
    <w:rsid w:val="001A1ABA"/>
    <w:rsid w:val="001A2147"/>
    <w:rsid w:val="001B0799"/>
    <w:rsid w:val="001B3240"/>
    <w:rsid w:val="001B5E63"/>
    <w:rsid w:val="001C0181"/>
    <w:rsid w:val="001C1229"/>
    <w:rsid w:val="001C40E5"/>
    <w:rsid w:val="001C611F"/>
    <w:rsid w:val="001D085D"/>
    <w:rsid w:val="001D104A"/>
    <w:rsid w:val="001D13E2"/>
    <w:rsid w:val="001D1A10"/>
    <w:rsid w:val="001D1F25"/>
    <w:rsid w:val="001D36C0"/>
    <w:rsid w:val="001D7796"/>
    <w:rsid w:val="001E3E05"/>
    <w:rsid w:val="001E50F4"/>
    <w:rsid w:val="001E5520"/>
    <w:rsid w:val="001E55D9"/>
    <w:rsid w:val="001E60E2"/>
    <w:rsid w:val="001F0127"/>
    <w:rsid w:val="001F0B1A"/>
    <w:rsid w:val="001F4D1B"/>
    <w:rsid w:val="001F4ED2"/>
    <w:rsid w:val="001F6014"/>
    <w:rsid w:val="001F7009"/>
    <w:rsid w:val="001F72C4"/>
    <w:rsid w:val="00202EB9"/>
    <w:rsid w:val="002047B0"/>
    <w:rsid w:val="0020773D"/>
    <w:rsid w:val="0021375B"/>
    <w:rsid w:val="002176E6"/>
    <w:rsid w:val="002211EF"/>
    <w:rsid w:val="00221EF1"/>
    <w:rsid w:val="0022264A"/>
    <w:rsid w:val="00222D77"/>
    <w:rsid w:val="00226235"/>
    <w:rsid w:val="0022631D"/>
    <w:rsid w:val="00226B16"/>
    <w:rsid w:val="002335A5"/>
    <w:rsid w:val="0023633F"/>
    <w:rsid w:val="00237795"/>
    <w:rsid w:val="00237DFE"/>
    <w:rsid w:val="00237EFE"/>
    <w:rsid w:val="002414B0"/>
    <w:rsid w:val="00242ECE"/>
    <w:rsid w:val="0024487B"/>
    <w:rsid w:val="002458E9"/>
    <w:rsid w:val="00251020"/>
    <w:rsid w:val="002511A6"/>
    <w:rsid w:val="00253CF2"/>
    <w:rsid w:val="002567A2"/>
    <w:rsid w:val="00257AAF"/>
    <w:rsid w:val="002658A7"/>
    <w:rsid w:val="00271E28"/>
    <w:rsid w:val="0027413A"/>
    <w:rsid w:val="0027421A"/>
    <w:rsid w:val="00280A31"/>
    <w:rsid w:val="00280A59"/>
    <w:rsid w:val="002811CB"/>
    <w:rsid w:val="00283D9E"/>
    <w:rsid w:val="002850DB"/>
    <w:rsid w:val="002919CE"/>
    <w:rsid w:val="00292251"/>
    <w:rsid w:val="002962FA"/>
    <w:rsid w:val="002A13EA"/>
    <w:rsid w:val="002A2626"/>
    <w:rsid w:val="002A6351"/>
    <w:rsid w:val="002A730B"/>
    <w:rsid w:val="002B2812"/>
    <w:rsid w:val="002B2E03"/>
    <w:rsid w:val="002B3410"/>
    <w:rsid w:val="002B4C0B"/>
    <w:rsid w:val="002B4E93"/>
    <w:rsid w:val="002C45F1"/>
    <w:rsid w:val="002C64C1"/>
    <w:rsid w:val="002C6BBE"/>
    <w:rsid w:val="002D1151"/>
    <w:rsid w:val="002D301B"/>
    <w:rsid w:val="002D3CF8"/>
    <w:rsid w:val="002D4B67"/>
    <w:rsid w:val="002D4F09"/>
    <w:rsid w:val="002D6C5F"/>
    <w:rsid w:val="002E1F1F"/>
    <w:rsid w:val="002E3E8B"/>
    <w:rsid w:val="002E54FE"/>
    <w:rsid w:val="002E6BE9"/>
    <w:rsid w:val="002E72FA"/>
    <w:rsid w:val="002E7640"/>
    <w:rsid w:val="002E7778"/>
    <w:rsid w:val="002F01D9"/>
    <w:rsid w:val="002F2BCC"/>
    <w:rsid w:val="002F3479"/>
    <w:rsid w:val="002F3621"/>
    <w:rsid w:val="002F71C5"/>
    <w:rsid w:val="0030112E"/>
    <w:rsid w:val="00301846"/>
    <w:rsid w:val="0030295A"/>
    <w:rsid w:val="003037EC"/>
    <w:rsid w:val="003057C9"/>
    <w:rsid w:val="003226AB"/>
    <w:rsid w:val="0032474D"/>
    <w:rsid w:val="00326102"/>
    <w:rsid w:val="003300CE"/>
    <w:rsid w:val="00330AC6"/>
    <w:rsid w:val="0033289D"/>
    <w:rsid w:val="003334C8"/>
    <w:rsid w:val="003347EB"/>
    <w:rsid w:val="0033489C"/>
    <w:rsid w:val="003357A5"/>
    <w:rsid w:val="00336BAB"/>
    <w:rsid w:val="00337229"/>
    <w:rsid w:val="00340279"/>
    <w:rsid w:val="00341877"/>
    <w:rsid w:val="003419D9"/>
    <w:rsid w:val="0034312A"/>
    <w:rsid w:val="00343F87"/>
    <w:rsid w:val="00346D99"/>
    <w:rsid w:val="00350C08"/>
    <w:rsid w:val="0035116E"/>
    <w:rsid w:val="003560AE"/>
    <w:rsid w:val="0036144E"/>
    <w:rsid w:val="00362370"/>
    <w:rsid w:val="00370540"/>
    <w:rsid w:val="00370D46"/>
    <w:rsid w:val="00372895"/>
    <w:rsid w:val="003774E3"/>
    <w:rsid w:val="00381E7E"/>
    <w:rsid w:val="0038265A"/>
    <w:rsid w:val="00383A3E"/>
    <w:rsid w:val="00384066"/>
    <w:rsid w:val="00387857"/>
    <w:rsid w:val="00391021"/>
    <w:rsid w:val="0039201F"/>
    <w:rsid w:val="00395375"/>
    <w:rsid w:val="003A4D61"/>
    <w:rsid w:val="003A520B"/>
    <w:rsid w:val="003B1D05"/>
    <w:rsid w:val="003B7FE6"/>
    <w:rsid w:val="003C01C0"/>
    <w:rsid w:val="003C102D"/>
    <w:rsid w:val="003C2E21"/>
    <w:rsid w:val="003C6D25"/>
    <w:rsid w:val="003D00E0"/>
    <w:rsid w:val="003D4DD3"/>
    <w:rsid w:val="003D7FD2"/>
    <w:rsid w:val="003E221C"/>
    <w:rsid w:val="003E2A01"/>
    <w:rsid w:val="003E31A7"/>
    <w:rsid w:val="003E35C5"/>
    <w:rsid w:val="003E38D1"/>
    <w:rsid w:val="003E59CF"/>
    <w:rsid w:val="003E632D"/>
    <w:rsid w:val="003E77FC"/>
    <w:rsid w:val="003F07EB"/>
    <w:rsid w:val="003F59D9"/>
    <w:rsid w:val="003F5C1B"/>
    <w:rsid w:val="003F617A"/>
    <w:rsid w:val="003F6A30"/>
    <w:rsid w:val="003F788E"/>
    <w:rsid w:val="003F7900"/>
    <w:rsid w:val="004057C1"/>
    <w:rsid w:val="00410445"/>
    <w:rsid w:val="00410C94"/>
    <w:rsid w:val="00412976"/>
    <w:rsid w:val="0041494D"/>
    <w:rsid w:val="00416259"/>
    <w:rsid w:val="00417D74"/>
    <w:rsid w:val="004217FA"/>
    <w:rsid w:val="00430693"/>
    <w:rsid w:val="0043107F"/>
    <w:rsid w:val="004315F2"/>
    <w:rsid w:val="00434B41"/>
    <w:rsid w:val="00437A6B"/>
    <w:rsid w:val="004412E9"/>
    <w:rsid w:val="0044344C"/>
    <w:rsid w:val="00447D2A"/>
    <w:rsid w:val="00450D48"/>
    <w:rsid w:val="00453CE2"/>
    <w:rsid w:val="004607BE"/>
    <w:rsid w:val="00467143"/>
    <w:rsid w:val="00467ACD"/>
    <w:rsid w:val="004700D0"/>
    <w:rsid w:val="00472DB8"/>
    <w:rsid w:val="00472DE8"/>
    <w:rsid w:val="00473B82"/>
    <w:rsid w:val="00473F70"/>
    <w:rsid w:val="00474633"/>
    <w:rsid w:val="004768CF"/>
    <w:rsid w:val="00483386"/>
    <w:rsid w:val="00483533"/>
    <w:rsid w:val="00487AEE"/>
    <w:rsid w:val="0049010D"/>
    <w:rsid w:val="004940D4"/>
    <w:rsid w:val="00495533"/>
    <w:rsid w:val="00496473"/>
    <w:rsid w:val="004A140A"/>
    <w:rsid w:val="004A7F07"/>
    <w:rsid w:val="004A7F0D"/>
    <w:rsid w:val="004B267F"/>
    <w:rsid w:val="004B299B"/>
    <w:rsid w:val="004C3700"/>
    <w:rsid w:val="004D11E5"/>
    <w:rsid w:val="004D3AB8"/>
    <w:rsid w:val="004D4EE2"/>
    <w:rsid w:val="004D66AD"/>
    <w:rsid w:val="004E432F"/>
    <w:rsid w:val="004E4D21"/>
    <w:rsid w:val="004E6B93"/>
    <w:rsid w:val="004E7B18"/>
    <w:rsid w:val="004F093C"/>
    <w:rsid w:val="004F2BB0"/>
    <w:rsid w:val="004F6FBD"/>
    <w:rsid w:val="004F7BEA"/>
    <w:rsid w:val="005125B0"/>
    <w:rsid w:val="00514FBE"/>
    <w:rsid w:val="0052149D"/>
    <w:rsid w:val="0052323E"/>
    <w:rsid w:val="00526464"/>
    <w:rsid w:val="0053089E"/>
    <w:rsid w:val="00531665"/>
    <w:rsid w:val="00534DC0"/>
    <w:rsid w:val="00534FE3"/>
    <w:rsid w:val="005368CD"/>
    <w:rsid w:val="00536BB6"/>
    <w:rsid w:val="00537794"/>
    <w:rsid w:val="0053783B"/>
    <w:rsid w:val="00537AEC"/>
    <w:rsid w:val="00540821"/>
    <w:rsid w:val="00542591"/>
    <w:rsid w:val="00542618"/>
    <w:rsid w:val="00542EB8"/>
    <w:rsid w:val="00542F4B"/>
    <w:rsid w:val="005445CE"/>
    <w:rsid w:val="0054628A"/>
    <w:rsid w:val="0055059C"/>
    <w:rsid w:val="00550636"/>
    <w:rsid w:val="005506C6"/>
    <w:rsid w:val="0055135E"/>
    <w:rsid w:val="00552AE0"/>
    <w:rsid w:val="00553C66"/>
    <w:rsid w:val="0055424A"/>
    <w:rsid w:val="00561999"/>
    <w:rsid w:val="00561CC5"/>
    <w:rsid w:val="00562716"/>
    <w:rsid w:val="00562C85"/>
    <w:rsid w:val="00562FCA"/>
    <w:rsid w:val="00565A21"/>
    <w:rsid w:val="00571ED1"/>
    <w:rsid w:val="0057200A"/>
    <w:rsid w:val="00576F0C"/>
    <w:rsid w:val="00577720"/>
    <w:rsid w:val="0058232E"/>
    <w:rsid w:val="005833C7"/>
    <w:rsid w:val="00590228"/>
    <w:rsid w:val="00590F1A"/>
    <w:rsid w:val="00593364"/>
    <w:rsid w:val="005A1A5A"/>
    <w:rsid w:val="005A22D2"/>
    <w:rsid w:val="005A27D0"/>
    <w:rsid w:val="005A34AD"/>
    <w:rsid w:val="005A3BD8"/>
    <w:rsid w:val="005B137A"/>
    <w:rsid w:val="005C5817"/>
    <w:rsid w:val="005C61AC"/>
    <w:rsid w:val="005C6301"/>
    <w:rsid w:val="005C7523"/>
    <w:rsid w:val="005D214D"/>
    <w:rsid w:val="005D4DC9"/>
    <w:rsid w:val="005E04F5"/>
    <w:rsid w:val="005E1133"/>
    <w:rsid w:val="005F2435"/>
    <w:rsid w:val="005F245D"/>
    <w:rsid w:val="005F60FA"/>
    <w:rsid w:val="005F726F"/>
    <w:rsid w:val="005F77DF"/>
    <w:rsid w:val="0060069D"/>
    <w:rsid w:val="00604180"/>
    <w:rsid w:val="00604613"/>
    <w:rsid w:val="00605557"/>
    <w:rsid w:val="006104D1"/>
    <w:rsid w:val="00611CFE"/>
    <w:rsid w:val="00612649"/>
    <w:rsid w:val="00614627"/>
    <w:rsid w:val="00616130"/>
    <w:rsid w:val="00616856"/>
    <w:rsid w:val="006170E3"/>
    <w:rsid w:val="006206EE"/>
    <w:rsid w:val="00622789"/>
    <w:rsid w:val="00622C55"/>
    <w:rsid w:val="00622DE5"/>
    <w:rsid w:val="006252FE"/>
    <w:rsid w:val="00625968"/>
    <w:rsid w:val="00625FC7"/>
    <w:rsid w:val="00627337"/>
    <w:rsid w:val="00630EA6"/>
    <w:rsid w:val="0063188F"/>
    <w:rsid w:val="00635021"/>
    <w:rsid w:val="00635482"/>
    <w:rsid w:val="00636431"/>
    <w:rsid w:val="00636C4F"/>
    <w:rsid w:val="00641321"/>
    <w:rsid w:val="006413EA"/>
    <w:rsid w:val="00642DF2"/>
    <w:rsid w:val="006473B9"/>
    <w:rsid w:val="006511EB"/>
    <w:rsid w:val="00653965"/>
    <w:rsid w:val="00666526"/>
    <w:rsid w:val="00675B68"/>
    <w:rsid w:val="00681239"/>
    <w:rsid w:val="00684340"/>
    <w:rsid w:val="006845A4"/>
    <w:rsid w:val="00687E5C"/>
    <w:rsid w:val="00693FF1"/>
    <w:rsid w:val="0069486D"/>
    <w:rsid w:val="00695B4E"/>
    <w:rsid w:val="00695F10"/>
    <w:rsid w:val="006A042D"/>
    <w:rsid w:val="006A05A7"/>
    <w:rsid w:val="006A05E2"/>
    <w:rsid w:val="006A18EF"/>
    <w:rsid w:val="006A29E0"/>
    <w:rsid w:val="006A7F83"/>
    <w:rsid w:val="006B16FC"/>
    <w:rsid w:val="006B67C9"/>
    <w:rsid w:val="006C2B4A"/>
    <w:rsid w:val="006C2D70"/>
    <w:rsid w:val="006C3264"/>
    <w:rsid w:val="006C509B"/>
    <w:rsid w:val="006C54CE"/>
    <w:rsid w:val="006D1FB5"/>
    <w:rsid w:val="006D5525"/>
    <w:rsid w:val="006D63DF"/>
    <w:rsid w:val="006E137B"/>
    <w:rsid w:val="006E247D"/>
    <w:rsid w:val="006E358F"/>
    <w:rsid w:val="006E6B01"/>
    <w:rsid w:val="006E6E29"/>
    <w:rsid w:val="00702037"/>
    <w:rsid w:val="00703894"/>
    <w:rsid w:val="00705EA4"/>
    <w:rsid w:val="00711742"/>
    <w:rsid w:val="007178FE"/>
    <w:rsid w:val="00717F9F"/>
    <w:rsid w:val="0072153B"/>
    <w:rsid w:val="0072156C"/>
    <w:rsid w:val="00721671"/>
    <w:rsid w:val="00724108"/>
    <w:rsid w:val="00724A15"/>
    <w:rsid w:val="007326C6"/>
    <w:rsid w:val="00736096"/>
    <w:rsid w:val="007364A7"/>
    <w:rsid w:val="00741E0C"/>
    <w:rsid w:val="00743EA2"/>
    <w:rsid w:val="0074453A"/>
    <w:rsid w:val="00746519"/>
    <w:rsid w:val="00751CA6"/>
    <w:rsid w:val="00752767"/>
    <w:rsid w:val="00756840"/>
    <w:rsid w:val="0076104D"/>
    <w:rsid w:val="007616AB"/>
    <w:rsid w:val="00761DA0"/>
    <w:rsid w:val="007649A3"/>
    <w:rsid w:val="00772099"/>
    <w:rsid w:val="00774648"/>
    <w:rsid w:val="007760F2"/>
    <w:rsid w:val="0077677C"/>
    <w:rsid w:val="007808EB"/>
    <w:rsid w:val="007810B5"/>
    <w:rsid w:val="007854AF"/>
    <w:rsid w:val="007902C2"/>
    <w:rsid w:val="0079650C"/>
    <w:rsid w:val="00797B07"/>
    <w:rsid w:val="00797DA6"/>
    <w:rsid w:val="007A25C5"/>
    <w:rsid w:val="007B1D31"/>
    <w:rsid w:val="007B5E10"/>
    <w:rsid w:val="007C3FC6"/>
    <w:rsid w:val="007D55D3"/>
    <w:rsid w:val="007D5B96"/>
    <w:rsid w:val="007D70FC"/>
    <w:rsid w:val="007E00A3"/>
    <w:rsid w:val="007E0BF0"/>
    <w:rsid w:val="007E2C10"/>
    <w:rsid w:val="007E55C0"/>
    <w:rsid w:val="007E5FCF"/>
    <w:rsid w:val="007E7102"/>
    <w:rsid w:val="007E7756"/>
    <w:rsid w:val="007F2451"/>
    <w:rsid w:val="0080212F"/>
    <w:rsid w:val="00804184"/>
    <w:rsid w:val="008054FF"/>
    <w:rsid w:val="00807524"/>
    <w:rsid w:val="0081002E"/>
    <w:rsid w:val="00811F04"/>
    <w:rsid w:val="00823102"/>
    <w:rsid w:val="00823ABF"/>
    <w:rsid w:val="008240C6"/>
    <w:rsid w:val="00831880"/>
    <w:rsid w:val="008341CE"/>
    <w:rsid w:val="008363B6"/>
    <w:rsid w:val="00836626"/>
    <w:rsid w:val="008372BA"/>
    <w:rsid w:val="00842933"/>
    <w:rsid w:val="00843519"/>
    <w:rsid w:val="00844E5C"/>
    <w:rsid w:val="00847CA6"/>
    <w:rsid w:val="00851356"/>
    <w:rsid w:val="008540DC"/>
    <w:rsid w:val="00854C45"/>
    <w:rsid w:val="00862A45"/>
    <w:rsid w:val="008630CA"/>
    <w:rsid w:val="008663CA"/>
    <w:rsid w:val="008674EE"/>
    <w:rsid w:val="00870E09"/>
    <w:rsid w:val="00874628"/>
    <w:rsid w:val="00876917"/>
    <w:rsid w:val="008840C6"/>
    <w:rsid w:val="00891CEC"/>
    <w:rsid w:val="00894E28"/>
    <w:rsid w:val="008958DB"/>
    <w:rsid w:val="008A0EFD"/>
    <w:rsid w:val="008A1BA2"/>
    <w:rsid w:val="008A2D0E"/>
    <w:rsid w:val="008A2D15"/>
    <w:rsid w:val="008A3A54"/>
    <w:rsid w:val="008A4DC4"/>
    <w:rsid w:val="008A73E0"/>
    <w:rsid w:val="008B3DEC"/>
    <w:rsid w:val="008B681E"/>
    <w:rsid w:val="008C0898"/>
    <w:rsid w:val="008C1DD1"/>
    <w:rsid w:val="008C22DE"/>
    <w:rsid w:val="008C316F"/>
    <w:rsid w:val="008C49F3"/>
    <w:rsid w:val="008C4EF3"/>
    <w:rsid w:val="008C66C6"/>
    <w:rsid w:val="008C705B"/>
    <w:rsid w:val="008D1E68"/>
    <w:rsid w:val="008D4001"/>
    <w:rsid w:val="008D6672"/>
    <w:rsid w:val="008D7E24"/>
    <w:rsid w:val="008E33A2"/>
    <w:rsid w:val="008E6BC1"/>
    <w:rsid w:val="00900C0C"/>
    <w:rsid w:val="00902163"/>
    <w:rsid w:val="0090268D"/>
    <w:rsid w:val="00902F1D"/>
    <w:rsid w:val="00903F8F"/>
    <w:rsid w:val="0090467A"/>
    <w:rsid w:val="00911020"/>
    <w:rsid w:val="00911C9F"/>
    <w:rsid w:val="00912562"/>
    <w:rsid w:val="0092035F"/>
    <w:rsid w:val="009271C8"/>
    <w:rsid w:val="00931D87"/>
    <w:rsid w:val="009436F2"/>
    <w:rsid w:val="00944394"/>
    <w:rsid w:val="00944CEA"/>
    <w:rsid w:val="00945819"/>
    <w:rsid w:val="0095171F"/>
    <w:rsid w:val="00951B76"/>
    <w:rsid w:val="009527D9"/>
    <w:rsid w:val="00952CD2"/>
    <w:rsid w:val="00955635"/>
    <w:rsid w:val="009565E0"/>
    <w:rsid w:val="009600C8"/>
    <w:rsid w:val="0096240B"/>
    <w:rsid w:val="009677C0"/>
    <w:rsid w:val="00967DB2"/>
    <w:rsid w:val="00974CDD"/>
    <w:rsid w:val="00982AC4"/>
    <w:rsid w:val="00992748"/>
    <w:rsid w:val="0099421E"/>
    <w:rsid w:val="00996E42"/>
    <w:rsid w:val="00996E4F"/>
    <w:rsid w:val="0099728C"/>
    <w:rsid w:val="00997A66"/>
    <w:rsid w:val="009A00D8"/>
    <w:rsid w:val="009A0260"/>
    <w:rsid w:val="009A1CDC"/>
    <w:rsid w:val="009A34A5"/>
    <w:rsid w:val="009A5550"/>
    <w:rsid w:val="009A5736"/>
    <w:rsid w:val="009B06E4"/>
    <w:rsid w:val="009B3C7A"/>
    <w:rsid w:val="009B4F70"/>
    <w:rsid w:val="009B62ED"/>
    <w:rsid w:val="009C1E4E"/>
    <w:rsid w:val="009C49C7"/>
    <w:rsid w:val="009C541E"/>
    <w:rsid w:val="009C66E3"/>
    <w:rsid w:val="009C6FEB"/>
    <w:rsid w:val="009D1017"/>
    <w:rsid w:val="009D1CFE"/>
    <w:rsid w:val="009D2198"/>
    <w:rsid w:val="009D3916"/>
    <w:rsid w:val="009D6F03"/>
    <w:rsid w:val="009E0515"/>
    <w:rsid w:val="009E36F1"/>
    <w:rsid w:val="009E6F2A"/>
    <w:rsid w:val="009F0FAB"/>
    <w:rsid w:val="009F1065"/>
    <w:rsid w:val="009F6BD3"/>
    <w:rsid w:val="00A00B26"/>
    <w:rsid w:val="00A034A0"/>
    <w:rsid w:val="00A04079"/>
    <w:rsid w:val="00A117D7"/>
    <w:rsid w:val="00A11966"/>
    <w:rsid w:val="00A13B04"/>
    <w:rsid w:val="00A21993"/>
    <w:rsid w:val="00A240A7"/>
    <w:rsid w:val="00A25DEC"/>
    <w:rsid w:val="00A324C6"/>
    <w:rsid w:val="00A36102"/>
    <w:rsid w:val="00A36875"/>
    <w:rsid w:val="00A405D3"/>
    <w:rsid w:val="00A45C91"/>
    <w:rsid w:val="00A50048"/>
    <w:rsid w:val="00A50365"/>
    <w:rsid w:val="00A52C5E"/>
    <w:rsid w:val="00A62B42"/>
    <w:rsid w:val="00A63200"/>
    <w:rsid w:val="00A646FC"/>
    <w:rsid w:val="00A65BBE"/>
    <w:rsid w:val="00A65FDF"/>
    <w:rsid w:val="00A71316"/>
    <w:rsid w:val="00A74D82"/>
    <w:rsid w:val="00A77A34"/>
    <w:rsid w:val="00A82889"/>
    <w:rsid w:val="00A8367C"/>
    <w:rsid w:val="00A9281B"/>
    <w:rsid w:val="00A961F0"/>
    <w:rsid w:val="00A963CA"/>
    <w:rsid w:val="00A97420"/>
    <w:rsid w:val="00A978EA"/>
    <w:rsid w:val="00AA2C59"/>
    <w:rsid w:val="00AA3408"/>
    <w:rsid w:val="00AA56AC"/>
    <w:rsid w:val="00AA64DC"/>
    <w:rsid w:val="00AB17DD"/>
    <w:rsid w:val="00AB2DF2"/>
    <w:rsid w:val="00AB3160"/>
    <w:rsid w:val="00AC150F"/>
    <w:rsid w:val="00AC47A2"/>
    <w:rsid w:val="00AD0830"/>
    <w:rsid w:val="00AD3D48"/>
    <w:rsid w:val="00AD46E2"/>
    <w:rsid w:val="00AD5175"/>
    <w:rsid w:val="00AD565F"/>
    <w:rsid w:val="00AD6D70"/>
    <w:rsid w:val="00AD6FC7"/>
    <w:rsid w:val="00AE2750"/>
    <w:rsid w:val="00AE3C12"/>
    <w:rsid w:val="00AE6087"/>
    <w:rsid w:val="00AE60FB"/>
    <w:rsid w:val="00AE7ABF"/>
    <w:rsid w:val="00AF5B7F"/>
    <w:rsid w:val="00AF5DE1"/>
    <w:rsid w:val="00AF70F7"/>
    <w:rsid w:val="00B01DA2"/>
    <w:rsid w:val="00B022F5"/>
    <w:rsid w:val="00B04F94"/>
    <w:rsid w:val="00B11476"/>
    <w:rsid w:val="00B11937"/>
    <w:rsid w:val="00B13B7F"/>
    <w:rsid w:val="00B15D52"/>
    <w:rsid w:val="00B165CB"/>
    <w:rsid w:val="00B16A12"/>
    <w:rsid w:val="00B22F0D"/>
    <w:rsid w:val="00B23027"/>
    <w:rsid w:val="00B260C3"/>
    <w:rsid w:val="00B268C2"/>
    <w:rsid w:val="00B3089A"/>
    <w:rsid w:val="00B32956"/>
    <w:rsid w:val="00B32F87"/>
    <w:rsid w:val="00B35263"/>
    <w:rsid w:val="00B35D69"/>
    <w:rsid w:val="00B361B3"/>
    <w:rsid w:val="00B366E5"/>
    <w:rsid w:val="00B410AE"/>
    <w:rsid w:val="00B41AE8"/>
    <w:rsid w:val="00B42B54"/>
    <w:rsid w:val="00B43896"/>
    <w:rsid w:val="00B44184"/>
    <w:rsid w:val="00B50692"/>
    <w:rsid w:val="00B51957"/>
    <w:rsid w:val="00B5238C"/>
    <w:rsid w:val="00B526FA"/>
    <w:rsid w:val="00B55762"/>
    <w:rsid w:val="00B55812"/>
    <w:rsid w:val="00B56A74"/>
    <w:rsid w:val="00B6126A"/>
    <w:rsid w:val="00B619A1"/>
    <w:rsid w:val="00B626DA"/>
    <w:rsid w:val="00B62D9B"/>
    <w:rsid w:val="00B62FD1"/>
    <w:rsid w:val="00B66236"/>
    <w:rsid w:val="00B667E4"/>
    <w:rsid w:val="00B703F6"/>
    <w:rsid w:val="00B73CE0"/>
    <w:rsid w:val="00B74688"/>
    <w:rsid w:val="00B74A64"/>
    <w:rsid w:val="00B76CB3"/>
    <w:rsid w:val="00B81971"/>
    <w:rsid w:val="00B81E2D"/>
    <w:rsid w:val="00B824AA"/>
    <w:rsid w:val="00B84C81"/>
    <w:rsid w:val="00B85E1C"/>
    <w:rsid w:val="00B90B4B"/>
    <w:rsid w:val="00B9309E"/>
    <w:rsid w:val="00BA08A8"/>
    <w:rsid w:val="00BA1ABA"/>
    <w:rsid w:val="00BA220A"/>
    <w:rsid w:val="00BA46B9"/>
    <w:rsid w:val="00BB23F6"/>
    <w:rsid w:val="00BB2B65"/>
    <w:rsid w:val="00BB3FEA"/>
    <w:rsid w:val="00BB40CD"/>
    <w:rsid w:val="00BB5205"/>
    <w:rsid w:val="00BB5CAC"/>
    <w:rsid w:val="00BB76D5"/>
    <w:rsid w:val="00BC14DC"/>
    <w:rsid w:val="00BC1762"/>
    <w:rsid w:val="00BC6847"/>
    <w:rsid w:val="00BC6ABE"/>
    <w:rsid w:val="00BE2D78"/>
    <w:rsid w:val="00BE5DD3"/>
    <w:rsid w:val="00BE6CB4"/>
    <w:rsid w:val="00BF42F6"/>
    <w:rsid w:val="00BF7E7E"/>
    <w:rsid w:val="00C01D97"/>
    <w:rsid w:val="00C0298B"/>
    <w:rsid w:val="00C02F39"/>
    <w:rsid w:val="00C057ED"/>
    <w:rsid w:val="00C06A06"/>
    <w:rsid w:val="00C0734E"/>
    <w:rsid w:val="00C10D22"/>
    <w:rsid w:val="00C11141"/>
    <w:rsid w:val="00C1380B"/>
    <w:rsid w:val="00C15484"/>
    <w:rsid w:val="00C246B9"/>
    <w:rsid w:val="00C250C6"/>
    <w:rsid w:val="00C27CC8"/>
    <w:rsid w:val="00C32D7F"/>
    <w:rsid w:val="00C33C8C"/>
    <w:rsid w:val="00C37B2B"/>
    <w:rsid w:val="00C427C0"/>
    <w:rsid w:val="00C447A9"/>
    <w:rsid w:val="00C453E3"/>
    <w:rsid w:val="00C45AFC"/>
    <w:rsid w:val="00C45BBB"/>
    <w:rsid w:val="00C47352"/>
    <w:rsid w:val="00C52A22"/>
    <w:rsid w:val="00C539EB"/>
    <w:rsid w:val="00C56078"/>
    <w:rsid w:val="00C577BD"/>
    <w:rsid w:val="00C57E5C"/>
    <w:rsid w:val="00C63C0E"/>
    <w:rsid w:val="00C63D66"/>
    <w:rsid w:val="00C6415B"/>
    <w:rsid w:val="00C65B1C"/>
    <w:rsid w:val="00C668DD"/>
    <w:rsid w:val="00C67A77"/>
    <w:rsid w:val="00C742A8"/>
    <w:rsid w:val="00C753BE"/>
    <w:rsid w:val="00C75DA9"/>
    <w:rsid w:val="00C77312"/>
    <w:rsid w:val="00C7760A"/>
    <w:rsid w:val="00C77C56"/>
    <w:rsid w:val="00C82D58"/>
    <w:rsid w:val="00C859A0"/>
    <w:rsid w:val="00C86055"/>
    <w:rsid w:val="00C90BA5"/>
    <w:rsid w:val="00C9264B"/>
    <w:rsid w:val="00C92E27"/>
    <w:rsid w:val="00C93C22"/>
    <w:rsid w:val="00C943ED"/>
    <w:rsid w:val="00C946CC"/>
    <w:rsid w:val="00C94DE4"/>
    <w:rsid w:val="00CA0D07"/>
    <w:rsid w:val="00CA4476"/>
    <w:rsid w:val="00CA4EF8"/>
    <w:rsid w:val="00CA5028"/>
    <w:rsid w:val="00CB06B5"/>
    <w:rsid w:val="00CB2402"/>
    <w:rsid w:val="00CB6B23"/>
    <w:rsid w:val="00CB70F7"/>
    <w:rsid w:val="00CD1C0F"/>
    <w:rsid w:val="00CD2418"/>
    <w:rsid w:val="00CD2B33"/>
    <w:rsid w:val="00CD5E28"/>
    <w:rsid w:val="00CE7065"/>
    <w:rsid w:val="00CF5704"/>
    <w:rsid w:val="00D0144F"/>
    <w:rsid w:val="00D06885"/>
    <w:rsid w:val="00D10AAF"/>
    <w:rsid w:val="00D12651"/>
    <w:rsid w:val="00D12FFB"/>
    <w:rsid w:val="00D14983"/>
    <w:rsid w:val="00D153EA"/>
    <w:rsid w:val="00D210E1"/>
    <w:rsid w:val="00D2162C"/>
    <w:rsid w:val="00D27A6F"/>
    <w:rsid w:val="00D33AC3"/>
    <w:rsid w:val="00D455AC"/>
    <w:rsid w:val="00D45F04"/>
    <w:rsid w:val="00D52E85"/>
    <w:rsid w:val="00D54296"/>
    <w:rsid w:val="00D54781"/>
    <w:rsid w:val="00D55234"/>
    <w:rsid w:val="00D5628C"/>
    <w:rsid w:val="00D56FE3"/>
    <w:rsid w:val="00D61C2E"/>
    <w:rsid w:val="00D63A31"/>
    <w:rsid w:val="00D674F6"/>
    <w:rsid w:val="00D70F1B"/>
    <w:rsid w:val="00D7302D"/>
    <w:rsid w:val="00D77740"/>
    <w:rsid w:val="00D8162B"/>
    <w:rsid w:val="00D81F18"/>
    <w:rsid w:val="00D85863"/>
    <w:rsid w:val="00D90014"/>
    <w:rsid w:val="00D91956"/>
    <w:rsid w:val="00D91E61"/>
    <w:rsid w:val="00D92691"/>
    <w:rsid w:val="00D938CA"/>
    <w:rsid w:val="00D949C6"/>
    <w:rsid w:val="00D952A9"/>
    <w:rsid w:val="00D96A3E"/>
    <w:rsid w:val="00DA6CB2"/>
    <w:rsid w:val="00DB1A70"/>
    <w:rsid w:val="00DB1B9A"/>
    <w:rsid w:val="00DB2378"/>
    <w:rsid w:val="00DB264B"/>
    <w:rsid w:val="00DB4A24"/>
    <w:rsid w:val="00DB610D"/>
    <w:rsid w:val="00DC25D3"/>
    <w:rsid w:val="00DC2787"/>
    <w:rsid w:val="00DC4423"/>
    <w:rsid w:val="00DC60BE"/>
    <w:rsid w:val="00DC7BBB"/>
    <w:rsid w:val="00DD3C3F"/>
    <w:rsid w:val="00DD4C14"/>
    <w:rsid w:val="00DE071F"/>
    <w:rsid w:val="00DF0BCF"/>
    <w:rsid w:val="00DF13EB"/>
    <w:rsid w:val="00DF1791"/>
    <w:rsid w:val="00DF4CC1"/>
    <w:rsid w:val="00DF5C1A"/>
    <w:rsid w:val="00DF6348"/>
    <w:rsid w:val="00DF6E27"/>
    <w:rsid w:val="00E01216"/>
    <w:rsid w:val="00E02036"/>
    <w:rsid w:val="00E02276"/>
    <w:rsid w:val="00E02F1E"/>
    <w:rsid w:val="00E045EA"/>
    <w:rsid w:val="00E06793"/>
    <w:rsid w:val="00E0759D"/>
    <w:rsid w:val="00E11760"/>
    <w:rsid w:val="00E14B50"/>
    <w:rsid w:val="00E15BE8"/>
    <w:rsid w:val="00E20CD5"/>
    <w:rsid w:val="00E22584"/>
    <w:rsid w:val="00E30903"/>
    <w:rsid w:val="00E33180"/>
    <w:rsid w:val="00E35077"/>
    <w:rsid w:val="00E35715"/>
    <w:rsid w:val="00E35E3F"/>
    <w:rsid w:val="00E37ACF"/>
    <w:rsid w:val="00E40750"/>
    <w:rsid w:val="00E44562"/>
    <w:rsid w:val="00E45087"/>
    <w:rsid w:val="00E51330"/>
    <w:rsid w:val="00E51E4A"/>
    <w:rsid w:val="00E543C2"/>
    <w:rsid w:val="00E5464B"/>
    <w:rsid w:val="00E5534B"/>
    <w:rsid w:val="00E55716"/>
    <w:rsid w:val="00E57897"/>
    <w:rsid w:val="00E603F8"/>
    <w:rsid w:val="00E61E67"/>
    <w:rsid w:val="00E62ACB"/>
    <w:rsid w:val="00E63E52"/>
    <w:rsid w:val="00E63F76"/>
    <w:rsid w:val="00E674BE"/>
    <w:rsid w:val="00E678D9"/>
    <w:rsid w:val="00E70CF7"/>
    <w:rsid w:val="00E71A3E"/>
    <w:rsid w:val="00E71C4E"/>
    <w:rsid w:val="00E72535"/>
    <w:rsid w:val="00E74AD8"/>
    <w:rsid w:val="00E84405"/>
    <w:rsid w:val="00E84A33"/>
    <w:rsid w:val="00E97BFD"/>
    <w:rsid w:val="00EA09E2"/>
    <w:rsid w:val="00EA1AF5"/>
    <w:rsid w:val="00EA4B94"/>
    <w:rsid w:val="00EB1709"/>
    <w:rsid w:val="00EB2676"/>
    <w:rsid w:val="00EB2BC9"/>
    <w:rsid w:val="00EB3399"/>
    <w:rsid w:val="00EB3AAB"/>
    <w:rsid w:val="00EC0552"/>
    <w:rsid w:val="00EC40EF"/>
    <w:rsid w:val="00EC4D57"/>
    <w:rsid w:val="00EC679C"/>
    <w:rsid w:val="00ED2360"/>
    <w:rsid w:val="00ED3344"/>
    <w:rsid w:val="00ED42E5"/>
    <w:rsid w:val="00ED67E0"/>
    <w:rsid w:val="00EE10E1"/>
    <w:rsid w:val="00EE231F"/>
    <w:rsid w:val="00EE3936"/>
    <w:rsid w:val="00EF0321"/>
    <w:rsid w:val="00EF04A8"/>
    <w:rsid w:val="00EF27B9"/>
    <w:rsid w:val="00EF3D14"/>
    <w:rsid w:val="00EF523B"/>
    <w:rsid w:val="00EF55FD"/>
    <w:rsid w:val="00EF5D6B"/>
    <w:rsid w:val="00EF6C25"/>
    <w:rsid w:val="00EF71C9"/>
    <w:rsid w:val="00F00EEA"/>
    <w:rsid w:val="00F018CF"/>
    <w:rsid w:val="00F01F75"/>
    <w:rsid w:val="00F02B45"/>
    <w:rsid w:val="00F02E2D"/>
    <w:rsid w:val="00F04D0A"/>
    <w:rsid w:val="00F10C44"/>
    <w:rsid w:val="00F140E1"/>
    <w:rsid w:val="00F14F05"/>
    <w:rsid w:val="00F16C6E"/>
    <w:rsid w:val="00F17232"/>
    <w:rsid w:val="00F22067"/>
    <w:rsid w:val="00F2208E"/>
    <w:rsid w:val="00F231A6"/>
    <w:rsid w:val="00F24094"/>
    <w:rsid w:val="00F2417D"/>
    <w:rsid w:val="00F267FC"/>
    <w:rsid w:val="00F310FC"/>
    <w:rsid w:val="00F31A94"/>
    <w:rsid w:val="00F31BF9"/>
    <w:rsid w:val="00F34DFC"/>
    <w:rsid w:val="00F4019A"/>
    <w:rsid w:val="00F40D49"/>
    <w:rsid w:val="00F418EA"/>
    <w:rsid w:val="00F436BA"/>
    <w:rsid w:val="00F44B08"/>
    <w:rsid w:val="00F46181"/>
    <w:rsid w:val="00F54663"/>
    <w:rsid w:val="00F54921"/>
    <w:rsid w:val="00F565B6"/>
    <w:rsid w:val="00F62A45"/>
    <w:rsid w:val="00F6560B"/>
    <w:rsid w:val="00F65748"/>
    <w:rsid w:val="00F70165"/>
    <w:rsid w:val="00F71345"/>
    <w:rsid w:val="00F71655"/>
    <w:rsid w:val="00F71A75"/>
    <w:rsid w:val="00F77458"/>
    <w:rsid w:val="00F77A5D"/>
    <w:rsid w:val="00F80CAD"/>
    <w:rsid w:val="00F82BD2"/>
    <w:rsid w:val="00F86FB3"/>
    <w:rsid w:val="00F87245"/>
    <w:rsid w:val="00F93451"/>
    <w:rsid w:val="00F93F04"/>
    <w:rsid w:val="00F942A6"/>
    <w:rsid w:val="00F970D0"/>
    <w:rsid w:val="00F97132"/>
    <w:rsid w:val="00FA0D2B"/>
    <w:rsid w:val="00FA1EF1"/>
    <w:rsid w:val="00FA3A7D"/>
    <w:rsid w:val="00FB20F6"/>
    <w:rsid w:val="00FB4415"/>
    <w:rsid w:val="00FB58C7"/>
    <w:rsid w:val="00FC1153"/>
    <w:rsid w:val="00FC1BF5"/>
    <w:rsid w:val="00FC34B1"/>
    <w:rsid w:val="00FC3CC7"/>
    <w:rsid w:val="00FC45B5"/>
    <w:rsid w:val="00FC4A32"/>
    <w:rsid w:val="00FC794A"/>
    <w:rsid w:val="00FD2584"/>
    <w:rsid w:val="00FD4185"/>
    <w:rsid w:val="00FD4248"/>
    <w:rsid w:val="00FD6239"/>
    <w:rsid w:val="00FD6D86"/>
    <w:rsid w:val="00FE3832"/>
    <w:rsid w:val="00FF0B33"/>
    <w:rsid w:val="00FF40D6"/>
    <w:rsid w:val="00FF4985"/>
    <w:rsid w:val="00FF4B12"/>
    <w:rsid w:val="00FF6628"/>
    <w:rsid w:val="00FF7D8A"/>
    <w:rsid w:val="1E726942"/>
    <w:rsid w:val="4032E69E"/>
    <w:rsid w:val="5D451683"/>
    <w:rsid w:val="66927722"/>
    <w:rsid w:val="77811EF6"/>
    <w:rsid w:val="7F4BEDC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38118E"/>
  <w15:docId w15:val="{A6BF9257-A14F-454C-AC7A-DD9C0053D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0830"/>
    <w:rPr>
      <w:rFonts w:ascii="Times New Roman" w:eastAsia="MS Mincho" w:hAnsi="Times New Roman" w:cs="Times New Roman"/>
      <w:sz w:val="24"/>
      <w:szCs w:val="24"/>
      <w:lang w:val="es-ES" w:eastAsia="es-ES"/>
    </w:rPr>
  </w:style>
  <w:style w:type="paragraph" w:styleId="Ttulo1">
    <w:name w:val="heading 1"/>
    <w:aliases w:val="TituloPrincipal"/>
    <w:basedOn w:val="Normal"/>
    <w:next w:val="Normal"/>
    <w:link w:val="Ttulo1Car"/>
    <w:uiPriority w:val="9"/>
    <w:qFormat/>
    <w:rsid w:val="002F2BC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2F2BC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2F2BCC"/>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F71345"/>
  </w:style>
  <w:style w:type="paragraph" w:styleId="Piedepgina">
    <w:name w:val="footer"/>
    <w:basedOn w:val="Normal"/>
    <w:link w:val="PiedepginaCar"/>
    <w:uiPriority w:val="99"/>
    <w:unhideWhenUsed/>
    <w:rsid w:val="00F71345"/>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uiPriority w:val="99"/>
    <w:rsid w:val="00F71345"/>
  </w:style>
  <w:style w:type="paragraph" w:styleId="Textodeglobo">
    <w:name w:val="Balloon Text"/>
    <w:basedOn w:val="Normal"/>
    <w:link w:val="TextodegloboCar"/>
    <w:uiPriority w:val="99"/>
    <w:semiHidden/>
    <w:unhideWhenUsed/>
    <w:rsid w:val="00F71345"/>
    <w:rPr>
      <w:rFonts w:ascii="Tahoma" w:eastAsiaTheme="minorHAnsi" w:hAnsi="Tahoma" w:cs="Tahoma"/>
      <w:sz w:val="16"/>
      <w:szCs w:val="16"/>
      <w:lang w:val="es-CO" w:eastAsia="en-US"/>
    </w:rPr>
  </w:style>
  <w:style w:type="character" w:customStyle="1" w:styleId="TextodegloboCar">
    <w:name w:val="Texto de globo Car"/>
    <w:basedOn w:val="Fuentedeprrafopredeter"/>
    <w:link w:val="Textodeglobo"/>
    <w:uiPriority w:val="99"/>
    <w:semiHidden/>
    <w:rsid w:val="00F71345"/>
    <w:rPr>
      <w:rFonts w:ascii="Tahoma" w:hAnsi="Tahoma" w:cs="Tahoma"/>
      <w:sz w:val="16"/>
      <w:szCs w:val="16"/>
    </w:rPr>
  </w:style>
  <w:style w:type="table" w:styleId="Tablaconcuadrcula">
    <w:name w:val="Table Grid"/>
    <w:basedOn w:val="Tablanormal"/>
    <w:uiPriority w:val="39"/>
    <w:rsid w:val="00F713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8A2D0E"/>
    <w:rPr>
      <w:color w:val="0000FF" w:themeColor="hyperlink"/>
      <w:u w:val="single"/>
    </w:rPr>
  </w:style>
  <w:style w:type="character" w:styleId="Nmerodepgina">
    <w:name w:val="page number"/>
    <w:basedOn w:val="Fuentedeprrafopredeter"/>
    <w:rsid w:val="00F65748"/>
  </w:style>
  <w:style w:type="paragraph" w:styleId="Prrafodelista">
    <w:name w:val="List Paragraph"/>
    <w:aliases w:val="List,Normal. Viñetas,titulo 3,Ha,Bullets,Lista vistosa - Énfasis 11,Cuadrícula clara - Énfasis 31"/>
    <w:basedOn w:val="Normal"/>
    <w:link w:val="PrrafodelistaCar"/>
    <w:uiPriority w:val="34"/>
    <w:qFormat/>
    <w:rsid w:val="005E04F5"/>
    <w:pPr>
      <w:ind w:left="720"/>
      <w:contextualSpacing/>
    </w:pPr>
  </w:style>
  <w:style w:type="character" w:styleId="Textoennegrita">
    <w:name w:val="Strong"/>
    <w:basedOn w:val="Fuentedeprrafopredeter"/>
    <w:uiPriority w:val="22"/>
    <w:qFormat/>
    <w:rsid w:val="005E04F5"/>
    <w:rPr>
      <w:b/>
      <w:bCs/>
    </w:rPr>
  </w:style>
  <w:style w:type="paragraph" w:customStyle="1" w:styleId="Prrafodelista1">
    <w:name w:val="Párrafo de lista1"/>
    <w:uiPriority w:val="99"/>
    <w:rsid w:val="0080212F"/>
    <w:pPr>
      <w:ind w:left="720"/>
    </w:pPr>
    <w:rPr>
      <w:rFonts w:ascii="Times New Roman" w:eastAsia="ヒラギノ角ゴ Pro W3" w:hAnsi="Times New Roman" w:cs="Times New Roman"/>
      <w:color w:val="000000"/>
      <w:sz w:val="24"/>
      <w:szCs w:val="20"/>
      <w:lang w:val="es-ES_tradnl" w:eastAsia="es-CO"/>
    </w:rPr>
  </w:style>
  <w:style w:type="paragraph" w:customStyle="1" w:styleId="FormatolibreCB">
    <w:name w:val="Formato libre C B"/>
    <w:autoRedefine/>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CAAA">
    <w:name w:val="Formato libre C A A A"/>
    <w:uiPriority w:val="99"/>
    <w:rsid w:val="0080212F"/>
    <w:rPr>
      <w:rFonts w:ascii="Times New Roman" w:eastAsia="ヒラギノ角ゴ Pro W3" w:hAnsi="Times New Roman" w:cs="Times New Roman"/>
      <w:color w:val="000000"/>
      <w:sz w:val="20"/>
      <w:szCs w:val="20"/>
      <w:lang w:eastAsia="es-CO"/>
    </w:rPr>
  </w:style>
  <w:style w:type="paragraph" w:customStyle="1" w:styleId="Formatolibre">
    <w:name w:val="Formato libre"/>
    <w:uiPriority w:val="99"/>
    <w:rsid w:val="00FD4185"/>
    <w:rPr>
      <w:rFonts w:ascii="Times New Roman" w:eastAsia="ヒラギノ角ゴ Pro W3" w:hAnsi="Times New Roman" w:cs="Times New Roman"/>
      <w:color w:val="000000"/>
      <w:sz w:val="20"/>
      <w:szCs w:val="20"/>
      <w:lang w:eastAsia="es-CO"/>
    </w:rPr>
  </w:style>
  <w:style w:type="paragraph" w:customStyle="1" w:styleId="FormatolibreCA">
    <w:name w:val="Formato libre C A"/>
    <w:uiPriority w:val="99"/>
    <w:rsid w:val="00FD4185"/>
    <w:rPr>
      <w:rFonts w:ascii="Times New Roman" w:eastAsia="ヒラギノ角ゴ Pro W3" w:hAnsi="Times New Roman" w:cs="Times New Roman"/>
      <w:color w:val="000000"/>
      <w:sz w:val="20"/>
      <w:szCs w:val="20"/>
      <w:lang w:eastAsia="es-CO"/>
    </w:rPr>
  </w:style>
  <w:style w:type="paragraph" w:customStyle="1" w:styleId="Prrafodelista2">
    <w:name w:val="Párrafo de lista2"/>
    <w:uiPriority w:val="99"/>
    <w:rsid w:val="00FD4185"/>
    <w:pPr>
      <w:ind w:left="720"/>
    </w:pPr>
    <w:rPr>
      <w:rFonts w:ascii="Times New Roman" w:eastAsia="ヒラギノ角ゴ Pro W3" w:hAnsi="Times New Roman" w:cs="Times New Roman"/>
      <w:color w:val="000000"/>
      <w:sz w:val="24"/>
      <w:szCs w:val="20"/>
      <w:lang w:val="es-ES_tradnl" w:eastAsia="es-CO"/>
    </w:rPr>
  </w:style>
  <w:style w:type="paragraph" w:styleId="Sinespaciado">
    <w:name w:val="No Spacing"/>
    <w:aliases w:val="Subtitulo"/>
    <w:link w:val="SinespaciadoCar"/>
    <w:uiPriority w:val="1"/>
    <w:qFormat/>
    <w:rsid w:val="007B1D31"/>
  </w:style>
  <w:style w:type="character" w:styleId="Refdecomentario">
    <w:name w:val="annotation reference"/>
    <w:basedOn w:val="Fuentedeprrafopredeter"/>
    <w:uiPriority w:val="99"/>
    <w:semiHidden/>
    <w:unhideWhenUsed/>
    <w:rsid w:val="00CB6B23"/>
    <w:rPr>
      <w:sz w:val="16"/>
      <w:szCs w:val="16"/>
    </w:rPr>
  </w:style>
  <w:style w:type="paragraph" w:styleId="Textocomentario">
    <w:name w:val="annotation text"/>
    <w:basedOn w:val="Normal"/>
    <w:link w:val="TextocomentarioCar"/>
    <w:uiPriority w:val="99"/>
    <w:unhideWhenUsed/>
    <w:rsid w:val="00CB6B23"/>
    <w:rPr>
      <w:sz w:val="20"/>
      <w:szCs w:val="20"/>
    </w:rPr>
  </w:style>
  <w:style w:type="character" w:customStyle="1" w:styleId="TextocomentarioCar">
    <w:name w:val="Texto comentario Car"/>
    <w:basedOn w:val="Fuentedeprrafopredeter"/>
    <w:link w:val="Textocomentario"/>
    <w:uiPriority w:val="99"/>
    <w:rsid w:val="00CB6B23"/>
    <w:rPr>
      <w:rFonts w:ascii="Times New Roman" w:eastAsia="MS Mincho"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CB6B23"/>
    <w:rPr>
      <w:b/>
      <w:bCs/>
    </w:rPr>
  </w:style>
  <w:style w:type="character" w:customStyle="1" w:styleId="AsuntodelcomentarioCar">
    <w:name w:val="Asunto del comentario Car"/>
    <w:basedOn w:val="TextocomentarioCar"/>
    <w:link w:val="Asuntodelcomentario"/>
    <w:uiPriority w:val="99"/>
    <w:semiHidden/>
    <w:rsid w:val="00CB6B23"/>
    <w:rPr>
      <w:rFonts w:ascii="Times New Roman" w:eastAsia="MS Mincho" w:hAnsi="Times New Roman" w:cs="Times New Roman"/>
      <w:b/>
      <w:bCs/>
      <w:sz w:val="20"/>
      <w:szCs w:val="20"/>
      <w:lang w:val="es-ES" w:eastAsia="es-ES"/>
    </w:rPr>
  </w:style>
  <w:style w:type="paragraph" w:styleId="NormalWeb">
    <w:name w:val="Normal (Web)"/>
    <w:basedOn w:val="Normal"/>
    <w:uiPriority w:val="99"/>
    <w:rsid w:val="000D6114"/>
    <w:pPr>
      <w:spacing w:before="100" w:beforeAutospacing="1" w:after="119"/>
    </w:pPr>
    <w:rPr>
      <w:rFonts w:eastAsia="Calibri"/>
    </w:rPr>
  </w:style>
  <w:style w:type="character" w:customStyle="1" w:styleId="Ttulo1Car">
    <w:name w:val="Título 1 Car"/>
    <w:aliases w:val="TituloPrincipal Car"/>
    <w:basedOn w:val="Fuentedeprrafopredeter"/>
    <w:link w:val="Ttulo1"/>
    <w:uiPriority w:val="9"/>
    <w:rsid w:val="002F2BCC"/>
    <w:rPr>
      <w:rFonts w:asciiTheme="majorHAnsi" w:eastAsiaTheme="majorEastAsia" w:hAnsiTheme="majorHAnsi" w:cstheme="majorBidi"/>
      <w:color w:val="365F91" w:themeColor="accent1" w:themeShade="BF"/>
      <w:sz w:val="32"/>
      <w:szCs w:val="32"/>
      <w:lang w:val="es-ES" w:eastAsia="es-ES"/>
    </w:rPr>
  </w:style>
  <w:style w:type="character" w:customStyle="1" w:styleId="Ttulo2Car">
    <w:name w:val="Título 2 Car"/>
    <w:basedOn w:val="Fuentedeprrafopredeter"/>
    <w:link w:val="Ttulo2"/>
    <w:uiPriority w:val="9"/>
    <w:rsid w:val="002F2BCC"/>
    <w:rPr>
      <w:rFonts w:asciiTheme="majorHAnsi" w:eastAsiaTheme="majorEastAsia" w:hAnsiTheme="majorHAnsi" w:cstheme="majorBidi"/>
      <w:color w:val="365F91" w:themeColor="accent1" w:themeShade="BF"/>
      <w:sz w:val="26"/>
      <w:szCs w:val="26"/>
      <w:lang w:val="es-ES" w:eastAsia="es-ES"/>
    </w:rPr>
  </w:style>
  <w:style w:type="character" w:customStyle="1" w:styleId="Ttulo3Car">
    <w:name w:val="Título 3 Car"/>
    <w:basedOn w:val="Fuentedeprrafopredeter"/>
    <w:link w:val="Ttulo3"/>
    <w:uiPriority w:val="9"/>
    <w:rsid w:val="002F2BCC"/>
    <w:rPr>
      <w:rFonts w:asciiTheme="majorHAnsi" w:eastAsiaTheme="majorEastAsia" w:hAnsiTheme="majorHAnsi" w:cstheme="majorBidi"/>
      <w:color w:val="243F60" w:themeColor="accent1" w:themeShade="7F"/>
      <w:sz w:val="24"/>
      <w:szCs w:val="24"/>
      <w:lang w:val="es-ES" w:eastAsia="es-ES"/>
    </w:rPr>
  </w:style>
  <w:style w:type="character" w:styleId="Hipervnculovisitado">
    <w:name w:val="FollowedHyperlink"/>
    <w:basedOn w:val="Fuentedeprrafopredeter"/>
    <w:uiPriority w:val="99"/>
    <w:semiHidden/>
    <w:unhideWhenUsed/>
    <w:rsid w:val="002F2BCC"/>
    <w:rPr>
      <w:color w:val="800080" w:themeColor="followedHyperlink"/>
      <w:u w:val="single"/>
    </w:rPr>
  </w:style>
  <w:style w:type="character" w:customStyle="1" w:styleId="Ttulo1Car1">
    <w:name w:val="Título 1 Car1"/>
    <w:aliases w:val="TituloPrincipal Car1"/>
    <w:basedOn w:val="Fuentedeprrafopredeter"/>
    <w:uiPriority w:val="9"/>
    <w:rsid w:val="002F2BCC"/>
    <w:rPr>
      <w:rFonts w:asciiTheme="majorHAnsi" w:eastAsiaTheme="majorEastAsia" w:hAnsiTheme="majorHAnsi" w:cstheme="majorBidi"/>
      <w:color w:val="365F91" w:themeColor="accent1" w:themeShade="BF"/>
      <w:sz w:val="32"/>
      <w:szCs w:val="32"/>
      <w:lang w:val="es-ES" w:eastAsia="es-ES"/>
    </w:rPr>
  </w:style>
  <w:style w:type="paragraph" w:customStyle="1" w:styleId="msonormal0">
    <w:name w:val="msonormal"/>
    <w:basedOn w:val="Normal"/>
    <w:uiPriority w:val="99"/>
    <w:rsid w:val="002F2BCC"/>
    <w:pPr>
      <w:spacing w:before="100" w:beforeAutospacing="1" w:after="119"/>
    </w:pPr>
    <w:rPr>
      <w:rFonts w:eastAsia="Calibri"/>
    </w:rPr>
  </w:style>
  <w:style w:type="character" w:customStyle="1" w:styleId="TextonotapieCar">
    <w:name w:val="Texto nota pie Car"/>
    <w:aliases w:val="Ref. de nota al pie1 Car,Footnote Text Char Car,Footnote Text Char Char Char Char Car,Footnote Text Char Char Char Char Char Char Char Char Car,FA Fu Car"/>
    <w:basedOn w:val="Fuentedeprrafopredeter"/>
    <w:link w:val="Textonotapie"/>
    <w:uiPriority w:val="99"/>
    <w:locked/>
    <w:rsid w:val="002F2BCC"/>
    <w:rPr>
      <w:sz w:val="20"/>
      <w:szCs w:val="20"/>
    </w:rPr>
  </w:style>
  <w:style w:type="paragraph" w:styleId="Textonotapie">
    <w:name w:val="footnote text"/>
    <w:aliases w:val="Ref. de nota al pie1,Footnote Text Char,Footnote Text Char Char Char Char,Footnote Text Char Char Char Char Char Char Char Char,FA Fu"/>
    <w:basedOn w:val="Normal"/>
    <w:link w:val="TextonotapieCar"/>
    <w:uiPriority w:val="99"/>
    <w:unhideWhenUsed/>
    <w:qFormat/>
    <w:rsid w:val="002F2BCC"/>
    <w:rPr>
      <w:rFonts w:asciiTheme="minorHAnsi" w:eastAsiaTheme="minorHAnsi" w:hAnsiTheme="minorHAnsi" w:cstheme="minorBidi"/>
      <w:sz w:val="20"/>
      <w:szCs w:val="20"/>
      <w:lang w:val="es-CO" w:eastAsia="en-US"/>
    </w:rPr>
  </w:style>
  <w:style w:type="character" w:customStyle="1" w:styleId="TextonotapieCar1">
    <w:name w:val="Texto nota pie Car1"/>
    <w:aliases w:val="Ref. de nota al pie1 Car1,Footnote Text Char Car1,Footnote Text Char Char Char Char Car1,Footnote Text Char Char Char Char Char Char Char Char Car1,FA Fu Car1"/>
    <w:basedOn w:val="Fuentedeprrafopredeter"/>
    <w:uiPriority w:val="99"/>
    <w:semiHidden/>
    <w:rsid w:val="002F2BCC"/>
    <w:rPr>
      <w:rFonts w:ascii="Times New Roman" w:eastAsia="MS Mincho" w:hAnsi="Times New Roman" w:cs="Times New Roman"/>
      <w:sz w:val="20"/>
      <w:szCs w:val="20"/>
      <w:lang w:val="es-ES" w:eastAsia="es-ES"/>
    </w:rPr>
  </w:style>
  <w:style w:type="character" w:customStyle="1" w:styleId="SubttuloCar">
    <w:name w:val="Subtítulo Car"/>
    <w:aliases w:val="Tablas Car"/>
    <w:basedOn w:val="Fuentedeprrafopredeter"/>
    <w:link w:val="Subttulo"/>
    <w:uiPriority w:val="11"/>
    <w:locked/>
    <w:rsid w:val="002F2BCC"/>
    <w:rPr>
      <w:rFonts w:ascii="Arial" w:eastAsiaTheme="majorEastAsia" w:hAnsi="Arial" w:cstheme="majorBidi"/>
      <w:iCs/>
      <w:spacing w:val="15"/>
      <w:sz w:val="16"/>
      <w:szCs w:val="24"/>
      <w:lang w:val="es-ES" w:eastAsia="es-ES"/>
    </w:rPr>
  </w:style>
  <w:style w:type="paragraph" w:styleId="Subttulo">
    <w:name w:val="Subtitle"/>
    <w:aliases w:val="Tablas"/>
    <w:basedOn w:val="Normal"/>
    <w:next w:val="Normal"/>
    <w:link w:val="SubttuloCar"/>
    <w:uiPriority w:val="11"/>
    <w:qFormat/>
    <w:rsid w:val="002F2BCC"/>
    <w:pPr>
      <w:jc w:val="both"/>
    </w:pPr>
    <w:rPr>
      <w:rFonts w:ascii="Arial" w:eastAsiaTheme="majorEastAsia" w:hAnsi="Arial" w:cstheme="majorBidi"/>
      <w:iCs/>
      <w:spacing w:val="15"/>
      <w:sz w:val="16"/>
    </w:rPr>
  </w:style>
  <w:style w:type="character" w:customStyle="1" w:styleId="SubttuloCar1">
    <w:name w:val="Subtítulo Car1"/>
    <w:aliases w:val="Tablas Car1"/>
    <w:basedOn w:val="Fuentedeprrafopredeter"/>
    <w:uiPriority w:val="11"/>
    <w:rsid w:val="002F2BCC"/>
    <w:rPr>
      <w:rFonts w:eastAsiaTheme="minorEastAsia"/>
      <w:color w:val="5A5A5A" w:themeColor="text1" w:themeTint="A5"/>
      <w:spacing w:val="15"/>
      <w:lang w:val="es-ES" w:eastAsia="es-ES"/>
    </w:rPr>
  </w:style>
  <w:style w:type="paragraph" w:styleId="Textoindependiente2">
    <w:name w:val="Body Text 2"/>
    <w:basedOn w:val="Normal"/>
    <w:link w:val="Textoindependiente2Car"/>
    <w:uiPriority w:val="99"/>
    <w:semiHidden/>
    <w:unhideWhenUsed/>
    <w:rsid w:val="002F2BCC"/>
    <w:pPr>
      <w:jc w:val="both"/>
    </w:pPr>
    <w:rPr>
      <w:rFonts w:ascii="Arial" w:eastAsia="Times New Roman" w:hAnsi="Arial"/>
      <w:sz w:val="20"/>
      <w:szCs w:val="20"/>
      <w:lang w:val="es-ES_tradnl"/>
    </w:rPr>
  </w:style>
  <w:style w:type="character" w:customStyle="1" w:styleId="Textoindependiente2Car">
    <w:name w:val="Texto independiente 2 Car"/>
    <w:basedOn w:val="Fuentedeprrafopredeter"/>
    <w:link w:val="Textoindependiente2"/>
    <w:uiPriority w:val="99"/>
    <w:semiHidden/>
    <w:rsid w:val="002F2BCC"/>
    <w:rPr>
      <w:rFonts w:ascii="Arial" w:eastAsia="Times New Roman" w:hAnsi="Arial" w:cs="Times New Roman"/>
      <w:sz w:val="20"/>
      <w:szCs w:val="20"/>
      <w:lang w:val="es-ES_tradnl" w:eastAsia="es-ES"/>
    </w:rPr>
  </w:style>
  <w:style w:type="character" w:customStyle="1" w:styleId="SinespaciadoCar">
    <w:name w:val="Sin espaciado Car"/>
    <w:aliases w:val="Subtitulo Car"/>
    <w:basedOn w:val="Fuentedeprrafopredeter"/>
    <w:link w:val="Sinespaciado"/>
    <w:uiPriority w:val="1"/>
    <w:locked/>
    <w:rsid w:val="002F2BCC"/>
  </w:style>
  <w:style w:type="character" w:customStyle="1" w:styleId="PrrafodelistaCar">
    <w:name w:val="Párrafo de lista Car"/>
    <w:aliases w:val="List Car,Normal. Viñetas Car,titulo 3 Car,Ha Car,Bullets Car,Lista vistosa - Énfasis 11 Car,Cuadrícula clara - Énfasis 31 Car"/>
    <w:link w:val="Prrafodelista"/>
    <w:uiPriority w:val="34"/>
    <w:locked/>
    <w:rsid w:val="002F2BCC"/>
    <w:rPr>
      <w:rFonts w:ascii="Times New Roman" w:eastAsia="MS Mincho" w:hAnsi="Times New Roman" w:cs="Times New Roman"/>
      <w:sz w:val="24"/>
      <w:szCs w:val="24"/>
      <w:lang w:val="es-ES" w:eastAsia="es-ES"/>
    </w:rPr>
  </w:style>
  <w:style w:type="paragraph" w:customStyle="1" w:styleId="Default">
    <w:name w:val="Default"/>
    <w:uiPriority w:val="99"/>
    <w:rsid w:val="002F2BCC"/>
    <w:pPr>
      <w:autoSpaceDE w:val="0"/>
      <w:autoSpaceDN w:val="0"/>
      <w:adjustRightInd w:val="0"/>
    </w:pPr>
    <w:rPr>
      <w:rFonts w:ascii="Arial" w:hAnsi="Arial" w:cs="Arial"/>
      <w:color w:val="000000"/>
      <w:sz w:val="24"/>
      <w:szCs w:val="24"/>
      <w:lang w:val="en-US"/>
    </w:rPr>
  </w:style>
  <w:style w:type="paragraph" w:customStyle="1" w:styleId="CONPESTexto">
    <w:name w:val="CONPES Texto"/>
    <w:basedOn w:val="Normal"/>
    <w:uiPriority w:val="99"/>
    <w:qFormat/>
    <w:rsid w:val="002F2BCC"/>
    <w:pPr>
      <w:spacing w:before="120" w:after="120" w:line="276" w:lineRule="auto"/>
      <w:ind w:firstLine="567"/>
      <w:jc w:val="both"/>
    </w:pPr>
    <w:rPr>
      <w:rFonts w:ascii="Futura Std Book" w:eastAsia="Calibri" w:hAnsi="Futura Std Book"/>
      <w:color w:val="000000"/>
      <w:sz w:val="22"/>
      <w:lang w:val="es-CO" w:eastAsia="en-US"/>
    </w:rPr>
  </w:style>
  <w:style w:type="paragraph" w:customStyle="1" w:styleId="xmsonormal">
    <w:name w:val="x_msonormal"/>
    <w:basedOn w:val="Normal"/>
    <w:uiPriority w:val="99"/>
    <w:rsid w:val="002F2BCC"/>
    <w:pPr>
      <w:spacing w:before="100" w:beforeAutospacing="1" w:after="100" w:afterAutospacing="1"/>
    </w:pPr>
    <w:rPr>
      <w:rFonts w:eastAsia="Times New Roman"/>
      <w:lang w:val="es-CO" w:eastAsia="es-CO"/>
    </w:rPr>
  </w:style>
  <w:style w:type="character" w:styleId="Refdenotaalpie">
    <w:name w:val="footnote reference"/>
    <w:aliases w:val="Ref. de nota al pie 2,Texto de nota al pie,Pie de Página,FC,Texto de nota al pi,Appel note de bas de page,Footnotes refss,Footnote number,referencia nota al pie,BVI fnr,f,4_G,16 Point,Superscript 6 Point,Texto nota al pie"/>
    <w:basedOn w:val="Fuentedeprrafopredeter"/>
    <w:uiPriority w:val="99"/>
    <w:unhideWhenUsed/>
    <w:qFormat/>
    <w:rsid w:val="002F2BCC"/>
    <w:rPr>
      <w:vertAlign w:val="superscript"/>
    </w:rPr>
  </w:style>
  <w:style w:type="character" w:styleId="nfasissutil">
    <w:name w:val="Subtle Emphasis"/>
    <w:aliases w:val="Notas al pie"/>
    <w:basedOn w:val="Fuentedeprrafopredeter"/>
    <w:uiPriority w:val="19"/>
    <w:qFormat/>
    <w:rsid w:val="002F2BCC"/>
    <w:rPr>
      <w:rFonts w:ascii="Arial" w:hAnsi="Arial" w:cs="Arial" w:hint="default"/>
      <w:i w:val="0"/>
      <w:iCs/>
      <w:color w:val="auto"/>
      <w:sz w:val="16"/>
    </w:rPr>
  </w:style>
  <w:style w:type="table" w:styleId="Tabladecuadrcula4">
    <w:name w:val="Grid Table 4"/>
    <w:basedOn w:val="Tablanormal"/>
    <w:uiPriority w:val="49"/>
    <w:rsid w:val="002F2BCC"/>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concuadrcula4-nfasis1">
    <w:name w:val="Grid Table 4 Accent 1"/>
    <w:basedOn w:val="Tablanormal"/>
    <w:uiPriority w:val="49"/>
    <w:rsid w:val="002F2BCC"/>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laconcuadrcula4-nfasis4">
    <w:name w:val="Grid Table 4 Accent 4"/>
    <w:basedOn w:val="Tablanormal"/>
    <w:uiPriority w:val="49"/>
    <w:rsid w:val="002F2BCC"/>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aj">
    <w:name w:val="b_aj"/>
    <w:basedOn w:val="Fuentedeprrafopredeter"/>
    <w:rsid w:val="00011854"/>
  </w:style>
  <w:style w:type="paragraph" w:customStyle="1" w:styleId="Cuerpo">
    <w:name w:val="Cuerpo"/>
    <w:uiPriority w:val="99"/>
    <w:rsid w:val="00A50365"/>
    <w:rPr>
      <w:rFonts w:ascii="Times New Roman" w:eastAsia="Arial Unicode MS" w:hAnsi="Arial Unicode MS" w:cs="Arial Unicode MS"/>
      <w:color w:val="000000"/>
      <w:sz w:val="24"/>
      <w:szCs w:val="24"/>
      <w:u w:color="000000"/>
      <w:lang w:eastAsia="es-CO"/>
    </w:rPr>
  </w:style>
  <w:style w:type="table" w:customStyle="1" w:styleId="Tablaconcuadrcula1">
    <w:name w:val="Tabla con cuadrícula1"/>
    <w:basedOn w:val="Tablanormal"/>
    <w:next w:val="Tablaconcuadrcula"/>
    <w:uiPriority w:val="39"/>
    <w:rsid w:val="000F417C"/>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nfasis41">
    <w:name w:val="Tabla con cuadrícula 4 - Énfasis 41"/>
    <w:basedOn w:val="Tablanormal"/>
    <w:next w:val="Tablaconcuadrcula4-nfasis4"/>
    <w:uiPriority w:val="49"/>
    <w:rsid w:val="000F417C"/>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Tablaconcuadrcula5oscura-nfasis4">
    <w:name w:val="Grid Table 5 Dark Accent 4"/>
    <w:basedOn w:val="Tablanormal"/>
    <w:uiPriority w:val="50"/>
    <w:rsid w:val="000F417C"/>
    <w:rPr>
      <w:rFonts w:ascii="Calibri" w:eastAsia="Calibri" w:hAnsi="Calibri" w:cs="Ari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paragraph" w:styleId="Revisin">
    <w:name w:val="Revision"/>
    <w:hidden/>
    <w:uiPriority w:val="99"/>
    <w:semiHidden/>
    <w:rsid w:val="004768CF"/>
    <w:rPr>
      <w:rFonts w:ascii="Times New Roman" w:eastAsia="MS Mincho" w:hAnsi="Times New Roman" w:cs="Times New Roman"/>
      <w:sz w:val="24"/>
      <w:szCs w:val="24"/>
      <w:lang w:val="es-ES" w:eastAsia="es-ES"/>
    </w:rPr>
  </w:style>
  <w:style w:type="character" w:styleId="Mencinsinresolver">
    <w:name w:val="Unresolved Mention"/>
    <w:basedOn w:val="Fuentedeprrafopredeter"/>
    <w:uiPriority w:val="99"/>
    <w:semiHidden/>
    <w:unhideWhenUsed/>
    <w:rsid w:val="0010321F"/>
    <w:rPr>
      <w:color w:val="605E5C"/>
      <w:shd w:val="clear" w:color="auto" w:fill="E1DFDD"/>
    </w:rPr>
  </w:style>
  <w:style w:type="character" w:customStyle="1" w:styleId="ui-provider">
    <w:name w:val="ui-provider"/>
    <w:basedOn w:val="Fuentedeprrafopredeter"/>
    <w:rsid w:val="00C93C22"/>
  </w:style>
  <w:style w:type="table" w:customStyle="1" w:styleId="Tablaconcuadrcula2">
    <w:name w:val="Tabla con cuadrícula2"/>
    <w:basedOn w:val="Tablanormal"/>
    <w:next w:val="Tablaconcuadrcula"/>
    <w:uiPriority w:val="39"/>
    <w:rsid w:val="00C93C22"/>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1">
    <w:name w:val="Tabla de cuadrícula 41"/>
    <w:basedOn w:val="Tablanormal"/>
    <w:next w:val="Tabladecuadrcula4"/>
    <w:uiPriority w:val="49"/>
    <w:rsid w:val="00C93C22"/>
    <w:rPr>
      <w:rFonts w:ascii="Calibri" w:eastAsia="Calibri" w:hAnsi="Calibri" w:cs="Arial"/>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1">
    <w:name w:val="Tabla con cuadrícula 4 - Énfasis 11"/>
    <w:basedOn w:val="Tablanormal"/>
    <w:next w:val="Tablaconcuadrcula4-nfasis1"/>
    <w:uiPriority w:val="49"/>
    <w:rsid w:val="00C93C22"/>
    <w:rPr>
      <w:rFonts w:ascii="Calibri" w:eastAsia="Calibri" w:hAnsi="Calibri" w:cs="Ari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42">
    <w:name w:val="Tabla con cuadrícula 4 - Énfasis 42"/>
    <w:basedOn w:val="Tablanormal"/>
    <w:next w:val="Tablaconcuadrcula4-nfasis4"/>
    <w:uiPriority w:val="49"/>
    <w:rsid w:val="00C93C22"/>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5oscura-nfasis41">
    <w:name w:val="Tabla con cuadrícula 5 oscura - Énfasis 41"/>
    <w:basedOn w:val="Tablanormal"/>
    <w:next w:val="Tablaconcuadrcula5oscura-nfasis4"/>
    <w:uiPriority w:val="50"/>
    <w:rsid w:val="00C93C22"/>
    <w:rPr>
      <w:rFonts w:ascii="Calibri" w:eastAsia="Calibri" w:hAnsi="Calibri" w:cs="Ari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concuadrcula4-nfasis411">
    <w:name w:val="Tabla con cuadrícula 4 - Énfasis 411"/>
    <w:basedOn w:val="Tablanormal"/>
    <w:uiPriority w:val="49"/>
    <w:rsid w:val="00C93C22"/>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3">
    <w:name w:val="Tabla con cuadrícula3"/>
    <w:basedOn w:val="Tablanormal"/>
    <w:next w:val="Tablaconcuadrcula"/>
    <w:uiPriority w:val="39"/>
    <w:rsid w:val="008372BA"/>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2">
    <w:name w:val="Tabla de cuadrícula 42"/>
    <w:basedOn w:val="Tablanormal"/>
    <w:next w:val="Tabladecuadrcula4"/>
    <w:uiPriority w:val="49"/>
    <w:rsid w:val="008372BA"/>
    <w:rPr>
      <w:rFonts w:ascii="Calibri" w:eastAsia="Calibri" w:hAnsi="Calibri" w:cs="Times New Roman"/>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2">
    <w:name w:val="Tabla con cuadrícula 4 - Énfasis 12"/>
    <w:basedOn w:val="Tablanormal"/>
    <w:next w:val="Tablaconcuadrcula4-nfasis1"/>
    <w:uiPriority w:val="49"/>
    <w:rsid w:val="008372BA"/>
    <w:rPr>
      <w:rFonts w:ascii="Calibri" w:eastAsia="Calibri" w:hAnsi="Calibri" w:cs="Times New Roman"/>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43">
    <w:name w:val="Tabla con cuadrícula 4 - Énfasis 43"/>
    <w:basedOn w:val="Tablanormal"/>
    <w:next w:val="Tablaconcuadrcula4-nfasis4"/>
    <w:uiPriority w:val="49"/>
    <w:rsid w:val="008372BA"/>
    <w:rPr>
      <w:rFonts w:ascii="Calibri" w:eastAsia="Calibri" w:hAnsi="Calibri" w:cs="Times New Roman"/>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5oscura-nfasis42">
    <w:name w:val="Tabla con cuadrícula 5 oscura - Énfasis 42"/>
    <w:basedOn w:val="Tablanormal"/>
    <w:next w:val="Tablaconcuadrcula5oscura-nfasis4"/>
    <w:uiPriority w:val="50"/>
    <w:rsid w:val="008372BA"/>
    <w:rPr>
      <w:rFonts w:ascii="Calibri" w:eastAsia="Calibri" w:hAnsi="Calibri" w:cs="Ari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concuadrcula4-nfasis412">
    <w:name w:val="Tabla con cuadrícula 4 - Énfasis 412"/>
    <w:basedOn w:val="Tablanormal"/>
    <w:uiPriority w:val="49"/>
    <w:rsid w:val="008372BA"/>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decuadrcula411">
    <w:name w:val="Tabla de cuadrícula 411"/>
    <w:basedOn w:val="Tablanormal"/>
    <w:uiPriority w:val="49"/>
    <w:rsid w:val="008372BA"/>
    <w:rPr>
      <w:rFonts w:ascii="Calibri" w:eastAsia="Calibri" w:hAnsi="Calibri" w:cs="Arial"/>
    </w:r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concuadrcula4-nfasis111">
    <w:name w:val="Tabla con cuadrícula 4 - Énfasis 111"/>
    <w:basedOn w:val="Tablanormal"/>
    <w:uiPriority w:val="49"/>
    <w:rsid w:val="008372BA"/>
    <w:rPr>
      <w:rFonts w:ascii="Calibri" w:eastAsia="Calibri" w:hAnsi="Calibri" w:cs="Arial"/>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4-nfasis421">
    <w:name w:val="Tabla con cuadrícula 4 - Énfasis 421"/>
    <w:basedOn w:val="Tablanormal"/>
    <w:uiPriority w:val="49"/>
    <w:rsid w:val="008372BA"/>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Tablaconcuadrcula5oscura-nfasis411">
    <w:name w:val="Tabla con cuadrícula 5 oscura - Énfasis 411"/>
    <w:basedOn w:val="Tablanormal"/>
    <w:uiPriority w:val="50"/>
    <w:rsid w:val="008372BA"/>
    <w:rPr>
      <w:rFonts w:ascii="Calibri" w:eastAsia="Calibri" w:hAnsi="Calibri" w:cs="Arial"/>
    </w:rPr>
    <w:tblPr>
      <w:tblStyleRowBandSize w:val="1"/>
      <w:tblStyleColBandSize w:val="1"/>
      <w:tblInd w:w="0" w:type="nil"/>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Tablaconcuadrcula4-nfasis4111">
    <w:name w:val="Tabla con cuadrícula 4 - Énfasis 4111"/>
    <w:basedOn w:val="Tablanormal"/>
    <w:uiPriority w:val="49"/>
    <w:rsid w:val="008372BA"/>
    <w:rPr>
      <w:rFonts w:ascii="Calibri" w:eastAsia="Calibri" w:hAnsi="Calibri" w:cs="Arial"/>
    </w:rPr>
    <w:tblPr>
      <w:tblStyleRowBandSize w:val="1"/>
      <w:tblStyleColBandSize w:val="1"/>
      <w:tblInd w:w="0" w:type="nil"/>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964011">
      <w:bodyDiv w:val="1"/>
      <w:marLeft w:val="0"/>
      <w:marRight w:val="0"/>
      <w:marTop w:val="0"/>
      <w:marBottom w:val="0"/>
      <w:divBdr>
        <w:top w:val="none" w:sz="0" w:space="0" w:color="auto"/>
        <w:left w:val="none" w:sz="0" w:space="0" w:color="auto"/>
        <w:bottom w:val="none" w:sz="0" w:space="0" w:color="auto"/>
        <w:right w:val="none" w:sz="0" w:space="0" w:color="auto"/>
      </w:divBdr>
    </w:div>
    <w:div w:id="250823940">
      <w:bodyDiv w:val="1"/>
      <w:marLeft w:val="0"/>
      <w:marRight w:val="0"/>
      <w:marTop w:val="0"/>
      <w:marBottom w:val="0"/>
      <w:divBdr>
        <w:top w:val="none" w:sz="0" w:space="0" w:color="auto"/>
        <w:left w:val="none" w:sz="0" w:space="0" w:color="auto"/>
        <w:bottom w:val="none" w:sz="0" w:space="0" w:color="auto"/>
        <w:right w:val="none" w:sz="0" w:space="0" w:color="auto"/>
      </w:divBdr>
    </w:div>
    <w:div w:id="272980380">
      <w:bodyDiv w:val="1"/>
      <w:marLeft w:val="0"/>
      <w:marRight w:val="0"/>
      <w:marTop w:val="0"/>
      <w:marBottom w:val="0"/>
      <w:divBdr>
        <w:top w:val="none" w:sz="0" w:space="0" w:color="auto"/>
        <w:left w:val="none" w:sz="0" w:space="0" w:color="auto"/>
        <w:bottom w:val="none" w:sz="0" w:space="0" w:color="auto"/>
        <w:right w:val="none" w:sz="0" w:space="0" w:color="auto"/>
      </w:divBdr>
    </w:div>
    <w:div w:id="303051801">
      <w:bodyDiv w:val="1"/>
      <w:marLeft w:val="0"/>
      <w:marRight w:val="0"/>
      <w:marTop w:val="0"/>
      <w:marBottom w:val="0"/>
      <w:divBdr>
        <w:top w:val="none" w:sz="0" w:space="0" w:color="auto"/>
        <w:left w:val="none" w:sz="0" w:space="0" w:color="auto"/>
        <w:bottom w:val="none" w:sz="0" w:space="0" w:color="auto"/>
        <w:right w:val="none" w:sz="0" w:space="0" w:color="auto"/>
      </w:divBdr>
    </w:div>
    <w:div w:id="312295270">
      <w:bodyDiv w:val="1"/>
      <w:marLeft w:val="0"/>
      <w:marRight w:val="0"/>
      <w:marTop w:val="0"/>
      <w:marBottom w:val="0"/>
      <w:divBdr>
        <w:top w:val="none" w:sz="0" w:space="0" w:color="auto"/>
        <w:left w:val="none" w:sz="0" w:space="0" w:color="auto"/>
        <w:bottom w:val="none" w:sz="0" w:space="0" w:color="auto"/>
        <w:right w:val="none" w:sz="0" w:space="0" w:color="auto"/>
      </w:divBdr>
    </w:div>
    <w:div w:id="320230922">
      <w:bodyDiv w:val="1"/>
      <w:marLeft w:val="0"/>
      <w:marRight w:val="0"/>
      <w:marTop w:val="0"/>
      <w:marBottom w:val="0"/>
      <w:divBdr>
        <w:top w:val="none" w:sz="0" w:space="0" w:color="auto"/>
        <w:left w:val="none" w:sz="0" w:space="0" w:color="auto"/>
        <w:bottom w:val="none" w:sz="0" w:space="0" w:color="auto"/>
        <w:right w:val="none" w:sz="0" w:space="0" w:color="auto"/>
      </w:divBdr>
    </w:div>
    <w:div w:id="540433644">
      <w:bodyDiv w:val="1"/>
      <w:marLeft w:val="0"/>
      <w:marRight w:val="0"/>
      <w:marTop w:val="0"/>
      <w:marBottom w:val="0"/>
      <w:divBdr>
        <w:top w:val="none" w:sz="0" w:space="0" w:color="auto"/>
        <w:left w:val="none" w:sz="0" w:space="0" w:color="auto"/>
        <w:bottom w:val="none" w:sz="0" w:space="0" w:color="auto"/>
        <w:right w:val="none" w:sz="0" w:space="0" w:color="auto"/>
      </w:divBdr>
    </w:div>
    <w:div w:id="625696727">
      <w:bodyDiv w:val="1"/>
      <w:marLeft w:val="0"/>
      <w:marRight w:val="0"/>
      <w:marTop w:val="0"/>
      <w:marBottom w:val="0"/>
      <w:divBdr>
        <w:top w:val="none" w:sz="0" w:space="0" w:color="auto"/>
        <w:left w:val="none" w:sz="0" w:space="0" w:color="auto"/>
        <w:bottom w:val="none" w:sz="0" w:space="0" w:color="auto"/>
        <w:right w:val="none" w:sz="0" w:space="0" w:color="auto"/>
      </w:divBdr>
    </w:div>
    <w:div w:id="770513170">
      <w:bodyDiv w:val="1"/>
      <w:marLeft w:val="0"/>
      <w:marRight w:val="0"/>
      <w:marTop w:val="0"/>
      <w:marBottom w:val="0"/>
      <w:divBdr>
        <w:top w:val="none" w:sz="0" w:space="0" w:color="auto"/>
        <w:left w:val="none" w:sz="0" w:space="0" w:color="auto"/>
        <w:bottom w:val="none" w:sz="0" w:space="0" w:color="auto"/>
        <w:right w:val="none" w:sz="0" w:space="0" w:color="auto"/>
      </w:divBdr>
      <w:divsChild>
        <w:div w:id="767576447">
          <w:marLeft w:val="0"/>
          <w:marRight w:val="0"/>
          <w:marTop w:val="0"/>
          <w:marBottom w:val="0"/>
          <w:divBdr>
            <w:top w:val="none" w:sz="0" w:space="0" w:color="auto"/>
            <w:left w:val="none" w:sz="0" w:space="0" w:color="auto"/>
            <w:bottom w:val="none" w:sz="0" w:space="0" w:color="auto"/>
            <w:right w:val="none" w:sz="0" w:space="0" w:color="auto"/>
          </w:divBdr>
          <w:divsChild>
            <w:div w:id="1829831655">
              <w:marLeft w:val="0"/>
              <w:marRight w:val="0"/>
              <w:marTop w:val="0"/>
              <w:marBottom w:val="0"/>
              <w:divBdr>
                <w:top w:val="none" w:sz="0" w:space="0" w:color="auto"/>
                <w:left w:val="none" w:sz="0" w:space="0" w:color="auto"/>
                <w:bottom w:val="none" w:sz="0" w:space="0" w:color="auto"/>
                <w:right w:val="none" w:sz="0" w:space="0" w:color="auto"/>
              </w:divBdr>
            </w:div>
          </w:divsChild>
        </w:div>
        <w:div w:id="2077123719">
          <w:marLeft w:val="0"/>
          <w:marRight w:val="0"/>
          <w:marTop w:val="0"/>
          <w:marBottom w:val="0"/>
          <w:divBdr>
            <w:top w:val="none" w:sz="0" w:space="0" w:color="auto"/>
            <w:left w:val="none" w:sz="0" w:space="0" w:color="auto"/>
            <w:bottom w:val="none" w:sz="0" w:space="0" w:color="auto"/>
            <w:right w:val="none" w:sz="0" w:space="0" w:color="auto"/>
          </w:divBdr>
          <w:divsChild>
            <w:div w:id="4333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473402">
      <w:bodyDiv w:val="1"/>
      <w:marLeft w:val="0"/>
      <w:marRight w:val="0"/>
      <w:marTop w:val="0"/>
      <w:marBottom w:val="0"/>
      <w:divBdr>
        <w:top w:val="none" w:sz="0" w:space="0" w:color="auto"/>
        <w:left w:val="none" w:sz="0" w:space="0" w:color="auto"/>
        <w:bottom w:val="none" w:sz="0" w:space="0" w:color="auto"/>
        <w:right w:val="none" w:sz="0" w:space="0" w:color="auto"/>
      </w:divBdr>
    </w:div>
    <w:div w:id="865412053">
      <w:bodyDiv w:val="1"/>
      <w:marLeft w:val="0"/>
      <w:marRight w:val="0"/>
      <w:marTop w:val="0"/>
      <w:marBottom w:val="0"/>
      <w:divBdr>
        <w:top w:val="none" w:sz="0" w:space="0" w:color="auto"/>
        <w:left w:val="none" w:sz="0" w:space="0" w:color="auto"/>
        <w:bottom w:val="none" w:sz="0" w:space="0" w:color="auto"/>
        <w:right w:val="none" w:sz="0" w:space="0" w:color="auto"/>
      </w:divBdr>
    </w:div>
    <w:div w:id="917325083">
      <w:bodyDiv w:val="1"/>
      <w:marLeft w:val="0"/>
      <w:marRight w:val="0"/>
      <w:marTop w:val="0"/>
      <w:marBottom w:val="0"/>
      <w:divBdr>
        <w:top w:val="none" w:sz="0" w:space="0" w:color="auto"/>
        <w:left w:val="none" w:sz="0" w:space="0" w:color="auto"/>
        <w:bottom w:val="none" w:sz="0" w:space="0" w:color="auto"/>
        <w:right w:val="none" w:sz="0" w:space="0" w:color="auto"/>
      </w:divBdr>
    </w:div>
    <w:div w:id="985279400">
      <w:bodyDiv w:val="1"/>
      <w:marLeft w:val="0"/>
      <w:marRight w:val="0"/>
      <w:marTop w:val="0"/>
      <w:marBottom w:val="0"/>
      <w:divBdr>
        <w:top w:val="none" w:sz="0" w:space="0" w:color="auto"/>
        <w:left w:val="none" w:sz="0" w:space="0" w:color="auto"/>
        <w:bottom w:val="none" w:sz="0" w:space="0" w:color="auto"/>
        <w:right w:val="none" w:sz="0" w:space="0" w:color="auto"/>
      </w:divBdr>
    </w:div>
    <w:div w:id="1021785514">
      <w:bodyDiv w:val="1"/>
      <w:marLeft w:val="0"/>
      <w:marRight w:val="0"/>
      <w:marTop w:val="0"/>
      <w:marBottom w:val="0"/>
      <w:divBdr>
        <w:top w:val="none" w:sz="0" w:space="0" w:color="auto"/>
        <w:left w:val="none" w:sz="0" w:space="0" w:color="auto"/>
        <w:bottom w:val="none" w:sz="0" w:space="0" w:color="auto"/>
        <w:right w:val="none" w:sz="0" w:space="0" w:color="auto"/>
      </w:divBdr>
    </w:div>
    <w:div w:id="1111899819">
      <w:bodyDiv w:val="1"/>
      <w:marLeft w:val="0"/>
      <w:marRight w:val="0"/>
      <w:marTop w:val="0"/>
      <w:marBottom w:val="0"/>
      <w:divBdr>
        <w:top w:val="none" w:sz="0" w:space="0" w:color="auto"/>
        <w:left w:val="none" w:sz="0" w:space="0" w:color="auto"/>
        <w:bottom w:val="none" w:sz="0" w:space="0" w:color="auto"/>
        <w:right w:val="none" w:sz="0" w:space="0" w:color="auto"/>
      </w:divBdr>
      <w:divsChild>
        <w:div w:id="954674982">
          <w:marLeft w:val="0"/>
          <w:marRight w:val="0"/>
          <w:marTop w:val="0"/>
          <w:marBottom w:val="0"/>
          <w:divBdr>
            <w:top w:val="none" w:sz="0" w:space="0" w:color="auto"/>
            <w:left w:val="none" w:sz="0" w:space="0" w:color="auto"/>
            <w:bottom w:val="none" w:sz="0" w:space="0" w:color="auto"/>
            <w:right w:val="none" w:sz="0" w:space="0" w:color="auto"/>
          </w:divBdr>
          <w:divsChild>
            <w:div w:id="1478182855">
              <w:marLeft w:val="0"/>
              <w:marRight w:val="0"/>
              <w:marTop w:val="0"/>
              <w:marBottom w:val="0"/>
              <w:divBdr>
                <w:top w:val="none" w:sz="0" w:space="0" w:color="auto"/>
                <w:left w:val="none" w:sz="0" w:space="0" w:color="auto"/>
                <w:bottom w:val="none" w:sz="0" w:space="0" w:color="auto"/>
                <w:right w:val="none" w:sz="0" w:space="0" w:color="auto"/>
              </w:divBdr>
            </w:div>
          </w:divsChild>
        </w:div>
        <w:div w:id="369763293">
          <w:marLeft w:val="0"/>
          <w:marRight w:val="0"/>
          <w:marTop w:val="0"/>
          <w:marBottom w:val="0"/>
          <w:divBdr>
            <w:top w:val="none" w:sz="0" w:space="0" w:color="auto"/>
            <w:left w:val="none" w:sz="0" w:space="0" w:color="auto"/>
            <w:bottom w:val="none" w:sz="0" w:space="0" w:color="auto"/>
            <w:right w:val="none" w:sz="0" w:space="0" w:color="auto"/>
          </w:divBdr>
          <w:divsChild>
            <w:div w:id="1648510881">
              <w:marLeft w:val="0"/>
              <w:marRight w:val="0"/>
              <w:marTop w:val="0"/>
              <w:marBottom w:val="0"/>
              <w:divBdr>
                <w:top w:val="none" w:sz="0" w:space="0" w:color="auto"/>
                <w:left w:val="none" w:sz="0" w:space="0" w:color="auto"/>
                <w:bottom w:val="none" w:sz="0" w:space="0" w:color="auto"/>
                <w:right w:val="none" w:sz="0" w:space="0" w:color="auto"/>
              </w:divBdr>
            </w:div>
          </w:divsChild>
        </w:div>
        <w:div w:id="1617370347">
          <w:marLeft w:val="0"/>
          <w:marRight w:val="0"/>
          <w:marTop w:val="0"/>
          <w:marBottom w:val="0"/>
          <w:divBdr>
            <w:top w:val="none" w:sz="0" w:space="0" w:color="auto"/>
            <w:left w:val="none" w:sz="0" w:space="0" w:color="auto"/>
            <w:bottom w:val="none" w:sz="0" w:space="0" w:color="auto"/>
            <w:right w:val="none" w:sz="0" w:space="0" w:color="auto"/>
          </w:divBdr>
          <w:divsChild>
            <w:div w:id="1553537322">
              <w:marLeft w:val="0"/>
              <w:marRight w:val="0"/>
              <w:marTop w:val="0"/>
              <w:marBottom w:val="0"/>
              <w:divBdr>
                <w:top w:val="none" w:sz="0" w:space="0" w:color="auto"/>
                <w:left w:val="none" w:sz="0" w:space="0" w:color="auto"/>
                <w:bottom w:val="none" w:sz="0" w:space="0" w:color="auto"/>
                <w:right w:val="none" w:sz="0" w:space="0" w:color="auto"/>
              </w:divBdr>
            </w:div>
          </w:divsChild>
        </w:div>
        <w:div w:id="1651792607">
          <w:marLeft w:val="0"/>
          <w:marRight w:val="0"/>
          <w:marTop w:val="0"/>
          <w:marBottom w:val="0"/>
          <w:divBdr>
            <w:top w:val="none" w:sz="0" w:space="0" w:color="auto"/>
            <w:left w:val="none" w:sz="0" w:space="0" w:color="auto"/>
            <w:bottom w:val="none" w:sz="0" w:space="0" w:color="auto"/>
            <w:right w:val="none" w:sz="0" w:space="0" w:color="auto"/>
          </w:divBdr>
          <w:divsChild>
            <w:div w:id="1878858840">
              <w:marLeft w:val="0"/>
              <w:marRight w:val="0"/>
              <w:marTop w:val="0"/>
              <w:marBottom w:val="0"/>
              <w:divBdr>
                <w:top w:val="none" w:sz="0" w:space="0" w:color="auto"/>
                <w:left w:val="none" w:sz="0" w:space="0" w:color="auto"/>
                <w:bottom w:val="none" w:sz="0" w:space="0" w:color="auto"/>
                <w:right w:val="none" w:sz="0" w:space="0" w:color="auto"/>
              </w:divBdr>
            </w:div>
          </w:divsChild>
        </w:div>
        <w:div w:id="1057776930">
          <w:marLeft w:val="0"/>
          <w:marRight w:val="0"/>
          <w:marTop w:val="0"/>
          <w:marBottom w:val="0"/>
          <w:divBdr>
            <w:top w:val="none" w:sz="0" w:space="0" w:color="auto"/>
            <w:left w:val="none" w:sz="0" w:space="0" w:color="auto"/>
            <w:bottom w:val="none" w:sz="0" w:space="0" w:color="auto"/>
            <w:right w:val="none" w:sz="0" w:space="0" w:color="auto"/>
          </w:divBdr>
          <w:divsChild>
            <w:div w:id="897591203">
              <w:marLeft w:val="0"/>
              <w:marRight w:val="0"/>
              <w:marTop w:val="0"/>
              <w:marBottom w:val="0"/>
              <w:divBdr>
                <w:top w:val="none" w:sz="0" w:space="0" w:color="auto"/>
                <w:left w:val="none" w:sz="0" w:space="0" w:color="auto"/>
                <w:bottom w:val="none" w:sz="0" w:space="0" w:color="auto"/>
                <w:right w:val="none" w:sz="0" w:space="0" w:color="auto"/>
              </w:divBdr>
            </w:div>
          </w:divsChild>
        </w:div>
        <w:div w:id="7766">
          <w:marLeft w:val="0"/>
          <w:marRight w:val="0"/>
          <w:marTop w:val="0"/>
          <w:marBottom w:val="0"/>
          <w:divBdr>
            <w:top w:val="none" w:sz="0" w:space="0" w:color="auto"/>
            <w:left w:val="none" w:sz="0" w:space="0" w:color="auto"/>
            <w:bottom w:val="none" w:sz="0" w:space="0" w:color="auto"/>
            <w:right w:val="none" w:sz="0" w:space="0" w:color="auto"/>
          </w:divBdr>
          <w:divsChild>
            <w:div w:id="1883058002">
              <w:marLeft w:val="0"/>
              <w:marRight w:val="0"/>
              <w:marTop w:val="0"/>
              <w:marBottom w:val="0"/>
              <w:divBdr>
                <w:top w:val="none" w:sz="0" w:space="0" w:color="auto"/>
                <w:left w:val="none" w:sz="0" w:space="0" w:color="auto"/>
                <w:bottom w:val="none" w:sz="0" w:space="0" w:color="auto"/>
                <w:right w:val="none" w:sz="0" w:space="0" w:color="auto"/>
              </w:divBdr>
            </w:div>
          </w:divsChild>
        </w:div>
        <w:div w:id="242951956">
          <w:marLeft w:val="0"/>
          <w:marRight w:val="0"/>
          <w:marTop w:val="0"/>
          <w:marBottom w:val="0"/>
          <w:divBdr>
            <w:top w:val="none" w:sz="0" w:space="0" w:color="auto"/>
            <w:left w:val="none" w:sz="0" w:space="0" w:color="auto"/>
            <w:bottom w:val="none" w:sz="0" w:space="0" w:color="auto"/>
            <w:right w:val="none" w:sz="0" w:space="0" w:color="auto"/>
          </w:divBdr>
          <w:divsChild>
            <w:div w:id="1593078996">
              <w:marLeft w:val="0"/>
              <w:marRight w:val="0"/>
              <w:marTop w:val="0"/>
              <w:marBottom w:val="0"/>
              <w:divBdr>
                <w:top w:val="none" w:sz="0" w:space="0" w:color="auto"/>
                <w:left w:val="none" w:sz="0" w:space="0" w:color="auto"/>
                <w:bottom w:val="none" w:sz="0" w:space="0" w:color="auto"/>
                <w:right w:val="none" w:sz="0" w:space="0" w:color="auto"/>
              </w:divBdr>
            </w:div>
          </w:divsChild>
        </w:div>
        <w:div w:id="708534507">
          <w:marLeft w:val="0"/>
          <w:marRight w:val="0"/>
          <w:marTop w:val="0"/>
          <w:marBottom w:val="0"/>
          <w:divBdr>
            <w:top w:val="none" w:sz="0" w:space="0" w:color="auto"/>
            <w:left w:val="none" w:sz="0" w:space="0" w:color="auto"/>
            <w:bottom w:val="none" w:sz="0" w:space="0" w:color="auto"/>
            <w:right w:val="none" w:sz="0" w:space="0" w:color="auto"/>
          </w:divBdr>
          <w:divsChild>
            <w:div w:id="1342587279">
              <w:marLeft w:val="0"/>
              <w:marRight w:val="0"/>
              <w:marTop w:val="0"/>
              <w:marBottom w:val="0"/>
              <w:divBdr>
                <w:top w:val="none" w:sz="0" w:space="0" w:color="auto"/>
                <w:left w:val="none" w:sz="0" w:space="0" w:color="auto"/>
                <w:bottom w:val="none" w:sz="0" w:space="0" w:color="auto"/>
                <w:right w:val="none" w:sz="0" w:space="0" w:color="auto"/>
              </w:divBdr>
            </w:div>
          </w:divsChild>
        </w:div>
        <w:div w:id="483469808">
          <w:marLeft w:val="0"/>
          <w:marRight w:val="0"/>
          <w:marTop w:val="0"/>
          <w:marBottom w:val="0"/>
          <w:divBdr>
            <w:top w:val="none" w:sz="0" w:space="0" w:color="auto"/>
            <w:left w:val="none" w:sz="0" w:space="0" w:color="auto"/>
            <w:bottom w:val="none" w:sz="0" w:space="0" w:color="auto"/>
            <w:right w:val="none" w:sz="0" w:space="0" w:color="auto"/>
          </w:divBdr>
          <w:divsChild>
            <w:div w:id="1319453641">
              <w:marLeft w:val="0"/>
              <w:marRight w:val="0"/>
              <w:marTop w:val="0"/>
              <w:marBottom w:val="0"/>
              <w:divBdr>
                <w:top w:val="none" w:sz="0" w:space="0" w:color="auto"/>
                <w:left w:val="none" w:sz="0" w:space="0" w:color="auto"/>
                <w:bottom w:val="none" w:sz="0" w:space="0" w:color="auto"/>
                <w:right w:val="none" w:sz="0" w:space="0" w:color="auto"/>
              </w:divBdr>
            </w:div>
          </w:divsChild>
        </w:div>
        <w:div w:id="1264848787">
          <w:marLeft w:val="0"/>
          <w:marRight w:val="0"/>
          <w:marTop w:val="0"/>
          <w:marBottom w:val="0"/>
          <w:divBdr>
            <w:top w:val="none" w:sz="0" w:space="0" w:color="auto"/>
            <w:left w:val="none" w:sz="0" w:space="0" w:color="auto"/>
            <w:bottom w:val="none" w:sz="0" w:space="0" w:color="auto"/>
            <w:right w:val="none" w:sz="0" w:space="0" w:color="auto"/>
          </w:divBdr>
          <w:divsChild>
            <w:div w:id="1779636675">
              <w:marLeft w:val="0"/>
              <w:marRight w:val="0"/>
              <w:marTop w:val="0"/>
              <w:marBottom w:val="0"/>
              <w:divBdr>
                <w:top w:val="none" w:sz="0" w:space="0" w:color="auto"/>
                <w:left w:val="none" w:sz="0" w:space="0" w:color="auto"/>
                <w:bottom w:val="none" w:sz="0" w:space="0" w:color="auto"/>
                <w:right w:val="none" w:sz="0" w:space="0" w:color="auto"/>
              </w:divBdr>
            </w:div>
          </w:divsChild>
        </w:div>
        <w:div w:id="1090850137">
          <w:marLeft w:val="0"/>
          <w:marRight w:val="0"/>
          <w:marTop w:val="0"/>
          <w:marBottom w:val="0"/>
          <w:divBdr>
            <w:top w:val="none" w:sz="0" w:space="0" w:color="auto"/>
            <w:left w:val="none" w:sz="0" w:space="0" w:color="auto"/>
            <w:bottom w:val="none" w:sz="0" w:space="0" w:color="auto"/>
            <w:right w:val="none" w:sz="0" w:space="0" w:color="auto"/>
          </w:divBdr>
          <w:divsChild>
            <w:div w:id="1948272543">
              <w:marLeft w:val="0"/>
              <w:marRight w:val="0"/>
              <w:marTop w:val="0"/>
              <w:marBottom w:val="0"/>
              <w:divBdr>
                <w:top w:val="none" w:sz="0" w:space="0" w:color="auto"/>
                <w:left w:val="none" w:sz="0" w:space="0" w:color="auto"/>
                <w:bottom w:val="none" w:sz="0" w:space="0" w:color="auto"/>
                <w:right w:val="none" w:sz="0" w:space="0" w:color="auto"/>
              </w:divBdr>
            </w:div>
          </w:divsChild>
        </w:div>
        <w:div w:id="1655446172">
          <w:marLeft w:val="0"/>
          <w:marRight w:val="0"/>
          <w:marTop w:val="0"/>
          <w:marBottom w:val="0"/>
          <w:divBdr>
            <w:top w:val="none" w:sz="0" w:space="0" w:color="auto"/>
            <w:left w:val="none" w:sz="0" w:space="0" w:color="auto"/>
            <w:bottom w:val="none" w:sz="0" w:space="0" w:color="auto"/>
            <w:right w:val="none" w:sz="0" w:space="0" w:color="auto"/>
          </w:divBdr>
          <w:divsChild>
            <w:div w:id="669258125">
              <w:marLeft w:val="0"/>
              <w:marRight w:val="0"/>
              <w:marTop w:val="0"/>
              <w:marBottom w:val="0"/>
              <w:divBdr>
                <w:top w:val="none" w:sz="0" w:space="0" w:color="auto"/>
                <w:left w:val="none" w:sz="0" w:space="0" w:color="auto"/>
                <w:bottom w:val="none" w:sz="0" w:space="0" w:color="auto"/>
                <w:right w:val="none" w:sz="0" w:space="0" w:color="auto"/>
              </w:divBdr>
            </w:div>
          </w:divsChild>
        </w:div>
        <w:div w:id="2060014675">
          <w:marLeft w:val="0"/>
          <w:marRight w:val="0"/>
          <w:marTop w:val="0"/>
          <w:marBottom w:val="0"/>
          <w:divBdr>
            <w:top w:val="none" w:sz="0" w:space="0" w:color="auto"/>
            <w:left w:val="none" w:sz="0" w:space="0" w:color="auto"/>
            <w:bottom w:val="none" w:sz="0" w:space="0" w:color="auto"/>
            <w:right w:val="none" w:sz="0" w:space="0" w:color="auto"/>
          </w:divBdr>
          <w:divsChild>
            <w:div w:id="1452671733">
              <w:marLeft w:val="0"/>
              <w:marRight w:val="0"/>
              <w:marTop w:val="0"/>
              <w:marBottom w:val="0"/>
              <w:divBdr>
                <w:top w:val="none" w:sz="0" w:space="0" w:color="auto"/>
                <w:left w:val="none" w:sz="0" w:space="0" w:color="auto"/>
                <w:bottom w:val="none" w:sz="0" w:space="0" w:color="auto"/>
                <w:right w:val="none" w:sz="0" w:space="0" w:color="auto"/>
              </w:divBdr>
            </w:div>
          </w:divsChild>
        </w:div>
        <w:div w:id="2013605768">
          <w:marLeft w:val="0"/>
          <w:marRight w:val="0"/>
          <w:marTop w:val="0"/>
          <w:marBottom w:val="0"/>
          <w:divBdr>
            <w:top w:val="none" w:sz="0" w:space="0" w:color="auto"/>
            <w:left w:val="none" w:sz="0" w:space="0" w:color="auto"/>
            <w:bottom w:val="none" w:sz="0" w:space="0" w:color="auto"/>
            <w:right w:val="none" w:sz="0" w:space="0" w:color="auto"/>
          </w:divBdr>
          <w:divsChild>
            <w:div w:id="86080657">
              <w:marLeft w:val="0"/>
              <w:marRight w:val="0"/>
              <w:marTop w:val="0"/>
              <w:marBottom w:val="0"/>
              <w:divBdr>
                <w:top w:val="none" w:sz="0" w:space="0" w:color="auto"/>
                <w:left w:val="none" w:sz="0" w:space="0" w:color="auto"/>
                <w:bottom w:val="none" w:sz="0" w:space="0" w:color="auto"/>
                <w:right w:val="none" w:sz="0" w:space="0" w:color="auto"/>
              </w:divBdr>
            </w:div>
          </w:divsChild>
        </w:div>
        <w:div w:id="634061840">
          <w:marLeft w:val="0"/>
          <w:marRight w:val="0"/>
          <w:marTop w:val="0"/>
          <w:marBottom w:val="0"/>
          <w:divBdr>
            <w:top w:val="none" w:sz="0" w:space="0" w:color="auto"/>
            <w:left w:val="none" w:sz="0" w:space="0" w:color="auto"/>
            <w:bottom w:val="none" w:sz="0" w:space="0" w:color="auto"/>
            <w:right w:val="none" w:sz="0" w:space="0" w:color="auto"/>
          </w:divBdr>
          <w:divsChild>
            <w:div w:id="2006856338">
              <w:marLeft w:val="0"/>
              <w:marRight w:val="0"/>
              <w:marTop w:val="0"/>
              <w:marBottom w:val="0"/>
              <w:divBdr>
                <w:top w:val="none" w:sz="0" w:space="0" w:color="auto"/>
                <w:left w:val="none" w:sz="0" w:space="0" w:color="auto"/>
                <w:bottom w:val="none" w:sz="0" w:space="0" w:color="auto"/>
                <w:right w:val="none" w:sz="0" w:space="0" w:color="auto"/>
              </w:divBdr>
            </w:div>
          </w:divsChild>
        </w:div>
        <w:div w:id="426967907">
          <w:marLeft w:val="0"/>
          <w:marRight w:val="0"/>
          <w:marTop w:val="0"/>
          <w:marBottom w:val="0"/>
          <w:divBdr>
            <w:top w:val="none" w:sz="0" w:space="0" w:color="auto"/>
            <w:left w:val="none" w:sz="0" w:space="0" w:color="auto"/>
            <w:bottom w:val="none" w:sz="0" w:space="0" w:color="auto"/>
            <w:right w:val="none" w:sz="0" w:space="0" w:color="auto"/>
          </w:divBdr>
          <w:divsChild>
            <w:div w:id="1791126436">
              <w:marLeft w:val="0"/>
              <w:marRight w:val="0"/>
              <w:marTop w:val="0"/>
              <w:marBottom w:val="0"/>
              <w:divBdr>
                <w:top w:val="none" w:sz="0" w:space="0" w:color="auto"/>
                <w:left w:val="none" w:sz="0" w:space="0" w:color="auto"/>
                <w:bottom w:val="none" w:sz="0" w:space="0" w:color="auto"/>
                <w:right w:val="none" w:sz="0" w:space="0" w:color="auto"/>
              </w:divBdr>
            </w:div>
          </w:divsChild>
        </w:div>
        <w:div w:id="85153874">
          <w:marLeft w:val="0"/>
          <w:marRight w:val="0"/>
          <w:marTop w:val="0"/>
          <w:marBottom w:val="0"/>
          <w:divBdr>
            <w:top w:val="none" w:sz="0" w:space="0" w:color="auto"/>
            <w:left w:val="none" w:sz="0" w:space="0" w:color="auto"/>
            <w:bottom w:val="none" w:sz="0" w:space="0" w:color="auto"/>
            <w:right w:val="none" w:sz="0" w:space="0" w:color="auto"/>
          </w:divBdr>
          <w:divsChild>
            <w:div w:id="2083328562">
              <w:marLeft w:val="0"/>
              <w:marRight w:val="0"/>
              <w:marTop w:val="0"/>
              <w:marBottom w:val="0"/>
              <w:divBdr>
                <w:top w:val="none" w:sz="0" w:space="0" w:color="auto"/>
                <w:left w:val="none" w:sz="0" w:space="0" w:color="auto"/>
                <w:bottom w:val="none" w:sz="0" w:space="0" w:color="auto"/>
                <w:right w:val="none" w:sz="0" w:space="0" w:color="auto"/>
              </w:divBdr>
            </w:div>
          </w:divsChild>
        </w:div>
        <w:div w:id="1383552272">
          <w:marLeft w:val="0"/>
          <w:marRight w:val="0"/>
          <w:marTop w:val="0"/>
          <w:marBottom w:val="0"/>
          <w:divBdr>
            <w:top w:val="none" w:sz="0" w:space="0" w:color="auto"/>
            <w:left w:val="none" w:sz="0" w:space="0" w:color="auto"/>
            <w:bottom w:val="none" w:sz="0" w:space="0" w:color="auto"/>
            <w:right w:val="none" w:sz="0" w:space="0" w:color="auto"/>
          </w:divBdr>
          <w:divsChild>
            <w:div w:id="1732189859">
              <w:marLeft w:val="0"/>
              <w:marRight w:val="0"/>
              <w:marTop w:val="0"/>
              <w:marBottom w:val="0"/>
              <w:divBdr>
                <w:top w:val="none" w:sz="0" w:space="0" w:color="auto"/>
                <w:left w:val="none" w:sz="0" w:space="0" w:color="auto"/>
                <w:bottom w:val="none" w:sz="0" w:space="0" w:color="auto"/>
                <w:right w:val="none" w:sz="0" w:space="0" w:color="auto"/>
              </w:divBdr>
            </w:div>
          </w:divsChild>
        </w:div>
        <w:div w:id="20867322">
          <w:marLeft w:val="0"/>
          <w:marRight w:val="0"/>
          <w:marTop w:val="0"/>
          <w:marBottom w:val="0"/>
          <w:divBdr>
            <w:top w:val="none" w:sz="0" w:space="0" w:color="auto"/>
            <w:left w:val="none" w:sz="0" w:space="0" w:color="auto"/>
            <w:bottom w:val="none" w:sz="0" w:space="0" w:color="auto"/>
            <w:right w:val="none" w:sz="0" w:space="0" w:color="auto"/>
          </w:divBdr>
          <w:divsChild>
            <w:div w:id="2006468336">
              <w:marLeft w:val="0"/>
              <w:marRight w:val="0"/>
              <w:marTop w:val="0"/>
              <w:marBottom w:val="0"/>
              <w:divBdr>
                <w:top w:val="none" w:sz="0" w:space="0" w:color="auto"/>
                <w:left w:val="none" w:sz="0" w:space="0" w:color="auto"/>
                <w:bottom w:val="none" w:sz="0" w:space="0" w:color="auto"/>
                <w:right w:val="none" w:sz="0" w:space="0" w:color="auto"/>
              </w:divBdr>
            </w:div>
          </w:divsChild>
        </w:div>
        <w:div w:id="129594782">
          <w:marLeft w:val="0"/>
          <w:marRight w:val="0"/>
          <w:marTop w:val="0"/>
          <w:marBottom w:val="0"/>
          <w:divBdr>
            <w:top w:val="none" w:sz="0" w:space="0" w:color="auto"/>
            <w:left w:val="none" w:sz="0" w:space="0" w:color="auto"/>
            <w:bottom w:val="none" w:sz="0" w:space="0" w:color="auto"/>
            <w:right w:val="none" w:sz="0" w:space="0" w:color="auto"/>
          </w:divBdr>
          <w:divsChild>
            <w:div w:id="2025353140">
              <w:marLeft w:val="0"/>
              <w:marRight w:val="0"/>
              <w:marTop w:val="0"/>
              <w:marBottom w:val="0"/>
              <w:divBdr>
                <w:top w:val="none" w:sz="0" w:space="0" w:color="auto"/>
                <w:left w:val="none" w:sz="0" w:space="0" w:color="auto"/>
                <w:bottom w:val="none" w:sz="0" w:space="0" w:color="auto"/>
                <w:right w:val="none" w:sz="0" w:space="0" w:color="auto"/>
              </w:divBdr>
            </w:div>
          </w:divsChild>
        </w:div>
        <w:div w:id="1541432314">
          <w:marLeft w:val="0"/>
          <w:marRight w:val="0"/>
          <w:marTop w:val="0"/>
          <w:marBottom w:val="0"/>
          <w:divBdr>
            <w:top w:val="none" w:sz="0" w:space="0" w:color="auto"/>
            <w:left w:val="none" w:sz="0" w:space="0" w:color="auto"/>
            <w:bottom w:val="none" w:sz="0" w:space="0" w:color="auto"/>
            <w:right w:val="none" w:sz="0" w:space="0" w:color="auto"/>
          </w:divBdr>
          <w:divsChild>
            <w:div w:id="1381442314">
              <w:marLeft w:val="0"/>
              <w:marRight w:val="0"/>
              <w:marTop w:val="0"/>
              <w:marBottom w:val="0"/>
              <w:divBdr>
                <w:top w:val="none" w:sz="0" w:space="0" w:color="auto"/>
                <w:left w:val="none" w:sz="0" w:space="0" w:color="auto"/>
                <w:bottom w:val="none" w:sz="0" w:space="0" w:color="auto"/>
                <w:right w:val="none" w:sz="0" w:space="0" w:color="auto"/>
              </w:divBdr>
            </w:div>
          </w:divsChild>
        </w:div>
        <w:div w:id="1451708886">
          <w:marLeft w:val="0"/>
          <w:marRight w:val="0"/>
          <w:marTop w:val="0"/>
          <w:marBottom w:val="0"/>
          <w:divBdr>
            <w:top w:val="none" w:sz="0" w:space="0" w:color="auto"/>
            <w:left w:val="none" w:sz="0" w:space="0" w:color="auto"/>
            <w:bottom w:val="none" w:sz="0" w:space="0" w:color="auto"/>
            <w:right w:val="none" w:sz="0" w:space="0" w:color="auto"/>
          </w:divBdr>
          <w:divsChild>
            <w:div w:id="14773324">
              <w:marLeft w:val="0"/>
              <w:marRight w:val="0"/>
              <w:marTop w:val="0"/>
              <w:marBottom w:val="0"/>
              <w:divBdr>
                <w:top w:val="none" w:sz="0" w:space="0" w:color="auto"/>
                <w:left w:val="none" w:sz="0" w:space="0" w:color="auto"/>
                <w:bottom w:val="none" w:sz="0" w:space="0" w:color="auto"/>
                <w:right w:val="none" w:sz="0" w:space="0" w:color="auto"/>
              </w:divBdr>
            </w:div>
          </w:divsChild>
        </w:div>
        <w:div w:id="1499226519">
          <w:marLeft w:val="0"/>
          <w:marRight w:val="0"/>
          <w:marTop w:val="0"/>
          <w:marBottom w:val="0"/>
          <w:divBdr>
            <w:top w:val="none" w:sz="0" w:space="0" w:color="auto"/>
            <w:left w:val="none" w:sz="0" w:space="0" w:color="auto"/>
            <w:bottom w:val="none" w:sz="0" w:space="0" w:color="auto"/>
            <w:right w:val="none" w:sz="0" w:space="0" w:color="auto"/>
          </w:divBdr>
          <w:divsChild>
            <w:div w:id="596521046">
              <w:marLeft w:val="0"/>
              <w:marRight w:val="0"/>
              <w:marTop w:val="0"/>
              <w:marBottom w:val="0"/>
              <w:divBdr>
                <w:top w:val="none" w:sz="0" w:space="0" w:color="auto"/>
                <w:left w:val="none" w:sz="0" w:space="0" w:color="auto"/>
                <w:bottom w:val="none" w:sz="0" w:space="0" w:color="auto"/>
                <w:right w:val="none" w:sz="0" w:space="0" w:color="auto"/>
              </w:divBdr>
            </w:div>
          </w:divsChild>
        </w:div>
        <w:div w:id="1414859317">
          <w:marLeft w:val="0"/>
          <w:marRight w:val="0"/>
          <w:marTop w:val="0"/>
          <w:marBottom w:val="0"/>
          <w:divBdr>
            <w:top w:val="none" w:sz="0" w:space="0" w:color="auto"/>
            <w:left w:val="none" w:sz="0" w:space="0" w:color="auto"/>
            <w:bottom w:val="none" w:sz="0" w:space="0" w:color="auto"/>
            <w:right w:val="none" w:sz="0" w:space="0" w:color="auto"/>
          </w:divBdr>
          <w:divsChild>
            <w:div w:id="68843971">
              <w:marLeft w:val="0"/>
              <w:marRight w:val="0"/>
              <w:marTop w:val="0"/>
              <w:marBottom w:val="0"/>
              <w:divBdr>
                <w:top w:val="none" w:sz="0" w:space="0" w:color="auto"/>
                <w:left w:val="none" w:sz="0" w:space="0" w:color="auto"/>
                <w:bottom w:val="none" w:sz="0" w:space="0" w:color="auto"/>
                <w:right w:val="none" w:sz="0" w:space="0" w:color="auto"/>
              </w:divBdr>
            </w:div>
          </w:divsChild>
        </w:div>
        <w:div w:id="1898205773">
          <w:marLeft w:val="0"/>
          <w:marRight w:val="0"/>
          <w:marTop w:val="0"/>
          <w:marBottom w:val="0"/>
          <w:divBdr>
            <w:top w:val="none" w:sz="0" w:space="0" w:color="auto"/>
            <w:left w:val="none" w:sz="0" w:space="0" w:color="auto"/>
            <w:bottom w:val="none" w:sz="0" w:space="0" w:color="auto"/>
            <w:right w:val="none" w:sz="0" w:space="0" w:color="auto"/>
          </w:divBdr>
          <w:divsChild>
            <w:div w:id="432870748">
              <w:marLeft w:val="0"/>
              <w:marRight w:val="0"/>
              <w:marTop w:val="0"/>
              <w:marBottom w:val="0"/>
              <w:divBdr>
                <w:top w:val="none" w:sz="0" w:space="0" w:color="auto"/>
                <w:left w:val="none" w:sz="0" w:space="0" w:color="auto"/>
                <w:bottom w:val="none" w:sz="0" w:space="0" w:color="auto"/>
                <w:right w:val="none" w:sz="0" w:space="0" w:color="auto"/>
              </w:divBdr>
            </w:div>
          </w:divsChild>
        </w:div>
        <w:div w:id="1271010906">
          <w:marLeft w:val="0"/>
          <w:marRight w:val="0"/>
          <w:marTop w:val="0"/>
          <w:marBottom w:val="0"/>
          <w:divBdr>
            <w:top w:val="none" w:sz="0" w:space="0" w:color="auto"/>
            <w:left w:val="none" w:sz="0" w:space="0" w:color="auto"/>
            <w:bottom w:val="none" w:sz="0" w:space="0" w:color="auto"/>
            <w:right w:val="none" w:sz="0" w:space="0" w:color="auto"/>
          </w:divBdr>
          <w:divsChild>
            <w:div w:id="1979336607">
              <w:marLeft w:val="0"/>
              <w:marRight w:val="0"/>
              <w:marTop w:val="0"/>
              <w:marBottom w:val="0"/>
              <w:divBdr>
                <w:top w:val="none" w:sz="0" w:space="0" w:color="auto"/>
                <w:left w:val="none" w:sz="0" w:space="0" w:color="auto"/>
                <w:bottom w:val="none" w:sz="0" w:space="0" w:color="auto"/>
                <w:right w:val="none" w:sz="0" w:space="0" w:color="auto"/>
              </w:divBdr>
            </w:div>
          </w:divsChild>
        </w:div>
        <w:div w:id="483089740">
          <w:marLeft w:val="0"/>
          <w:marRight w:val="0"/>
          <w:marTop w:val="0"/>
          <w:marBottom w:val="0"/>
          <w:divBdr>
            <w:top w:val="none" w:sz="0" w:space="0" w:color="auto"/>
            <w:left w:val="none" w:sz="0" w:space="0" w:color="auto"/>
            <w:bottom w:val="none" w:sz="0" w:space="0" w:color="auto"/>
            <w:right w:val="none" w:sz="0" w:space="0" w:color="auto"/>
          </w:divBdr>
          <w:divsChild>
            <w:div w:id="48655708">
              <w:marLeft w:val="0"/>
              <w:marRight w:val="0"/>
              <w:marTop w:val="0"/>
              <w:marBottom w:val="0"/>
              <w:divBdr>
                <w:top w:val="none" w:sz="0" w:space="0" w:color="auto"/>
                <w:left w:val="none" w:sz="0" w:space="0" w:color="auto"/>
                <w:bottom w:val="none" w:sz="0" w:space="0" w:color="auto"/>
                <w:right w:val="none" w:sz="0" w:space="0" w:color="auto"/>
              </w:divBdr>
            </w:div>
          </w:divsChild>
        </w:div>
        <w:div w:id="1547065309">
          <w:marLeft w:val="0"/>
          <w:marRight w:val="0"/>
          <w:marTop w:val="0"/>
          <w:marBottom w:val="0"/>
          <w:divBdr>
            <w:top w:val="none" w:sz="0" w:space="0" w:color="auto"/>
            <w:left w:val="none" w:sz="0" w:space="0" w:color="auto"/>
            <w:bottom w:val="none" w:sz="0" w:space="0" w:color="auto"/>
            <w:right w:val="none" w:sz="0" w:space="0" w:color="auto"/>
          </w:divBdr>
          <w:divsChild>
            <w:div w:id="1369644770">
              <w:marLeft w:val="0"/>
              <w:marRight w:val="0"/>
              <w:marTop w:val="0"/>
              <w:marBottom w:val="0"/>
              <w:divBdr>
                <w:top w:val="none" w:sz="0" w:space="0" w:color="auto"/>
                <w:left w:val="none" w:sz="0" w:space="0" w:color="auto"/>
                <w:bottom w:val="none" w:sz="0" w:space="0" w:color="auto"/>
                <w:right w:val="none" w:sz="0" w:space="0" w:color="auto"/>
              </w:divBdr>
            </w:div>
          </w:divsChild>
        </w:div>
        <w:div w:id="558134002">
          <w:marLeft w:val="0"/>
          <w:marRight w:val="0"/>
          <w:marTop w:val="0"/>
          <w:marBottom w:val="0"/>
          <w:divBdr>
            <w:top w:val="none" w:sz="0" w:space="0" w:color="auto"/>
            <w:left w:val="none" w:sz="0" w:space="0" w:color="auto"/>
            <w:bottom w:val="none" w:sz="0" w:space="0" w:color="auto"/>
            <w:right w:val="none" w:sz="0" w:space="0" w:color="auto"/>
          </w:divBdr>
          <w:divsChild>
            <w:div w:id="1311326413">
              <w:marLeft w:val="0"/>
              <w:marRight w:val="0"/>
              <w:marTop w:val="0"/>
              <w:marBottom w:val="0"/>
              <w:divBdr>
                <w:top w:val="none" w:sz="0" w:space="0" w:color="auto"/>
                <w:left w:val="none" w:sz="0" w:space="0" w:color="auto"/>
                <w:bottom w:val="none" w:sz="0" w:space="0" w:color="auto"/>
                <w:right w:val="none" w:sz="0" w:space="0" w:color="auto"/>
              </w:divBdr>
            </w:div>
          </w:divsChild>
        </w:div>
        <w:div w:id="439178801">
          <w:marLeft w:val="0"/>
          <w:marRight w:val="0"/>
          <w:marTop w:val="0"/>
          <w:marBottom w:val="0"/>
          <w:divBdr>
            <w:top w:val="none" w:sz="0" w:space="0" w:color="auto"/>
            <w:left w:val="none" w:sz="0" w:space="0" w:color="auto"/>
            <w:bottom w:val="none" w:sz="0" w:space="0" w:color="auto"/>
            <w:right w:val="none" w:sz="0" w:space="0" w:color="auto"/>
          </w:divBdr>
          <w:divsChild>
            <w:div w:id="1409501049">
              <w:marLeft w:val="0"/>
              <w:marRight w:val="0"/>
              <w:marTop w:val="0"/>
              <w:marBottom w:val="0"/>
              <w:divBdr>
                <w:top w:val="none" w:sz="0" w:space="0" w:color="auto"/>
                <w:left w:val="none" w:sz="0" w:space="0" w:color="auto"/>
                <w:bottom w:val="none" w:sz="0" w:space="0" w:color="auto"/>
                <w:right w:val="none" w:sz="0" w:space="0" w:color="auto"/>
              </w:divBdr>
            </w:div>
          </w:divsChild>
        </w:div>
        <w:div w:id="1474642640">
          <w:marLeft w:val="0"/>
          <w:marRight w:val="0"/>
          <w:marTop w:val="0"/>
          <w:marBottom w:val="0"/>
          <w:divBdr>
            <w:top w:val="none" w:sz="0" w:space="0" w:color="auto"/>
            <w:left w:val="none" w:sz="0" w:space="0" w:color="auto"/>
            <w:bottom w:val="none" w:sz="0" w:space="0" w:color="auto"/>
            <w:right w:val="none" w:sz="0" w:space="0" w:color="auto"/>
          </w:divBdr>
          <w:divsChild>
            <w:div w:id="1236623165">
              <w:marLeft w:val="0"/>
              <w:marRight w:val="0"/>
              <w:marTop w:val="0"/>
              <w:marBottom w:val="0"/>
              <w:divBdr>
                <w:top w:val="none" w:sz="0" w:space="0" w:color="auto"/>
                <w:left w:val="none" w:sz="0" w:space="0" w:color="auto"/>
                <w:bottom w:val="none" w:sz="0" w:space="0" w:color="auto"/>
                <w:right w:val="none" w:sz="0" w:space="0" w:color="auto"/>
              </w:divBdr>
            </w:div>
          </w:divsChild>
        </w:div>
        <w:div w:id="1345671896">
          <w:marLeft w:val="0"/>
          <w:marRight w:val="0"/>
          <w:marTop w:val="0"/>
          <w:marBottom w:val="0"/>
          <w:divBdr>
            <w:top w:val="none" w:sz="0" w:space="0" w:color="auto"/>
            <w:left w:val="none" w:sz="0" w:space="0" w:color="auto"/>
            <w:bottom w:val="none" w:sz="0" w:space="0" w:color="auto"/>
            <w:right w:val="none" w:sz="0" w:space="0" w:color="auto"/>
          </w:divBdr>
          <w:divsChild>
            <w:div w:id="799418653">
              <w:marLeft w:val="0"/>
              <w:marRight w:val="0"/>
              <w:marTop w:val="0"/>
              <w:marBottom w:val="0"/>
              <w:divBdr>
                <w:top w:val="none" w:sz="0" w:space="0" w:color="auto"/>
                <w:left w:val="none" w:sz="0" w:space="0" w:color="auto"/>
                <w:bottom w:val="none" w:sz="0" w:space="0" w:color="auto"/>
                <w:right w:val="none" w:sz="0" w:space="0" w:color="auto"/>
              </w:divBdr>
            </w:div>
          </w:divsChild>
        </w:div>
        <w:div w:id="300579067">
          <w:marLeft w:val="0"/>
          <w:marRight w:val="0"/>
          <w:marTop w:val="0"/>
          <w:marBottom w:val="0"/>
          <w:divBdr>
            <w:top w:val="none" w:sz="0" w:space="0" w:color="auto"/>
            <w:left w:val="none" w:sz="0" w:space="0" w:color="auto"/>
            <w:bottom w:val="none" w:sz="0" w:space="0" w:color="auto"/>
            <w:right w:val="none" w:sz="0" w:space="0" w:color="auto"/>
          </w:divBdr>
          <w:divsChild>
            <w:div w:id="1482850090">
              <w:marLeft w:val="0"/>
              <w:marRight w:val="0"/>
              <w:marTop w:val="0"/>
              <w:marBottom w:val="0"/>
              <w:divBdr>
                <w:top w:val="none" w:sz="0" w:space="0" w:color="auto"/>
                <w:left w:val="none" w:sz="0" w:space="0" w:color="auto"/>
                <w:bottom w:val="none" w:sz="0" w:space="0" w:color="auto"/>
                <w:right w:val="none" w:sz="0" w:space="0" w:color="auto"/>
              </w:divBdr>
            </w:div>
          </w:divsChild>
        </w:div>
        <w:div w:id="1262251838">
          <w:marLeft w:val="0"/>
          <w:marRight w:val="0"/>
          <w:marTop w:val="0"/>
          <w:marBottom w:val="0"/>
          <w:divBdr>
            <w:top w:val="none" w:sz="0" w:space="0" w:color="auto"/>
            <w:left w:val="none" w:sz="0" w:space="0" w:color="auto"/>
            <w:bottom w:val="none" w:sz="0" w:space="0" w:color="auto"/>
            <w:right w:val="none" w:sz="0" w:space="0" w:color="auto"/>
          </w:divBdr>
          <w:divsChild>
            <w:div w:id="1625697605">
              <w:marLeft w:val="0"/>
              <w:marRight w:val="0"/>
              <w:marTop w:val="0"/>
              <w:marBottom w:val="0"/>
              <w:divBdr>
                <w:top w:val="none" w:sz="0" w:space="0" w:color="auto"/>
                <w:left w:val="none" w:sz="0" w:space="0" w:color="auto"/>
                <w:bottom w:val="none" w:sz="0" w:space="0" w:color="auto"/>
                <w:right w:val="none" w:sz="0" w:space="0" w:color="auto"/>
              </w:divBdr>
            </w:div>
          </w:divsChild>
        </w:div>
        <w:div w:id="1106464406">
          <w:marLeft w:val="0"/>
          <w:marRight w:val="0"/>
          <w:marTop w:val="0"/>
          <w:marBottom w:val="0"/>
          <w:divBdr>
            <w:top w:val="none" w:sz="0" w:space="0" w:color="auto"/>
            <w:left w:val="none" w:sz="0" w:space="0" w:color="auto"/>
            <w:bottom w:val="none" w:sz="0" w:space="0" w:color="auto"/>
            <w:right w:val="none" w:sz="0" w:space="0" w:color="auto"/>
          </w:divBdr>
          <w:divsChild>
            <w:div w:id="1210067112">
              <w:marLeft w:val="0"/>
              <w:marRight w:val="0"/>
              <w:marTop w:val="0"/>
              <w:marBottom w:val="0"/>
              <w:divBdr>
                <w:top w:val="none" w:sz="0" w:space="0" w:color="auto"/>
                <w:left w:val="none" w:sz="0" w:space="0" w:color="auto"/>
                <w:bottom w:val="none" w:sz="0" w:space="0" w:color="auto"/>
                <w:right w:val="none" w:sz="0" w:space="0" w:color="auto"/>
              </w:divBdr>
            </w:div>
          </w:divsChild>
        </w:div>
        <w:div w:id="1609502846">
          <w:marLeft w:val="0"/>
          <w:marRight w:val="0"/>
          <w:marTop w:val="0"/>
          <w:marBottom w:val="0"/>
          <w:divBdr>
            <w:top w:val="none" w:sz="0" w:space="0" w:color="auto"/>
            <w:left w:val="none" w:sz="0" w:space="0" w:color="auto"/>
            <w:bottom w:val="none" w:sz="0" w:space="0" w:color="auto"/>
            <w:right w:val="none" w:sz="0" w:space="0" w:color="auto"/>
          </w:divBdr>
          <w:divsChild>
            <w:div w:id="2060130325">
              <w:marLeft w:val="0"/>
              <w:marRight w:val="0"/>
              <w:marTop w:val="0"/>
              <w:marBottom w:val="0"/>
              <w:divBdr>
                <w:top w:val="none" w:sz="0" w:space="0" w:color="auto"/>
                <w:left w:val="none" w:sz="0" w:space="0" w:color="auto"/>
                <w:bottom w:val="none" w:sz="0" w:space="0" w:color="auto"/>
                <w:right w:val="none" w:sz="0" w:space="0" w:color="auto"/>
              </w:divBdr>
            </w:div>
          </w:divsChild>
        </w:div>
        <w:div w:id="2109344193">
          <w:marLeft w:val="0"/>
          <w:marRight w:val="0"/>
          <w:marTop w:val="0"/>
          <w:marBottom w:val="0"/>
          <w:divBdr>
            <w:top w:val="none" w:sz="0" w:space="0" w:color="auto"/>
            <w:left w:val="none" w:sz="0" w:space="0" w:color="auto"/>
            <w:bottom w:val="none" w:sz="0" w:space="0" w:color="auto"/>
            <w:right w:val="none" w:sz="0" w:space="0" w:color="auto"/>
          </w:divBdr>
          <w:divsChild>
            <w:div w:id="1147746625">
              <w:marLeft w:val="0"/>
              <w:marRight w:val="0"/>
              <w:marTop w:val="0"/>
              <w:marBottom w:val="0"/>
              <w:divBdr>
                <w:top w:val="none" w:sz="0" w:space="0" w:color="auto"/>
                <w:left w:val="none" w:sz="0" w:space="0" w:color="auto"/>
                <w:bottom w:val="none" w:sz="0" w:space="0" w:color="auto"/>
                <w:right w:val="none" w:sz="0" w:space="0" w:color="auto"/>
              </w:divBdr>
            </w:div>
          </w:divsChild>
        </w:div>
        <w:div w:id="45035314">
          <w:marLeft w:val="0"/>
          <w:marRight w:val="0"/>
          <w:marTop w:val="0"/>
          <w:marBottom w:val="0"/>
          <w:divBdr>
            <w:top w:val="none" w:sz="0" w:space="0" w:color="auto"/>
            <w:left w:val="none" w:sz="0" w:space="0" w:color="auto"/>
            <w:bottom w:val="none" w:sz="0" w:space="0" w:color="auto"/>
            <w:right w:val="none" w:sz="0" w:space="0" w:color="auto"/>
          </w:divBdr>
          <w:divsChild>
            <w:div w:id="1250848906">
              <w:marLeft w:val="0"/>
              <w:marRight w:val="0"/>
              <w:marTop w:val="0"/>
              <w:marBottom w:val="0"/>
              <w:divBdr>
                <w:top w:val="none" w:sz="0" w:space="0" w:color="auto"/>
                <w:left w:val="none" w:sz="0" w:space="0" w:color="auto"/>
                <w:bottom w:val="none" w:sz="0" w:space="0" w:color="auto"/>
                <w:right w:val="none" w:sz="0" w:space="0" w:color="auto"/>
              </w:divBdr>
            </w:div>
          </w:divsChild>
        </w:div>
        <w:div w:id="2071684278">
          <w:marLeft w:val="0"/>
          <w:marRight w:val="0"/>
          <w:marTop w:val="0"/>
          <w:marBottom w:val="0"/>
          <w:divBdr>
            <w:top w:val="none" w:sz="0" w:space="0" w:color="auto"/>
            <w:left w:val="none" w:sz="0" w:space="0" w:color="auto"/>
            <w:bottom w:val="none" w:sz="0" w:space="0" w:color="auto"/>
            <w:right w:val="none" w:sz="0" w:space="0" w:color="auto"/>
          </w:divBdr>
          <w:divsChild>
            <w:div w:id="598409589">
              <w:marLeft w:val="0"/>
              <w:marRight w:val="0"/>
              <w:marTop w:val="0"/>
              <w:marBottom w:val="0"/>
              <w:divBdr>
                <w:top w:val="none" w:sz="0" w:space="0" w:color="auto"/>
                <w:left w:val="none" w:sz="0" w:space="0" w:color="auto"/>
                <w:bottom w:val="none" w:sz="0" w:space="0" w:color="auto"/>
                <w:right w:val="none" w:sz="0" w:space="0" w:color="auto"/>
              </w:divBdr>
            </w:div>
          </w:divsChild>
        </w:div>
        <w:div w:id="382601667">
          <w:marLeft w:val="0"/>
          <w:marRight w:val="0"/>
          <w:marTop w:val="0"/>
          <w:marBottom w:val="0"/>
          <w:divBdr>
            <w:top w:val="none" w:sz="0" w:space="0" w:color="auto"/>
            <w:left w:val="none" w:sz="0" w:space="0" w:color="auto"/>
            <w:bottom w:val="none" w:sz="0" w:space="0" w:color="auto"/>
            <w:right w:val="none" w:sz="0" w:space="0" w:color="auto"/>
          </w:divBdr>
          <w:divsChild>
            <w:div w:id="861213468">
              <w:marLeft w:val="0"/>
              <w:marRight w:val="0"/>
              <w:marTop w:val="0"/>
              <w:marBottom w:val="0"/>
              <w:divBdr>
                <w:top w:val="none" w:sz="0" w:space="0" w:color="auto"/>
                <w:left w:val="none" w:sz="0" w:space="0" w:color="auto"/>
                <w:bottom w:val="none" w:sz="0" w:space="0" w:color="auto"/>
                <w:right w:val="none" w:sz="0" w:space="0" w:color="auto"/>
              </w:divBdr>
            </w:div>
          </w:divsChild>
        </w:div>
        <w:div w:id="2098212062">
          <w:marLeft w:val="0"/>
          <w:marRight w:val="0"/>
          <w:marTop w:val="0"/>
          <w:marBottom w:val="0"/>
          <w:divBdr>
            <w:top w:val="none" w:sz="0" w:space="0" w:color="auto"/>
            <w:left w:val="none" w:sz="0" w:space="0" w:color="auto"/>
            <w:bottom w:val="none" w:sz="0" w:space="0" w:color="auto"/>
            <w:right w:val="none" w:sz="0" w:space="0" w:color="auto"/>
          </w:divBdr>
          <w:divsChild>
            <w:div w:id="275604897">
              <w:marLeft w:val="0"/>
              <w:marRight w:val="0"/>
              <w:marTop w:val="0"/>
              <w:marBottom w:val="0"/>
              <w:divBdr>
                <w:top w:val="none" w:sz="0" w:space="0" w:color="auto"/>
                <w:left w:val="none" w:sz="0" w:space="0" w:color="auto"/>
                <w:bottom w:val="none" w:sz="0" w:space="0" w:color="auto"/>
                <w:right w:val="none" w:sz="0" w:space="0" w:color="auto"/>
              </w:divBdr>
            </w:div>
          </w:divsChild>
        </w:div>
        <w:div w:id="916398699">
          <w:marLeft w:val="0"/>
          <w:marRight w:val="0"/>
          <w:marTop w:val="0"/>
          <w:marBottom w:val="0"/>
          <w:divBdr>
            <w:top w:val="none" w:sz="0" w:space="0" w:color="auto"/>
            <w:left w:val="none" w:sz="0" w:space="0" w:color="auto"/>
            <w:bottom w:val="none" w:sz="0" w:space="0" w:color="auto"/>
            <w:right w:val="none" w:sz="0" w:space="0" w:color="auto"/>
          </w:divBdr>
          <w:divsChild>
            <w:div w:id="1305544492">
              <w:marLeft w:val="0"/>
              <w:marRight w:val="0"/>
              <w:marTop w:val="0"/>
              <w:marBottom w:val="0"/>
              <w:divBdr>
                <w:top w:val="none" w:sz="0" w:space="0" w:color="auto"/>
                <w:left w:val="none" w:sz="0" w:space="0" w:color="auto"/>
                <w:bottom w:val="none" w:sz="0" w:space="0" w:color="auto"/>
                <w:right w:val="none" w:sz="0" w:space="0" w:color="auto"/>
              </w:divBdr>
            </w:div>
          </w:divsChild>
        </w:div>
        <w:div w:id="1137839056">
          <w:marLeft w:val="0"/>
          <w:marRight w:val="0"/>
          <w:marTop w:val="0"/>
          <w:marBottom w:val="0"/>
          <w:divBdr>
            <w:top w:val="none" w:sz="0" w:space="0" w:color="auto"/>
            <w:left w:val="none" w:sz="0" w:space="0" w:color="auto"/>
            <w:bottom w:val="none" w:sz="0" w:space="0" w:color="auto"/>
            <w:right w:val="none" w:sz="0" w:space="0" w:color="auto"/>
          </w:divBdr>
          <w:divsChild>
            <w:div w:id="2003118762">
              <w:marLeft w:val="0"/>
              <w:marRight w:val="0"/>
              <w:marTop w:val="0"/>
              <w:marBottom w:val="0"/>
              <w:divBdr>
                <w:top w:val="none" w:sz="0" w:space="0" w:color="auto"/>
                <w:left w:val="none" w:sz="0" w:space="0" w:color="auto"/>
                <w:bottom w:val="none" w:sz="0" w:space="0" w:color="auto"/>
                <w:right w:val="none" w:sz="0" w:space="0" w:color="auto"/>
              </w:divBdr>
            </w:div>
          </w:divsChild>
        </w:div>
        <w:div w:id="1652709692">
          <w:marLeft w:val="0"/>
          <w:marRight w:val="0"/>
          <w:marTop w:val="0"/>
          <w:marBottom w:val="0"/>
          <w:divBdr>
            <w:top w:val="none" w:sz="0" w:space="0" w:color="auto"/>
            <w:left w:val="none" w:sz="0" w:space="0" w:color="auto"/>
            <w:bottom w:val="none" w:sz="0" w:space="0" w:color="auto"/>
            <w:right w:val="none" w:sz="0" w:space="0" w:color="auto"/>
          </w:divBdr>
          <w:divsChild>
            <w:div w:id="955603490">
              <w:marLeft w:val="0"/>
              <w:marRight w:val="0"/>
              <w:marTop w:val="0"/>
              <w:marBottom w:val="0"/>
              <w:divBdr>
                <w:top w:val="none" w:sz="0" w:space="0" w:color="auto"/>
                <w:left w:val="none" w:sz="0" w:space="0" w:color="auto"/>
                <w:bottom w:val="none" w:sz="0" w:space="0" w:color="auto"/>
                <w:right w:val="none" w:sz="0" w:space="0" w:color="auto"/>
              </w:divBdr>
            </w:div>
          </w:divsChild>
        </w:div>
        <w:div w:id="337656826">
          <w:marLeft w:val="0"/>
          <w:marRight w:val="0"/>
          <w:marTop w:val="0"/>
          <w:marBottom w:val="0"/>
          <w:divBdr>
            <w:top w:val="none" w:sz="0" w:space="0" w:color="auto"/>
            <w:left w:val="none" w:sz="0" w:space="0" w:color="auto"/>
            <w:bottom w:val="none" w:sz="0" w:space="0" w:color="auto"/>
            <w:right w:val="none" w:sz="0" w:space="0" w:color="auto"/>
          </w:divBdr>
          <w:divsChild>
            <w:div w:id="1670869441">
              <w:marLeft w:val="0"/>
              <w:marRight w:val="0"/>
              <w:marTop w:val="0"/>
              <w:marBottom w:val="0"/>
              <w:divBdr>
                <w:top w:val="none" w:sz="0" w:space="0" w:color="auto"/>
                <w:left w:val="none" w:sz="0" w:space="0" w:color="auto"/>
                <w:bottom w:val="none" w:sz="0" w:space="0" w:color="auto"/>
                <w:right w:val="none" w:sz="0" w:space="0" w:color="auto"/>
              </w:divBdr>
            </w:div>
          </w:divsChild>
        </w:div>
        <w:div w:id="885339353">
          <w:marLeft w:val="0"/>
          <w:marRight w:val="0"/>
          <w:marTop w:val="0"/>
          <w:marBottom w:val="0"/>
          <w:divBdr>
            <w:top w:val="none" w:sz="0" w:space="0" w:color="auto"/>
            <w:left w:val="none" w:sz="0" w:space="0" w:color="auto"/>
            <w:bottom w:val="none" w:sz="0" w:space="0" w:color="auto"/>
            <w:right w:val="none" w:sz="0" w:space="0" w:color="auto"/>
          </w:divBdr>
          <w:divsChild>
            <w:div w:id="1901214188">
              <w:marLeft w:val="0"/>
              <w:marRight w:val="0"/>
              <w:marTop w:val="0"/>
              <w:marBottom w:val="0"/>
              <w:divBdr>
                <w:top w:val="none" w:sz="0" w:space="0" w:color="auto"/>
                <w:left w:val="none" w:sz="0" w:space="0" w:color="auto"/>
                <w:bottom w:val="none" w:sz="0" w:space="0" w:color="auto"/>
                <w:right w:val="none" w:sz="0" w:space="0" w:color="auto"/>
              </w:divBdr>
            </w:div>
          </w:divsChild>
        </w:div>
        <w:div w:id="474761915">
          <w:marLeft w:val="0"/>
          <w:marRight w:val="0"/>
          <w:marTop w:val="0"/>
          <w:marBottom w:val="0"/>
          <w:divBdr>
            <w:top w:val="none" w:sz="0" w:space="0" w:color="auto"/>
            <w:left w:val="none" w:sz="0" w:space="0" w:color="auto"/>
            <w:bottom w:val="none" w:sz="0" w:space="0" w:color="auto"/>
            <w:right w:val="none" w:sz="0" w:space="0" w:color="auto"/>
          </w:divBdr>
          <w:divsChild>
            <w:div w:id="1963727344">
              <w:marLeft w:val="0"/>
              <w:marRight w:val="0"/>
              <w:marTop w:val="0"/>
              <w:marBottom w:val="0"/>
              <w:divBdr>
                <w:top w:val="none" w:sz="0" w:space="0" w:color="auto"/>
                <w:left w:val="none" w:sz="0" w:space="0" w:color="auto"/>
                <w:bottom w:val="none" w:sz="0" w:space="0" w:color="auto"/>
                <w:right w:val="none" w:sz="0" w:space="0" w:color="auto"/>
              </w:divBdr>
            </w:div>
          </w:divsChild>
        </w:div>
        <w:div w:id="1112633377">
          <w:marLeft w:val="0"/>
          <w:marRight w:val="0"/>
          <w:marTop w:val="0"/>
          <w:marBottom w:val="0"/>
          <w:divBdr>
            <w:top w:val="none" w:sz="0" w:space="0" w:color="auto"/>
            <w:left w:val="none" w:sz="0" w:space="0" w:color="auto"/>
            <w:bottom w:val="none" w:sz="0" w:space="0" w:color="auto"/>
            <w:right w:val="none" w:sz="0" w:space="0" w:color="auto"/>
          </w:divBdr>
          <w:divsChild>
            <w:div w:id="167722260">
              <w:marLeft w:val="0"/>
              <w:marRight w:val="0"/>
              <w:marTop w:val="0"/>
              <w:marBottom w:val="0"/>
              <w:divBdr>
                <w:top w:val="none" w:sz="0" w:space="0" w:color="auto"/>
                <w:left w:val="none" w:sz="0" w:space="0" w:color="auto"/>
                <w:bottom w:val="none" w:sz="0" w:space="0" w:color="auto"/>
                <w:right w:val="none" w:sz="0" w:space="0" w:color="auto"/>
              </w:divBdr>
            </w:div>
          </w:divsChild>
        </w:div>
        <w:div w:id="989749692">
          <w:marLeft w:val="0"/>
          <w:marRight w:val="0"/>
          <w:marTop w:val="0"/>
          <w:marBottom w:val="0"/>
          <w:divBdr>
            <w:top w:val="none" w:sz="0" w:space="0" w:color="auto"/>
            <w:left w:val="none" w:sz="0" w:space="0" w:color="auto"/>
            <w:bottom w:val="none" w:sz="0" w:space="0" w:color="auto"/>
            <w:right w:val="none" w:sz="0" w:space="0" w:color="auto"/>
          </w:divBdr>
          <w:divsChild>
            <w:div w:id="1000739442">
              <w:marLeft w:val="0"/>
              <w:marRight w:val="0"/>
              <w:marTop w:val="0"/>
              <w:marBottom w:val="0"/>
              <w:divBdr>
                <w:top w:val="none" w:sz="0" w:space="0" w:color="auto"/>
                <w:left w:val="none" w:sz="0" w:space="0" w:color="auto"/>
                <w:bottom w:val="none" w:sz="0" w:space="0" w:color="auto"/>
                <w:right w:val="none" w:sz="0" w:space="0" w:color="auto"/>
              </w:divBdr>
            </w:div>
          </w:divsChild>
        </w:div>
        <w:div w:id="1981302240">
          <w:marLeft w:val="0"/>
          <w:marRight w:val="0"/>
          <w:marTop w:val="0"/>
          <w:marBottom w:val="0"/>
          <w:divBdr>
            <w:top w:val="none" w:sz="0" w:space="0" w:color="auto"/>
            <w:left w:val="none" w:sz="0" w:space="0" w:color="auto"/>
            <w:bottom w:val="none" w:sz="0" w:space="0" w:color="auto"/>
            <w:right w:val="none" w:sz="0" w:space="0" w:color="auto"/>
          </w:divBdr>
          <w:divsChild>
            <w:div w:id="2117602751">
              <w:marLeft w:val="0"/>
              <w:marRight w:val="0"/>
              <w:marTop w:val="0"/>
              <w:marBottom w:val="0"/>
              <w:divBdr>
                <w:top w:val="none" w:sz="0" w:space="0" w:color="auto"/>
                <w:left w:val="none" w:sz="0" w:space="0" w:color="auto"/>
                <w:bottom w:val="none" w:sz="0" w:space="0" w:color="auto"/>
                <w:right w:val="none" w:sz="0" w:space="0" w:color="auto"/>
              </w:divBdr>
            </w:div>
          </w:divsChild>
        </w:div>
        <w:div w:id="2135521577">
          <w:marLeft w:val="0"/>
          <w:marRight w:val="0"/>
          <w:marTop w:val="0"/>
          <w:marBottom w:val="0"/>
          <w:divBdr>
            <w:top w:val="none" w:sz="0" w:space="0" w:color="auto"/>
            <w:left w:val="none" w:sz="0" w:space="0" w:color="auto"/>
            <w:bottom w:val="none" w:sz="0" w:space="0" w:color="auto"/>
            <w:right w:val="none" w:sz="0" w:space="0" w:color="auto"/>
          </w:divBdr>
          <w:divsChild>
            <w:div w:id="928732242">
              <w:marLeft w:val="0"/>
              <w:marRight w:val="0"/>
              <w:marTop w:val="0"/>
              <w:marBottom w:val="0"/>
              <w:divBdr>
                <w:top w:val="none" w:sz="0" w:space="0" w:color="auto"/>
                <w:left w:val="none" w:sz="0" w:space="0" w:color="auto"/>
                <w:bottom w:val="none" w:sz="0" w:space="0" w:color="auto"/>
                <w:right w:val="none" w:sz="0" w:space="0" w:color="auto"/>
              </w:divBdr>
            </w:div>
          </w:divsChild>
        </w:div>
        <w:div w:id="1323197599">
          <w:marLeft w:val="0"/>
          <w:marRight w:val="0"/>
          <w:marTop w:val="0"/>
          <w:marBottom w:val="0"/>
          <w:divBdr>
            <w:top w:val="none" w:sz="0" w:space="0" w:color="auto"/>
            <w:left w:val="none" w:sz="0" w:space="0" w:color="auto"/>
            <w:bottom w:val="none" w:sz="0" w:space="0" w:color="auto"/>
            <w:right w:val="none" w:sz="0" w:space="0" w:color="auto"/>
          </w:divBdr>
          <w:divsChild>
            <w:div w:id="1170027152">
              <w:marLeft w:val="0"/>
              <w:marRight w:val="0"/>
              <w:marTop w:val="0"/>
              <w:marBottom w:val="0"/>
              <w:divBdr>
                <w:top w:val="none" w:sz="0" w:space="0" w:color="auto"/>
                <w:left w:val="none" w:sz="0" w:space="0" w:color="auto"/>
                <w:bottom w:val="none" w:sz="0" w:space="0" w:color="auto"/>
                <w:right w:val="none" w:sz="0" w:space="0" w:color="auto"/>
              </w:divBdr>
            </w:div>
          </w:divsChild>
        </w:div>
        <w:div w:id="1881432599">
          <w:marLeft w:val="0"/>
          <w:marRight w:val="0"/>
          <w:marTop w:val="0"/>
          <w:marBottom w:val="0"/>
          <w:divBdr>
            <w:top w:val="none" w:sz="0" w:space="0" w:color="auto"/>
            <w:left w:val="none" w:sz="0" w:space="0" w:color="auto"/>
            <w:bottom w:val="none" w:sz="0" w:space="0" w:color="auto"/>
            <w:right w:val="none" w:sz="0" w:space="0" w:color="auto"/>
          </w:divBdr>
          <w:divsChild>
            <w:div w:id="1041246767">
              <w:marLeft w:val="0"/>
              <w:marRight w:val="0"/>
              <w:marTop w:val="0"/>
              <w:marBottom w:val="0"/>
              <w:divBdr>
                <w:top w:val="none" w:sz="0" w:space="0" w:color="auto"/>
                <w:left w:val="none" w:sz="0" w:space="0" w:color="auto"/>
                <w:bottom w:val="none" w:sz="0" w:space="0" w:color="auto"/>
                <w:right w:val="none" w:sz="0" w:space="0" w:color="auto"/>
              </w:divBdr>
            </w:div>
          </w:divsChild>
        </w:div>
        <w:div w:id="316959427">
          <w:marLeft w:val="0"/>
          <w:marRight w:val="0"/>
          <w:marTop w:val="0"/>
          <w:marBottom w:val="0"/>
          <w:divBdr>
            <w:top w:val="none" w:sz="0" w:space="0" w:color="auto"/>
            <w:left w:val="none" w:sz="0" w:space="0" w:color="auto"/>
            <w:bottom w:val="none" w:sz="0" w:space="0" w:color="auto"/>
            <w:right w:val="none" w:sz="0" w:space="0" w:color="auto"/>
          </w:divBdr>
          <w:divsChild>
            <w:div w:id="1142234778">
              <w:marLeft w:val="0"/>
              <w:marRight w:val="0"/>
              <w:marTop w:val="0"/>
              <w:marBottom w:val="0"/>
              <w:divBdr>
                <w:top w:val="none" w:sz="0" w:space="0" w:color="auto"/>
                <w:left w:val="none" w:sz="0" w:space="0" w:color="auto"/>
                <w:bottom w:val="none" w:sz="0" w:space="0" w:color="auto"/>
                <w:right w:val="none" w:sz="0" w:space="0" w:color="auto"/>
              </w:divBdr>
            </w:div>
          </w:divsChild>
        </w:div>
        <w:div w:id="1772125847">
          <w:marLeft w:val="0"/>
          <w:marRight w:val="0"/>
          <w:marTop w:val="0"/>
          <w:marBottom w:val="0"/>
          <w:divBdr>
            <w:top w:val="none" w:sz="0" w:space="0" w:color="auto"/>
            <w:left w:val="none" w:sz="0" w:space="0" w:color="auto"/>
            <w:bottom w:val="none" w:sz="0" w:space="0" w:color="auto"/>
            <w:right w:val="none" w:sz="0" w:space="0" w:color="auto"/>
          </w:divBdr>
          <w:divsChild>
            <w:div w:id="1579244540">
              <w:marLeft w:val="0"/>
              <w:marRight w:val="0"/>
              <w:marTop w:val="0"/>
              <w:marBottom w:val="0"/>
              <w:divBdr>
                <w:top w:val="none" w:sz="0" w:space="0" w:color="auto"/>
                <w:left w:val="none" w:sz="0" w:space="0" w:color="auto"/>
                <w:bottom w:val="none" w:sz="0" w:space="0" w:color="auto"/>
                <w:right w:val="none" w:sz="0" w:space="0" w:color="auto"/>
              </w:divBdr>
            </w:div>
          </w:divsChild>
        </w:div>
        <w:div w:id="1159274374">
          <w:marLeft w:val="0"/>
          <w:marRight w:val="0"/>
          <w:marTop w:val="0"/>
          <w:marBottom w:val="0"/>
          <w:divBdr>
            <w:top w:val="none" w:sz="0" w:space="0" w:color="auto"/>
            <w:left w:val="none" w:sz="0" w:space="0" w:color="auto"/>
            <w:bottom w:val="none" w:sz="0" w:space="0" w:color="auto"/>
            <w:right w:val="none" w:sz="0" w:space="0" w:color="auto"/>
          </w:divBdr>
          <w:divsChild>
            <w:div w:id="593169941">
              <w:marLeft w:val="0"/>
              <w:marRight w:val="0"/>
              <w:marTop w:val="0"/>
              <w:marBottom w:val="0"/>
              <w:divBdr>
                <w:top w:val="none" w:sz="0" w:space="0" w:color="auto"/>
                <w:left w:val="none" w:sz="0" w:space="0" w:color="auto"/>
                <w:bottom w:val="none" w:sz="0" w:space="0" w:color="auto"/>
                <w:right w:val="none" w:sz="0" w:space="0" w:color="auto"/>
              </w:divBdr>
            </w:div>
          </w:divsChild>
        </w:div>
        <w:div w:id="1514341387">
          <w:marLeft w:val="0"/>
          <w:marRight w:val="0"/>
          <w:marTop w:val="0"/>
          <w:marBottom w:val="0"/>
          <w:divBdr>
            <w:top w:val="none" w:sz="0" w:space="0" w:color="auto"/>
            <w:left w:val="none" w:sz="0" w:space="0" w:color="auto"/>
            <w:bottom w:val="none" w:sz="0" w:space="0" w:color="auto"/>
            <w:right w:val="none" w:sz="0" w:space="0" w:color="auto"/>
          </w:divBdr>
          <w:divsChild>
            <w:div w:id="1819102502">
              <w:marLeft w:val="0"/>
              <w:marRight w:val="0"/>
              <w:marTop w:val="0"/>
              <w:marBottom w:val="0"/>
              <w:divBdr>
                <w:top w:val="none" w:sz="0" w:space="0" w:color="auto"/>
                <w:left w:val="none" w:sz="0" w:space="0" w:color="auto"/>
                <w:bottom w:val="none" w:sz="0" w:space="0" w:color="auto"/>
                <w:right w:val="none" w:sz="0" w:space="0" w:color="auto"/>
              </w:divBdr>
            </w:div>
          </w:divsChild>
        </w:div>
        <w:div w:id="1223251353">
          <w:marLeft w:val="0"/>
          <w:marRight w:val="0"/>
          <w:marTop w:val="0"/>
          <w:marBottom w:val="0"/>
          <w:divBdr>
            <w:top w:val="none" w:sz="0" w:space="0" w:color="auto"/>
            <w:left w:val="none" w:sz="0" w:space="0" w:color="auto"/>
            <w:bottom w:val="none" w:sz="0" w:space="0" w:color="auto"/>
            <w:right w:val="none" w:sz="0" w:space="0" w:color="auto"/>
          </w:divBdr>
          <w:divsChild>
            <w:div w:id="410127319">
              <w:marLeft w:val="0"/>
              <w:marRight w:val="0"/>
              <w:marTop w:val="0"/>
              <w:marBottom w:val="0"/>
              <w:divBdr>
                <w:top w:val="none" w:sz="0" w:space="0" w:color="auto"/>
                <w:left w:val="none" w:sz="0" w:space="0" w:color="auto"/>
                <w:bottom w:val="none" w:sz="0" w:space="0" w:color="auto"/>
                <w:right w:val="none" w:sz="0" w:space="0" w:color="auto"/>
              </w:divBdr>
            </w:div>
          </w:divsChild>
        </w:div>
        <w:div w:id="1293747467">
          <w:marLeft w:val="0"/>
          <w:marRight w:val="0"/>
          <w:marTop w:val="0"/>
          <w:marBottom w:val="0"/>
          <w:divBdr>
            <w:top w:val="none" w:sz="0" w:space="0" w:color="auto"/>
            <w:left w:val="none" w:sz="0" w:space="0" w:color="auto"/>
            <w:bottom w:val="none" w:sz="0" w:space="0" w:color="auto"/>
            <w:right w:val="none" w:sz="0" w:space="0" w:color="auto"/>
          </w:divBdr>
          <w:divsChild>
            <w:div w:id="1771269076">
              <w:marLeft w:val="0"/>
              <w:marRight w:val="0"/>
              <w:marTop w:val="0"/>
              <w:marBottom w:val="0"/>
              <w:divBdr>
                <w:top w:val="none" w:sz="0" w:space="0" w:color="auto"/>
                <w:left w:val="none" w:sz="0" w:space="0" w:color="auto"/>
                <w:bottom w:val="none" w:sz="0" w:space="0" w:color="auto"/>
                <w:right w:val="none" w:sz="0" w:space="0" w:color="auto"/>
              </w:divBdr>
            </w:div>
          </w:divsChild>
        </w:div>
        <w:div w:id="862549770">
          <w:marLeft w:val="0"/>
          <w:marRight w:val="0"/>
          <w:marTop w:val="0"/>
          <w:marBottom w:val="0"/>
          <w:divBdr>
            <w:top w:val="none" w:sz="0" w:space="0" w:color="auto"/>
            <w:left w:val="none" w:sz="0" w:space="0" w:color="auto"/>
            <w:bottom w:val="none" w:sz="0" w:space="0" w:color="auto"/>
            <w:right w:val="none" w:sz="0" w:space="0" w:color="auto"/>
          </w:divBdr>
          <w:divsChild>
            <w:div w:id="18605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952985">
      <w:bodyDiv w:val="1"/>
      <w:marLeft w:val="0"/>
      <w:marRight w:val="0"/>
      <w:marTop w:val="0"/>
      <w:marBottom w:val="0"/>
      <w:divBdr>
        <w:top w:val="none" w:sz="0" w:space="0" w:color="auto"/>
        <w:left w:val="none" w:sz="0" w:space="0" w:color="auto"/>
        <w:bottom w:val="none" w:sz="0" w:space="0" w:color="auto"/>
        <w:right w:val="none" w:sz="0" w:space="0" w:color="auto"/>
      </w:divBdr>
      <w:divsChild>
        <w:div w:id="279145835">
          <w:marLeft w:val="0"/>
          <w:marRight w:val="0"/>
          <w:marTop w:val="0"/>
          <w:marBottom w:val="0"/>
          <w:divBdr>
            <w:top w:val="none" w:sz="0" w:space="0" w:color="auto"/>
            <w:left w:val="none" w:sz="0" w:space="0" w:color="auto"/>
            <w:bottom w:val="none" w:sz="0" w:space="0" w:color="auto"/>
            <w:right w:val="none" w:sz="0" w:space="0" w:color="auto"/>
          </w:divBdr>
        </w:div>
      </w:divsChild>
    </w:div>
    <w:div w:id="1299611285">
      <w:bodyDiv w:val="1"/>
      <w:marLeft w:val="0"/>
      <w:marRight w:val="0"/>
      <w:marTop w:val="0"/>
      <w:marBottom w:val="0"/>
      <w:divBdr>
        <w:top w:val="none" w:sz="0" w:space="0" w:color="auto"/>
        <w:left w:val="none" w:sz="0" w:space="0" w:color="auto"/>
        <w:bottom w:val="none" w:sz="0" w:space="0" w:color="auto"/>
        <w:right w:val="none" w:sz="0" w:space="0" w:color="auto"/>
      </w:divBdr>
    </w:div>
    <w:div w:id="1533150137">
      <w:bodyDiv w:val="1"/>
      <w:marLeft w:val="0"/>
      <w:marRight w:val="0"/>
      <w:marTop w:val="0"/>
      <w:marBottom w:val="0"/>
      <w:divBdr>
        <w:top w:val="none" w:sz="0" w:space="0" w:color="auto"/>
        <w:left w:val="none" w:sz="0" w:space="0" w:color="auto"/>
        <w:bottom w:val="none" w:sz="0" w:space="0" w:color="auto"/>
        <w:right w:val="none" w:sz="0" w:space="0" w:color="auto"/>
      </w:divBdr>
    </w:div>
    <w:div w:id="1552379147">
      <w:bodyDiv w:val="1"/>
      <w:marLeft w:val="0"/>
      <w:marRight w:val="0"/>
      <w:marTop w:val="0"/>
      <w:marBottom w:val="0"/>
      <w:divBdr>
        <w:top w:val="none" w:sz="0" w:space="0" w:color="auto"/>
        <w:left w:val="none" w:sz="0" w:space="0" w:color="auto"/>
        <w:bottom w:val="none" w:sz="0" w:space="0" w:color="auto"/>
        <w:right w:val="none" w:sz="0" w:space="0" w:color="auto"/>
      </w:divBdr>
    </w:div>
    <w:div w:id="1683435621">
      <w:bodyDiv w:val="1"/>
      <w:marLeft w:val="0"/>
      <w:marRight w:val="0"/>
      <w:marTop w:val="0"/>
      <w:marBottom w:val="0"/>
      <w:divBdr>
        <w:top w:val="none" w:sz="0" w:space="0" w:color="auto"/>
        <w:left w:val="none" w:sz="0" w:space="0" w:color="auto"/>
        <w:bottom w:val="none" w:sz="0" w:space="0" w:color="auto"/>
        <w:right w:val="none" w:sz="0" w:space="0" w:color="auto"/>
      </w:divBdr>
    </w:div>
    <w:div w:id="1709839905">
      <w:bodyDiv w:val="1"/>
      <w:marLeft w:val="0"/>
      <w:marRight w:val="0"/>
      <w:marTop w:val="0"/>
      <w:marBottom w:val="0"/>
      <w:divBdr>
        <w:top w:val="none" w:sz="0" w:space="0" w:color="auto"/>
        <w:left w:val="none" w:sz="0" w:space="0" w:color="auto"/>
        <w:bottom w:val="none" w:sz="0" w:space="0" w:color="auto"/>
        <w:right w:val="none" w:sz="0" w:space="0" w:color="auto"/>
      </w:divBdr>
    </w:div>
    <w:div w:id="1808351737">
      <w:bodyDiv w:val="1"/>
      <w:marLeft w:val="0"/>
      <w:marRight w:val="0"/>
      <w:marTop w:val="0"/>
      <w:marBottom w:val="0"/>
      <w:divBdr>
        <w:top w:val="none" w:sz="0" w:space="0" w:color="auto"/>
        <w:left w:val="none" w:sz="0" w:space="0" w:color="auto"/>
        <w:bottom w:val="none" w:sz="0" w:space="0" w:color="auto"/>
        <w:right w:val="none" w:sz="0" w:space="0" w:color="auto"/>
      </w:divBdr>
    </w:div>
    <w:div w:id="1883787966">
      <w:bodyDiv w:val="1"/>
      <w:marLeft w:val="0"/>
      <w:marRight w:val="0"/>
      <w:marTop w:val="0"/>
      <w:marBottom w:val="0"/>
      <w:divBdr>
        <w:top w:val="none" w:sz="0" w:space="0" w:color="auto"/>
        <w:left w:val="none" w:sz="0" w:space="0" w:color="auto"/>
        <w:bottom w:val="none" w:sz="0" w:space="0" w:color="auto"/>
        <w:right w:val="none" w:sz="0" w:space="0" w:color="auto"/>
      </w:divBdr>
    </w:div>
    <w:div w:id="1915315749">
      <w:bodyDiv w:val="1"/>
      <w:marLeft w:val="0"/>
      <w:marRight w:val="0"/>
      <w:marTop w:val="0"/>
      <w:marBottom w:val="0"/>
      <w:divBdr>
        <w:top w:val="none" w:sz="0" w:space="0" w:color="auto"/>
        <w:left w:val="none" w:sz="0" w:space="0" w:color="auto"/>
        <w:bottom w:val="none" w:sz="0" w:space="0" w:color="auto"/>
        <w:right w:val="none" w:sz="0" w:space="0" w:color="auto"/>
      </w:divBdr>
    </w:div>
    <w:div w:id="1928221918">
      <w:bodyDiv w:val="1"/>
      <w:marLeft w:val="0"/>
      <w:marRight w:val="0"/>
      <w:marTop w:val="0"/>
      <w:marBottom w:val="0"/>
      <w:divBdr>
        <w:top w:val="none" w:sz="0" w:space="0" w:color="auto"/>
        <w:left w:val="none" w:sz="0" w:space="0" w:color="auto"/>
        <w:bottom w:val="none" w:sz="0" w:space="0" w:color="auto"/>
        <w:right w:val="none" w:sz="0" w:space="0" w:color="auto"/>
      </w:divBdr>
    </w:div>
    <w:div w:id="2073969081">
      <w:bodyDiv w:val="1"/>
      <w:marLeft w:val="0"/>
      <w:marRight w:val="0"/>
      <w:marTop w:val="0"/>
      <w:marBottom w:val="0"/>
      <w:divBdr>
        <w:top w:val="none" w:sz="0" w:space="0" w:color="auto"/>
        <w:left w:val="none" w:sz="0" w:space="0" w:color="auto"/>
        <w:bottom w:val="none" w:sz="0" w:space="0" w:color="auto"/>
        <w:right w:val="none" w:sz="0" w:space="0" w:color="auto"/>
      </w:divBdr>
    </w:div>
    <w:div w:id="2118331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ortalterritorial.dnp.gov.co/PDT/" TargetMode="External"/><Relationship Id="rId18" Type="http://schemas.openxmlformats.org/officeDocument/2006/relationships/hyperlink" Target="https://colaboracion.dnp.gov.co/CDT/Desarrollo%20Territorial/PDT/SIEE%20-%20Manual%20de%20Usuario.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www.colombiacompra.gov.co/sites/default/files/capacitacion/I-inicial.pdf" TargetMode="External"/><Relationship Id="rId17" Type="http://schemas.openxmlformats.org/officeDocument/2006/relationships/hyperlink" Target="https://portalterritorial.dnp.gov.co/kpt/" TargetMode="External"/><Relationship Id="rId25" Type="http://schemas.openxmlformats.org/officeDocument/2006/relationships/customXml" Target="../customXml/item4.xml"/><Relationship Id="rId2" Type="http://schemas.openxmlformats.org/officeDocument/2006/relationships/customXml" Target="../customXml/item2.xml"/><Relationship Id="rId16" Type="http://schemas.openxmlformats.org/officeDocument/2006/relationships/hyperlink" Target="https://portalterritorial.dnp.gov.co/AdmBiblioteca/BibliotecaLista?grupoId=4"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ninterior.gov.co/wp-content/uploads/2022/05/Instructivo-Definicion-del-problema-publico-y-arbol-de-objetivos.-Vr-02.-13-05-2022.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ortalterritorial.dnp.gov.co/kpt/" TargetMode="External"/><Relationship Id="rId23"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cid:image001.png@01D8AB18.C262CF90"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F:\MCHP_2013\Area_Correspondencia\Plantillas\Plantillas_Finales\017-Presidencia_Octubre_2014\Dotx\Plantilla_Oficio_Comunicaci&#243;n_Oficial_Enviad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ns24:Sources xmlns:w="http://schemas.openxmlformats.org/wordprocessingml/2006/main" xmlns:m="http://schemas.openxmlformats.org/officeDocument/2006/math" xmlns:r="http://schemas.openxmlformats.org/officeDocument/2006/relationships" xmlns:wp="http://schemas.openxmlformats.org/drawingml/2006/wordprocessingDrawing" xmlns:a="http://schemas.openxmlformats.org/drawingml/2006/main" xmlns:ns6="http://schemas.openxmlformats.org/schemaLibrary/2006/main" xmlns:c="http://schemas.openxmlformats.org/drawingml/2006/chart" xmlns:ns8="http://schemas.openxmlformats.org/drawingml/2006/chartDrawing" xmlns:dgm="http://schemas.openxmlformats.org/drawingml/2006/diagram" xmlns:pic="http://schemas.openxmlformats.org/drawingml/2006/picture" xmlns:ns11="http://schemas.openxmlformats.org/drawingml/2006/spreadsheetDrawing" xmlns:dsp="http://schemas.microsoft.com/office/drawing/2008/diagram" xmlns:ns13="urn:schemas-microsoft-com:office:excel" xmlns:o="urn:schemas-microsoft-com:office:office" xmlns:v="urn:schemas-microsoft-com:vml" xmlns:w10="urn:schemas-microsoft-com:office:word" xmlns:ns17="urn:schemas-microsoft-com:office:powerpoint" xmlns:odx="http://opendope.org/xpaths" xmlns:odc="http://opendope.org/conditions" xmlns:odq="http://opendope.org/questions" xmlns:odi="http://opendope.org/components" xmlns:odgm="http://opendope.org/SmartArt/DataHierarchy" xmlns:ns24="http://schemas.openxmlformats.org/officeDocument/2006/bibliography" xmlns:ns25="http://schemas.openxmlformats.org/drawingml/2006/compatibility" xmlns:ns26="http://schemas.openxmlformats.org/drawingml/2006/lockedCanvas" StyleName="APA" SelectedStyle="\APA.XSL"/>
</file>

<file path=customXml/item3.xml><?xml version="1.0" encoding="utf-8"?>
<ct:contentTypeSchema xmlns:ct="http://schemas.microsoft.com/office/2006/metadata/contentType" xmlns:ma="http://schemas.microsoft.com/office/2006/metadata/properties/metaAttributes" ct:_="" ma:_="" ma:contentTypeName="Documento" ma:contentTypeID="0x0101005E9E5816CD457649A2FC257344E438ED" ma:contentTypeVersion="22" ma:contentTypeDescription="Crear nuevo documento." ma:contentTypeScope="" ma:versionID="d2b44dcc1be2a6eb7d5d2a070cd591ba">
  <xsd:schema xmlns:xsd="http://www.w3.org/2001/XMLSchema" xmlns:xs="http://www.w3.org/2001/XMLSchema" xmlns:p="http://schemas.microsoft.com/office/2006/metadata/properties" xmlns:ns2="2b710913-f553-4708-ac69-012d148fa8aa" xmlns:ns3="fb81f478-06d5-40fe-9ac3-32aa24d1e628" targetNamespace="http://schemas.microsoft.com/office/2006/metadata/properties" ma:root="true" ma:fieldsID="cbf61a37edbe6e8f3e7110e03bf44159" ns2:_="" ns3:_="">
    <xsd:import namespace="2b710913-f553-4708-ac69-012d148fa8aa"/>
    <xsd:import namespace="fb81f478-06d5-40fe-9ac3-32aa24d1e62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2:Fecha" minOccurs="0"/>
                <xsd:element ref="ns2:Fecha1" minOccurs="0"/>
                <xsd:element ref="ns2:Cargado" minOccurs="0"/>
                <xsd:element ref="ns2:lcf76f155ced4ddcb4097134ff3c332f" minOccurs="0"/>
                <xsd:element ref="ns3:TaxCatchAll" minOccurs="0"/>
                <xsd:element ref="ns2:MediaServiceObjectDetectorVersions" minOccurs="0"/>
                <xsd:element ref="ns2:SEMANA"/>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10913-f553-4708-ac69-012d148fa8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Fecha" ma:index="21" nillable="true" ma:displayName="Fecha" ma:format="DateOnly" ma:internalName="Fecha">
      <xsd:simpleType>
        <xsd:restriction base="dms:DateTime"/>
      </xsd:simpleType>
    </xsd:element>
    <xsd:element name="Fecha1" ma:index="22" nillable="true" ma:displayName="Fecha 1" ma:format="DateOnly" ma:internalName="Fecha1">
      <xsd:simpleType>
        <xsd:restriction base="dms:DateTime"/>
      </xsd:simpleType>
    </xsd:element>
    <xsd:element name="Cargado" ma:index="23" nillable="true" ma:displayName="Cargado" ma:default="0" ma:description="Indica si está almacenado o no en el repositorio de consulta general" ma:format="Dropdown" ma:internalName="Cargado">
      <xsd:simpleType>
        <xsd:restriction base="dms:Boolean"/>
      </xsd:simpleType>
    </xsd:element>
    <xsd:element name="lcf76f155ced4ddcb4097134ff3c332f" ma:index="25" nillable="true" ma:taxonomy="true" ma:internalName="lcf76f155ced4ddcb4097134ff3c332f" ma:taxonomyFieldName="MediaServiceImageTags" ma:displayName="Etiquetas de imagen" ma:readOnly="false" ma:fieldId="{5cf76f15-5ced-4ddc-b409-7134ff3c332f}" ma:taxonomyMulti="true" ma:sspId="25bf450d-cec3-4795-b03d-1d61ae30157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SEMANA" ma:index="28" ma:displayName="SEMANA" ma:description="ENTREGAS SEMANALES DE INSUMOS O ACTIVIDADES" ma:format="Dropdown" ma:internalName="SEMANA">
      <xsd:simpleType>
        <xsd:restriction base="dms:Text">
          <xsd:maxLength value="255"/>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b81f478-06d5-40fe-9ac3-32aa24d1e628"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6" nillable="true" ma:displayName="Taxonomy Catch All Column" ma:hidden="true" ma:list="{99231f5a-170f-4086-936b-0e42a68a9da3}" ma:internalName="TaxCatchAll" ma:showField="CatchAllData" ma:web="fb81f478-06d5-40fe-9ac3-32aa24d1e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b710913-f553-4708-ac69-012d148fa8aa">
      <Terms xmlns="http://schemas.microsoft.com/office/infopath/2007/PartnerControls"/>
    </lcf76f155ced4ddcb4097134ff3c332f>
    <Fecha xmlns="2b710913-f553-4708-ac69-012d148fa8aa" xsi:nil="true"/>
    <Fecha1 xmlns="2b710913-f553-4708-ac69-012d148fa8aa" xsi:nil="true"/>
    <Cargado xmlns="2b710913-f553-4708-ac69-012d148fa8aa">false</Cargado>
    <SEMANA xmlns="2b710913-f553-4708-ac69-012d148fa8aa"/>
    <TaxCatchAll xmlns="fb81f478-06d5-40fe-9ac3-32aa24d1e628" xsi:nil="true"/>
  </documentManagement>
</p:properties>
</file>

<file path=customXml/itemProps1.xml><?xml version="1.0" encoding="utf-8"?>
<ds:datastoreItem xmlns:ds="http://schemas.openxmlformats.org/officeDocument/2006/customXml" ds:itemID="{FADBE196-B816-4A66-9149-D08CBC40413F}">
  <ds:schemaRefs>
    <ds:schemaRef ds:uri="http://schemas.microsoft.com/sharepoint/v3/contenttype/forms"/>
  </ds:schemaRefs>
</ds:datastoreItem>
</file>

<file path=customXml/itemProps2.xml><?xml version="1.0" encoding="utf-8"?>
<ds:datastoreItem xmlns:ds="http://schemas.openxmlformats.org/officeDocument/2006/customXml" ds:itemID="{D6A5A63F-0798-40C9-BDF3-F2183E1A6F2C}">
  <ds:schemaRefs>
    <ds:schemaRef ds:uri="http://schemas.openxmlformats.org/wordprocessingml/2006/main"/>
    <ds:schemaRef ds:uri="http://schemas.openxmlformats.org/officeDocument/2006/math"/>
    <ds:schemaRef ds:uri="http://schemas.openxmlformats.org/officeDocument/2006/relationships"/>
    <ds:schemaRef ds:uri="http://schemas.openxmlformats.org/drawingml/2006/wordprocessingDrawing"/>
    <ds:schemaRef ds:uri="http://schemas.openxmlformats.org/drawingml/2006/main"/>
    <ds:schemaRef ds:uri="http://schemas.openxmlformats.org/schemaLibrary/2006/main"/>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opendope.org/xpaths"/>
    <ds:schemaRef ds:uri="http://opendope.org/conditions"/>
    <ds:schemaRef ds:uri="http://opendope.org/question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s>
</ds:datastoreItem>
</file>

<file path=customXml/itemProps3.xml><?xml version="1.0" encoding="utf-8"?>
<ds:datastoreItem xmlns:ds="http://schemas.openxmlformats.org/officeDocument/2006/customXml" ds:itemID="{178E52C4-D49A-4DBB-8099-3937F6AD2D57}"/>
</file>

<file path=customXml/itemProps4.xml><?xml version="1.0" encoding="utf-8"?>
<ds:datastoreItem xmlns:ds="http://schemas.openxmlformats.org/officeDocument/2006/customXml" ds:itemID="{BE4E0CCF-8FC9-4E6F-9D9D-E765C57465AB}"/>
</file>

<file path=docProps/app.xml><?xml version="1.0" encoding="utf-8"?>
<Properties xmlns="http://schemas.openxmlformats.org/officeDocument/2006/extended-properties" xmlns:vt="http://schemas.openxmlformats.org/officeDocument/2006/docPropsVTypes">
  <Template>Plantilla_Oficio_Comunicación_Oficial_Enviada</Template>
  <TotalTime>0</TotalTime>
  <Pages>27</Pages>
  <Words>9986</Words>
  <Characters>54926</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Oficio</vt:lpstr>
    </vt:vector>
  </TitlesOfParts>
  <Company>Ministerio de Hacienda y Crédito Público</Company>
  <LinksUpToDate>false</LinksUpToDate>
  <CharactersWithSpaces>64783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dc:title>
  <dc:subject>Plantilla Oficio - Comunicacion Oficial Enviada</dc:subject>
  <dc:creator>Freddy Jaramillo Orozco</dc:creator>
  <cp:keywords/>
  <dc:description/>
  <cp:lastModifiedBy>Pablo Andres Parra Cubides</cp:lastModifiedBy>
  <cp:revision>2</cp:revision>
  <cp:lastPrinted>2015-12-16T15:04:00Z</cp:lastPrinted>
  <dcterms:created xsi:type="dcterms:W3CDTF">2023-10-13T23:31:00Z</dcterms:created>
  <dcterms:modified xsi:type="dcterms:W3CDTF">2023-10-13T23:31:00Z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0x0101005E9E5816CD457649A2FC257344E438ED</vt:lpwstr>
  </property>
  <property fmtid="{D5CDD505-2E9C-101B-9397-08002B2CF9AE}" pid="3" name="_dlc_DocIdItemGuid">
    <vt:lpwstr>32ad9c75-59dc-440c-a5b9-740cae9ef08c</vt:lpwstr>
  </property>
</Properties>
</file>